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ink/ink1.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435A1" w14:textId="48418925" w:rsidR="00404498" w:rsidRPr="005929A2" w:rsidRDefault="0046269B" w:rsidP="005929A2">
      <w:pPr>
        <w:pStyle w:val="Title"/>
      </w:pPr>
      <w:r>
        <w:t>Bus Safety Regulation</w:t>
      </w:r>
      <w:r w:rsidR="00E85B50">
        <w:t>s</w:t>
      </w:r>
      <w:r>
        <w:t xml:space="preserve"> 2020</w:t>
      </w:r>
    </w:p>
    <w:p w14:paraId="7DBA989F" w14:textId="4F81143D" w:rsidR="00F316F8" w:rsidRPr="000D5F1A" w:rsidRDefault="0046269B" w:rsidP="000D5F1A">
      <w:pPr>
        <w:pStyle w:val="Subtitle"/>
      </w:pPr>
      <w:r>
        <w:t>Regulatory Impact Statement</w:t>
      </w:r>
    </w:p>
    <w:p w14:paraId="08150DDC" w14:textId="77777777" w:rsidR="00384A08" w:rsidRDefault="00384A08" w:rsidP="004E6414">
      <w:pPr>
        <w:sectPr w:rsidR="00384A08" w:rsidSect="008B4762">
          <w:headerReference w:type="default" r:id="rId12"/>
          <w:footerReference w:type="even" r:id="rId13"/>
          <w:footerReference w:type="default" r:id="rId14"/>
          <w:headerReference w:type="first" r:id="rId15"/>
          <w:footerReference w:type="first" r:id="rId16"/>
          <w:pgSz w:w="11900" w:h="16840"/>
          <w:pgMar w:top="3023" w:right="1440" w:bottom="1440" w:left="1440" w:header="454" w:footer="708" w:gutter="0"/>
          <w:cols w:space="708"/>
          <w:titlePg/>
          <w:docGrid w:linePitch="360"/>
        </w:sectPr>
      </w:pPr>
      <w:r>
        <w:br w:type="page"/>
      </w:r>
    </w:p>
    <w:sdt>
      <w:sdtPr>
        <w:rPr>
          <w:rFonts w:asciiTheme="minorHAnsi" w:eastAsiaTheme="minorHAnsi" w:hAnsiTheme="minorHAnsi" w:cstheme="minorBidi"/>
          <w:color w:val="000000" w:themeColor="text1"/>
          <w:sz w:val="20"/>
          <w:szCs w:val="18"/>
        </w:rPr>
        <w:id w:val="1894074942"/>
        <w:docPartObj>
          <w:docPartGallery w:val="Table of Contents"/>
          <w:docPartUnique/>
        </w:docPartObj>
      </w:sdtPr>
      <w:sdtEndPr>
        <w:rPr>
          <w:b/>
          <w:bCs/>
          <w:noProof/>
        </w:rPr>
      </w:sdtEndPr>
      <w:sdtContent>
        <w:p w14:paraId="7F73F8A1" w14:textId="6A515141" w:rsidR="005F2D3E" w:rsidRDefault="005F2D3E">
          <w:pPr>
            <w:pStyle w:val="TOCHeading"/>
          </w:pPr>
          <w:r>
            <w:t>Contents</w:t>
          </w:r>
        </w:p>
        <w:p w14:paraId="74BB2E3F" w14:textId="63612556" w:rsidR="00277F6E" w:rsidRDefault="005F2D3E">
          <w:pPr>
            <w:pStyle w:val="TOC1"/>
            <w:rPr>
              <w:rFonts w:asciiTheme="minorHAnsi" w:eastAsiaTheme="minorEastAsia" w:hAnsiTheme="minorHAnsi" w:cstheme="minorBidi"/>
              <w:b w:val="0"/>
              <w:bCs w:val="0"/>
              <w:color w:val="auto"/>
              <w:sz w:val="22"/>
              <w:szCs w:val="22"/>
              <w:lang w:eastAsia="ja-JP"/>
            </w:rPr>
          </w:pPr>
          <w:r>
            <w:fldChar w:fldCharType="begin"/>
          </w:r>
          <w:r>
            <w:instrText xml:space="preserve"> TOC \o "1-3" \h \z \u </w:instrText>
          </w:r>
          <w:r>
            <w:fldChar w:fldCharType="separate"/>
          </w:r>
          <w:hyperlink w:anchor="_Toc45704286" w:history="1">
            <w:r w:rsidR="00277F6E" w:rsidRPr="005A1F95">
              <w:rPr>
                <w:rStyle w:val="Hyperlink"/>
              </w:rPr>
              <w:t>1</w:t>
            </w:r>
            <w:r w:rsidR="00277F6E">
              <w:rPr>
                <w:rFonts w:asciiTheme="minorHAnsi" w:eastAsiaTheme="minorEastAsia" w:hAnsiTheme="minorHAnsi" w:cstheme="minorBidi"/>
                <w:b w:val="0"/>
                <w:bCs w:val="0"/>
                <w:color w:val="auto"/>
                <w:sz w:val="22"/>
                <w:szCs w:val="22"/>
                <w:lang w:eastAsia="ja-JP"/>
              </w:rPr>
              <w:tab/>
            </w:r>
            <w:r w:rsidR="00277F6E" w:rsidRPr="005A1F95">
              <w:rPr>
                <w:rStyle w:val="Hyperlink"/>
              </w:rPr>
              <w:t>Executive Summary</w:t>
            </w:r>
            <w:r w:rsidR="00277F6E">
              <w:rPr>
                <w:webHidden/>
              </w:rPr>
              <w:tab/>
            </w:r>
            <w:r w:rsidR="00277F6E">
              <w:rPr>
                <w:webHidden/>
              </w:rPr>
              <w:fldChar w:fldCharType="begin"/>
            </w:r>
            <w:r w:rsidR="00277F6E">
              <w:rPr>
                <w:webHidden/>
              </w:rPr>
              <w:instrText xml:space="preserve"> PAGEREF _Toc45704286 \h </w:instrText>
            </w:r>
            <w:r w:rsidR="00277F6E">
              <w:rPr>
                <w:webHidden/>
              </w:rPr>
            </w:r>
            <w:r w:rsidR="00277F6E">
              <w:rPr>
                <w:webHidden/>
              </w:rPr>
              <w:fldChar w:fldCharType="separate"/>
            </w:r>
            <w:r w:rsidR="00277F6E">
              <w:rPr>
                <w:webHidden/>
              </w:rPr>
              <w:t>9</w:t>
            </w:r>
            <w:r w:rsidR="00277F6E">
              <w:rPr>
                <w:webHidden/>
              </w:rPr>
              <w:fldChar w:fldCharType="end"/>
            </w:r>
          </w:hyperlink>
        </w:p>
        <w:p w14:paraId="4BEA0D3D" w14:textId="03938EF2" w:rsidR="00277F6E" w:rsidRDefault="00277F6E">
          <w:pPr>
            <w:pStyle w:val="TOC2"/>
            <w:rPr>
              <w:rFonts w:eastAsiaTheme="minorEastAsia" w:cstheme="minorBidi"/>
              <w:bCs w:val="0"/>
              <w:color w:val="auto"/>
              <w:sz w:val="22"/>
              <w:szCs w:val="22"/>
              <w:lang w:eastAsia="ja-JP"/>
            </w:rPr>
          </w:pPr>
          <w:hyperlink w:anchor="_Toc45704287" w:history="1">
            <w:r w:rsidRPr="005A1F95">
              <w:rPr>
                <w:rStyle w:val="Hyperlink"/>
              </w:rPr>
              <w:t>1.1</w:t>
            </w:r>
            <w:r>
              <w:rPr>
                <w:rFonts w:eastAsiaTheme="minorEastAsia" w:cstheme="minorBidi"/>
                <w:bCs w:val="0"/>
                <w:color w:val="auto"/>
                <w:sz w:val="22"/>
                <w:szCs w:val="22"/>
                <w:lang w:eastAsia="ja-JP"/>
              </w:rPr>
              <w:tab/>
            </w:r>
            <w:r w:rsidRPr="005A1F95">
              <w:rPr>
                <w:rStyle w:val="Hyperlink"/>
              </w:rPr>
              <w:t>Nature and extent of the problem (refer to Section 3)</w:t>
            </w:r>
            <w:r>
              <w:rPr>
                <w:webHidden/>
              </w:rPr>
              <w:tab/>
            </w:r>
            <w:r>
              <w:rPr>
                <w:webHidden/>
              </w:rPr>
              <w:fldChar w:fldCharType="begin"/>
            </w:r>
            <w:r>
              <w:rPr>
                <w:webHidden/>
              </w:rPr>
              <w:instrText xml:space="preserve"> PAGEREF _Toc45704287 \h </w:instrText>
            </w:r>
            <w:r>
              <w:rPr>
                <w:webHidden/>
              </w:rPr>
            </w:r>
            <w:r>
              <w:rPr>
                <w:webHidden/>
              </w:rPr>
              <w:fldChar w:fldCharType="separate"/>
            </w:r>
            <w:r>
              <w:rPr>
                <w:webHidden/>
              </w:rPr>
              <w:t>9</w:t>
            </w:r>
            <w:r>
              <w:rPr>
                <w:webHidden/>
              </w:rPr>
              <w:fldChar w:fldCharType="end"/>
            </w:r>
          </w:hyperlink>
        </w:p>
        <w:p w14:paraId="6D0ABBCB" w14:textId="64F7FEDE" w:rsidR="00277F6E" w:rsidRDefault="00277F6E">
          <w:pPr>
            <w:pStyle w:val="TOC3"/>
            <w:rPr>
              <w:rFonts w:eastAsiaTheme="minorEastAsia" w:cstheme="minorBidi"/>
              <w:bCs w:val="0"/>
              <w:color w:val="auto"/>
              <w:sz w:val="22"/>
              <w:szCs w:val="22"/>
              <w:lang w:eastAsia="ja-JP"/>
            </w:rPr>
          </w:pPr>
          <w:hyperlink w:anchor="_Toc45704288" w:history="1">
            <w:r w:rsidRPr="005A1F95">
              <w:rPr>
                <w:rStyle w:val="Hyperlink"/>
              </w:rPr>
              <w:t>1.1.1</w:t>
            </w:r>
            <w:r>
              <w:rPr>
                <w:rFonts w:eastAsiaTheme="minorEastAsia" w:cstheme="minorBidi"/>
                <w:bCs w:val="0"/>
                <w:color w:val="auto"/>
                <w:sz w:val="22"/>
                <w:szCs w:val="22"/>
                <w:lang w:eastAsia="ja-JP"/>
              </w:rPr>
              <w:tab/>
            </w:r>
            <w:r w:rsidRPr="005A1F95">
              <w:rPr>
                <w:rStyle w:val="Hyperlink"/>
              </w:rPr>
              <w:t>Bus safety performance (refer to Section 3.2 for further discussion)</w:t>
            </w:r>
            <w:r>
              <w:rPr>
                <w:webHidden/>
              </w:rPr>
              <w:tab/>
            </w:r>
            <w:r>
              <w:rPr>
                <w:webHidden/>
              </w:rPr>
              <w:fldChar w:fldCharType="begin"/>
            </w:r>
            <w:r>
              <w:rPr>
                <w:webHidden/>
              </w:rPr>
              <w:instrText xml:space="preserve"> PAGEREF _Toc45704288 \h </w:instrText>
            </w:r>
            <w:r>
              <w:rPr>
                <w:webHidden/>
              </w:rPr>
            </w:r>
            <w:r>
              <w:rPr>
                <w:webHidden/>
              </w:rPr>
              <w:fldChar w:fldCharType="separate"/>
            </w:r>
            <w:r>
              <w:rPr>
                <w:webHidden/>
              </w:rPr>
              <w:t>9</w:t>
            </w:r>
            <w:r>
              <w:rPr>
                <w:webHidden/>
              </w:rPr>
              <w:fldChar w:fldCharType="end"/>
            </w:r>
          </w:hyperlink>
        </w:p>
        <w:p w14:paraId="4FD34465" w14:textId="2016D0DD" w:rsidR="00277F6E" w:rsidRDefault="00277F6E">
          <w:pPr>
            <w:pStyle w:val="TOC3"/>
            <w:rPr>
              <w:rFonts w:eastAsiaTheme="minorEastAsia" w:cstheme="minorBidi"/>
              <w:bCs w:val="0"/>
              <w:color w:val="auto"/>
              <w:sz w:val="22"/>
              <w:szCs w:val="22"/>
              <w:lang w:eastAsia="ja-JP"/>
            </w:rPr>
          </w:pPr>
          <w:hyperlink w:anchor="_Toc45704289" w:history="1">
            <w:r w:rsidRPr="005A1F95">
              <w:rPr>
                <w:rStyle w:val="Hyperlink"/>
              </w:rPr>
              <w:t>1.1.2</w:t>
            </w:r>
            <w:r>
              <w:rPr>
                <w:rFonts w:eastAsiaTheme="minorEastAsia" w:cstheme="minorBidi"/>
                <w:bCs w:val="0"/>
                <w:color w:val="auto"/>
                <w:sz w:val="22"/>
                <w:szCs w:val="22"/>
                <w:lang w:eastAsia="ja-JP"/>
              </w:rPr>
              <w:tab/>
            </w:r>
            <w:r w:rsidRPr="005A1F95">
              <w:rPr>
                <w:rStyle w:val="Hyperlink"/>
              </w:rPr>
              <w:t>Vehicle safety (refer to Section 3.3 for further discussion)</w:t>
            </w:r>
            <w:r>
              <w:rPr>
                <w:webHidden/>
              </w:rPr>
              <w:tab/>
            </w:r>
            <w:r>
              <w:rPr>
                <w:webHidden/>
              </w:rPr>
              <w:fldChar w:fldCharType="begin"/>
            </w:r>
            <w:r>
              <w:rPr>
                <w:webHidden/>
              </w:rPr>
              <w:instrText xml:space="preserve"> PAGEREF _Toc45704289 \h </w:instrText>
            </w:r>
            <w:r>
              <w:rPr>
                <w:webHidden/>
              </w:rPr>
            </w:r>
            <w:r>
              <w:rPr>
                <w:webHidden/>
              </w:rPr>
              <w:fldChar w:fldCharType="separate"/>
            </w:r>
            <w:r>
              <w:rPr>
                <w:webHidden/>
              </w:rPr>
              <w:t>10</w:t>
            </w:r>
            <w:r>
              <w:rPr>
                <w:webHidden/>
              </w:rPr>
              <w:fldChar w:fldCharType="end"/>
            </w:r>
          </w:hyperlink>
        </w:p>
        <w:p w14:paraId="76F3B506" w14:textId="50B0481B" w:rsidR="00277F6E" w:rsidRDefault="00277F6E">
          <w:pPr>
            <w:pStyle w:val="TOC3"/>
            <w:rPr>
              <w:rFonts w:eastAsiaTheme="minorEastAsia" w:cstheme="minorBidi"/>
              <w:bCs w:val="0"/>
              <w:color w:val="auto"/>
              <w:sz w:val="22"/>
              <w:szCs w:val="22"/>
              <w:lang w:eastAsia="ja-JP"/>
            </w:rPr>
          </w:pPr>
          <w:hyperlink w:anchor="_Toc45704290" w:history="1">
            <w:r w:rsidRPr="005A1F95">
              <w:rPr>
                <w:rStyle w:val="Hyperlink"/>
              </w:rPr>
              <w:t>1.1.3</w:t>
            </w:r>
            <w:r>
              <w:rPr>
                <w:rFonts w:eastAsiaTheme="minorEastAsia" w:cstheme="minorBidi"/>
                <w:bCs w:val="0"/>
                <w:color w:val="auto"/>
                <w:sz w:val="22"/>
                <w:szCs w:val="22"/>
                <w:lang w:eastAsia="ja-JP"/>
              </w:rPr>
              <w:tab/>
            </w:r>
            <w:r w:rsidRPr="005A1F95">
              <w:rPr>
                <w:rStyle w:val="Hyperlink"/>
              </w:rPr>
              <w:t>Safety of bus operations (refer to Section 3.4 for further discussion)</w:t>
            </w:r>
            <w:r>
              <w:rPr>
                <w:webHidden/>
              </w:rPr>
              <w:tab/>
            </w:r>
            <w:r>
              <w:rPr>
                <w:webHidden/>
              </w:rPr>
              <w:fldChar w:fldCharType="begin"/>
            </w:r>
            <w:r>
              <w:rPr>
                <w:webHidden/>
              </w:rPr>
              <w:instrText xml:space="preserve"> PAGEREF _Toc45704290 \h </w:instrText>
            </w:r>
            <w:r>
              <w:rPr>
                <w:webHidden/>
              </w:rPr>
            </w:r>
            <w:r>
              <w:rPr>
                <w:webHidden/>
              </w:rPr>
              <w:fldChar w:fldCharType="separate"/>
            </w:r>
            <w:r>
              <w:rPr>
                <w:webHidden/>
              </w:rPr>
              <w:t>10</w:t>
            </w:r>
            <w:r>
              <w:rPr>
                <w:webHidden/>
              </w:rPr>
              <w:fldChar w:fldCharType="end"/>
            </w:r>
          </w:hyperlink>
        </w:p>
        <w:p w14:paraId="7E749B51" w14:textId="4A693083" w:rsidR="00277F6E" w:rsidRDefault="00277F6E">
          <w:pPr>
            <w:pStyle w:val="TOC3"/>
            <w:rPr>
              <w:rFonts w:eastAsiaTheme="minorEastAsia" w:cstheme="minorBidi"/>
              <w:bCs w:val="0"/>
              <w:color w:val="auto"/>
              <w:sz w:val="22"/>
              <w:szCs w:val="22"/>
              <w:lang w:eastAsia="ja-JP"/>
            </w:rPr>
          </w:pPr>
          <w:hyperlink w:anchor="_Toc45704291" w:history="1">
            <w:r w:rsidRPr="005A1F95">
              <w:rPr>
                <w:rStyle w:val="Hyperlink"/>
              </w:rPr>
              <w:t>1.1.4</w:t>
            </w:r>
            <w:r>
              <w:rPr>
                <w:rFonts w:eastAsiaTheme="minorEastAsia" w:cstheme="minorBidi"/>
                <w:bCs w:val="0"/>
                <w:color w:val="auto"/>
                <w:sz w:val="22"/>
                <w:szCs w:val="22"/>
                <w:lang w:eastAsia="ja-JP"/>
              </w:rPr>
              <w:tab/>
            </w:r>
            <w:r w:rsidRPr="005A1F95">
              <w:rPr>
                <w:rStyle w:val="Hyperlink"/>
              </w:rPr>
              <w:t>Permission to operate a bus service (refer to section 3.5 for further discussion)</w:t>
            </w:r>
            <w:r>
              <w:rPr>
                <w:webHidden/>
              </w:rPr>
              <w:tab/>
            </w:r>
            <w:r>
              <w:rPr>
                <w:webHidden/>
              </w:rPr>
              <w:fldChar w:fldCharType="begin"/>
            </w:r>
            <w:r>
              <w:rPr>
                <w:webHidden/>
              </w:rPr>
              <w:instrText xml:space="preserve"> PAGEREF _Toc45704291 \h </w:instrText>
            </w:r>
            <w:r>
              <w:rPr>
                <w:webHidden/>
              </w:rPr>
            </w:r>
            <w:r>
              <w:rPr>
                <w:webHidden/>
              </w:rPr>
              <w:fldChar w:fldCharType="separate"/>
            </w:r>
            <w:r>
              <w:rPr>
                <w:webHidden/>
              </w:rPr>
              <w:t>11</w:t>
            </w:r>
            <w:r>
              <w:rPr>
                <w:webHidden/>
              </w:rPr>
              <w:fldChar w:fldCharType="end"/>
            </w:r>
          </w:hyperlink>
        </w:p>
        <w:p w14:paraId="5A77613E" w14:textId="2DAB1FFB" w:rsidR="00277F6E" w:rsidRDefault="00277F6E">
          <w:pPr>
            <w:pStyle w:val="TOC3"/>
            <w:rPr>
              <w:rFonts w:eastAsiaTheme="minorEastAsia" w:cstheme="minorBidi"/>
              <w:bCs w:val="0"/>
              <w:color w:val="auto"/>
              <w:sz w:val="22"/>
              <w:szCs w:val="22"/>
              <w:lang w:eastAsia="ja-JP"/>
            </w:rPr>
          </w:pPr>
          <w:hyperlink w:anchor="_Toc45704292" w:history="1">
            <w:r w:rsidRPr="005A1F95">
              <w:rPr>
                <w:rStyle w:val="Hyperlink"/>
              </w:rPr>
              <w:t>1.1.5</w:t>
            </w:r>
            <w:r>
              <w:rPr>
                <w:rFonts w:eastAsiaTheme="minorEastAsia" w:cstheme="minorBidi"/>
                <w:bCs w:val="0"/>
                <w:color w:val="auto"/>
                <w:sz w:val="22"/>
                <w:szCs w:val="22"/>
                <w:lang w:eastAsia="ja-JP"/>
              </w:rPr>
              <w:tab/>
            </w:r>
            <w:r w:rsidRPr="005A1F95">
              <w:rPr>
                <w:rStyle w:val="Hyperlink"/>
              </w:rPr>
              <w:t>Identification of services (refer to section 3.6 for further discussion)</w:t>
            </w:r>
            <w:r>
              <w:rPr>
                <w:webHidden/>
              </w:rPr>
              <w:tab/>
            </w:r>
            <w:r>
              <w:rPr>
                <w:webHidden/>
              </w:rPr>
              <w:fldChar w:fldCharType="begin"/>
            </w:r>
            <w:r>
              <w:rPr>
                <w:webHidden/>
              </w:rPr>
              <w:instrText xml:space="preserve"> PAGEREF _Toc45704292 \h </w:instrText>
            </w:r>
            <w:r>
              <w:rPr>
                <w:webHidden/>
              </w:rPr>
            </w:r>
            <w:r>
              <w:rPr>
                <w:webHidden/>
              </w:rPr>
              <w:fldChar w:fldCharType="separate"/>
            </w:r>
            <w:r>
              <w:rPr>
                <w:webHidden/>
              </w:rPr>
              <w:t>11</w:t>
            </w:r>
            <w:r>
              <w:rPr>
                <w:webHidden/>
              </w:rPr>
              <w:fldChar w:fldCharType="end"/>
            </w:r>
          </w:hyperlink>
        </w:p>
        <w:p w14:paraId="30DA7A3D" w14:textId="6A318667" w:rsidR="00277F6E" w:rsidRDefault="00277F6E">
          <w:pPr>
            <w:pStyle w:val="TOC3"/>
            <w:rPr>
              <w:rFonts w:eastAsiaTheme="minorEastAsia" w:cstheme="minorBidi"/>
              <w:bCs w:val="0"/>
              <w:color w:val="auto"/>
              <w:sz w:val="22"/>
              <w:szCs w:val="22"/>
              <w:lang w:eastAsia="ja-JP"/>
            </w:rPr>
          </w:pPr>
          <w:hyperlink w:anchor="_Toc45704293" w:history="1">
            <w:r w:rsidRPr="005A1F95">
              <w:rPr>
                <w:rStyle w:val="Hyperlink"/>
              </w:rPr>
              <w:t>1.1.6</w:t>
            </w:r>
            <w:r>
              <w:rPr>
                <w:rFonts w:eastAsiaTheme="minorEastAsia" w:cstheme="minorBidi"/>
                <w:bCs w:val="0"/>
                <w:color w:val="auto"/>
                <w:sz w:val="22"/>
                <w:szCs w:val="22"/>
                <w:lang w:eastAsia="ja-JP"/>
              </w:rPr>
              <w:tab/>
            </w:r>
            <w:r w:rsidRPr="005A1F95">
              <w:rPr>
                <w:rStyle w:val="Hyperlink"/>
              </w:rPr>
              <w:t>Cost recovery (refer to section 3.7 for further discussion)</w:t>
            </w:r>
            <w:r>
              <w:rPr>
                <w:webHidden/>
              </w:rPr>
              <w:tab/>
            </w:r>
            <w:r>
              <w:rPr>
                <w:webHidden/>
              </w:rPr>
              <w:fldChar w:fldCharType="begin"/>
            </w:r>
            <w:r>
              <w:rPr>
                <w:webHidden/>
              </w:rPr>
              <w:instrText xml:space="preserve"> PAGEREF _Toc45704293 \h </w:instrText>
            </w:r>
            <w:r>
              <w:rPr>
                <w:webHidden/>
              </w:rPr>
            </w:r>
            <w:r>
              <w:rPr>
                <w:webHidden/>
              </w:rPr>
              <w:fldChar w:fldCharType="separate"/>
            </w:r>
            <w:r>
              <w:rPr>
                <w:webHidden/>
              </w:rPr>
              <w:t>11</w:t>
            </w:r>
            <w:r>
              <w:rPr>
                <w:webHidden/>
              </w:rPr>
              <w:fldChar w:fldCharType="end"/>
            </w:r>
          </w:hyperlink>
        </w:p>
        <w:p w14:paraId="48905385" w14:textId="3B98D3FC" w:rsidR="00277F6E" w:rsidRDefault="00277F6E">
          <w:pPr>
            <w:pStyle w:val="TOC2"/>
            <w:rPr>
              <w:rFonts w:eastAsiaTheme="minorEastAsia" w:cstheme="minorBidi"/>
              <w:bCs w:val="0"/>
              <w:color w:val="auto"/>
              <w:sz w:val="22"/>
              <w:szCs w:val="22"/>
              <w:lang w:eastAsia="ja-JP"/>
            </w:rPr>
          </w:pPr>
          <w:hyperlink w:anchor="_Toc45704294" w:history="1">
            <w:r w:rsidRPr="005A1F95">
              <w:rPr>
                <w:rStyle w:val="Hyperlink"/>
              </w:rPr>
              <w:t>1.2</w:t>
            </w:r>
            <w:r>
              <w:rPr>
                <w:rFonts w:eastAsiaTheme="minorEastAsia" w:cstheme="minorBidi"/>
                <w:bCs w:val="0"/>
                <w:color w:val="auto"/>
                <w:sz w:val="22"/>
                <w:szCs w:val="22"/>
                <w:lang w:eastAsia="ja-JP"/>
              </w:rPr>
              <w:tab/>
            </w:r>
            <w:r w:rsidRPr="005A1F95">
              <w:rPr>
                <w:rStyle w:val="Hyperlink"/>
              </w:rPr>
              <w:t>Objectives (refer to Section 4)</w:t>
            </w:r>
            <w:r>
              <w:rPr>
                <w:webHidden/>
              </w:rPr>
              <w:tab/>
            </w:r>
            <w:r>
              <w:rPr>
                <w:webHidden/>
              </w:rPr>
              <w:fldChar w:fldCharType="begin"/>
            </w:r>
            <w:r>
              <w:rPr>
                <w:webHidden/>
              </w:rPr>
              <w:instrText xml:space="preserve"> PAGEREF _Toc45704294 \h </w:instrText>
            </w:r>
            <w:r>
              <w:rPr>
                <w:webHidden/>
              </w:rPr>
            </w:r>
            <w:r>
              <w:rPr>
                <w:webHidden/>
              </w:rPr>
              <w:fldChar w:fldCharType="separate"/>
            </w:r>
            <w:r>
              <w:rPr>
                <w:webHidden/>
              </w:rPr>
              <w:t>11</w:t>
            </w:r>
            <w:r>
              <w:rPr>
                <w:webHidden/>
              </w:rPr>
              <w:fldChar w:fldCharType="end"/>
            </w:r>
          </w:hyperlink>
        </w:p>
        <w:p w14:paraId="63E0FB97" w14:textId="4A7B105D" w:rsidR="00277F6E" w:rsidRDefault="00277F6E">
          <w:pPr>
            <w:pStyle w:val="TOC2"/>
            <w:rPr>
              <w:rFonts w:eastAsiaTheme="minorEastAsia" w:cstheme="minorBidi"/>
              <w:bCs w:val="0"/>
              <w:color w:val="auto"/>
              <w:sz w:val="22"/>
              <w:szCs w:val="22"/>
              <w:lang w:eastAsia="ja-JP"/>
            </w:rPr>
          </w:pPr>
          <w:hyperlink w:anchor="_Toc45704295" w:history="1">
            <w:r w:rsidRPr="005A1F95">
              <w:rPr>
                <w:rStyle w:val="Hyperlink"/>
              </w:rPr>
              <w:t>1.3</w:t>
            </w:r>
            <w:r>
              <w:rPr>
                <w:rFonts w:eastAsiaTheme="minorEastAsia" w:cstheme="minorBidi"/>
                <w:bCs w:val="0"/>
                <w:color w:val="auto"/>
                <w:sz w:val="22"/>
                <w:szCs w:val="22"/>
                <w:lang w:eastAsia="ja-JP"/>
              </w:rPr>
              <w:tab/>
            </w:r>
            <w:r w:rsidRPr="005A1F95">
              <w:rPr>
                <w:rStyle w:val="Hyperlink"/>
              </w:rPr>
              <w:t>The base case (refer to Section 5)</w:t>
            </w:r>
            <w:r>
              <w:rPr>
                <w:webHidden/>
              </w:rPr>
              <w:tab/>
            </w:r>
            <w:r>
              <w:rPr>
                <w:webHidden/>
              </w:rPr>
              <w:fldChar w:fldCharType="begin"/>
            </w:r>
            <w:r>
              <w:rPr>
                <w:webHidden/>
              </w:rPr>
              <w:instrText xml:space="preserve"> PAGEREF _Toc45704295 \h </w:instrText>
            </w:r>
            <w:r>
              <w:rPr>
                <w:webHidden/>
              </w:rPr>
            </w:r>
            <w:r>
              <w:rPr>
                <w:webHidden/>
              </w:rPr>
              <w:fldChar w:fldCharType="separate"/>
            </w:r>
            <w:r>
              <w:rPr>
                <w:webHidden/>
              </w:rPr>
              <w:t>11</w:t>
            </w:r>
            <w:r>
              <w:rPr>
                <w:webHidden/>
              </w:rPr>
              <w:fldChar w:fldCharType="end"/>
            </w:r>
          </w:hyperlink>
        </w:p>
        <w:p w14:paraId="4920CDBC" w14:textId="5745069F" w:rsidR="00277F6E" w:rsidRDefault="00277F6E">
          <w:pPr>
            <w:pStyle w:val="TOC2"/>
            <w:rPr>
              <w:rFonts w:eastAsiaTheme="minorEastAsia" w:cstheme="minorBidi"/>
              <w:bCs w:val="0"/>
              <w:color w:val="auto"/>
              <w:sz w:val="22"/>
              <w:szCs w:val="22"/>
              <w:lang w:eastAsia="ja-JP"/>
            </w:rPr>
          </w:pPr>
          <w:hyperlink w:anchor="_Toc45704296" w:history="1">
            <w:r w:rsidRPr="005A1F95">
              <w:rPr>
                <w:rStyle w:val="Hyperlink"/>
              </w:rPr>
              <w:t>1.4</w:t>
            </w:r>
            <w:r>
              <w:rPr>
                <w:rFonts w:eastAsiaTheme="minorEastAsia" w:cstheme="minorBidi"/>
                <w:bCs w:val="0"/>
                <w:color w:val="auto"/>
                <w:sz w:val="22"/>
                <w:szCs w:val="22"/>
                <w:lang w:eastAsia="ja-JP"/>
              </w:rPr>
              <w:tab/>
            </w:r>
            <w:r w:rsidRPr="005A1F95">
              <w:rPr>
                <w:rStyle w:val="Hyperlink"/>
              </w:rPr>
              <w:t>Identification of feasible options (refer to Section 6)</w:t>
            </w:r>
            <w:r>
              <w:rPr>
                <w:webHidden/>
              </w:rPr>
              <w:tab/>
            </w:r>
            <w:r>
              <w:rPr>
                <w:webHidden/>
              </w:rPr>
              <w:fldChar w:fldCharType="begin"/>
            </w:r>
            <w:r>
              <w:rPr>
                <w:webHidden/>
              </w:rPr>
              <w:instrText xml:space="preserve"> PAGEREF _Toc45704296 \h </w:instrText>
            </w:r>
            <w:r>
              <w:rPr>
                <w:webHidden/>
              </w:rPr>
            </w:r>
            <w:r>
              <w:rPr>
                <w:webHidden/>
              </w:rPr>
              <w:fldChar w:fldCharType="separate"/>
            </w:r>
            <w:r>
              <w:rPr>
                <w:webHidden/>
              </w:rPr>
              <w:t>12</w:t>
            </w:r>
            <w:r>
              <w:rPr>
                <w:webHidden/>
              </w:rPr>
              <w:fldChar w:fldCharType="end"/>
            </w:r>
          </w:hyperlink>
        </w:p>
        <w:p w14:paraId="0A818522" w14:textId="521B8AEA" w:rsidR="00277F6E" w:rsidRDefault="00277F6E">
          <w:pPr>
            <w:pStyle w:val="TOC3"/>
            <w:rPr>
              <w:rFonts w:eastAsiaTheme="minorEastAsia" w:cstheme="minorBidi"/>
              <w:bCs w:val="0"/>
              <w:color w:val="auto"/>
              <w:sz w:val="22"/>
              <w:szCs w:val="22"/>
              <w:lang w:eastAsia="ja-JP"/>
            </w:rPr>
          </w:pPr>
          <w:hyperlink w:anchor="_Toc45704297" w:history="1">
            <w:r w:rsidRPr="005A1F95">
              <w:rPr>
                <w:rStyle w:val="Hyperlink"/>
              </w:rPr>
              <w:t>1.4.1</w:t>
            </w:r>
            <w:r>
              <w:rPr>
                <w:rFonts w:eastAsiaTheme="minorEastAsia" w:cstheme="minorBidi"/>
                <w:bCs w:val="0"/>
                <w:color w:val="auto"/>
                <w:sz w:val="22"/>
                <w:szCs w:val="22"/>
                <w:lang w:eastAsia="ja-JP"/>
              </w:rPr>
              <w:tab/>
            </w:r>
            <w:r w:rsidRPr="005A1F95">
              <w:rPr>
                <w:rStyle w:val="Hyperlink"/>
              </w:rPr>
              <w:t>Vehicle safety (refer to Section 6.1 for further discussion)</w:t>
            </w:r>
            <w:r>
              <w:rPr>
                <w:webHidden/>
              </w:rPr>
              <w:tab/>
            </w:r>
            <w:r>
              <w:rPr>
                <w:webHidden/>
              </w:rPr>
              <w:fldChar w:fldCharType="begin"/>
            </w:r>
            <w:r>
              <w:rPr>
                <w:webHidden/>
              </w:rPr>
              <w:instrText xml:space="preserve"> PAGEREF _Toc45704297 \h </w:instrText>
            </w:r>
            <w:r>
              <w:rPr>
                <w:webHidden/>
              </w:rPr>
            </w:r>
            <w:r>
              <w:rPr>
                <w:webHidden/>
              </w:rPr>
              <w:fldChar w:fldCharType="separate"/>
            </w:r>
            <w:r>
              <w:rPr>
                <w:webHidden/>
              </w:rPr>
              <w:t>12</w:t>
            </w:r>
            <w:r>
              <w:rPr>
                <w:webHidden/>
              </w:rPr>
              <w:fldChar w:fldCharType="end"/>
            </w:r>
          </w:hyperlink>
        </w:p>
        <w:p w14:paraId="25DD290B" w14:textId="2516179C" w:rsidR="00277F6E" w:rsidRDefault="00277F6E">
          <w:pPr>
            <w:pStyle w:val="TOC3"/>
            <w:rPr>
              <w:rFonts w:eastAsiaTheme="minorEastAsia" w:cstheme="minorBidi"/>
              <w:bCs w:val="0"/>
              <w:color w:val="auto"/>
              <w:sz w:val="22"/>
              <w:szCs w:val="22"/>
              <w:lang w:eastAsia="ja-JP"/>
            </w:rPr>
          </w:pPr>
          <w:hyperlink w:anchor="_Toc45704298" w:history="1">
            <w:r w:rsidRPr="005A1F95">
              <w:rPr>
                <w:rStyle w:val="Hyperlink"/>
              </w:rPr>
              <w:t>1.4.2</w:t>
            </w:r>
            <w:r>
              <w:rPr>
                <w:rFonts w:eastAsiaTheme="minorEastAsia" w:cstheme="minorBidi"/>
                <w:bCs w:val="0"/>
                <w:color w:val="auto"/>
                <w:sz w:val="22"/>
                <w:szCs w:val="22"/>
                <w:lang w:eastAsia="ja-JP"/>
              </w:rPr>
              <w:tab/>
            </w:r>
            <w:r w:rsidRPr="005A1F95">
              <w:rPr>
                <w:rStyle w:val="Hyperlink"/>
              </w:rPr>
              <w:t>Safety of bus operations (refer to Section 6.2 for further discussion)</w:t>
            </w:r>
            <w:r>
              <w:rPr>
                <w:webHidden/>
              </w:rPr>
              <w:tab/>
            </w:r>
            <w:r>
              <w:rPr>
                <w:webHidden/>
              </w:rPr>
              <w:fldChar w:fldCharType="begin"/>
            </w:r>
            <w:r>
              <w:rPr>
                <w:webHidden/>
              </w:rPr>
              <w:instrText xml:space="preserve"> PAGEREF _Toc45704298 \h </w:instrText>
            </w:r>
            <w:r>
              <w:rPr>
                <w:webHidden/>
              </w:rPr>
            </w:r>
            <w:r>
              <w:rPr>
                <w:webHidden/>
              </w:rPr>
              <w:fldChar w:fldCharType="separate"/>
            </w:r>
            <w:r>
              <w:rPr>
                <w:webHidden/>
              </w:rPr>
              <w:t>13</w:t>
            </w:r>
            <w:r>
              <w:rPr>
                <w:webHidden/>
              </w:rPr>
              <w:fldChar w:fldCharType="end"/>
            </w:r>
          </w:hyperlink>
        </w:p>
        <w:p w14:paraId="307C4D9C" w14:textId="56E79584" w:rsidR="00277F6E" w:rsidRDefault="00277F6E">
          <w:pPr>
            <w:pStyle w:val="TOC3"/>
            <w:rPr>
              <w:rFonts w:eastAsiaTheme="minorEastAsia" w:cstheme="minorBidi"/>
              <w:bCs w:val="0"/>
              <w:color w:val="auto"/>
              <w:sz w:val="22"/>
              <w:szCs w:val="22"/>
              <w:lang w:eastAsia="ja-JP"/>
            </w:rPr>
          </w:pPr>
          <w:hyperlink w:anchor="_Toc45704299" w:history="1">
            <w:r w:rsidRPr="005A1F95">
              <w:rPr>
                <w:rStyle w:val="Hyperlink"/>
              </w:rPr>
              <w:t>1.4.3</w:t>
            </w:r>
            <w:r>
              <w:rPr>
                <w:rFonts w:eastAsiaTheme="minorEastAsia" w:cstheme="minorBidi"/>
                <w:bCs w:val="0"/>
                <w:color w:val="auto"/>
                <w:sz w:val="22"/>
                <w:szCs w:val="22"/>
                <w:lang w:eastAsia="ja-JP"/>
              </w:rPr>
              <w:tab/>
            </w:r>
            <w:r w:rsidRPr="005A1F95">
              <w:rPr>
                <w:rStyle w:val="Hyperlink"/>
              </w:rPr>
              <w:t>Notifiable incidents (refer to Section 6.3 for further discussion)</w:t>
            </w:r>
            <w:r>
              <w:rPr>
                <w:webHidden/>
              </w:rPr>
              <w:tab/>
            </w:r>
            <w:r>
              <w:rPr>
                <w:webHidden/>
              </w:rPr>
              <w:fldChar w:fldCharType="begin"/>
            </w:r>
            <w:r>
              <w:rPr>
                <w:webHidden/>
              </w:rPr>
              <w:instrText xml:space="preserve"> PAGEREF _Toc45704299 \h </w:instrText>
            </w:r>
            <w:r>
              <w:rPr>
                <w:webHidden/>
              </w:rPr>
            </w:r>
            <w:r>
              <w:rPr>
                <w:webHidden/>
              </w:rPr>
              <w:fldChar w:fldCharType="separate"/>
            </w:r>
            <w:r>
              <w:rPr>
                <w:webHidden/>
              </w:rPr>
              <w:t>14</w:t>
            </w:r>
            <w:r>
              <w:rPr>
                <w:webHidden/>
              </w:rPr>
              <w:fldChar w:fldCharType="end"/>
            </w:r>
          </w:hyperlink>
        </w:p>
        <w:p w14:paraId="2BBA1F82" w14:textId="1A1E5E4D" w:rsidR="00277F6E" w:rsidRDefault="00277F6E">
          <w:pPr>
            <w:pStyle w:val="TOC3"/>
            <w:rPr>
              <w:rFonts w:eastAsiaTheme="minorEastAsia" w:cstheme="minorBidi"/>
              <w:bCs w:val="0"/>
              <w:color w:val="auto"/>
              <w:sz w:val="22"/>
              <w:szCs w:val="22"/>
              <w:lang w:eastAsia="ja-JP"/>
            </w:rPr>
          </w:pPr>
          <w:hyperlink w:anchor="_Toc45704300" w:history="1">
            <w:r w:rsidRPr="005A1F95">
              <w:rPr>
                <w:rStyle w:val="Hyperlink"/>
              </w:rPr>
              <w:t>1.4.4</w:t>
            </w:r>
            <w:r>
              <w:rPr>
                <w:rFonts w:eastAsiaTheme="minorEastAsia" w:cstheme="minorBidi"/>
                <w:bCs w:val="0"/>
                <w:color w:val="auto"/>
                <w:sz w:val="22"/>
                <w:szCs w:val="22"/>
                <w:lang w:eastAsia="ja-JP"/>
              </w:rPr>
              <w:tab/>
            </w:r>
            <w:r w:rsidRPr="005A1F95">
              <w:rPr>
                <w:rStyle w:val="Hyperlink"/>
              </w:rPr>
              <w:t>Bus incident investigation (refer to Section 6.4 for further discussion)</w:t>
            </w:r>
            <w:r>
              <w:rPr>
                <w:webHidden/>
              </w:rPr>
              <w:tab/>
            </w:r>
            <w:r>
              <w:rPr>
                <w:webHidden/>
              </w:rPr>
              <w:fldChar w:fldCharType="begin"/>
            </w:r>
            <w:r>
              <w:rPr>
                <w:webHidden/>
              </w:rPr>
              <w:instrText xml:space="preserve"> PAGEREF _Toc45704300 \h </w:instrText>
            </w:r>
            <w:r>
              <w:rPr>
                <w:webHidden/>
              </w:rPr>
            </w:r>
            <w:r>
              <w:rPr>
                <w:webHidden/>
              </w:rPr>
              <w:fldChar w:fldCharType="separate"/>
            </w:r>
            <w:r>
              <w:rPr>
                <w:webHidden/>
              </w:rPr>
              <w:t>14</w:t>
            </w:r>
            <w:r>
              <w:rPr>
                <w:webHidden/>
              </w:rPr>
              <w:fldChar w:fldCharType="end"/>
            </w:r>
          </w:hyperlink>
        </w:p>
        <w:p w14:paraId="1E577CCB" w14:textId="2482784D" w:rsidR="00277F6E" w:rsidRDefault="00277F6E">
          <w:pPr>
            <w:pStyle w:val="TOC3"/>
            <w:rPr>
              <w:rFonts w:eastAsiaTheme="minorEastAsia" w:cstheme="minorBidi"/>
              <w:bCs w:val="0"/>
              <w:color w:val="auto"/>
              <w:sz w:val="22"/>
              <w:szCs w:val="22"/>
              <w:lang w:eastAsia="ja-JP"/>
            </w:rPr>
          </w:pPr>
          <w:hyperlink w:anchor="_Toc45704301" w:history="1">
            <w:r w:rsidRPr="005A1F95">
              <w:rPr>
                <w:rStyle w:val="Hyperlink"/>
              </w:rPr>
              <w:t>1.4.5</w:t>
            </w:r>
            <w:r>
              <w:rPr>
                <w:rFonts w:eastAsiaTheme="minorEastAsia" w:cstheme="minorBidi"/>
                <w:bCs w:val="0"/>
                <w:color w:val="auto"/>
                <w:sz w:val="22"/>
                <w:szCs w:val="22"/>
                <w:lang w:eastAsia="ja-JP"/>
              </w:rPr>
              <w:tab/>
            </w:r>
            <w:r w:rsidRPr="005A1F95">
              <w:rPr>
                <w:rStyle w:val="Hyperlink"/>
              </w:rPr>
              <w:t>Requirements of accreditation and registration (refer to Section 6.5 for further discussion)</w:t>
            </w:r>
            <w:r>
              <w:rPr>
                <w:webHidden/>
              </w:rPr>
              <w:tab/>
            </w:r>
            <w:r>
              <w:rPr>
                <w:webHidden/>
              </w:rPr>
              <w:fldChar w:fldCharType="begin"/>
            </w:r>
            <w:r>
              <w:rPr>
                <w:webHidden/>
              </w:rPr>
              <w:instrText xml:space="preserve"> PAGEREF _Toc45704301 \h </w:instrText>
            </w:r>
            <w:r>
              <w:rPr>
                <w:webHidden/>
              </w:rPr>
            </w:r>
            <w:r>
              <w:rPr>
                <w:webHidden/>
              </w:rPr>
              <w:fldChar w:fldCharType="separate"/>
            </w:r>
            <w:r>
              <w:rPr>
                <w:webHidden/>
              </w:rPr>
              <w:t>14</w:t>
            </w:r>
            <w:r>
              <w:rPr>
                <w:webHidden/>
              </w:rPr>
              <w:fldChar w:fldCharType="end"/>
            </w:r>
          </w:hyperlink>
        </w:p>
        <w:p w14:paraId="1D5B44ED" w14:textId="6714DF8C" w:rsidR="00277F6E" w:rsidRDefault="00277F6E">
          <w:pPr>
            <w:pStyle w:val="TOC3"/>
            <w:rPr>
              <w:rFonts w:eastAsiaTheme="minorEastAsia" w:cstheme="minorBidi"/>
              <w:bCs w:val="0"/>
              <w:color w:val="auto"/>
              <w:sz w:val="22"/>
              <w:szCs w:val="22"/>
              <w:lang w:eastAsia="ja-JP"/>
            </w:rPr>
          </w:pPr>
          <w:hyperlink w:anchor="_Toc45704302" w:history="1">
            <w:r w:rsidRPr="005A1F95">
              <w:rPr>
                <w:rStyle w:val="Hyperlink"/>
              </w:rPr>
              <w:t>1.4.6</w:t>
            </w:r>
            <w:r>
              <w:rPr>
                <w:rFonts w:eastAsiaTheme="minorEastAsia" w:cstheme="minorBidi"/>
                <w:bCs w:val="0"/>
                <w:color w:val="auto"/>
                <w:sz w:val="22"/>
                <w:szCs w:val="22"/>
                <w:lang w:eastAsia="ja-JP"/>
              </w:rPr>
              <w:tab/>
            </w:r>
            <w:r w:rsidRPr="005A1F95">
              <w:rPr>
                <w:rStyle w:val="Hyperlink"/>
              </w:rPr>
              <w:t>Identification (refer to Section 6.6 for further discussion)</w:t>
            </w:r>
            <w:r>
              <w:rPr>
                <w:webHidden/>
              </w:rPr>
              <w:tab/>
            </w:r>
            <w:r>
              <w:rPr>
                <w:webHidden/>
              </w:rPr>
              <w:fldChar w:fldCharType="begin"/>
            </w:r>
            <w:r>
              <w:rPr>
                <w:webHidden/>
              </w:rPr>
              <w:instrText xml:space="preserve"> PAGEREF _Toc45704302 \h </w:instrText>
            </w:r>
            <w:r>
              <w:rPr>
                <w:webHidden/>
              </w:rPr>
            </w:r>
            <w:r>
              <w:rPr>
                <w:webHidden/>
              </w:rPr>
              <w:fldChar w:fldCharType="separate"/>
            </w:r>
            <w:r>
              <w:rPr>
                <w:webHidden/>
              </w:rPr>
              <w:t>15</w:t>
            </w:r>
            <w:r>
              <w:rPr>
                <w:webHidden/>
              </w:rPr>
              <w:fldChar w:fldCharType="end"/>
            </w:r>
          </w:hyperlink>
        </w:p>
        <w:p w14:paraId="516FEF05" w14:textId="2DC9C391" w:rsidR="00277F6E" w:rsidRDefault="00277F6E">
          <w:pPr>
            <w:pStyle w:val="TOC3"/>
            <w:rPr>
              <w:rFonts w:eastAsiaTheme="minorEastAsia" w:cstheme="minorBidi"/>
              <w:bCs w:val="0"/>
              <w:color w:val="auto"/>
              <w:sz w:val="22"/>
              <w:szCs w:val="22"/>
              <w:lang w:eastAsia="ja-JP"/>
            </w:rPr>
          </w:pPr>
          <w:hyperlink w:anchor="_Toc45704303" w:history="1">
            <w:r w:rsidRPr="005A1F95">
              <w:rPr>
                <w:rStyle w:val="Hyperlink"/>
              </w:rPr>
              <w:t>1.4.7</w:t>
            </w:r>
            <w:r>
              <w:rPr>
                <w:rFonts w:eastAsiaTheme="minorEastAsia" w:cstheme="minorBidi"/>
                <w:bCs w:val="0"/>
                <w:color w:val="auto"/>
                <w:sz w:val="22"/>
                <w:szCs w:val="22"/>
                <w:lang w:eastAsia="ja-JP"/>
              </w:rPr>
              <w:tab/>
            </w:r>
            <w:r w:rsidRPr="005A1F95">
              <w:rPr>
                <w:rStyle w:val="Hyperlink"/>
              </w:rPr>
              <w:t>Records (refer to Section 6.7 for further discussion)</w:t>
            </w:r>
            <w:r>
              <w:rPr>
                <w:webHidden/>
              </w:rPr>
              <w:tab/>
            </w:r>
            <w:r>
              <w:rPr>
                <w:webHidden/>
              </w:rPr>
              <w:fldChar w:fldCharType="begin"/>
            </w:r>
            <w:r>
              <w:rPr>
                <w:webHidden/>
              </w:rPr>
              <w:instrText xml:space="preserve"> PAGEREF _Toc45704303 \h </w:instrText>
            </w:r>
            <w:r>
              <w:rPr>
                <w:webHidden/>
              </w:rPr>
            </w:r>
            <w:r>
              <w:rPr>
                <w:webHidden/>
              </w:rPr>
              <w:fldChar w:fldCharType="separate"/>
            </w:r>
            <w:r>
              <w:rPr>
                <w:webHidden/>
              </w:rPr>
              <w:t>15</w:t>
            </w:r>
            <w:r>
              <w:rPr>
                <w:webHidden/>
              </w:rPr>
              <w:fldChar w:fldCharType="end"/>
            </w:r>
          </w:hyperlink>
        </w:p>
        <w:p w14:paraId="4E317220" w14:textId="09A1F4AD" w:rsidR="00277F6E" w:rsidRDefault="00277F6E">
          <w:pPr>
            <w:pStyle w:val="TOC3"/>
            <w:rPr>
              <w:rFonts w:eastAsiaTheme="minorEastAsia" w:cstheme="minorBidi"/>
              <w:bCs w:val="0"/>
              <w:color w:val="auto"/>
              <w:sz w:val="22"/>
              <w:szCs w:val="22"/>
              <w:lang w:eastAsia="ja-JP"/>
            </w:rPr>
          </w:pPr>
          <w:hyperlink w:anchor="_Toc45704304" w:history="1">
            <w:r w:rsidRPr="005A1F95">
              <w:rPr>
                <w:rStyle w:val="Hyperlink"/>
              </w:rPr>
              <w:t>1.4.8</w:t>
            </w:r>
            <w:r>
              <w:rPr>
                <w:rFonts w:eastAsiaTheme="minorEastAsia" w:cstheme="minorBidi"/>
                <w:bCs w:val="0"/>
                <w:color w:val="auto"/>
                <w:sz w:val="22"/>
                <w:szCs w:val="22"/>
                <w:lang w:eastAsia="ja-JP"/>
              </w:rPr>
              <w:tab/>
            </w:r>
            <w:r w:rsidRPr="005A1F95">
              <w:rPr>
                <w:rStyle w:val="Hyperlink"/>
              </w:rPr>
              <w:t>Exemptions (refer to Section 6.8 for further discussion)</w:t>
            </w:r>
            <w:r>
              <w:rPr>
                <w:webHidden/>
              </w:rPr>
              <w:tab/>
            </w:r>
            <w:r>
              <w:rPr>
                <w:webHidden/>
              </w:rPr>
              <w:fldChar w:fldCharType="begin"/>
            </w:r>
            <w:r>
              <w:rPr>
                <w:webHidden/>
              </w:rPr>
              <w:instrText xml:space="preserve"> PAGEREF _Toc45704304 \h </w:instrText>
            </w:r>
            <w:r>
              <w:rPr>
                <w:webHidden/>
              </w:rPr>
            </w:r>
            <w:r>
              <w:rPr>
                <w:webHidden/>
              </w:rPr>
              <w:fldChar w:fldCharType="separate"/>
            </w:r>
            <w:r>
              <w:rPr>
                <w:webHidden/>
              </w:rPr>
              <w:t>15</w:t>
            </w:r>
            <w:r>
              <w:rPr>
                <w:webHidden/>
              </w:rPr>
              <w:fldChar w:fldCharType="end"/>
            </w:r>
          </w:hyperlink>
        </w:p>
        <w:p w14:paraId="59F41143" w14:textId="55B539A9" w:rsidR="00277F6E" w:rsidRDefault="00277F6E">
          <w:pPr>
            <w:pStyle w:val="TOC3"/>
            <w:rPr>
              <w:rFonts w:eastAsiaTheme="minorEastAsia" w:cstheme="minorBidi"/>
              <w:bCs w:val="0"/>
              <w:color w:val="auto"/>
              <w:sz w:val="22"/>
              <w:szCs w:val="22"/>
              <w:lang w:eastAsia="ja-JP"/>
            </w:rPr>
          </w:pPr>
          <w:hyperlink w:anchor="_Toc45704305" w:history="1">
            <w:r w:rsidRPr="005A1F95">
              <w:rPr>
                <w:rStyle w:val="Hyperlink"/>
              </w:rPr>
              <w:t>1.4.9</w:t>
            </w:r>
            <w:r>
              <w:rPr>
                <w:rFonts w:eastAsiaTheme="minorEastAsia" w:cstheme="minorBidi"/>
                <w:bCs w:val="0"/>
                <w:color w:val="auto"/>
                <w:sz w:val="22"/>
                <w:szCs w:val="22"/>
                <w:lang w:eastAsia="ja-JP"/>
              </w:rPr>
              <w:tab/>
            </w:r>
            <w:r w:rsidRPr="005A1F95">
              <w:rPr>
                <w:rStyle w:val="Hyperlink"/>
              </w:rPr>
              <w:t>Fees (refer to Section 6.9 for further discussion)</w:t>
            </w:r>
            <w:r>
              <w:rPr>
                <w:webHidden/>
              </w:rPr>
              <w:tab/>
            </w:r>
            <w:r>
              <w:rPr>
                <w:webHidden/>
              </w:rPr>
              <w:fldChar w:fldCharType="begin"/>
            </w:r>
            <w:r>
              <w:rPr>
                <w:webHidden/>
              </w:rPr>
              <w:instrText xml:space="preserve"> PAGEREF _Toc45704305 \h </w:instrText>
            </w:r>
            <w:r>
              <w:rPr>
                <w:webHidden/>
              </w:rPr>
            </w:r>
            <w:r>
              <w:rPr>
                <w:webHidden/>
              </w:rPr>
              <w:fldChar w:fldCharType="separate"/>
            </w:r>
            <w:r>
              <w:rPr>
                <w:webHidden/>
              </w:rPr>
              <w:t>15</w:t>
            </w:r>
            <w:r>
              <w:rPr>
                <w:webHidden/>
              </w:rPr>
              <w:fldChar w:fldCharType="end"/>
            </w:r>
          </w:hyperlink>
        </w:p>
        <w:p w14:paraId="034716CD" w14:textId="064E3A20" w:rsidR="00277F6E" w:rsidRDefault="00277F6E">
          <w:pPr>
            <w:pStyle w:val="TOC2"/>
            <w:rPr>
              <w:rFonts w:eastAsiaTheme="minorEastAsia" w:cstheme="minorBidi"/>
              <w:bCs w:val="0"/>
              <w:color w:val="auto"/>
              <w:sz w:val="22"/>
              <w:szCs w:val="22"/>
              <w:lang w:eastAsia="ja-JP"/>
            </w:rPr>
          </w:pPr>
          <w:hyperlink w:anchor="_Toc45704306" w:history="1">
            <w:r w:rsidRPr="005A1F95">
              <w:rPr>
                <w:rStyle w:val="Hyperlink"/>
              </w:rPr>
              <w:t>1.5</w:t>
            </w:r>
            <w:r>
              <w:rPr>
                <w:rFonts w:eastAsiaTheme="minorEastAsia" w:cstheme="minorBidi"/>
                <w:bCs w:val="0"/>
                <w:color w:val="auto"/>
                <w:sz w:val="22"/>
                <w:szCs w:val="22"/>
                <w:lang w:eastAsia="ja-JP"/>
              </w:rPr>
              <w:tab/>
            </w:r>
            <w:r w:rsidRPr="005A1F95">
              <w:rPr>
                <w:rStyle w:val="Hyperlink"/>
              </w:rPr>
              <w:t>Impact Assessment (refer to Section 7)</w:t>
            </w:r>
            <w:r>
              <w:rPr>
                <w:webHidden/>
              </w:rPr>
              <w:tab/>
            </w:r>
            <w:r>
              <w:rPr>
                <w:webHidden/>
              </w:rPr>
              <w:fldChar w:fldCharType="begin"/>
            </w:r>
            <w:r>
              <w:rPr>
                <w:webHidden/>
              </w:rPr>
              <w:instrText xml:space="preserve"> PAGEREF _Toc45704306 \h </w:instrText>
            </w:r>
            <w:r>
              <w:rPr>
                <w:webHidden/>
              </w:rPr>
            </w:r>
            <w:r>
              <w:rPr>
                <w:webHidden/>
              </w:rPr>
              <w:fldChar w:fldCharType="separate"/>
            </w:r>
            <w:r>
              <w:rPr>
                <w:webHidden/>
              </w:rPr>
              <w:t>16</w:t>
            </w:r>
            <w:r>
              <w:rPr>
                <w:webHidden/>
              </w:rPr>
              <w:fldChar w:fldCharType="end"/>
            </w:r>
          </w:hyperlink>
        </w:p>
        <w:p w14:paraId="594279AF" w14:textId="34B14AFF" w:rsidR="00277F6E" w:rsidRDefault="00277F6E">
          <w:pPr>
            <w:pStyle w:val="TOC3"/>
            <w:rPr>
              <w:rFonts w:eastAsiaTheme="minorEastAsia" w:cstheme="minorBidi"/>
              <w:bCs w:val="0"/>
              <w:color w:val="auto"/>
              <w:sz w:val="22"/>
              <w:szCs w:val="22"/>
              <w:lang w:eastAsia="ja-JP"/>
            </w:rPr>
          </w:pPr>
          <w:hyperlink w:anchor="_Toc45704307" w:history="1">
            <w:r w:rsidRPr="005A1F95">
              <w:rPr>
                <w:rStyle w:val="Hyperlink"/>
              </w:rPr>
              <w:t>1.5.1</w:t>
            </w:r>
            <w:r>
              <w:rPr>
                <w:rFonts w:eastAsiaTheme="minorEastAsia" w:cstheme="minorBidi"/>
                <w:bCs w:val="0"/>
                <w:color w:val="auto"/>
                <w:sz w:val="22"/>
                <w:szCs w:val="22"/>
                <w:lang w:eastAsia="ja-JP"/>
              </w:rPr>
              <w:tab/>
            </w:r>
            <w:r w:rsidRPr="005A1F95">
              <w:rPr>
                <w:rStyle w:val="Hyperlink"/>
              </w:rPr>
              <w:t>Vehicle safety</w:t>
            </w:r>
            <w:r>
              <w:rPr>
                <w:webHidden/>
              </w:rPr>
              <w:tab/>
            </w:r>
            <w:r>
              <w:rPr>
                <w:webHidden/>
              </w:rPr>
              <w:fldChar w:fldCharType="begin"/>
            </w:r>
            <w:r>
              <w:rPr>
                <w:webHidden/>
              </w:rPr>
              <w:instrText xml:space="preserve"> PAGEREF _Toc45704307 \h </w:instrText>
            </w:r>
            <w:r>
              <w:rPr>
                <w:webHidden/>
              </w:rPr>
            </w:r>
            <w:r>
              <w:rPr>
                <w:webHidden/>
              </w:rPr>
              <w:fldChar w:fldCharType="separate"/>
            </w:r>
            <w:r>
              <w:rPr>
                <w:webHidden/>
              </w:rPr>
              <w:t>16</w:t>
            </w:r>
            <w:r>
              <w:rPr>
                <w:webHidden/>
              </w:rPr>
              <w:fldChar w:fldCharType="end"/>
            </w:r>
          </w:hyperlink>
        </w:p>
        <w:p w14:paraId="664305CB" w14:textId="1C1551D5" w:rsidR="00277F6E" w:rsidRDefault="00277F6E">
          <w:pPr>
            <w:pStyle w:val="TOC3"/>
            <w:rPr>
              <w:rFonts w:eastAsiaTheme="minorEastAsia" w:cstheme="minorBidi"/>
              <w:bCs w:val="0"/>
              <w:color w:val="auto"/>
              <w:sz w:val="22"/>
              <w:szCs w:val="22"/>
              <w:lang w:eastAsia="ja-JP"/>
            </w:rPr>
          </w:pPr>
          <w:hyperlink w:anchor="_Toc45704308" w:history="1">
            <w:r w:rsidRPr="005A1F95">
              <w:rPr>
                <w:rStyle w:val="Hyperlink"/>
              </w:rPr>
              <w:t>1.5.2</w:t>
            </w:r>
            <w:r>
              <w:rPr>
                <w:rFonts w:eastAsiaTheme="minorEastAsia" w:cstheme="minorBidi"/>
                <w:bCs w:val="0"/>
                <w:color w:val="auto"/>
                <w:sz w:val="22"/>
                <w:szCs w:val="22"/>
                <w:lang w:eastAsia="ja-JP"/>
              </w:rPr>
              <w:tab/>
            </w:r>
            <w:r w:rsidRPr="005A1F95">
              <w:rPr>
                <w:rStyle w:val="Hyperlink"/>
              </w:rPr>
              <w:t>Safety of bus operations</w:t>
            </w:r>
            <w:r>
              <w:rPr>
                <w:webHidden/>
              </w:rPr>
              <w:tab/>
            </w:r>
            <w:r>
              <w:rPr>
                <w:webHidden/>
              </w:rPr>
              <w:fldChar w:fldCharType="begin"/>
            </w:r>
            <w:r>
              <w:rPr>
                <w:webHidden/>
              </w:rPr>
              <w:instrText xml:space="preserve"> PAGEREF _Toc45704308 \h </w:instrText>
            </w:r>
            <w:r>
              <w:rPr>
                <w:webHidden/>
              </w:rPr>
            </w:r>
            <w:r>
              <w:rPr>
                <w:webHidden/>
              </w:rPr>
              <w:fldChar w:fldCharType="separate"/>
            </w:r>
            <w:r>
              <w:rPr>
                <w:webHidden/>
              </w:rPr>
              <w:t>17</w:t>
            </w:r>
            <w:r>
              <w:rPr>
                <w:webHidden/>
              </w:rPr>
              <w:fldChar w:fldCharType="end"/>
            </w:r>
          </w:hyperlink>
        </w:p>
        <w:p w14:paraId="344217B6" w14:textId="73414A4C" w:rsidR="00277F6E" w:rsidRDefault="00277F6E">
          <w:pPr>
            <w:pStyle w:val="TOC3"/>
            <w:rPr>
              <w:rFonts w:eastAsiaTheme="minorEastAsia" w:cstheme="minorBidi"/>
              <w:bCs w:val="0"/>
              <w:color w:val="auto"/>
              <w:sz w:val="22"/>
              <w:szCs w:val="22"/>
              <w:lang w:eastAsia="ja-JP"/>
            </w:rPr>
          </w:pPr>
          <w:hyperlink w:anchor="_Toc45704309" w:history="1">
            <w:r w:rsidRPr="005A1F95">
              <w:rPr>
                <w:rStyle w:val="Hyperlink"/>
              </w:rPr>
              <w:t>1.5.3</w:t>
            </w:r>
            <w:r>
              <w:rPr>
                <w:rFonts w:eastAsiaTheme="minorEastAsia" w:cstheme="minorBidi"/>
                <w:bCs w:val="0"/>
                <w:color w:val="auto"/>
                <w:sz w:val="22"/>
                <w:szCs w:val="22"/>
                <w:lang w:eastAsia="ja-JP"/>
              </w:rPr>
              <w:tab/>
            </w:r>
            <w:r w:rsidRPr="005A1F95">
              <w:rPr>
                <w:rStyle w:val="Hyperlink"/>
              </w:rPr>
              <w:t>Notifiable incidents (refer to Section 7.3 for further discussion)</w:t>
            </w:r>
            <w:r>
              <w:rPr>
                <w:webHidden/>
              </w:rPr>
              <w:tab/>
            </w:r>
            <w:r>
              <w:rPr>
                <w:webHidden/>
              </w:rPr>
              <w:fldChar w:fldCharType="begin"/>
            </w:r>
            <w:r>
              <w:rPr>
                <w:webHidden/>
              </w:rPr>
              <w:instrText xml:space="preserve"> PAGEREF _Toc45704309 \h </w:instrText>
            </w:r>
            <w:r>
              <w:rPr>
                <w:webHidden/>
              </w:rPr>
            </w:r>
            <w:r>
              <w:rPr>
                <w:webHidden/>
              </w:rPr>
              <w:fldChar w:fldCharType="separate"/>
            </w:r>
            <w:r>
              <w:rPr>
                <w:webHidden/>
              </w:rPr>
              <w:t>18</w:t>
            </w:r>
            <w:r>
              <w:rPr>
                <w:webHidden/>
              </w:rPr>
              <w:fldChar w:fldCharType="end"/>
            </w:r>
          </w:hyperlink>
        </w:p>
        <w:p w14:paraId="66946839" w14:textId="7C74978C" w:rsidR="00277F6E" w:rsidRDefault="00277F6E">
          <w:pPr>
            <w:pStyle w:val="TOC3"/>
            <w:rPr>
              <w:rFonts w:eastAsiaTheme="minorEastAsia" w:cstheme="minorBidi"/>
              <w:bCs w:val="0"/>
              <w:color w:val="auto"/>
              <w:sz w:val="22"/>
              <w:szCs w:val="22"/>
              <w:lang w:eastAsia="ja-JP"/>
            </w:rPr>
          </w:pPr>
          <w:hyperlink w:anchor="_Toc45704310" w:history="1">
            <w:r w:rsidRPr="005A1F95">
              <w:rPr>
                <w:rStyle w:val="Hyperlink"/>
              </w:rPr>
              <w:t>1.5.4</w:t>
            </w:r>
            <w:r>
              <w:rPr>
                <w:rFonts w:eastAsiaTheme="minorEastAsia" w:cstheme="minorBidi"/>
                <w:bCs w:val="0"/>
                <w:color w:val="auto"/>
                <w:sz w:val="22"/>
                <w:szCs w:val="22"/>
                <w:lang w:eastAsia="ja-JP"/>
              </w:rPr>
              <w:tab/>
            </w:r>
            <w:r w:rsidRPr="005A1F95">
              <w:rPr>
                <w:rStyle w:val="Hyperlink"/>
              </w:rPr>
              <w:t>Bus incident investigation (refer to Section 7.4 for further discussion)</w:t>
            </w:r>
            <w:r>
              <w:rPr>
                <w:webHidden/>
              </w:rPr>
              <w:tab/>
            </w:r>
            <w:r>
              <w:rPr>
                <w:webHidden/>
              </w:rPr>
              <w:fldChar w:fldCharType="begin"/>
            </w:r>
            <w:r>
              <w:rPr>
                <w:webHidden/>
              </w:rPr>
              <w:instrText xml:space="preserve"> PAGEREF _Toc45704310 \h </w:instrText>
            </w:r>
            <w:r>
              <w:rPr>
                <w:webHidden/>
              </w:rPr>
            </w:r>
            <w:r>
              <w:rPr>
                <w:webHidden/>
              </w:rPr>
              <w:fldChar w:fldCharType="separate"/>
            </w:r>
            <w:r>
              <w:rPr>
                <w:webHidden/>
              </w:rPr>
              <w:t>18</w:t>
            </w:r>
            <w:r>
              <w:rPr>
                <w:webHidden/>
              </w:rPr>
              <w:fldChar w:fldCharType="end"/>
            </w:r>
          </w:hyperlink>
        </w:p>
        <w:p w14:paraId="666F3B01" w14:textId="56C8A157" w:rsidR="00277F6E" w:rsidRDefault="00277F6E">
          <w:pPr>
            <w:pStyle w:val="TOC3"/>
            <w:rPr>
              <w:rFonts w:eastAsiaTheme="minorEastAsia" w:cstheme="minorBidi"/>
              <w:bCs w:val="0"/>
              <w:color w:val="auto"/>
              <w:sz w:val="22"/>
              <w:szCs w:val="22"/>
              <w:lang w:eastAsia="ja-JP"/>
            </w:rPr>
          </w:pPr>
          <w:hyperlink w:anchor="_Toc45704311" w:history="1">
            <w:r w:rsidRPr="005A1F95">
              <w:rPr>
                <w:rStyle w:val="Hyperlink"/>
              </w:rPr>
              <w:t>1.5.5</w:t>
            </w:r>
            <w:r>
              <w:rPr>
                <w:rFonts w:eastAsiaTheme="minorEastAsia" w:cstheme="minorBidi"/>
                <w:bCs w:val="0"/>
                <w:color w:val="auto"/>
                <w:sz w:val="22"/>
                <w:szCs w:val="22"/>
                <w:lang w:eastAsia="ja-JP"/>
              </w:rPr>
              <w:tab/>
            </w:r>
            <w:r w:rsidRPr="005A1F95">
              <w:rPr>
                <w:rStyle w:val="Hyperlink"/>
              </w:rPr>
              <w:t>Requirements for accreditation and registration (refer to Section 7.5 for further discussion)</w:t>
            </w:r>
            <w:r>
              <w:rPr>
                <w:webHidden/>
              </w:rPr>
              <w:tab/>
            </w:r>
            <w:r>
              <w:rPr>
                <w:webHidden/>
              </w:rPr>
              <w:fldChar w:fldCharType="begin"/>
            </w:r>
            <w:r>
              <w:rPr>
                <w:webHidden/>
              </w:rPr>
              <w:instrText xml:space="preserve"> PAGEREF _Toc45704311 \h </w:instrText>
            </w:r>
            <w:r>
              <w:rPr>
                <w:webHidden/>
              </w:rPr>
            </w:r>
            <w:r>
              <w:rPr>
                <w:webHidden/>
              </w:rPr>
              <w:fldChar w:fldCharType="separate"/>
            </w:r>
            <w:r>
              <w:rPr>
                <w:webHidden/>
              </w:rPr>
              <w:t>18</w:t>
            </w:r>
            <w:r>
              <w:rPr>
                <w:webHidden/>
              </w:rPr>
              <w:fldChar w:fldCharType="end"/>
            </w:r>
          </w:hyperlink>
        </w:p>
        <w:p w14:paraId="54378F92" w14:textId="623E8110" w:rsidR="00277F6E" w:rsidRDefault="00277F6E">
          <w:pPr>
            <w:pStyle w:val="TOC3"/>
            <w:rPr>
              <w:rFonts w:eastAsiaTheme="minorEastAsia" w:cstheme="minorBidi"/>
              <w:bCs w:val="0"/>
              <w:color w:val="auto"/>
              <w:sz w:val="22"/>
              <w:szCs w:val="22"/>
              <w:lang w:eastAsia="ja-JP"/>
            </w:rPr>
          </w:pPr>
          <w:hyperlink w:anchor="_Toc45704312" w:history="1">
            <w:r w:rsidRPr="005A1F95">
              <w:rPr>
                <w:rStyle w:val="Hyperlink"/>
              </w:rPr>
              <w:t>1.5.6</w:t>
            </w:r>
            <w:r>
              <w:rPr>
                <w:rFonts w:eastAsiaTheme="minorEastAsia" w:cstheme="minorBidi"/>
                <w:bCs w:val="0"/>
                <w:color w:val="auto"/>
                <w:sz w:val="22"/>
                <w:szCs w:val="22"/>
                <w:lang w:eastAsia="ja-JP"/>
              </w:rPr>
              <w:tab/>
            </w:r>
            <w:r w:rsidRPr="005A1F95">
              <w:rPr>
                <w:rStyle w:val="Hyperlink"/>
              </w:rPr>
              <w:t>Identification (refer to Section 7.6 for further discussion)</w:t>
            </w:r>
            <w:r>
              <w:rPr>
                <w:webHidden/>
              </w:rPr>
              <w:tab/>
            </w:r>
            <w:r>
              <w:rPr>
                <w:webHidden/>
              </w:rPr>
              <w:fldChar w:fldCharType="begin"/>
            </w:r>
            <w:r>
              <w:rPr>
                <w:webHidden/>
              </w:rPr>
              <w:instrText xml:space="preserve"> PAGEREF _Toc45704312 \h </w:instrText>
            </w:r>
            <w:r>
              <w:rPr>
                <w:webHidden/>
              </w:rPr>
            </w:r>
            <w:r>
              <w:rPr>
                <w:webHidden/>
              </w:rPr>
              <w:fldChar w:fldCharType="separate"/>
            </w:r>
            <w:r>
              <w:rPr>
                <w:webHidden/>
              </w:rPr>
              <w:t>18</w:t>
            </w:r>
            <w:r>
              <w:rPr>
                <w:webHidden/>
              </w:rPr>
              <w:fldChar w:fldCharType="end"/>
            </w:r>
          </w:hyperlink>
        </w:p>
        <w:p w14:paraId="728BB7B1" w14:textId="0D186765" w:rsidR="00277F6E" w:rsidRDefault="00277F6E">
          <w:pPr>
            <w:pStyle w:val="TOC3"/>
            <w:rPr>
              <w:rFonts w:eastAsiaTheme="minorEastAsia" w:cstheme="minorBidi"/>
              <w:bCs w:val="0"/>
              <w:color w:val="auto"/>
              <w:sz w:val="22"/>
              <w:szCs w:val="22"/>
              <w:lang w:eastAsia="ja-JP"/>
            </w:rPr>
          </w:pPr>
          <w:hyperlink w:anchor="_Toc45704313" w:history="1">
            <w:r w:rsidRPr="005A1F95">
              <w:rPr>
                <w:rStyle w:val="Hyperlink"/>
              </w:rPr>
              <w:t>1.5.7</w:t>
            </w:r>
            <w:r>
              <w:rPr>
                <w:rFonts w:eastAsiaTheme="minorEastAsia" w:cstheme="minorBidi"/>
                <w:bCs w:val="0"/>
                <w:color w:val="auto"/>
                <w:sz w:val="22"/>
                <w:szCs w:val="22"/>
                <w:lang w:eastAsia="ja-JP"/>
              </w:rPr>
              <w:tab/>
            </w:r>
            <w:r w:rsidRPr="005A1F95">
              <w:rPr>
                <w:rStyle w:val="Hyperlink"/>
              </w:rPr>
              <w:t>Records (refer to Section 7.7 for further discussion)</w:t>
            </w:r>
            <w:r>
              <w:rPr>
                <w:webHidden/>
              </w:rPr>
              <w:tab/>
            </w:r>
            <w:r>
              <w:rPr>
                <w:webHidden/>
              </w:rPr>
              <w:fldChar w:fldCharType="begin"/>
            </w:r>
            <w:r>
              <w:rPr>
                <w:webHidden/>
              </w:rPr>
              <w:instrText xml:space="preserve"> PAGEREF _Toc45704313 \h </w:instrText>
            </w:r>
            <w:r>
              <w:rPr>
                <w:webHidden/>
              </w:rPr>
            </w:r>
            <w:r>
              <w:rPr>
                <w:webHidden/>
              </w:rPr>
              <w:fldChar w:fldCharType="separate"/>
            </w:r>
            <w:r>
              <w:rPr>
                <w:webHidden/>
              </w:rPr>
              <w:t>18</w:t>
            </w:r>
            <w:r>
              <w:rPr>
                <w:webHidden/>
              </w:rPr>
              <w:fldChar w:fldCharType="end"/>
            </w:r>
          </w:hyperlink>
        </w:p>
        <w:p w14:paraId="7512F177" w14:textId="63C37A36" w:rsidR="00277F6E" w:rsidRDefault="00277F6E">
          <w:pPr>
            <w:pStyle w:val="TOC3"/>
            <w:rPr>
              <w:rFonts w:eastAsiaTheme="minorEastAsia" w:cstheme="minorBidi"/>
              <w:bCs w:val="0"/>
              <w:color w:val="auto"/>
              <w:sz w:val="22"/>
              <w:szCs w:val="22"/>
              <w:lang w:eastAsia="ja-JP"/>
            </w:rPr>
          </w:pPr>
          <w:hyperlink w:anchor="_Toc45704314" w:history="1">
            <w:r w:rsidRPr="005A1F95">
              <w:rPr>
                <w:rStyle w:val="Hyperlink"/>
              </w:rPr>
              <w:t>1.5.8</w:t>
            </w:r>
            <w:r>
              <w:rPr>
                <w:rFonts w:eastAsiaTheme="minorEastAsia" w:cstheme="minorBidi"/>
                <w:bCs w:val="0"/>
                <w:color w:val="auto"/>
                <w:sz w:val="22"/>
                <w:szCs w:val="22"/>
                <w:lang w:eastAsia="ja-JP"/>
              </w:rPr>
              <w:tab/>
            </w:r>
            <w:r w:rsidRPr="005A1F95">
              <w:rPr>
                <w:rStyle w:val="Hyperlink"/>
              </w:rPr>
              <w:t>Exemptions (refer to Section 7.8 for further discussion)</w:t>
            </w:r>
            <w:r>
              <w:rPr>
                <w:webHidden/>
              </w:rPr>
              <w:tab/>
            </w:r>
            <w:r>
              <w:rPr>
                <w:webHidden/>
              </w:rPr>
              <w:fldChar w:fldCharType="begin"/>
            </w:r>
            <w:r>
              <w:rPr>
                <w:webHidden/>
              </w:rPr>
              <w:instrText xml:space="preserve"> PAGEREF _Toc45704314 \h </w:instrText>
            </w:r>
            <w:r>
              <w:rPr>
                <w:webHidden/>
              </w:rPr>
            </w:r>
            <w:r>
              <w:rPr>
                <w:webHidden/>
              </w:rPr>
              <w:fldChar w:fldCharType="separate"/>
            </w:r>
            <w:r>
              <w:rPr>
                <w:webHidden/>
              </w:rPr>
              <w:t>19</w:t>
            </w:r>
            <w:r>
              <w:rPr>
                <w:webHidden/>
              </w:rPr>
              <w:fldChar w:fldCharType="end"/>
            </w:r>
          </w:hyperlink>
        </w:p>
        <w:p w14:paraId="72C65F48" w14:textId="4A74DF24" w:rsidR="00277F6E" w:rsidRDefault="00277F6E">
          <w:pPr>
            <w:pStyle w:val="TOC3"/>
            <w:rPr>
              <w:rFonts w:eastAsiaTheme="minorEastAsia" w:cstheme="minorBidi"/>
              <w:bCs w:val="0"/>
              <w:color w:val="auto"/>
              <w:sz w:val="22"/>
              <w:szCs w:val="22"/>
              <w:lang w:eastAsia="ja-JP"/>
            </w:rPr>
          </w:pPr>
          <w:hyperlink w:anchor="_Toc45704315" w:history="1">
            <w:r w:rsidRPr="005A1F95">
              <w:rPr>
                <w:rStyle w:val="Hyperlink"/>
              </w:rPr>
              <w:t>1.5.9</w:t>
            </w:r>
            <w:r>
              <w:rPr>
                <w:rFonts w:eastAsiaTheme="minorEastAsia" w:cstheme="minorBidi"/>
                <w:bCs w:val="0"/>
                <w:color w:val="auto"/>
                <w:sz w:val="22"/>
                <w:szCs w:val="22"/>
                <w:lang w:eastAsia="ja-JP"/>
              </w:rPr>
              <w:tab/>
            </w:r>
            <w:r w:rsidRPr="005A1F95">
              <w:rPr>
                <w:rStyle w:val="Hyperlink"/>
              </w:rPr>
              <w:t>Fees (refer to Section 7.9 for further discussion)</w:t>
            </w:r>
            <w:r>
              <w:rPr>
                <w:webHidden/>
              </w:rPr>
              <w:tab/>
            </w:r>
            <w:r>
              <w:rPr>
                <w:webHidden/>
              </w:rPr>
              <w:fldChar w:fldCharType="begin"/>
            </w:r>
            <w:r>
              <w:rPr>
                <w:webHidden/>
              </w:rPr>
              <w:instrText xml:space="preserve"> PAGEREF _Toc45704315 \h </w:instrText>
            </w:r>
            <w:r>
              <w:rPr>
                <w:webHidden/>
              </w:rPr>
            </w:r>
            <w:r>
              <w:rPr>
                <w:webHidden/>
              </w:rPr>
              <w:fldChar w:fldCharType="separate"/>
            </w:r>
            <w:r>
              <w:rPr>
                <w:webHidden/>
              </w:rPr>
              <w:t>19</w:t>
            </w:r>
            <w:r>
              <w:rPr>
                <w:webHidden/>
              </w:rPr>
              <w:fldChar w:fldCharType="end"/>
            </w:r>
          </w:hyperlink>
        </w:p>
        <w:p w14:paraId="3F425381" w14:textId="4B3A1F87" w:rsidR="00277F6E" w:rsidRDefault="00277F6E">
          <w:pPr>
            <w:pStyle w:val="TOC2"/>
            <w:rPr>
              <w:rFonts w:eastAsiaTheme="minorEastAsia" w:cstheme="minorBidi"/>
              <w:bCs w:val="0"/>
              <w:color w:val="auto"/>
              <w:sz w:val="22"/>
              <w:szCs w:val="22"/>
              <w:lang w:eastAsia="ja-JP"/>
            </w:rPr>
          </w:pPr>
          <w:hyperlink w:anchor="_Toc45704316" w:history="1">
            <w:r w:rsidRPr="005A1F95">
              <w:rPr>
                <w:rStyle w:val="Hyperlink"/>
              </w:rPr>
              <w:t>1.6</w:t>
            </w:r>
            <w:r>
              <w:rPr>
                <w:rFonts w:eastAsiaTheme="minorEastAsia" w:cstheme="minorBidi"/>
                <w:bCs w:val="0"/>
                <w:color w:val="auto"/>
                <w:sz w:val="22"/>
                <w:szCs w:val="22"/>
                <w:lang w:eastAsia="ja-JP"/>
              </w:rPr>
              <w:tab/>
            </w:r>
            <w:r w:rsidRPr="005A1F95">
              <w:rPr>
                <w:rStyle w:val="Hyperlink"/>
              </w:rPr>
              <w:t>Preferred option (refer to Section 8)</w:t>
            </w:r>
            <w:r>
              <w:rPr>
                <w:webHidden/>
              </w:rPr>
              <w:tab/>
            </w:r>
            <w:r>
              <w:rPr>
                <w:webHidden/>
              </w:rPr>
              <w:fldChar w:fldCharType="begin"/>
            </w:r>
            <w:r>
              <w:rPr>
                <w:webHidden/>
              </w:rPr>
              <w:instrText xml:space="preserve"> PAGEREF _Toc45704316 \h </w:instrText>
            </w:r>
            <w:r>
              <w:rPr>
                <w:webHidden/>
              </w:rPr>
            </w:r>
            <w:r>
              <w:rPr>
                <w:webHidden/>
              </w:rPr>
              <w:fldChar w:fldCharType="separate"/>
            </w:r>
            <w:r>
              <w:rPr>
                <w:webHidden/>
              </w:rPr>
              <w:t>19</w:t>
            </w:r>
            <w:r>
              <w:rPr>
                <w:webHidden/>
              </w:rPr>
              <w:fldChar w:fldCharType="end"/>
            </w:r>
          </w:hyperlink>
        </w:p>
        <w:p w14:paraId="6E8A4990" w14:textId="7E19B703" w:rsidR="00277F6E" w:rsidRDefault="00277F6E">
          <w:pPr>
            <w:pStyle w:val="TOC3"/>
            <w:rPr>
              <w:rFonts w:eastAsiaTheme="minorEastAsia" w:cstheme="minorBidi"/>
              <w:bCs w:val="0"/>
              <w:color w:val="auto"/>
              <w:sz w:val="22"/>
              <w:szCs w:val="22"/>
              <w:lang w:eastAsia="ja-JP"/>
            </w:rPr>
          </w:pPr>
          <w:hyperlink w:anchor="_Toc45704317" w:history="1">
            <w:r w:rsidRPr="005A1F95">
              <w:rPr>
                <w:rStyle w:val="Hyperlink"/>
              </w:rPr>
              <w:t>Bus safety duties</w:t>
            </w:r>
            <w:r>
              <w:rPr>
                <w:webHidden/>
              </w:rPr>
              <w:tab/>
            </w:r>
            <w:r>
              <w:rPr>
                <w:webHidden/>
              </w:rPr>
              <w:fldChar w:fldCharType="begin"/>
            </w:r>
            <w:r>
              <w:rPr>
                <w:webHidden/>
              </w:rPr>
              <w:instrText xml:space="preserve"> PAGEREF _Toc45704317 \h </w:instrText>
            </w:r>
            <w:r>
              <w:rPr>
                <w:webHidden/>
              </w:rPr>
            </w:r>
            <w:r>
              <w:rPr>
                <w:webHidden/>
              </w:rPr>
              <w:fldChar w:fldCharType="separate"/>
            </w:r>
            <w:r>
              <w:rPr>
                <w:webHidden/>
              </w:rPr>
              <w:t>19</w:t>
            </w:r>
            <w:r>
              <w:rPr>
                <w:webHidden/>
              </w:rPr>
              <w:fldChar w:fldCharType="end"/>
            </w:r>
          </w:hyperlink>
        </w:p>
        <w:p w14:paraId="4A350103" w14:textId="79032C5E" w:rsidR="00277F6E" w:rsidRDefault="00277F6E">
          <w:pPr>
            <w:pStyle w:val="TOC3"/>
            <w:rPr>
              <w:rFonts w:eastAsiaTheme="minorEastAsia" w:cstheme="minorBidi"/>
              <w:bCs w:val="0"/>
              <w:color w:val="auto"/>
              <w:sz w:val="22"/>
              <w:szCs w:val="22"/>
              <w:lang w:eastAsia="ja-JP"/>
            </w:rPr>
          </w:pPr>
          <w:hyperlink w:anchor="_Toc45704318" w:history="1">
            <w:r w:rsidRPr="005A1F95">
              <w:rPr>
                <w:rStyle w:val="Hyperlink"/>
              </w:rPr>
              <w:t>Record keeping for bus operators</w:t>
            </w:r>
            <w:r>
              <w:rPr>
                <w:webHidden/>
              </w:rPr>
              <w:tab/>
            </w:r>
            <w:r>
              <w:rPr>
                <w:webHidden/>
              </w:rPr>
              <w:fldChar w:fldCharType="begin"/>
            </w:r>
            <w:r>
              <w:rPr>
                <w:webHidden/>
              </w:rPr>
              <w:instrText xml:space="preserve"> PAGEREF _Toc45704318 \h </w:instrText>
            </w:r>
            <w:r>
              <w:rPr>
                <w:webHidden/>
              </w:rPr>
            </w:r>
            <w:r>
              <w:rPr>
                <w:webHidden/>
              </w:rPr>
              <w:fldChar w:fldCharType="separate"/>
            </w:r>
            <w:r>
              <w:rPr>
                <w:webHidden/>
              </w:rPr>
              <w:t>19</w:t>
            </w:r>
            <w:r>
              <w:rPr>
                <w:webHidden/>
              </w:rPr>
              <w:fldChar w:fldCharType="end"/>
            </w:r>
          </w:hyperlink>
        </w:p>
        <w:p w14:paraId="6E74B8E9" w14:textId="5F7BE068" w:rsidR="00277F6E" w:rsidRDefault="00277F6E">
          <w:pPr>
            <w:pStyle w:val="TOC3"/>
            <w:rPr>
              <w:rFonts w:eastAsiaTheme="minorEastAsia" w:cstheme="minorBidi"/>
              <w:bCs w:val="0"/>
              <w:color w:val="auto"/>
              <w:sz w:val="22"/>
              <w:szCs w:val="22"/>
              <w:lang w:eastAsia="ja-JP"/>
            </w:rPr>
          </w:pPr>
          <w:hyperlink w:anchor="_Toc45704319" w:history="1">
            <w:r w:rsidRPr="005A1F95">
              <w:rPr>
                <w:rStyle w:val="Hyperlink"/>
              </w:rPr>
              <w:t>Bus inspections</w:t>
            </w:r>
            <w:r>
              <w:rPr>
                <w:webHidden/>
              </w:rPr>
              <w:tab/>
            </w:r>
            <w:r>
              <w:rPr>
                <w:webHidden/>
              </w:rPr>
              <w:fldChar w:fldCharType="begin"/>
            </w:r>
            <w:r>
              <w:rPr>
                <w:webHidden/>
              </w:rPr>
              <w:instrText xml:space="preserve"> PAGEREF _Toc45704319 \h </w:instrText>
            </w:r>
            <w:r>
              <w:rPr>
                <w:webHidden/>
              </w:rPr>
            </w:r>
            <w:r>
              <w:rPr>
                <w:webHidden/>
              </w:rPr>
              <w:fldChar w:fldCharType="separate"/>
            </w:r>
            <w:r>
              <w:rPr>
                <w:webHidden/>
              </w:rPr>
              <w:t>19</w:t>
            </w:r>
            <w:r>
              <w:rPr>
                <w:webHidden/>
              </w:rPr>
              <w:fldChar w:fldCharType="end"/>
            </w:r>
          </w:hyperlink>
        </w:p>
        <w:p w14:paraId="0EE6C745" w14:textId="438F2F32" w:rsidR="00277F6E" w:rsidRDefault="00277F6E">
          <w:pPr>
            <w:pStyle w:val="TOC3"/>
            <w:rPr>
              <w:rFonts w:eastAsiaTheme="minorEastAsia" w:cstheme="minorBidi"/>
              <w:bCs w:val="0"/>
              <w:color w:val="auto"/>
              <w:sz w:val="22"/>
              <w:szCs w:val="22"/>
              <w:lang w:eastAsia="ja-JP"/>
            </w:rPr>
          </w:pPr>
          <w:hyperlink w:anchor="_Toc45704320" w:history="1">
            <w:r w:rsidRPr="005A1F95">
              <w:rPr>
                <w:rStyle w:val="Hyperlink"/>
              </w:rPr>
              <w:t>Reporting and investigation of bus incidents</w:t>
            </w:r>
            <w:r>
              <w:rPr>
                <w:webHidden/>
              </w:rPr>
              <w:tab/>
            </w:r>
            <w:r>
              <w:rPr>
                <w:webHidden/>
              </w:rPr>
              <w:fldChar w:fldCharType="begin"/>
            </w:r>
            <w:r>
              <w:rPr>
                <w:webHidden/>
              </w:rPr>
              <w:instrText xml:space="preserve"> PAGEREF _Toc45704320 \h </w:instrText>
            </w:r>
            <w:r>
              <w:rPr>
                <w:webHidden/>
              </w:rPr>
            </w:r>
            <w:r>
              <w:rPr>
                <w:webHidden/>
              </w:rPr>
              <w:fldChar w:fldCharType="separate"/>
            </w:r>
            <w:r>
              <w:rPr>
                <w:webHidden/>
              </w:rPr>
              <w:t>20</w:t>
            </w:r>
            <w:r>
              <w:rPr>
                <w:webHidden/>
              </w:rPr>
              <w:fldChar w:fldCharType="end"/>
            </w:r>
          </w:hyperlink>
        </w:p>
        <w:p w14:paraId="46776906" w14:textId="530E8EE7" w:rsidR="00277F6E" w:rsidRDefault="00277F6E">
          <w:pPr>
            <w:pStyle w:val="TOC2"/>
            <w:rPr>
              <w:rFonts w:eastAsiaTheme="minorEastAsia" w:cstheme="minorBidi"/>
              <w:bCs w:val="0"/>
              <w:color w:val="auto"/>
              <w:sz w:val="22"/>
              <w:szCs w:val="22"/>
              <w:lang w:eastAsia="ja-JP"/>
            </w:rPr>
          </w:pPr>
          <w:hyperlink w:anchor="_Toc45704321" w:history="1">
            <w:r w:rsidRPr="005A1F95">
              <w:rPr>
                <w:rStyle w:val="Hyperlink"/>
              </w:rPr>
              <w:t>1.7</w:t>
            </w:r>
            <w:r>
              <w:rPr>
                <w:rFonts w:eastAsiaTheme="minorEastAsia" w:cstheme="minorBidi"/>
                <w:bCs w:val="0"/>
                <w:color w:val="auto"/>
                <w:sz w:val="22"/>
                <w:szCs w:val="22"/>
                <w:lang w:eastAsia="ja-JP"/>
              </w:rPr>
              <w:tab/>
            </w:r>
            <w:r w:rsidRPr="005A1F95">
              <w:rPr>
                <w:rStyle w:val="Hyperlink"/>
              </w:rPr>
              <w:t>Implementation, Evaluation and Consultation (refer to Sections 9, 10 and 11)</w:t>
            </w:r>
            <w:r>
              <w:rPr>
                <w:webHidden/>
              </w:rPr>
              <w:tab/>
            </w:r>
            <w:r>
              <w:rPr>
                <w:webHidden/>
              </w:rPr>
              <w:fldChar w:fldCharType="begin"/>
            </w:r>
            <w:r>
              <w:rPr>
                <w:webHidden/>
              </w:rPr>
              <w:instrText xml:space="preserve"> PAGEREF _Toc45704321 \h </w:instrText>
            </w:r>
            <w:r>
              <w:rPr>
                <w:webHidden/>
              </w:rPr>
            </w:r>
            <w:r>
              <w:rPr>
                <w:webHidden/>
              </w:rPr>
              <w:fldChar w:fldCharType="separate"/>
            </w:r>
            <w:r>
              <w:rPr>
                <w:webHidden/>
              </w:rPr>
              <w:t>20</w:t>
            </w:r>
            <w:r>
              <w:rPr>
                <w:webHidden/>
              </w:rPr>
              <w:fldChar w:fldCharType="end"/>
            </w:r>
          </w:hyperlink>
        </w:p>
        <w:p w14:paraId="6E04E58A" w14:textId="37A73F91" w:rsidR="00277F6E" w:rsidRDefault="00277F6E">
          <w:pPr>
            <w:pStyle w:val="TOC1"/>
            <w:rPr>
              <w:rFonts w:asciiTheme="minorHAnsi" w:eastAsiaTheme="minorEastAsia" w:hAnsiTheme="minorHAnsi" w:cstheme="minorBidi"/>
              <w:b w:val="0"/>
              <w:bCs w:val="0"/>
              <w:color w:val="auto"/>
              <w:sz w:val="22"/>
              <w:szCs w:val="22"/>
              <w:lang w:eastAsia="ja-JP"/>
            </w:rPr>
          </w:pPr>
          <w:hyperlink w:anchor="_Toc45704322" w:history="1">
            <w:r w:rsidRPr="005A1F95">
              <w:rPr>
                <w:rStyle w:val="Hyperlink"/>
              </w:rPr>
              <w:t>2</w:t>
            </w:r>
            <w:r>
              <w:rPr>
                <w:rFonts w:asciiTheme="minorHAnsi" w:eastAsiaTheme="minorEastAsia" w:hAnsiTheme="minorHAnsi" w:cstheme="minorBidi"/>
                <w:b w:val="0"/>
                <w:bCs w:val="0"/>
                <w:color w:val="auto"/>
                <w:sz w:val="22"/>
                <w:szCs w:val="22"/>
                <w:lang w:eastAsia="ja-JP"/>
              </w:rPr>
              <w:tab/>
            </w:r>
            <w:r w:rsidRPr="005A1F95">
              <w:rPr>
                <w:rStyle w:val="Hyperlink"/>
              </w:rPr>
              <w:t>Background</w:t>
            </w:r>
            <w:r>
              <w:rPr>
                <w:webHidden/>
              </w:rPr>
              <w:tab/>
            </w:r>
            <w:r>
              <w:rPr>
                <w:webHidden/>
              </w:rPr>
              <w:fldChar w:fldCharType="begin"/>
            </w:r>
            <w:r>
              <w:rPr>
                <w:webHidden/>
              </w:rPr>
              <w:instrText xml:space="preserve"> PAGEREF _Toc45704322 \h </w:instrText>
            </w:r>
            <w:r>
              <w:rPr>
                <w:webHidden/>
              </w:rPr>
            </w:r>
            <w:r>
              <w:rPr>
                <w:webHidden/>
              </w:rPr>
              <w:fldChar w:fldCharType="separate"/>
            </w:r>
            <w:r>
              <w:rPr>
                <w:webHidden/>
              </w:rPr>
              <w:t>22</w:t>
            </w:r>
            <w:r>
              <w:rPr>
                <w:webHidden/>
              </w:rPr>
              <w:fldChar w:fldCharType="end"/>
            </w:r>
          </w:hyperlink>
        </w:p>
        <w:p w14:paraId="4CE6E195" w14:textId="26AA2D56" w:rsidR="00277F6E" w:rsidRDefault="00277F6E">
          <w:pPr>
            <w:pStyle w:val="TOC2"/>
            <w:rPr>
              <w:rFonts w:eastAsiaTheme="minorEastAsia" w:cstheme="minorBidi"/>
              <w:bCs w:val="0"/>
              <w:color w:val="auto"/>
              <w:sz w:val="22"/>
              <w:szCs w:val="22"/>
              <w:lang w:eastAsia="ja-JP"/>
            </w:rPr>
          </w:pPr>
          <w:hyperlink w:anchor="_Toc45704323" w:history="1">
            <w:r w:rsidRPr="005A1F95">
              <w:rPr>
                <w:rStyle w:val="Hyperlink"/>
              </w:rPr>
              <w:t>2.1</w:t>
            </w:r>
            <w:r>
              <w:rPr>
                <w:rFonts w:eastAsiaTheme="minorEastAsia" w:cstheme="minorBidi"/>
                <w:bCs w:val="0"/>
                <w:color w:val="auto"/>
                <w:sz w:val="22"/>
                <w:szCs w:val="22"/>
                <w:lang w:eastAsia="ja-JP"/>
              </w:rPr>
              <w:tab/>
            </w:r>
            <w:r w:rsidRPr="005A1F95">
              <w:rPr>
                <w:rStyle w:val="Hyperlink"/>
              </w:rPr>
              <w:t>Introduction</w:t>
            </w:r>
            <w:r>
              <w:rPr>
                <w:webHidden/>
              </w:rPr>
              <w:tab/>
            </w:r>
            <w:r>
              <w:rPr>
                <w:webHidden/>
              </w:rPr>
              <w:fldChar w:fldCharType="begin"/>
            </w:r>
            <w:r>
              <w:rPr>
                <w:webHidden/>
              </w:rPr>
              <w:instrText xml:space="preserve"> PAGEREF _Toc45704323 \h </w:instrText>
            </w:r>
            <w:r>
              <w:rPr>
                <w:webHidden/>
              </w:rPr>
            </w:r>
            <w:r>
              <w:rPr>
                <w:webHidden/>
              </w:rPr>
              <w:fldChar w:fldCharType="separate"/>
            </w:r>
            <w:r>
              <w:rPr>
                <w:webHidden/>
              </w:rPr>
              <w:t>22</w:t>
            </w:r>
            <w:r>
              <w:rPr>
                <w:webHidden/>
              </w:rPr>
              <w:fldChar w:fldCharType="end"/>
            </w:r>
          </w:hyperlink>
        </w:p>
        <w:p w14:paraId="5068F41C" w14:textId="2B7EF3BD" w:rsidR="00277F6E" w:rsidRDefault="00277F6E">
          <w:pPr>
            <w:pStyle w:val="TOC3"/>
            <w:rPr>
              <w:rFonts w:eastAsiaTheme="minorEastAsia" w:cstheme="minorBidi"/>
              <w:bCs w:val="0"/>
              <w:color w:val="auto"/>
              <w:sz w:val="22"/>
              <w:szCs w:val="22"/>
              <w:lang w:eastAsia="ja-JP"/>
            </w:rPr>
          </w:pPr>
          <w:hyperlink w:anchor="_Toc45704324" w:history="1">
            <w:r w:rsidRPr="005A1F95">
              <w:rPr>
                <w:rStyle w:val="Hyperlink"/>
              </w:rPr>
              <w:t>2.1.1</w:t>
            </w:r>
            <w:r>
              <w:rPr>
                <w:rFonts w:eastAsiaTheme="minorEastAsia" w:cstheme="minorBidi"/>
                <w:bCs w:val="0"/>
                <w:color w:val="auto"/>
                <w:sz w:val="22"/>
                <w:szCs w:val="22"/>
                <w:lang w:eastAsia="ja-JP"/>
              </w:rPr>
              <w:tab/>
            </w:r>
            <w:r w:rsidRPr="005A1F95">
              <w:rPr>
                <w:rStyle w:val="Hyperlink"/>
              </w:rPr>
              <w:t>Bus safety regulations</w:t>
            </w:r>
            <w:r>
              <w:rPr>
                <w:webHidden/>
              </w:rPr>
              <w:tab/>
            </w:r>
            <w:r>
              <w:rPr>
                <w:webHidden/>
              </w:rPr>
              <w:fldChar w:fldCharType="begin"/>
            </w:r>
            <w:r>
              <w:rPr>
                <w:webHidden/>
              </w:rPr>
              <w:instrText xml:space="preserve"> PAGEREF _Toc45704324 \h </w:instrText>
            </w:r>
            <w:r>
              <w:rPr>
                <w:webHidden/>
              </w:rPr>
            </w:r>
            <w:r>
              <w:rPr>
                <w:webHidden/>
              </w:rPr>
              <w:fldChar w:fldCharType="separate"/>
            </w:r>
            <w:r>
              <w:rPr>
                <w:webHidden/>
              </w:rPr>
              <w:t>22</w:t>
            </w:r>
            <w:r>
              <w:rPr>
                <w:webHidden/>
              </w:rPr>
              <w:fldChar w:fldCharType="end"/>
            </w:r>
          </w:hyperlink>
        </w:p>
        <w:p w14:paraId="6569ADFC" w14:textId="584F5DC4" w:rsidR="00277F6E" w:rsidRDefault="00277F6E">
          <w:pPr>
            <w:pStyle w:val="TOC2"/>
            <w:rPr>
              <w:rFonts w:eastAsiaTheme="minorEastAsia" w:cstheme="minorBidi"/>
              <w:bCs w:val="0"/>
              <w:color w:val="auto"/>
              <w:sz w:val="22"/>
              <w:szCs w:val="22"/>
              <w:lang w:eastAsia="ja-JP"/>
            </w:rPr>
          </w:pPr>
          <w:hyperlink w:anchor="_Toc45704325" w:history="1">
            <w:r w:rsidRPr="005A1F95">
              <w:rPr>
                <w:rStyle w:val="Hyperlink"/>
              </w:rPr>
              <w:t>2.2</w:t>
            </w:r>
            <w:r>
              <w:rPr>
                <w:rFonts w:eastAsiaTheme="minorEastAsia" w:cstheme="minorBidi"/>
                <w:bCs w:val="0"/>
                <w:color w:val="auto"/>
                <w:sz w:val="22"/>
                <w:szCs w:val="22"/>
                <w:lang w:eastAsia="ja-JP"/>
              </w:rPr>
              <w:tab/>
            </w:r>
            <w:r w:rsidRPr="005A1F95">
              <w:rPr>
                <w:rStyle w:val="Hyperlink"/>
              </w:rPr>
              <w:t>Industry profile</w:t>
            </w:r>
            <w:r>
              <w:rPr>
                <w:webHidden/>
              </w:rPr>
              <w:tab/>
            </w:r>
            <w:r>
              <w:rPr>
                <w:webHidden/>
              </w:rPr>
              <w:fldChar w:fldCharType="begin"/>
            </w:r>
            <w:r>
              <w:rPr>
                <w:webHidden/>
              </w:rPr>
              <w:instrText xml:space="preserve"> PAGEREF _Toc45704325 \h </w:instrText>
            </w:r>
            <w:r>
              <w:rPr>
                <w:webHidden/>
              </w:rPr>
            </w:r>
            <w:r>
              <w:rPr>
                <w:webHidden/>
              </w:rPr>
              <w:fldChar w:fldCharType="separate"/>
            </w:r>
            <w:r>
              <w:rPr>
                <w:webHidden/>
              </w:rPr>
              <w:t>23</w:t>
            </w:r>
            <w:r>
              <w:rPr>
                <w:webHidden/>
              </w:rPr>
              <w:fldChar w:fldCharType="end"/>
            </w:r>
          </w:hyperlink>
        </w:p>
        <w:p w14:paraId="22449841" w14:textId="29BBD48F" w:rsidR="00277F6E" w:rsidRDefault="00277F6E">
          <w:pPr>
            <w:pStyle w:val="TOC3"/>
            <w:rPr>
              <w:rFonts w:eastAsiaTheme="minorEastAsia" w:cstheme="minorBidi"/>
              <w:bCs w:val="0"/>
              <w:color w:val="auto"/>
              <w:sz w:val="22"/>
              <w:szCs w:val="22"/>
              <w:lang w:eastAsia="ja-JP"/>
            </w:rPr>
          </w:pPr>
          <w:hyperlink w:anchor="_Toc45704326" w:history="1">
            <w:r w:rsidRPr="005A1F95">
              <w:rPr>
                <w:rStyle w:val="Hyperlink"/>
              </w:rPr>
              <w:t>2.2.1</w:t>
            </w:r>
            <w:r>
              <w:rPr>
                <w:rFonts w:eastAsiaTheme="minorEastAsia" w:cstheme="minorBidi"/>
                <w:bCs w:val="0"/>
                <w:color w:val="auto"/>
                <w:sz w:val="22"/>
                <w:szCs w:val="22"/>
                <w:lang w:eastAsia="ja-JP"/>
              </w:rPr>
              <w:tab/>
            </w:r>
            <w:r w:rsidRPr="005A1F95">
              <w:rPr>
                <w:rStyle w:val="Hyperlink"/>
              </w:rPr>
              <w:t>Bus operator types</w:t>
            </w:r>
            <w:r>
              <w:rPr>
                <w:webHidden/>
              </w:rPr>
              <w:tab/>
            </w:r>
            <w:r>
              <w:rPr>
                <w:webHidden/>
              </w:rPr>
              <w:fldChar w:fldCharType="begin"/>
            </w:r>
            <w:r>
              <w:rPr>
                <w:webHidden/>
              </w:rPr>
              <w:instrText xml:space="preserve"> PAGEREF _Toc45704326 \h </w:instrText>
            </w:r>
            <w:r>
              <w:rPr>
                <w:webHidden/>
              </w:rPr>
            </w:r>
            <w:r>
              <w:rPr>
                <w:webHidden/>
              </w:rPr>
              <w:fldChar w:fldCharType="separate"/>
            </w:r>
            <w:r>
              <w:rPr>
                <w:webHidden/>
              </w:rPr>
              <w:t>23</w:t>
            </w:r>
            <w:r>
              <w:rPr>
                <w:webHidden/>
              </w:rPr>
              <w:fldChar w:fldCharType="end"/>
            </w:r>
          </w:hyperlink>
        </w:p>
        <w:p w14:paraId="3C91CB2F" w14:textId="19E75C04" w:rsidR="00277F6E" w:rsidRDefault="00277F6E">
          <w:pPr>
            <w:pStyle w:val="TOC2"/>
            <w:rPr>
              <w:rFonts w:eastAsiaTheme="minorEastAsia" w:cstheme="minorBidi"/>
              <w:bCs w:val="0"/>
              <w:color w:val="auto"/>
              <w:sz w:val="22"/>
              <w:szCs w:val="22"/>
              <w:lang w:eastAsia="ja-JP"/>
            </w:rPr>
          </w:pPr>
          <w:hyperlink w:anchor="_Toc45704327" w:history="1">
            <w:r w:rsidRPr="005A1F95">
              <w:rPr>
                <w:rStyle w:val="Hyperlink"/>
              </w:rPr>
              <w:t>2.3</w:t>
            </w:r>
            <w:r>
              <w:rPr>
                <w:rFonts w:eastAsiaTheme="minorEastAsia" w:cstheme="minorBidi"/>
                <w:bCs w:val="0"/>
                <w:color w:val="auto"/>
                <w:sz w:val="22"/>
                <w:szCs w:val="22"/>
                <w:lang w:eastAsia="ja-JP"/>
              </w:rPr>
              <w:tab/>
            </w:r>
            <w:r w:rsidRPr="005A1F95">
              <w:rPr>
                <w:rStyle w:val="Hyperlink"/>
              </w:rPr>
              <w:t>Requirements of the Subordinate Legislation Act 1994</w:t>
            </w:r>
            <w:r>
              <w:rPr>
                <w:webHidden/>
              </w:rPr>
              <w:tab/>
            </w:r>
            <w:r>
              <w:rPr>
                <w:webHidden/>
              </w:rPr>
              <w:fldChar w:fldCharType="begin"/>
            </w:r>
            <w:r>
              <w:rPr>
                <w:webHidden/>
              </w:rPr>
              <w:instrText xml:space="preserve"> PAGEREF _Toc45704327 \h </w:instrText>
            </w:r>
            <w:r>
              <w:rPr>
                <w:webHidden/>
              </w:rPr>
            </w:r>
            <w:r>
              <w:rPr>
                <w:webHidden/>
              </w:rPr>
              <w:fldChar w:fldCharType="separate"/>
            </w:r>
            <w:r>
              <w:rPr>
                <w:webHidden/>
              </w:rPr>
              <w:t>23</w:t>
            </w:r>
            <w:r>
              <w:rPr>
                <w:webHidden/>
              </w:rPr>
              <w:fldChar w:fldCharType="end"/>
            </w:r>
          </w:hyperlink>
        </w:p>
        <w:p w14:paraId="402C8E2F" w14:textId="459178EE" w:rsidR="00277F6E" w:rsidRDefault="00277F6E">
          <w:pPr>
            <w:pStyle w:val="TOC2"/>
            <w:rPr>
              <w:rFonts w:eastAsiaTheme="minorEastAsia" w:cstheme="minorBidi"/>
              <w:bCs w:val="0"/>
              <w:color w:val="auto"/>
              <w:sz w:val="22"/>
              <w:szCs w:val="22"/>
              <w:lang w:eastAsia="ja-JP"/>
            </w:rPr>
          </w:pPr>
          <w:hyperlink w:anchor="_Toc45704328" w:history="1">
            <w:r w:rsidRPr="005A1F95">
              <w:rPr>
                <w:rStyle w:val="Hyperlink"/>
              </w:rPr>
              <w:t>2.4</w:t>
            </w:r>
            <w:r>
              <w:rPr>
                <w:rFonts w:eastAsiaTheme="minorEastAsia" w:cstheme="minorBidi"/>
                <w:bCs w:val="0"/>
                <w:color w:val="auto"/>
                <w:sz w:val="22"/>
                <w:szCs w:val="22"/>
                <w:lang w:eastAsia="ja-JP"/>
              </w:rPr>
              <w:tab/>
            </w:r>
            <w:r w:rsidRPr="005A1F95">
              <w:rPr>
                <w:rStyle w:val="Hyperlink"/>
              </w:rPr>
              <w:t>Structure of the RIS</w:t>
            </w:r>
            <w:r>
              <w:rPr>
                <w:webHidden/>
              </w:rPr>
              <w:tab/>
            </w:r>
            <w:r>
              <w:rPr>
                <w:webHidden/>
              </w:rPr>
              <w:fldChar w:fldCharType="begin"/>
            </w:r>
            <w:r>
              <w:rPr>
                <w:webHidden/>
              </w:rPr>
              <w:instrText xml:space="preserve"> PAGEREF _Toc45704328 \h </w:instrText>
            </w:r>
            <w:r>
              <w:rPr>
                <w:webHidden/>
              </w:rPr>
            </w:r>
            <w:r>
              <w:rPr>
                <w:webHidden/>
              </w:rPr>
              <w:fldChar w:fldCharType="separate"/>
            </w:r>
            <w:r>
              <w:rPr>
                <w:webHidden/>
              </w:rPr>
              <w:t>23</w:t>
            </w:r>
            <w:r>
              <w:rPr>
                <w:webHidden/>
              </w:rPr>
              <w:fldChar w:fldCharType="end"/>
            </w:r>
          </w:hyperlink>
        </w:p>
        <w:p w14:paraId="08577F30" w14:textId="22E07C74" w:rsidR="00277F6E" w:rsidRDefault="00277F6E">
          <w:pPr>
            <w:pStyle w:val="TOC2"/>
            <w:rPr>
              <w:rFonts w:eastAsiaTheme="minorEastAsia" w:cstheme="minorBidi"/>
              <w:bCs w:val="0"/>
              <w:color w:val="auto"/>
              <w:sz w:val="22"/>
              <w:szCs w:val="22"/>
              <w:lang w:eastAsia="ja-JP"/>
            </w:rPr>
          </w:pPr>
          <w:hyperlink w:anchor="_Toc45704329" w:history="1">
            <w:r w:rsidRPr="005A1F95">
              <w:rPr>
                <w:rStyle w:val="Hyperlink"/>
              </w:rPr>
              <w:t>2.5</w:t>
            </w:r>
            <w:r>
              <w:rPr>
                <w:rFonts w:eastAsiaTheme="minorEastAsia" w:cstheme="minorBidi"/>
                <w:bCs w:val="0"/>
                <w:color w:val="auto"/>
                <w:sz w:val="22"/>
                <w:szCs w:val="22"/>
                <w:lang w:eastAsia="ja-JP"/>
              </w:rPr>
              <w:tab/>
            </w:r>
            <w:r w:rsidRPr="005A1F95">
              <w:rPr>
                <w:rStyle w:val="Hyperlink"/>
              </w:rPr>
              <w:t>How you can have your say</w:t>
            </w:r>
            <w:r>
              <w:rPr>
                <w:webHidden/>
              </w:rPr>
              <w:tab/>
            </w:r>
            <w:r>
              <w:rPr>
                <w:webHidden/>
              </w:rPr>
              <w:fldChar w:fldCharType="begin"/>
            </w:r>
            <w:r>
              <w:rPr>
                <w:webHidden/>
              </w:rPr>
              <w:instrText xml:space="preserve"> PAGEREF _Toc45704329 \h </w:instrText>
            </w:r>
            <w:r>
              <w:rPr>
                <w:webHidden/>
              </w:rPr>
            </w:r>
            <w:r>
              <w:rPr>
                <w:webHidden/>
              </w:rPr>
              <w:fldChar w:fldCharType="separate"/>
            </w:r>
            <w:r>
              <w:rPr>
                <w:webHidden/>
              </w:rPr>
              <w:t>24</w:t>
            </w:r>
            <w:r>
              <w:rPr>
                <w:webHidden/>
              </w:rPr>
              <w:fldChar w:fldCharType="end"/>
            </w:r>
          </w:hyperlink>
        </w:p>
        <w:p w14:paraId="1FB70D4F" w14:textId="487F2E4B" w:rsidR="00277F6E" w:rsidRDefault="00277F6E">
          <w:pPr>
            <w:pStyle w:val="TOC1"/>
            <w:rPr>
              <w:rFonts w:asciiTheme="minorHAnsi" w:eastAsiaTheme="minorEastAsia" w:hAnsiTheme="minorHAnsi" w:cstheme="minorBidi"/>
              <w:b w:val="0"/>
              <w:bCs w:val="0"/>
              <w:color w:val="auto"/>
              <w:sz w:val="22"/>
              <w:szCs w:val="22"/>
              <w:lang w:eastAsia="ja-JP"/>
            </w:rPr>
          </w:pPr>
          <w:hyperlink w:anchor="_Toc45704330" w:history="1">
            <w:r w:rsidRPr="005A1F95">
              <w:rPr>
                <w:rStyle w:val="Hyperlink"/>
              </w:rPr>
              <w:t>3</w:t>
            </w:r>
            <w:r>
              <w:rPr>
                <w:rFonts w:asciiTheme="minorHAnsi" w:eastAsiaTheme="minorEastAsia" w:hAnsiTheme="minorHAnsi" w:cstheme="minorBidi"/>
                <w:b w:val="0"/>
                <w:bCs w:val="0"/>
                <w:color w:val="auto"/>
                <w:sz w:val="22"/>
                <w:szCs w:val="22"/>
                <w:lang w:eastAsia="ja-JP"/>
              </w:rPr>
              <w:tab/>
            </w:r>
            <w:r w:rsidRPr="005A1F95">
              <w:rPr>
                <w:rStyle w:val="Hyperlink"/>
              </w:rPr>
              <w:t>Nature and extent of the problem</w:t>
            </w:r>
            <w:r>
              <w:rPr>
                <w:webHidden/>
              </w:rPr>
              <w:tab/>
            </w:r>
            <w:r>
              <w:rPr>
                <w:webHidden/>
              </w:rPr>
              <w:fldChar w:fldCharType="begin"/>
            </w:r>
            <w:r>
              <w:rPr>
                <w:webHidden/>
              </w:rPr>
              <w:instrText xml:space="preserve"> PAGEREF _Toc45704330 \h </w:instrText>
            </w:r>
            <w:r>
              <w:rPr>
                <w:webHidden/>
              </w:rPr>
            </w:r>
            <w:r>
              <w:rPr>
                <w:webHidden/>
              </w:rPr>
              <w:fldChar w:fldCharType="separate"/>
            </w:r>
            <w:r>
              <w:rPr>
                <w:webHidden/>
              </w:rPr>
              <w:t>25</w:t>
            </w:r>
            <w:r>
              <w:rPr>
                <w:webHidden/>
              </w:rPr>
              <w:fldChar w:fldCharType="end"/>
            </w:r>
          </w:hyperlink>
        </w:p>
        <w:p w14:paraId="4C86645E" w14:textId="6C588037" w:rsidR="00277F6E" w:rsidRDefault="00277F6E">
          <w:pPr>
            <w:pStyle w:val="TOC2"/>
            <w:rPr>
              <w:rFonts w:eastAsiaTheme="minorEastAsia" w:cstheme="minorBidi"/>
              <w:bCs w:val="0"/>
              <w:color w:val="auto"/>
              <w:sz w:val="22"/>
              <w:szCs w:val="22"/>
              <w:lang w:eastAsia="ja-JP"/>
            </w:rPr>
          </w:pPr>
          <w:hyperlink w:anchor="_Toc45704331" w:history="1">
            <w:r w:rsidRPr="005A1F95">
              <w:rPr>
                <w:rStyle w:val="Hyperlink"/>
              </w:rPr>
              <w:t>3.1</w:t>
            </w:r>
            <w:r>
              <w:rPr>
                <w:rFonts w:eastAsiaTheme="minorEastAsia" w:cstheme="minorBidi"/>
                <w:bCs w:val="0"/>
                <w:color w:val="auto"/>
                <w:sz w:val="22"/>
                <w:szCs w:val="22"/>
                <w:lang w:eastAsia="ja-JP"/>
              </w:rPr>
              <w:tab/>
            </w:r>
            <w:r w:rsidRPr="005A1F95">
              <w:rPr>
                <w:rStyle w:val="Hyperlink"/>
              </w:rPr>
              <w:t>Overview</w:t>
            </w:r>
            <w:r>
              <w:rPr>
                <w:webHidden/>
              </w:rPr>
              <w:tab/>
            </w:r>
            <w:r>
              <w:rPr>
                <w:webHidden/>
              </w:rPr>
              <w:fldChar w:fldCharType="begin"/>
            </w:r>
            <w:r>
              <w:rPr>
                <w:webHidden/>
              </w:rPr>
              <w:instrText xml:space="preserve"> PAGEREF _Toc45704331 \h </w:instrText>
            </w:r>
            <w:r>
              <w:rPr>
                <w:webHidden/>
              </w:rPr>
            </w:r>
            <w:r>
              <w:rPr>
                <w:webHidden/>
              </w:rPr>
              <w:fldChar w:fldCharType="separate"/>
            </w:r>
            <w:r>
              <w:rPr>
                <w:webHidden/>
              </w:rPr>
              <w:t>25</w:t>
            </w:r>
            <w:r>
              <w:rPr>
                <w:webHidden/>
              </w:rPr>
              <w:fldChar w:fldCharType="end"/>
            </w:r>
          </w:hyperlink>
        </w:p>
        <w:p w14:paraId="5AC54DBA" w14:textId="57DF21D4" w:rsidR="00277F6E" w:rsidRDefault="00277F6E">
          <w:pPr>
            <w:pStyle w:val="TOC2"/>
            <w:rPr>
              <w:rFonts w:eastAsiaTheme="minorEastAsia" w:cstheme="minorBidi"/>
              <w:bCs w:val="0"/>
              <w:color w:val="auto"/>
              <w:sz w:val="22"/>
              <w:szCs w:val="22"/>
              <w:lang w:eastAsia="ja-JP"/>
            </w:rPr>
          </w:pPr>
          <w:hyperlink w:anchor="_Toc45704332" w:history="1">
            <w:r w:rsidRPr="005A1F95">
              <w:rPr>
                <w:rStyle w:val="Hyperlink"/>
              </w:rPr>
              <w:t>3.2</w:t>
            </w:r>
            <w:r>
              <w:rPr>
                <w:rFonts w:eastAsiaTheme="minorEastAsia" w:cstheme="minorBidi"/>
                <w:bCs w:val="0"/>
                <w:color w:val="auto"/>
                <w:sz w:val="22"/>
                <w:szCs w:val="22"/>
                <w:lang w:eastAsia="ja-JP"/>
              </w:rPr>
              <w:tab/>
            </w:r>
            <w:r w:rsidRPr="005A1F95">
              <w:rPr>
                <w:rStyle w:val="Hyperlink"/>
              </w:rPr>
              <w:t>Bus safety performance</w:t>
            </w:r>
            <w:r>
              <w:rPr>
                <w:webHidden/>
              </w:rPr>
              <w:tab/>
            </w:r>
            <w:r>
              <w:rPr>
                <w:webHidden/>
              </w:rPr>
              <w:fldChar w:fldCharType="begin"/>
            </w:r>
            <w:r>
              <w:rPr>
                <w:webHidden/>
              </w:rPr>
              <w:instrText xml:space="preserve"> PAGEREF _Toc45704332 \h </w:instrText>
            </w:r>
            <w:r>
              <w:rPr>
                <w:webHidden/>
              </w:rPr>
            </w:r>
            <w:r>
              <w:rPr>
                <w:webHidden/>
              </w:rPr>
              <w:fldChar w:fldCharType="separate"/>
            </w:r>
            <w:r>
              <w:rPr>
                <w:webHidden/>
              </w:rPr>
              <w:t>26</w:t>
            </w:r>
            <w:r>
              <w:rPr>
                <w:webHidden/>
              </w:rPr>
              <w:fldChar w:fldCharType="end"/>
            </w:r>
          </w:hyperlink>
        </w:p>
        <w:p w14:paraId="5E43C1C5" w14:textId="3E3FBEF2" w:rsidR="00277F6E" w:rsidRDefault="00277F6E">
          <w:pPr>
            <w:pStyle w:val="TOC3"/>
            <w:rPr>
              <w:rFonts w:eastAsiaTheme="minorEastAsia" w:cstheme="minorBidi"/>
              <w:bCs w:val="0"/>
              <w:color w:val="auto"/>
              <w:sz w:val="22"/>
              <w:szCs w:val="22"/>
              <w:lang w:eastAsia="ja-JP"/>
            </w:rPr>
          </w:pPr>
          <w:hyperlink w:anchor="_Toc45704333" w:history="1">
            <w:r w:rsidRPr="005A1F95">
              <w:rPr>
                <w:rStyle w:val="Hyperlink"/>
              </w:rPr>
              <w:t>3.2.1</w:t>
            </w:r>
            <w:r>
              <w:rPr>
                <w:rFonts w:eastAsiaTheme="minorEastAsia" w:cstheme="minorBidi"/>
                <w:bCs w:val="0"/>
                <w:color w:val="auto"/>
                <w:sz w:val="22"/>
                <w:szCs w:val="22"/>
                <w:lang w:eastAsia="ja-JP"/>
              </w:rPr>
              <w:tab/>
            </w:r>
            <w:r w:rsidRPr="005A1F95">
              <w:rPr>
                <w:rStyle w:val="Hyperlink"/>
              </w:rPr>
              <w:t>Bus related incidents</w:t>
            </w:r>
            <w:r>
              <w:rPr>
                <w:webHidden/>
              </w:rPr>
              <w:tab/>
            </w:r>
            <w:r>
              <w:rPr>
                <w:webHidden/>
              </w:rPr>
              <w:fldChar w:fldCharType="begin"/>
            </w:r>
            <w:r>
              <w:rPr>
                <w:webHidden/>
              </w:rPr>
              <w:instrText xml:space="preserve"> PAGEREF _Toc45704333 \h </w:instrText>
            </w:r>
            <w:r>
              <w:rPr>
                <w:webHidden/>
              </w:rPr>
            </w:r>
            <w:r>
              <w:rPr>
                <w:webHidden/>
              </w:rPr>
              <w:fldChar w:fldCharType="separate"/>
            </w:r>
            <w:r>
              <w:rPr>
                <w:webHidden/>
              </w:rPr>
              <w:t>27</w:t>
            </w:r>
            <w:r>
              <w:rPr>
                <w:webHidden/>
              </w:rPr>
              <w:fldChar w:fldCharType="end"/>
            </w:r>
          </w:hyperlink>
        </w:p>
        <w:p w14:paraId="686D7D4D" w14:textId="42630ADD" w:rsidR="00277F6E" w:rsidRDefault="00277F6E">
          <w:pPr>
            <w:pStyle w:val="TOC3"/>
            <w:rPr>
              <w:rFonts w:eastAsiaTheme="minorEastAsia" w:cstheme="minorBidi"/>
              <w:bCs w:val="0"/>
              <w:color w:val="auto"/>
              <w:sz w:val="22"/>
              <w:szCs w:val="22"/>
              <w:lang w:eastAsia="ja-JP"/>
            </w:rPr>
          </w:pPr>
          <w:hyperlink w:anchor="_Toc45704334" w:history="1">
            <w:r w:rsidRPr="005A1F95">
              <w:rPr>
                <w:rStyle w:val="Hyperlink"/>
              </w:rPr>
              <w:t>3.2.2</w:t>
            </w:r>
            <w:r>
              <w:rPr>
                <w:rFonts w:eastAsiaTheme="minorEastAsia" w:cstheme="minorBidi"/>
                <w:bCs w:val="0"/>
                <w:color w:val="auto"/>
                <w:sz w:val="22"/>
                <w:szCs w:val="22"/>
                <w:lang w:eastAsia="ja-JP"/>
              </w:rPr>
              <w:tab/>
            </w:r>
            <w:r w:rsidRPr="005A1F95">
              <w:rPr>
                <w:rStyle w:val="Hyperlink"/>
              </w:rPr>
              <w:t>Bus-related fatalities</w:t>
            </w:r>
            <w:r>
              <w:rPr>
                <w:webHidden/>
              </w:rPr>
              <w:tab/>
            </w:r>
            <w:r>
              <w:rPr>
                <w:webHidden/>
              </w:rPr>
              <w:fldChar w:fldCharType="begin"/>
            </w:r>
            <w:r>
              <w:rPr>
                <w:webHidden/>
              </w:rPr>
              <w:instrText xml:space="preserve"> PAGEREF _Toc45704334 \h </w:instrText>
            </w:r>
            <w:r>
              <w:rPr>
                <w:webHidden/>
              </w:rPr>
            </w:r>
            <w:r>
              <w:rPr>
                <w:webHidden/>
              </w:rPr>
              <w:fldChar w:fldCharType="separate"/>
            </w:r>
            <w:r>
              <w:rPr>
                <w:webHidden/>
              </w:rPr>
              <w:t>28</w:t>
            </w:r>
            <w:r>
              <w:rPr>
                <w:webHidden/>
              </w:rPr>
              <w:fldChar w:fldCharType="end"/>
            </w:r>
          </w:hyperlink>
        </w:p>
        <w:p w14:paraId="4B6CF1E7" w14:textId="545901E4" w:rsidR="00277F6E" w:rsidRDefault="00277F6E">
          <w:pPr>
            <w:pStyle w:val="TOC3"/>
            <w:rPr>
              <w:rFonts w:eastAsiaTheme="minorEastAsia" w:cstheme="minorBidi"/>
              <w:bCs w:val="0"/>
              <w:color w:val="auto"/>
              <w:sz w:val="22"/>
              <w:szCs w:val="22"/>
              <w:lang w:eastAsia="ja-JP"/>
            </w:rPr>
          </w:pPr>
          <w:hyperlink w:anchor="_Toc45704335" w:history="1">
            <w:r w:rsidRPr="005A1F95">
              <w:rPr>
                <w:rStyle w:val="Hyperlink"/>
              </w:rPr>
              <w:t>3.2.3</w:t>
            </w:r>
            <w:r>
              <w:rPr>
                <w:rFonts w:eastAsiaTheme="minorEastAsia" w:cstheme="minorBidi"/>
                <w:bCs w:val="0"/>
                <w:color w:val="auto"/>
                <w:sz w:val="22"/>
                <w:szCs w:val="22"/>
                <w:lang w:eastAsia="ja-JP"/>
              </w:rPr>
              <w:tab/>
            </w:r>
            <w:r w:rsidRPr="005A1F95">
              <w:rPr>
                <w:rStyle w:val="Hyperlink"/>
              </w:rPr>
              <w:t>Bus-related serious injuries</w:t>
            </w:r>
            <w:r>
              <w:rPr>
                <w:webHidden/>
              </w:rPr>
              <w:tab/>
            </w:r>
            <w:r>
              <w:rPr>
                <w:webHidden/>
              </w:rPr>
              <w:fldChar w:fldCharType="begin"/>
            </w:r>
            <w:r>
              <w:rPr>
                <w:webHidden/>
              </w:rPr>
              <w:instrText xml:space="preserve"> PAGEREF _Toc45704335 \h </w:instrText>
            </w:r>
            <w:r>
              <w:rPr>
                <w:webHidden/>
              </w:rPr>
            </w:r>
            <w:r>
              <w:rPr>
                <w:webHidden/>
              </w:rPr>
              <w:fldChar w:fldCharType="separate"/>
            </w:r>
            <w:r>
              <w:rPr>
                <w:webHidden/>
              </w:rPr>
              <w:t>29</w:t>
            </w:r>
            <w:r>
              <w:rPr>
                <w:webHidden/>
              </w:rPr>
              <w:fldChar w:fldCharType="end"/>
            </w:r>
          </w:hyperlink>
        </w:p>
        <w:p w14:paraId="2D88F938" w14:textId="7470B48E" w:rsidR="00277F6E" w:rsidRDefault="00277F6E">
          <w:pPr>
            <w:pStyle w:val="TOC3"/>
            <w:rPr>
              <w:rFonts w:eastAsiaTheme="minorEastAsia" w:cstheme="minorBidi"/>
              <w:bCs w:val="0"/>
              <w:color w:val="auto"/>
              <w:sz w:val="22"/>
              <w:szCs w:val="22"/>
              <w:lang w:eastAsia="ja-JP"/>
            </w:rPr>
          </w:pPr>
          <w:hyperlink w:anchor="_Toc45704336" w:history="1">
            <w:r w:rsidRPr="005A1F95">
              <w:rPr>
                <w:rStyle w:val="Hyperlink"/>
              </w:rPr>
              <w:t>3.2.4</w:t>
            </w:r>
            <w:r>
              <w:rPr>
                <w:rFonts w:eastAsiaTheme="minorEastAsia" w:cstheme="minorBidi"/>
                <w:bCs w:val="0"/>
                <w:color w:val="auto"/>
                <w:sz w:val="22"/>
                <w:szCs w:val="22"/>
                <w:lang w:eastAsia="ja-JP"/>
              </w:rPr>
              <w:tab/>
            </w:r>
            <w:r w:rsidRPr="005A1F95">
              <w:rPr>
                <w:rStyle w:val="Hyperlink"/>
              </w:rPr>
              <w:t>Comments and observations</w:t>
            </w:r>
            <w:r>
              <w:rPr>
                <w:webHidden/>
              </w:rPr>
              <w:tab/>
            </w:r>
            <w:r>
              <w:rPr>
                <w:webHidden/>
              </w:rPr>
              <w:fldChar w:fldCharType="begin"/>
            </w:r>
            <w:r>
              <w:rPr>
                <w:webHidden/>
              </w:rPr>
              <w:instrText xml:space="preserve"> PAGEREF _Toc45704336 \h </w:instrText>
            </w:r>
            <w:r>
              <w:rPr>
                <w:webHidden/>
              </w:rPr>
            </w:r>
            <w:r>
              <w:rPr>
                <w:webHidden/>
              </w:rPr>
              <w:fldChar w:fldCharType="separate"/>
            </w:r>
            <w:r>
              <w:rPr>
                <w:webHidden/>
              </w:rPr>
              <w:t>30</w:t>
            </w:r>
            <w:r>
              <w:rPr>
                <w:webHidden/>
              </w:rPr>
              <w:fldChar w:fldCharType="end"/>
            </w:r>
          </w:hyperlink>
        </w:p>
        <w:p w14:paraId="7ACDAC10" w14:textId="3B99F099" w:rsidR="00277F6E" w:rsidRDefault="00277F6E">
          <w:pPr>
            <w:pStyle w:val="TOC2"/>
            <w:rPr>
              <w:rFonts w:eastAsiaTheme="minorEastAsia" w:cstheme="minorBidi"/>
              <w:bCs w:val="0"/>
              <w:color w:val="auto"/>
              <w:sz w:val="22"/>
              <w:szCs w:val="22"/>
              <w:lang w:eastAsia="ja-JP"/>
            </w:rPr>
          </w:pPr>
          <w:hyperlink w:anchor="_Toc45704337" w:history="1">
            <w:r w:rsidRPr="005A1F95">
              <w:rPr>
                <w:rStyle w:val="Hyperlink"/>
              </w:rPr>
              <w:t>3.3</w:t>
            </w:r>
            <w:r>
              <w:rPr>
                <w:rFonts w:eastAsiaTheme="minorEastAsia" w:cstheme="minorBidi"/>
                <w:bCs w:val="0"/>
                <w:color w:val="auto"/>
                <w:sz w:val="22"/>
                <w:szCs w:val="22"/>
                <w:lang w:eastAsia="ja-JP"/>
              </w:rPr>
              <w:tab/>
            </w:r>
            <w:r w:rsidRPr="005A1F95">
              <w:rPr>
                <w:rStyle w:val="Hyperlink"/>
              </w:rPr>
              <w:t>Vehicle safety</w:t>
            </w:r>
            <w:r>
              <w:rPr>
                <w:webHidden/>
              </w:rPr>
              <w:tab/>
            </w:r>
            <w:r>
              <w:rPr>
                <w:webHidden/>
              </w:rPr>
              <w:fldChar w:fldCharType="begin"/>
            </w:r>
            <w:r>
              <w:rPr>
                <w:webHidden/>
              </w:rPr>
              <w:instrText xml:space="preserve"> PAGEREF _Toc45704337 \h </w:instrText>
            </w:r>
            <w:r>
              <w:rPr>
                <w:webHidden/>
              </w:rPr>
            </w:r>
            <w:r>
              <w:rPr>
                <w:webHidden/>
              </w:rPr>
              <w:fldChar w:fldCharType="separate"/>
            </w:r>
            <w:r>
              <w:rPr>
                <w:webHidden/>
              </w:rPr>
              <w:t>30</w:t>
            </w:r>
            <w:r>
              <w:rPr>
                <w:webHidden/>
              </w:rPr>
              <w:fldChar w:fldCharType="end"/>
            </w:r>
          </w:hyperlink>
        </w:p>
        <w:p w14:paraId="3F4ED008" w14:textId="32E33EC4" w:rsidR="00277F6E" w:rsidRDefault="00277F6E">
          <w:pPr>
            <w:pStyle w:val="TOC3"/>
            <w:rPr>
              <w:rFonts w:eastAsiaTheme="minorEastAsia" w:cstheme="minorBidi"/>
              <w:bCs w:val="0"/>
              <w:color w:val="auto"/>
              <w:sz w:val="22"/>
              <w:szCs w:val="22"/>
              <w:lang w:eastAsia="ja-JP"/>
            </w:rPr>
          </w:pPr>
          <w:hyperlink w:anchor="_Toc45704338" w:history="1">
            <w:r w:rsidRPr="005A1F95">
              <w:rPr>
                <w:rStyle w:val="Hyperlink"/>
              </w:rPr>
              <w:t>3.3.1</w:t>
            </w:r>
            <w:r>
              <w:rPr>
                <w:rFonts w:eastAsiaTheme="minorEastAsia" w:cstheme="minorBidi"/>
                <w:bCs w:val="0"/>
                <w:color w:val="auto"/>
                <w:sz w:val="22"/>
                <w:szCs w:val="22"/>
                <w:lang w:eastAsia="ja-JP"/>
              </w:rPr>
              <w:tab/>
            </w:r>
            <w:r w:rsidRPr="005A1F95">
              <w:rPr>
                <w:rStyle w:val="Hyperlink"/>
              </w:rPr>
              <w:t>Design and standards</w:t>
            </w:r>
            <w:r>
              <w:rPr>
                <w:webHidden/>
              </w:rPr>
              <w:tab/>
            </w:r>
            <w:r>
              <w:rPr>
                <w:webHidden/>
              </w:rPr>
              <w:fldChar w:fldCharType="begin"/>
            </w:r>
            <w:r>
              <w:rPr>
                <w:webHidden/>
              </w:rPr>
              <w:instrText xml:space="preserve"> PAGEREF _Toc45704338 \h </w:instrText>
            </w:r>
            <w:r>
              <w:rPr>
                <w:webHidden/>
              </w:rPr>
            </w:r>
            <w:r>
              <w:rPr>
                <w:webHidden/>
              </w:rPr>
              <w:fldChar w:fldCharType="separate"/>
            </w:r>
            <w:r>
              <w:rPr>
                <w:webHidden/>
              </w:rPr>
              <w:t>32</w:t>
            </w:r>
            <w:r>
              <w:rPr>
                <w:webHidden/>
              </w:rPr>
              <w:fldChar w:fldCharType="end"/>
            </w:r>
          </w:hyperlink>
        </w:p>
        <w:p w14:paraId="4D8FA43D" w14:textId="0B556A27" w:rsidR="00277F6E" w:rsidRDefault="00277F6E">
          <w:pPr>
            <w:pStyle w:val="TOC3"/>
            <w:rPr>
              <w:rFonts w:eastAsiaTheme="minorEastAsia" w:cstheme="minorBidi"/>
              <w:bCs w:val="0"/>
              <w:color w:val="auto"/>
              <w:sz w:val="22"/>
              <w:szCs w:val="22"/>
              <w:lang w:eastAsia="ja-JP"/>
            </w:rPr>
          </w:pPr>
          <w:hyperlink w:anchor="_Toc45704339" w:history="1">
            <w:r w:rsidRPr="005A1F95">
              <w:rPr>
                <w:rStyle w:val="Hyperlink"/>
              </w:rPr>
              <w:t>3.3.2</w:t>
            </w:r>
            <w:r>
              <w:rPr>
                <w:rFonts w:eastAsiaTheme="minorEastAsia" w:cstheme="minorBidi"/>
                <w:bCs w:val="0"/>
                <w:color w:val="auto"/>
                <w:sz w:val="22"/>
                <w:szCs w:val="22"/>
                <w:lang w:eastAsia="ja-JP"/>
              </w:rPr>
              <w:tab/>
            </w:r>
            <w:r w:rsidRPr="005A1F95">
              <w:rPr>
                <w:rStyle w:val="Hyperlink"/>
              </w:rPr>
              <w:t>Vehicle maintenance and inspections</w:t>
            </w:r>
            <w:r>
              <w:rPr>
                <w:webHidden/>
              </w:rPr>
              <w:tab/>
            </w:r>
            <w:r>
              <w:rPr>
                <w:webHidden/>
              </w:rPr>
              <w:fldChar w:fldCharType="begin"/>
            </w:r>
            <w:r>
              <w:rPr>
                <w:webHidden/>
              </w:rPr>
              <w:instrText xml:space="preserve"> PAGEREF _Toc45704339 \h </w:instrText>
            </w:r>
            <w:r>
              <w:rPr>
                <w:webHidden/>
              </w:rPr>
            </w:r>
            <w:r>
              <w:rPr>
                <w:webHidden/>
              </w:rPr>
              <w:fldChar w:fldCharType="separate"/>
            </w:r>
            <w:r>
              <w:rPr>
                <w:webHidden/>
              </w:rPr>
              <w:t>33</w:t>
            </w:r>
            <w:r>
              <w:rPr>
                <w:webHidden/>
              </w:rPr>
              <w:fldChar w:fldCharType="end"/>
            </w:r>
          </w:hyperlink>
        </w:p>
        <w:p w14:paraId="1A9C9021" w14:textId="376211FB" w:rsidR="00277F6E" w:rsidRDefault="00277F6E">
          <w:pPr>
            <w:pStyle w:val="TOC2"/>
            <w:rPr>
              <w:rFonts w:eastAsiaTheme="minorEastAsia" w:cstheme="minorBidi"/>
              <w:bCs w:val="0"/>
              <w:color w:val="auto"/>
              <w:sz w:val="22"/>
              <w:szCs w:val="22"/>
              <w:lang w:eastAsia="ja-JP"/>
            </w:rPr>
          </w:pPr>
          <w:hyperlink w:anchor="_Toc45704340" w:history="1">
            <w:r w:rsidRPr="005A1F95">
              <w:rPr>
                <w:rStyle w:val="Hyperlink"/>
              </w:rPr>
              <w:t>3.4</w:t>
            </w:r>
            <w:r>
              <w:rPr>
                <w:rFonts w:eastAsiaTheme="minorEastAsia" w:cstheme="minorBidi"/>
                <w:bCs w:val="0"/>
                <w:color w:val="auto"/>
                <w:sz w:val="22"/>
                <w:szCs w:val="22"/>
                <w:lang w:eastAsia="ja-JP"/>
              </w:rPr>
              <w:tab/>
            </w:r>
            <w:r w:rsidRPr="005A1F95">
              <w:rPr>
                <w:rStyle w:val="Hyperlink"/>
              </w:rPr>
              <w:t>Safety of bus operations</w:t>
            </w:r>
            <w:r>
              <w:rPr>
                <w:webHidden/>
              </w:rPr>
              <w:tab/>
            </w:r>
            <w:r>
              <w:rPr>
                <w:webHidden/>
              </w:rPr>
              <w:fldChar w:fldCharType="begin"/>
            </w:r>
            <w:r>
              <w:rPr>
                <w:webHidden/>
              </w:rPr>
              <w:instrText xml:space="preserve"> PAGEREF _Toc45704340 \h </w:instrText>
            </w:r>
            <w:r>
              <w:rPr>
                <w:webHidden/>
              </w:rPr>
            </w:r>
            <w:r>
              <w:rPr>
                <w:webHidden/>
              </w:rPr>
              <w:fldChar w:fldCharType="separate"/>
            </w:r>
            <w:r>
              <w:rPr>
                <w:webHidden/>
              </w:rPr>
              <w:t>35</w:t>
            </w:r>
            <w:r>
              <w:rPr>
                <w:webHidden/>
              </w:rPr>
              <w:fldChar w:fldCharType="end"/>
            </w:r>
          </w:hyperlink>
        </w:p>
        <w:p w14:paraId="0351FEE9" w14:textId="192748AE" w:rsidR="00277F6E" w:rsidRDefault="00277F6E">
          <w:pPr>
            <w:pStyle w:val="TOC3"/>
            <w:rPr>
              <w:rFonts w:eastAsiaTheme="minorEastAsia" w:cstheme="minorBidi"/>
              <w:bCs w:val="0"/>
              <w:color w:val="auto"/>
              <w:sz w:val="22"/>
              <w:szCs w:val="22"/>
              <w:lang w:eastAsia="ja-JP"/>
            </w:rPr>
          </w:pPr>
          <w:hyperlink w:anchor="_Toc45704341" w:history="1">
            <w:r w:rsidRPr="005A1F95">
              <w:rPr>
                <w:rStyle w:val="Hyperlink"/>
              </w:rPr>
              <w:t>3.4.1</w:t>
            </w:r>
            <w:r>
              <w:rPr>
                <w:rFonts w:eastAsiaTheme="minorEastAsia" w:cstheme="minorBidi"/>
                <w:bCs w:val="0"/>
                <w:color w:val="auto"/>
                <w:sz w:val="22"/>
                <w:szCs w:val="22"/>
                <w:lang w:eastAsia="ja-JP"/>
              </w:rPr>
              <w:tab/>
            </w:r>
            <w:r w:rsidRPr="005A1F95">
              <w:rPr>
                <w:rStyle w:val="Hyperlink"/>
              </w:rPr>
              <w:t>Maximum number of passengers</w:t>
            </w:r>
            <w:r>
              <w:rPr>
                <w:webHidden/>
              </w:rPr>
              <w:tab/>
            </w:r>
            <w:r>
              <w:rPr>
                <w:webHidden/>
              </w:rPr>
              <w:fldChar w:fldCharType="begin"/>
            </w:r>
            <w:r>
              <w:rPr>
                <w:webHidden/>
              </w:rPr>
              <w:instrText xml:space="preserve"> PAGEREF _Toc45704341 \h </w:instrText>
            </w:r>
            <w:r>
              <w:rPr>
                <w:webHidden/>
              </w:rPr>
            </w:r>
            <w:r>
              <w:rPr>
                <w:webHidden/>
              </w:rPr>
              <w:fldChar w:fldCharType="separate"/>
            </w:r>
            <w:r>
              <w:rPr>
                <w:webHidden/>
              </w:rPr>
              <w:t>36</w:t>
            </w:r>
            <w:r>
              <w:rPr>
                <w:webHidden/>
              </w:rPr>
              <w:fldChar w:fldCharType="end"/>
            </w:r>
          </w:hyperlink>
        </w:p>
        <w:p w14:paraId="7BACD79B" w14:textId="3F61837B" w:rsidR="00277F6E" w:rsidRDefault="00277F6E">
          <w:pPr>
            <w:pStyle w:val="TOC3"/>
            <w:rPr>
              <w:rFonts w:eastAsiaTheme="minorEastAsia" w:cstheme="minorBidi"/>
              <w:bCs w:val="0"/>
              <w:color w:val="auto"/>
              <w:sz w:val="22"/>
              <w:szCs w:val="22"/>
              <w:lang w:eastAsia="ja-JP"/>
            </w:rPr>
          </w:pPr>
          <w:hyperlink w:anchor="_Toc45704342" w:history="1">
            <w:r w:rsidRPr="005A1F95">
              <w:rPr>
                <w:rStyle w:val="Hyperlink"/>
              </w:rPr>
              <w:t>3.4.2</w:t>
            </w:r>
            <w:r>
              <w:rPr>
                <w:rFonts w:eastAsiaTheme="minorEastAsia" w:cstheme="minorBidi"/>
                <w:bCs w:val="0"/>
                <w:color w:val="auto"/>
                <w:sz w:val="22"/>
                <w:szCs w:val="22"/>
                <w:lang w:eastAsia="ja-JP"/>
              </w:rPr>
              <w:tab/>
            </w:r>
            <w:r w:rsidRPr="005A1F95">
              <w:rPr>
                <w:rStyle w:val="Hyperlink"/>
              </w:rPr>
              <w:t>Alcohol and other drugs</w:t>
            </w:r>
            <w:r>
              <w:rPr>
                <w:webHidden/>
              </w:rPr>
              <w:tab/>
            </w:r>
            <w:r>
              <w:rPr>
                <w:webHidden/>
              </w:rPr>
              <w:fldChar w:fldCharType="begin"/>
            </w:r>
            <w:r>
              <w:rPr>
                <w:webHidden/>
              </w:rPr>
              <w:instrText xml:space="preserve"> PAGEREF _Toc45704342 \h </w:instrText>
            </w:r>
            <w:r>
              <w:rPr>
                <w:webHidden/>
              </w:rPr>
            </w:r>
            <w:r>
              <w:rPr>
                <w:webHidden/>
              </w:rPr>
              <w:fldChar w:fldCharType="separate"/>
            </w:r>
            <w:r>
              <w:rPr>
                <w:webHidden/>
              </w:rPr>
              <w:t>36</w:t>
            </w:r>
            <w:r>
              <w:rPr>
                <w:webHidden/>
              </w:rPr>
              <w:fldChar w:fldCharType="end"/>
            </w:r>
          </w:hyperlink>
        </w:p>
        <w:p w14:paraId="30D84089" w14:textId="45FB0DD8" w:rsidR="00277F6E" w:rsidRDefault="00277F6E">
          <w:pPr>
            <w:pStyle w:val="TOC3"/>
            <w:rPr>
              <w:rFonts w:eastAsiaTheme="minorEastAsia" w:cstheme="minorBidi"/>
              <w:bCs w:val="0"/>
              <w:color w:val="auto"/>
              <w:sz w:val="22"/>
              <w:szCs w:val="22"/>
              <w:lang w:eastAsia="ja-JP"/>
            </w:rPr>
          </w:pPr>
          <w:hyperlink w:anchor="_Toc45704343" w:history="1">
            <w:r w:rsidRPr="005A1F95">
              <w:rPr>
                <w:rStyle w:val="Hyperlink"/>
              </w:rPr>
              <w:t>3.4.3</w:t>
            </w:r>
            <w:r>
              <w:rPr>
                <w:rFonts w:eastAsiaTheme="minorEastAsia" w:cstheme="minorBidi"/>
                <w:bCs w:val="0"/>
                <w:color w:val="auto"/>
                <w:sz w:val="22"/>
                <w:szCs w:val="22"/>
                <w:lang w:eastAsia="ja-JP"/>
              </w:rPr>
              <w:tab/>
            </w:r>
            <w:r w:rsidRPr="005A1F95">
              <w:rPr>
                <w:rStyle w:val="Hyperlink"/>
              </w:rPr>
              <w:t>School buses</w:t>
            </w:r>
            <w:r>
              <w:rPr>
                <w:webHidden/>
              </w:rPr>
              <w:tab/>
            </w:r>
            <w:r>
              <w:rPr>
                <w:webHidden/>
              </w:rPr>
              <w:fldChar w:fldCharType="begin"/>
            </w:r>
            <w:r>
              <w:rPr>
                <w:webHidden/>
              </w:rPr>
              <w:instrText xml:space="preserve"> PAGEREF _Toc45704343 \h </w:instrText>
            </w:r>
            <w:r>
              <w:rPr>
                <w:webHidden/>
              </w:rPr>
            </w:r>
            <w:r>
              <w:rPr>
                <w:webHidden/>
              </w:rPr>
              <w:fldChar w:fldCharType="separate"/>
            </w:r>
            <w:r>
              <w:rPr>
                <w:webHidden/>
              </w:rPr>
              <w:t>37</w:t>
            </w:r>
            <w:r>
              <w:rPr>
                <w:webHidden/>
              </w:rPr>
              <w:fldChar w:fldCharType="end"/>
            </w:r>
          </w:hyperlink>
        </w:p>
        <w:p w14:paraId="73308F79" w14:textId="6D877243" w:rsidR="00277F6E" w:rsidRDefault="00277F6E">
          <w:pPr>
            <w:pStyle w:val="TOC2"/>
            <w:rPr>
              <w:rFonts w:eastAsiaTheme="minorEastAsia" w:cstheme="minorBidi"/>
              <w:bCs w:val="0"/>
              <w:color w:val="auto"/>
              <w:sz w:val="22"/>
              <w:szCs w:val="22"/>
              <w:lang w:eastAsia="ja-JP"/>
            </w:rPr>
          </w:pPr>
          <w:hyperlink w:anchor="_Toc45704344" w:history="1">
            <w:r w:rsidRPr="005A1F95">
              <w:rPr>
                <w:rStyle w:val="Hyperlink"/>
              </w:rPr>
              <w:t>3.5</w:t>
            </w:r>
            <w:r>
              <w:rPr>
                <w:rFonts w:eastAsiaTheme="minorEastAsia" w:cstheme="minorBidi"/>
                <w:bCs w:val="0"/>
                <w:color w:val="auto"/>
                <w:sz w:val="22"/>
                <w:szCs w:val="22"/>
                <w:lang w:eastAsia="ja-JP"/>
              </w:rPr>
              <w:tab/>
            </w:r>
            <w:r w:rsidRPr="005A1F95">
              <w:rPr>
                <w:rStyle w:val="Hyperlink"/>
              </w:rPr>
              <w:t>Permission to operate a bus service</w:t>
            </w:r>
            <w:r>
              <w:rPr>
                <w:webHidden/>
              </w:rPr>
              <w:tab/>
            </w:r>
            <w:r>
              <w:rPr>
                <w:webHidden/>
              </w:rPr>
              <w:fldChar w:fldCharType="begin"/>
            </w:r>
            <w:r>
              <w:rPr>
                <w:webHidden/>
              </w:rPr>
              <w:instrText xml:space="preserve"> PAGEREF _Toc45704344 \h </w:instrText>
            </w:r>
            <w:r>
              <w:rPr>
                <w:webHidden/>
              </w:rPr>
            </w:r>
            <w:r>
              <w:rPr>
                <w:webHidden/>
              </w:rPr>
              <w:fldChar w:fldCharType="separate"/>
            </w:r>
            <w:r>
              <w:rPr>
                <w:webHidden/>
              </w:rPr>
              <w:t>38</w:t>
            </w:r>
            <w:r>
              <w:rPr>
                <w:webHidden/>
              </w:rPr>
              <w:fldChar w:fldCharType="end"/>
            </w:r>
          </w:hyperlink>
        </w:p>
        <w:p w14:paraId="28FD0EA4" w14:textId="20B4F55D" w:rsidR="00277F6E" w:rsidRDefault="00277F6E">
          <w:pPr>
            <w:pStyle w:val="TOC2"/>
            <w:rPr>
              <w:rFonts w:eastAsiaTheme="minorEastAsia" w:cstheme="minorBidi"/>
              <w:bCs w:val="0"/>
              <w:color w:val="auto"/>
              <w:sz w:val="22"/>
              <w:szCs w:val="22"/>
              <w:lang w:eastAsia="ja-JP"/>
            </w:rPr>
          </w:pPr>
          <w:hyperlink w:anchor="_Toc45704345" w:history="1">
            <w:r w:rsidRPr="005A1F95">
              <w:rPr>
                <w:rStyle w:val="Hyperlink"/>
              </w:rPr>
              <w:t>3.6</w:t>
            </w:r>
            <w:r>
              <w:rPr>
                <w:rFonts w:eastAsiaTheme="minorEastAsia" w:cstheme="minorBidi"/>
                <w:bCs w:val="0"/>
                <w:color w:val="auto"/>
                <w:sz w:val="22"/>
                <w:szCs w:val="22"/>
                <w:lang w:eastAsia="ja-JP"/>
              </w:rPr>
              <w:tab/>
            </w:r>
            <w:r w:rsidRPr="005A1F95">
              <w:rPr>
                <w:rStyle w:val="Hyperlink"/>
              </w:rPr>
              <w:t>Identification of services</w:t>
            </w:r>
            <w:r>
              <w:rPr>
                <w:webHidden/>
              </w:rPr>
              <w:tab/>
            </w:r>
            <w:r>
              <w:rPr>
                <w:webHidden/>
              </w:rPr>
              <w:fldChar w:fldCharType="begin"/>
            </w:r>
            <w:r>
              <w:rPr>
                <w:webHidden/>
              </w:rPr>
              <w:instrText xml:space="preserve"> PAGEREF _Toc45704345 \h </w:instrText>
            </w:r>
            <w:r>
              <w:rPr>
                <w:webHidden/>
              </w:rPr>
            </w:r>
            <w:r>
              <w:rPr>
                <w:webHidden/>
              </w:rPr>
              <w:fldChar w:fldCharType="separate"/>
            </w:r>
            <w:r>
              <w:rPr>
                <w:webHidden/>
              </w:rPr>
              <w:t>39</w:t>
            </w:r>
            <w:r>
              <w:rPr>
                <w:webHidden/>
              </w:rPr>
              <w:fldChar w:fldCharType="end"/>
            </w:r>
          </w:hyperlink>
        </w:p>
        <w:p w14:paraId="0F2782D2" w14:textId="582483C8" w:rsidR="00277F6E" w:rsidRDefault="00277F6E">
          <w:pPr>
            <w:pStyle w:val="TOC2"/>
            <w:rPr>
              <w:rFonts w:eastAsiaTheme="minorEastAsia" w:cstheme="minorBidi"/>
              <w:bCs w:val="0"/>
              <w:color w:val="auto"/>
              <w:sz w:val="22"/>
              <w:szCs w:val="22"/>
              <w:lang w:eastAsia="ja-JP"/>
            </w:rPr>
          </w:pPr>
          <w:hyperlink w:anchor="_Toc45704346" w:history="1">
            <w:r w:rsidRPr="005A1F95">
              <w:rPr>
                <w:rStyle w:val="Hyperlink"/>
              </w:rPr>
              <w:t>3.7</w:t>
            </w:r>
            <w:r>
              <w:rPr>
                <w:rFonts w:eastAsiaTheme="minorEastAsia" w:cstheme="minorBidi"/>
                <w:bCs w:val="0"/>
                <w:color w:val="auto"/>
                <w:sz w:val="22"/>
                <w:szCs w:val="22"/>
                <w:lang w:eastAsia="ja-JP"/>
              </w:rPr>
              <w:tab/>
            </w:r>
            <w:r w:rsidRPr="005A1F95">
              <w:rPr>
                <w:rStyle w:val="Hyperlink"/>
              </w:rPr>
              <w:t>Cost recovery</w:t>
            </w:r>
            <w:r>
              <w:rPr>
                <w:webHidden/>
              </w:rPr>
              <w:tab/>
            </w:r>
            <w:r>
              <w:rPr>
                <w:webHidden/>
              </w:rPr>
              <w:fldChar w:fldCharType="begin"/>
            </w:r>
            <w:r>
              <w:rPr>
                <w:webHidden/>
              </w:rPr>
              <w:instrText xml:space="preserve"> PAGEREF _Toc45704346 \h </w:instrText>
            </w:r>
            <w:r>
              <w:rPr>
                <w:webHidden/>
              </w:rPr>
            </w:r>
            <w:r>
              <w:rPr>
                <w:webHidden/>
              </w:rPr>
              <w:fldChar w:fldCharType="separate"/>
            </w:r>
            <w:r>
              <w:rPr>
                <w:webHidden/>
              </w:rPr>
              <w:t>40</w:t>
            </w:r>
            <w:r>
              <w:rPr>
                <w:webHidden/>
              </w:rPr>
              <w:fldChar w:fldCharType="end"/>
            </w:r>
          </w:hyperlink>
        </w:p>
        <w:p w14:paraId="79D27293" w14:textId="3494EE15" w:rsidR="00277F6E" w:rsidRDefault="00277F6E">
          <w:pPr>
            <w:pStyle w:val="TOC3"/>
            <w:rPr>
              <w:rFonts w:eastAsiaTheme="minorEastAsia" w:cstheme="minorBidi"/>
              <w:bCs w:val="0"/>
              <w:color w:val="auto"/>
              <w:sz w:val="22"/>
              <w:szCs w:val="22"/>
              <w:lang w:eastAsia="ja-JP"/>
            </w:rPr>
          </w:pPr>
          <w:hyperlink w:anchor="_Toc45704347" w:history="1">
            <w:r w:rsidRPr="005A1F95">
              <w:rPr>
                <w:rStyle w:val="Hyperlink"/>
              </w:rPr>
              <w:t>3.7.1</w:t>
            </w:r>
            <w:r>
              <w:rPr>
                <w:rFonts w:eastAsiaTheme="minorEastAsia" w:cstheme="minorBidi"/>
                <w:bCs w:val="0"/>
                <w:color w:val="auto"/>
                <w:sz w:val="22"/>
                <w:szCs w:val="22"/>
                <w:lang w:eastAsia="ja-JP"/>
              </w:rPr>
              <w:tab/>
            </w:r>
            <w:r w:rsidRPr="005A1F95">
              <w:rPr>
                <w:rStyle w:val="Hyperlink"/>
              </w:rPr>
              <w:t>General principles of cost recovery</w:t>
            </w:r>
            <w:r>
              <w:rPr>
                <w:webHidden/>
              </w:rPr>
              <w:tab/>
            </w:r>
            <w:r>
              <w:rPr>
                <w:webHidden/>
              </w:rPr>
              <w:fldChar w:fldCharType="begin"/>
            </w:r>
            <w:r>
              <w:rPr>
                <w:webHidden/>
              </w:rPr>
              <w:instrText xml:space="preserve"> PAGEREF _Toc45704347 \h </w:instrText>
            </w:r>
            <w:r>
              <w:rPr>
                <w:webHidden/>
              </w:rPr>
            </w:r>
            <w:r>
              <w:rPr>
                <w:webHidden/>
              </w:rPr>
              <w:fldChar w:fldCharType="separate"/>
            </w:r>
            <w:r>
              <w:rPr>
                <w:webHidden/>
              </w:rPr>
              <w:t>40</w:t>
            </w:r>
            <w:r>
              <w:rPr>
                <w:webHidden/>
              </w:rPr>
              <w:fldChar w:fldCharType="end"/>
            </w:r>
          </w:hyperlink>
        </w:p>
        <w:p w14:paraId="19826BC3" w14:textId="37F0697A" w:rsidR="00277F6E" w:rsidRDefault="00277F6E">
          <w:pPr>
            <w:pStyle w:val="TOC3"/>
            <w:rPr>
              <w:rFonts w:eastAsiaTheme="minorEastAsia" w:cstheme="minorBidi"/>
              <w:bCs w:val="0"/>
              <w:color w:val="auto"/>
              <w:sz w:val="22"/>
              <w:szCs w:val="22"/>
              <w:lang w:eastAsia="ja-JP"/>
            </w:rPr>
          </w:pPr>
          <w:hyperlink w:anchor="_Toc45704348" w:history="1">
            <w:r w:rsidRPr="005A1F95">
              <w:rPr>
                <w:rStyle w:val="Hyperlink"/>
              </w:rPr>
              <w:t>3.7.2</w:t>
            </w:r>
            <w:r>
              <w:rPr>
                <w:rFonts w:eastAsiaTheme="minorEastAsia" w:cstheme="minorBidi"/>
                <w:bCs w:val="0"/>
                <w:color w:val="auto"/>
                <w:sz w:val="22"/>
                <w:szCs w:val="22"/>
                <w:lang w:eastAsia="ja-JP"/>
              </w:rPr>
              <w:tab/>
            </w:r>
            <w:r w:rsidRPr="005A1F95">
              <w:rPr>
                <w:rStyle w:val="Hyperlink"/>
              </w:rPr>
              <w:t>Current legislative and regulatory requirements</w:t>
            </w:r>
            <w:r>
              <w:rPr>
                <w:webHidden/>
              </w:rPr>
              <w:tab/>
            </w:r>
            <w:r>
              <w:rPr>
                <w:webHidden/>
              </w:rPr>
              <w:fldChar w:fldCharType="begin"/>
            </w:r>
            <w:r>
              <w:rPr>
                <w:webHidden/>
              </w:rPr>
              <w:instrText xml:space="preserve"> PAGEREF _Toc45704348 \h </w:instrText>
            </w:r>
            <w:r>
              <w:rPr>
                <w:webHidden/>
              </w:rPr>
            </w:r>
            <w:r>
              <w:rPr>
                <w:webHidden/>
              </w:rPr>
              <w:fldChar w:fldCharType="separate"/>
            </w:r>
            <w:r>
              <w:rPr>
                <w:webHidden/>
              </w:rPr>
              <w:t>42</w:t>
            </w:r>
            <w:r>
              <w:rPr>
                <w:webHidden/>
              </w:rPr>
              <w:fldChar w:fldCharType="end"/>
            </w:r>
          </w:hyperlink>
        </w:p>
        <w:p w14:paraId="3B6CE325" w14:textId="6B3E7F7B" w:rsidR="00277F6E" w:rsidRDefault="00277F6E">
          <w:pPr>
            <w:pStyle w:val="TOC3"/>
            <w:rPr>
              <w:rFonts w:eastAsiaTheme="minorEastAsia" w:cstheme="minorBidi"/>
              <w:bCs w:val="0"/>
              <w:color w:val="auto"/>
              <w:sz w:val="22"/>
              <w:szCs w:val="22"/>
              <w:lang w:eastAsia="ja-JP"/>
            </w:rPr>
          </w:pPr>
          <w:hyperlink w:anchor="_Toc45704349" w:history="1">
            <w:r w:rsidRPr="005A1F95">
              <w:rPr>
                <w:rStyle w:val="Hyperlink"/>
              </w:rPr>
              <w:t>3.7.3</w:t>
            </w:r>
            <w:r>
              <w:rPr>
                <w:rFonts w:eastAsiaTheme="minorEastAsia" w:cstheme="minorBidi"/>
                <w:bCs w:val="0"/>
                <w:color w:val="auto"/>
                <w:sz w:val="22"/>
                <w:szCs w:val="22"/>
                <w:lang w:eastAsia="ja-JP"/>
              </w:rPr>
              <w:tab/>
            </w:r>
            <w:r w:rsidRPr="005A1F95">
              <w:rPr>
                <w:rStyle w:val="Hyperlink"/>
              </w:rPr>
              <w:t>Estimating the efficient costs of bus safety regulation</w:t>
            </w:r>
            <w:r>
              <w:rPr>
                <w:webHidden/>
              </w:rPr>
              <w:tab/>
            </w:r>
            <w:r>
              <w:rPr>
                <w:webHidden/>
              </w:rPr>
              <w:fldChar w:fldCharType="begin"/>
            </w:r>
            <w:r>
              <w:rPr>
                <w:webHidden/>
              </w:rPr>
              <w:instrText xml:space="preserve"> PAGEREF _Toc45704349 \h </w:instrText>
            </w:r>
            <w:r>
              <w:rPr>
                <w:webHidden/>
              </w:rPr>
            </w:r>
            <w:r>
              <w:rPr>
                <w:webHidden/>
              </w:rPr>
              <w:fldChar w:fldCharType="separate"/>
            </w:r>
            <w:r>
              <w:rPr>
                <w:webHidden/>
              </w:rPr>
              <w:t>42</w:t>
            </w:r>
            <w:r>
              <w:rPr>
                <w:webHidden/>
              </w:rPr>
              <w:fldChar w:fldCharType="end"/>
            </w:r>
          </w:hyperlink>
        </w:p>
        <w:p w14:paraId="5B52CAF8" w14:textId="446C4A62" w:rsidR="00277F6E" w:rsidRDefault="00277F6E">
          <w:pPr>
            <w:pStyle w:val="TOC3"/>
            <w:rPr>
              <w:rFonts w:eastAsiaTheme="minorEastAsia" w:cstheme="minorBidi"/>
              <w:bCs w:val="0"/>
              <w:color w:val="auto"/>
              <w:sz w:val="22"/>
              <w:szCs w:val="22"/>
              <w:lang w:eastAsia="ja-JP"/>
            </w:rPr>
          </w:pPr>
          <w:hyperlink w:anchor="_Toc45704350" w:history="1">
            <w:r w:rsidRPr="005A1F95">
              <w:rPr>
                <w:rStyle w:val="Hyperlink"/>
              </w:rPr>
              <w:t>3.7.4</w:t>
            </w:r>
            <w:r>
              <w:rPr>
                <w:rFonts w:eastAsiaTheme="minorEastAsia" w:cstheme="minorBidi"/>
                <w:bCs w:val="0"/>
                <w:color w:val="auto"/>
                <w:sz w:val="22"/>
                <w:szCs w:val="22"/>
                <w:lang w:eastAsia="ja-JP"/>
              </w:rPr>
              <w:tab/>
            </w:r>
            <w:r w:rsidRPr="005A1F95">
              <w:rPr>
                <w:rStyle w:val="Hyperlink"/>
              </w:rPr>
              <w:t>The base case</w:t>
            </w:r>
            <w:r>
              <w:rPr>
                <w:webHidden/>
              </w:rPr>
              <w:tab/>
            </w:r>
            <w:r>
              <w:rPr>
                <w:webHidden/>
              </w:rPr>
              <w:fldChar w:fldCharType="begin"/>
            </w:r>
            <w:r>
              <w:rPr>
                <w:webHidden/>
              </w:rPr>
              <w:instrText xml:space="preserve"> PAGEREF _Toc45704350 \h </w:instrText>
            </w:r>
            <w:r>
              <w:rPr>
                <w:webHidden/>
              </w:rPr>
            </w:r>
            <w:r>
              <w:rPr>
                <w:webHidden/>
              </w:rPr>
              <w:fldChar w:fldCharType="separate"/>
            </w:r>
            <w:r>
              <w:rPr>
                <w:webHidden/>
              </w:rPr>
              <w:t>45</w:t>
            </w:r>
            <w:r>
              <w:rPr>
                <w:webHidden/>
              </w:rPr>
              <w:fldChar w:fldCharType="end"/>
            </w:r>
          </w:hyperlink>
        </w:p>
        <w:p w14:paraId="124185B5" w14:textId="0EA62FAF" w:rsidR="00277F6E" w:rsidRDefault="00277F6E">
          <w:pPr>
            <w:pStyle w:val="TOC1"/>
            <w:rPr>
              <w:rFonts w:asciiTheme="minorHAnsi" w:eastAsiaTheme="minorEastAsia" w:hAnsiTheme="minorHAnsi" w:cstheme="minorBidi"/>
              <w:b w:val="0"/>
              <w:bCs w:val="0"/>
              <w:color w:val="auto"/>
              <w:sz w:val="22"/>
              <w:szCs w:val="22"/>
              <w:lang w:eastAsia="ja-JP"/>
            </w:rPr>
          </w:pPr>
          <w:hyperlink w:anchor="_Toc45704351" w:history="1">
            <w:r w:rsidRPr="005A1F95">
              <w:rPr>
                <w:rStyle w:val="Hyperlink"/>
              </w:rPr>
              <w:t>4</w:t>
            </w:r>
            <w:r>
              <w:rPr>
                <w:rFonts w:asciiTheme="minorHAnsi" w:eastAsiaTheme="minorEastAsia" w:hAnsiTheme="minorHAnsi" w:cstheme="minorBidi"/>
                <w:b w:val="0"/>
                <w:bCs w:val="0"/>
                <w:color w:val="auto"/>
                <w:sz w:val="22"/>
                <w:szCs w:val="22"/>
                <w:lang w:eastAsia="ja-JP"/>
              </w:rPr>
              <w:tab/>
            </w:r>
            <w:r w:rsidRPr="005A1F95">
              <w:rPr>
                <w:rStyle w:val="Hyperlink"/>
              </w:rPr>
              <w:t>Objectives</w:t>
            </w:r>
            <w:r>
              <w:rPr>
                <w:webHidden/>
              </w:rPr>
              <w:tab/>
            </w:r>
            <w:r>
              <w:rPr>
                <w:webHidden/>
              </w:rPr>
              <w:fldChar w:fldCharType="begin"/>
            </w:r>
            <w:r>
              <w:rPr>
                <w:webHidden/>
              </w:rPr>
              <w:instrText xml:space="preserve"> PAGEREF _Toc45704351 \h </w:instrText>
            </w:r>
            <w:r>
              <w:rPr>
                <w:webHidden/>
              </w:rPr>
            </w:r>
            <w:r>
              <w:rPr>
                <w:webHidden/>
              </w:rPr>
              <w:fldChar w:fldCharType="separate"/>
            </w:r>
            <w:r>
              <w:rPr>
                <w:webHidden/>
              </w:rPr>
              <w:t>47</w:t>
            </w:r>
            <w:r>
              <w:rPr>
                <w:webHidden/>
              </w:rPr>
              <w:fldChar w:fldCharType="end"/>
            </w:r>
          </w:hyperlink>
        </w:p>
        <w:p w14:paraId="76B31CA9" w14:textId="60180BE4" w:rsidR="00277F6E" w:rsidRDefault="00277F6E">
          <w:pPr>
            <w:pStyle w:val="TOC1"/>
            <w:rPr>
              <w:rFonts w:asciiTheme="minorHAnsi" w:eastAsiaTheme="minorEastAsia" w:hAnsiTheme="minorHAnsi" w:cstheme="minorBidi"/>
              <w:b w:val="0"/>
              <w:bCs w:val="0"/>
              <w:color w:val="auto"/>
              <w:sz w:val="22"/>
              <w:szCs w:val="22"/>
              <w:lang w:eastAsia="ja-JP"/>
            </w:rPr>
          </w:pPr>
          <w:hyperlink w:anchor="_Toc45704352" w:history="1">
            <w:r w:rsidRPr="005A1F95">
              <w:rPr>
                <w:rStyle w:val="Hyperlink"/>
              </w:rPr>
              <w:t>5</w:t>
            </w:r>
            <w:r>
              <w:rPr>
                <w:rFonts w:asciiTheme="minorHAnsi" w:eastAsiaTheme="minorEastAsia" w:hAnsiTheme="minorHAnsi" w:cstheme="minorBidi"/>
                <w:b w:val="0"/>
                <w:bCs w:val="0"/>
                <w:color w:val="auto"/>
                <w:sz w:val="22"/>
                <w:szCs w:val="22"/>
                <w:lang w:eastAsia="ja-JP"/>
              </w:rPr>
              <w:tab/>
            </w:r>
            <w:r w:rsidRPr="005A1F95">
              <w:rPr>
                <w:rStyle w:val="Hyperlink"/>
              </w:rPr>
              <w:t>The base case</w:t>
            </w:r>
            <w:r>
              <w:rPr>
                <w:webHidden/>
              </w:rPr>
              <w:tab/>
            </w:r>
            <w:r>
              <w:rPr>
                <w:webHidden/>
              </w:rPr>
              <w:fldChar w:fldCharType="begin"/>
            </w:r>
            <w:r>
              <w:rPr>
                <w:webHidden/>
              </w:rPr>
              <w:instrText xml:space="preserve"> PAGEREF _Toc45704352 \h </w:instrText>
            </w:r>
            <w:r>
              <w:rPr>
                <w:webHidden/>
              </w:rPr>
            </w:r>
            <w:r>
              <w:rPr>
                <w:webHidden/>
              </w:rPr>
              <w:fldChar w:fldCharType="separate"/>
            </w:r>
            <w:r>
              <w:rPr>
                <w:webHidden/>
              </w:rPr>
              <w:t>48</w:t>
            </w:r>
            <w:r>
              <w:rPr>
                <w:webHidden/>
              </w:rPr>
              <w:fldChar w:fldCharType="end"/>
            </w:r>
          </w:hyperlink>
        </w:p>
        <w:p w14:paraId="505F6A2B" w14:textId="27AF7149" w:rsidR="00277F6E" w:rsidRDefault="00277F6E">
          <w:pPr>
            <w:pStyle w:val="TOC1"/>
            <w:rPr>
              <w:rFonts w:asciiTheme="minorHAnsi" w:eastAsiaTheme="minorEastAsia" w:hAnsiTheme="minorHAnsi" w:cstheme="minorBidi"/>
              <w:b w:val="0"/>
              <w:bCs w:val="0"/>
              <w:color w:val="auto"/>
              <w:sz w:val="22"/>
              <w:szCs w:val="22"/>
              <w:lang w:eastAsia="ja-JP"/>
            </w:rPr>
          </w:pPr>
          <w:hyperlink w:anchor="_Toc45704353" w:history="1">
            <w:r w:rsidRPr="005A1F95">
              <w:rPr>
                <w:rStyle w:val="Hyperlink"/>
              </w:rPr>
              <w:t>6</w:t>
            </w:r>
            <w:r>
              <w:rPr>
                <w:rFonts w:asciiTheme="minorHAnsi" w:eastAsiaTheme="minorEastAsia" w:hAnsiTheme="minorHAnsi" w:cstheme="minorBidi"/>
                <w:b w:val="0"/>
                <w:bCs w:val="0"/>
                <w:color w:val="auto"/>
                <w:sz w:val="22"/>
                <w:szCs w:val="22"/>
                <w:lang w:eastAsia="ja-JP"/>
              </w:rPr>
              <w:tab/>
            </w:r>
            <w:r w:rsidRPr="005A1F95">
              <w:rPr>
                <w:rStyle w:val="Hyperlink"/>
              </w:rPr>
              <w:t>Identification of feasible options</w:t>
            </w:r>
            <w:r>
              <w:rPr>
                <w:webHidden/>
              </w:rPr>
              <w:tab/>
            </w:r>
            <w:r>
              <w:rPr>
                <w:webHidden/>
              </w:rPr>
              <w:fldChar w:fldCharType="begin"/>
            </w:r>
            <w:r>
              <w:rPr>
                <w:webHidden/>
              </w:rPr>
              <w:instrText xml:space="preserve"> PAGEREF _Toc45704353 \h </w:instrText>
            </w:r>
            <w:r>
              <w:rPr>
                <w:webHidden/>
              </w:rPr>
            </w:r>
            <w:r>
              <w:rPr>
                <w:webHidden/>
              </w:rPr>
              <w:fldChar w:fldCharType="separate"/>
            </w:r>
            <w:r>
              <w:rPr>
                <w:webHidden/>
              </w:rPr>
              <w:t>50</w:t>
            </w:r>
            <w:r>
              <w:rPr>
                <w:webHidden/>
              </w:rPr>
              <w:fldChar w:fldCharType="end"/>
            </w:r>
          </w:hyperlink>
        </w:p>
        <w:p w14:paraId="7778C750" w14:textId="3E5B1ED9" w:rsidR="00277F6E" w:rsidRDefault="00277F6E">
          <w:pPr>
            <w:pStyle w:val="TOC2"/>
            <w:rPr>
              <w:rFonts w:eastAsiaTheme="minorEastAsia" w:cstheme="minorBidi"/>
              <w:bCs w:val="0"/>
              <w:color w:val="auto"/>
              <w:sz w:val="22"/>
              <w:szCs w:val="22"/>
              <w:lang w:eastAsia="ja-JP"/>
            </w:rPr>
          </w:pPr>
          <w:hyperlink w:anchor="_Toc45704354" w:history="1">
            <w:r w:rsidRPr="005A1F95">
              <w:rPr>
                <w:rStyle w:val="Hyperlink"/>
              </w:rPr>
              <w:t>6.1</w:t>
            </w:r>
            <w:r>
              <w:rPr>
                <w:rFonts w:eastAsiaTheme="minorEastAsia" w:cstheme="minorBidi"/>
                <w:bCs w:val="0"/>
                <w:color w:val="auto"/>
                <w:sz w:val="22"/>
                <w:szCs w:val="22"/>
                <w:lang w:eastAsia="ja-JP"/>
              </w:rPr>
              <w:tab/>
            </w:r>
            <w:r w:rsidRPr="005A1F95">
              <w:rPr>
                <w:rStyle w:val="Hyperlink"/>
              </w:rPr>
              <w:t>Vehicle safety</w:t>
            </w:r>
            <w:r>
              <w:rPr>
                <w:webHidden/>
              </w:rPr>
              <w:tab/>
            </w:r>
            <w:r>
              <w:rPr>
                <w:webHidden/>
              </w:rPr>
              <w:fldChar w:fldCharType="begin"/>
            </w:r>
            <w:r>
              <w:rPr>
                <w:webHidden/>
              </w:rPr>
              <w:instrText xml:space="preserve"> PAGEREF _Toc45704354 \h </w:instrText>
            </w:r>
            <w:r>
              <w:rPr>
                <w:webHidden/>
              </w:rPr>
            </w:r>
            <w:r>
              <w:rPr>
                <w:webHidden/>
              </w:rPr>
              <w:fldChar w:fldCharType="separate"/>
            </w:r>
            <w:r>
              <w:rPr>
                <w:webHidden/>
              </w:rPr>
              <w:t>50</w:t>
            </w:r>
            <w:r>
              <w:rPr>
                <w:webHidden/>
              </w:rPr>
              <w:fldChar w:fldCharType="end"/>
            </w:r>
          </w:hyperlink>
        </w:p>
        <w:p w14:paraId="6F834424" w14:textId="69C5717A" w:rsidR="00277F6E" w:rsidRDefault="00277F6E">
          <w:pPr>
            <w:pStyle w:val="TOC3"/>
            <w:rPr>
              <w:rFonts w:eastAsiaTheme="minorEastAsia" w:cstheme="minorBidi"/>
              <w:bCs w:val="0"/>
              <w:color w:val="auto"/>
              <w:sz w:val="22"/>
              <w:szCs w:val="22"/>
              <w:lang w:eastAsia="ja-JP"/>
            </w:rPr>
          </w:pPr>
          <w:hyperlink w:anchor="_Toc45704355" w:history="1">
            <w:r w:rsidRPr="005A1F95">
              <w:rPr>
                <w:rStyle w:val="Hyperlink"/>
              </w:rPr>
              <w:t>6.1.1</w:t>
            </w:r>
            <w:r>
              <w:rPr>
                <w:rFonts w:eastAsiaTheme="minorEastAsia" w:cstheme="minorBidi"/>
                <w:bCs w:val="0"/>
                <w:color w:val="auto"/>
                <w:sz w:val="22"/>
                <w:szCs w:val="22"/>
                <w:lang w:eastAsia="ja-JP"/>
              </w:rPr>
              <w:tab/>
            </w:r>
            <w:r w:rsidRPr="005A1F95">
              <w:rPr>
                <w:rStyle w:val="Hyperlink"/>
              </w:rPr>
              <w:t>Bus standards</w:t>
            </w:r>
            <w:r>
              <w:rPr>
                <w:webHidden/>
              </w:rPr>
              <w:tab/>
            </w:r>
            <w:r>
              <w:rPr>
                <w:webHidden/>
              </w:rPr>
              <w:fldChar w:fldCharType="begin"/>
            </w:r>
            <w:r>
              <w:rPr>
                <w:webHidden/>
              </w:rPr>
              <w:instrText xml:space="preserve"> PAGEREF _Toc45704355 \h </w:instrText>
            </w:r>
            <w:r>
              <w:rPr>
                <w:webHidden/>
              </w:rPr>
            </w:r>
            <w:r>
              <w:rPr>
                <w:webHidden/>
              </w:rPr>
              <w:fldChar w:fldCharType="separate"/>
            </w:r>
            <w:r>
              <w:rPr>
                <w:webHidden/>
              </w:rPr>
              <w:t>50</w:t>
            </w:r>
            <w:r>
              <w:rPr>
                <w:webHidden/>
              </w:rPr>
              <w:fldChar w:fldCharType="end"/>
            </w:r>
          </w:hyperlink>
        </w:p>
        <w:p w14:paraId="19DA117E" w14:textId="7FD82C2B" w:rsidR="00277F6E" w:rsidRDefault="00277F6E">
          <w:pPr>
            <w:pStyle w:val="TOC3"/>
            <w:rPr>
              <w:rFonts w:eastAsiaTheme="minorEastAsia" w:cstheme="minorBidi"/>
              <w:bCs w:val="0"/>
              <w:color w:val="auto"/>
              <w:sz w:val="22"/>
              <w:szCs w:val="22"/>
              <w:lang w:eastAsia="ja-JP"/>
            </w:rPr>
          </w:pPr>
          <w:hyperlink w:anchor="_Toc45704356" w:history="1">
            <w:r w:rsidRPr="005A1F95">
              <w:rPr>
                <w:rStyle w:val="Hyperlink"/>
              </w:rPr>
              <w:t>6.1.2</w:t>
            </w:r>
            <w:r>
              <w:rPr>
                <w:rFonts w:eastAsiaTheme="minorEastAsia" w:cstheme="minorBidi"/>
                <w:bCs w:val="0"/>
                <w:color w:val="auto"/>
                <w:sz w:val="22"/>
                <w:szCs w:val="22"/>
                <w:lang w:eastAsia="ja-JP"/>
              </w:rPr>
              <w:tab/>
            </w:r>
            <w:r w:rsidRPr="005A1F95">
              <w:rPr>
                <w:rStyle w:val="Hyperlink"/>
              </w:rPr>
              <w:t>Requirements for maintaining vehicle safety</w:t>
            </w:r>
            <w:r>
              <w:rPr>
                <w:webHidden/>
              </w:rPr>
              <w:tab/>
            </w:r>
            <w:r>
              <w:rPr>
                <w:webHidden/>
              </w:rPr>
              <w:fldChar w:fldCharType="begin"/>
            </w:r>
            <w:r>
              <w:rPr>
                <w:webHidden/>
              </w:rPr>
              <w:instrText xml:space="preserve"> PAGEREF _Toc45704356 \h </w:instrText>
            </w:r>
            <w:r>
              <w:rPr>
                <w:webHidden/>
              </w:rPr>
            </w:r>
            <w:r>
              <w:rPr>
                <w:webHidden/>
              </w:rPr>
              <w:fldChar w:fldCharType="separate"/>
            </w:r>
            <w:r>
              <w:rPr>
                <w:webHidden/>
              </w:rPr>
              <w:t>51</w:t>
            </w:r>
            <w:r>
              <w:rPr>
                <w:webHidden/>
              </w:rPr>
              <w:fldChar w:fldCharType="end"/>
            </w:r>
          </w:hyperlink>
        </w:p>
        <w:p w14:paraId="5DDDBE5A" w14:textId="467EBD70" w:rsidR="00277F6E" w:rsidRDefault="00277F6E">
          <w:pPr>
            <w:pStyle w:val="TOC2"/>
            <w:rPr>
              <w:rFonts w:eastAsiaTheme="minorEastAsia" w:cstheme="minorBidi"/>
              <w:bCs w:val="0"/>
              <w:color w:val="auto"/>
              <w:sz w:val="22"/>
              <w:szCs w:val="22"/>
              <w:lang w:eastAsia="ja-JP"/>
            </w:rPr>
          </w:pPr>
          <w:hyperlink w:anchor="_Toc45704357" w:history="1">
            <w:r w:rsidRPr="005A1F95">
              <w:rPr>
                <w:rStyle w:val="Hyperlink"/>
              </w:rPr>
              <w:t>6.2</w:t>
            </w:r>
            <w:r>
              <w:rPr>
                <w:rFonts w:eastAsiaTheme="minorEastAsia" w:cstheme="minorBidi"/>
                <w:bCs w:val="0"/>
                <w:color w:val="auto"/>
                <w:sz w:val="22"/>
                <w:szCs w:val="22"/>
                <w:lang w:eastAsia="ja-JP"/>
              </w:rPr>
              <w:tab/>
            </w:r>
            <w:r w:rsidRPr="005A1F95">
              <w:rPr>
                <w:rStyle w:val="Hyperlink"/>
              </w:rPr>
              <w:t>Safety of bus operations</w:t>
            </w:r>
            <w:r>
              <w:rPr>
                <w:webHidden/>
              </w:rPr>
              <w:tab/>
            </w:r>
            <w:r>
              <w:rPr>
                <w:webHidden/>
              </w:rPr>
              <w:fldChar w:fldCharType="begin"/>
            </w:r>
            <w:r>
              <w:rPr>
                <w:webHidden/>
              </w:rPr>
              <w:instrText xml:space="preserve"> PAGEREF _Toc45704357 \h </w:instrText>
            </w:r>
            <w:r>
              <w:rPr>
                <w:webHidden/>
              </w:rPr>
            </w:r>
            <w:r>
              <w:rPr>
                <w:webHidden/>
              </w:rPr>
              <w:fldChar w:fldCharType="separate"/>
            </w:r>
            <w:r>
              <w:rPr>
                <w:webHidden/>
              </w:rPr>
              <w:t>56</w:t>
            </w:r>
            <w:r>
              <w:rPr>
                <w:webHidden/>
              </w:rPr>
              <w:fldChar w:fldCharType="end"/>
            </w:r>
          </w:hyperlink>
        </w:p>
        <w:p w14:paraId="1EDC69A6" w14:textId="5FBF89B9" w:rsidR="00277F6E" w:rsidRDefault="00277F6E">
          <w:pPr>
            <w:pStyle w:val="TOC3"/>
            <w:rPr>
              <w:rFonts w:eastAsiaTheme="minorEastAsia" w:cstheme="minorBidi"/>
              <w:bCs w:val="0"/>
              <w:color w:val="auto"/>
              <w:sz w:val="22"/>
              <w:szCs w:val="22"/>
              <w:lang w:eastAsia="ja-JP"/>
            </w:rPr>
          </w:pPr>
          <w:hyperlink w:anchor="_Toc45704358" w:history="1">
            <w:r w:rsidRPr="005A1F95">
              <w:rPr>
                <w:rStyle w:val="Hyperlink"/>
              </w:rPr>
              <w:t>6.2.1</w:t>
            </w:r>
            <w:r>
              <w:rPr>
                <w:rFonts w:eastAsiaTheme="minorEastAsia" w:cstheme="minorBidi"/>
                <w:bCs w:val="0"/>
                <w:color w:val="auto"/>
                <w:sz w:val="22"/>
                <w:szCs w:val="22"/>
                <w:lang w:eastAsia="ja-JP"/>
              </w:rPr>
              <w:tab/>
            </w:r>
            <w:r w:rsidRPr="005A1F95">
              <w:rPr>
                <w:rStyle w:val="Hyperlink"/>
              </w:rPr>
              <w:t>Safety systems for bus operations</w:t>
            </w:r>
            <w:r>
              <w:rPr>
                <w:webHidden/>
              </w:rPr>
              <w:tab/>
            </w:r>
            <w:r>
              <w:rPr>
                <w:webHidden/>
              </w:rPr>
              <w:fldChar w:fldCharType="begin"/>
            </w:r>
            <w:r>
              <w:rPr>
                <w:webHidden/>
              </w:rPr>
              <w:instrText xml:space="preserve"> PAGEREF _Toc45704358 \h </w:instrText>
            </w:r>
            <w:r>
              <w:rPr>
                <w:webHidden/>
              </w:rPr>
            </w:r>
            <w:r>
              <w:rPr>
                <w:webHidden/>
              </w:rPr>
              <w:fldChar w:fldCharType="separate"/>
            </w:r>
            <w:r>
              <w:rPr>
                <w:webHidden/>
              </w:rPr>
              <w:t>56</w:t>
            </w:r>
            <w:r>
              <w:rPr>
                <w:webHidden/>
              </w:rPr>
              <w:fldChar w:fldCharType="end"/>
            </w:r>
          </w:hyperlink>
        </w:p>
        <w:p w14:paraId="08CDCED0" w14:textId="1AE0D4E0" w:rsidR="00277F6E" w:rsidRDefault="00277F6E">
          <w:pPr>
            <w:pStyle w:val="TOC3"/>
            <w:rPr>
              <w:rFonts w:eastAsiaTheme="minorEastAsia" w:cstheme="minorBidi"/>
              <w:bCs w:val="0"/>
              <w:color w:val="auto"/>
              <w:sz w:val="22"/>
              <w:szCs w:val="22"/>
              <w:lang w:eastAsia="ja-JP"/>
            </w:rPr>
          </w:pPr>
          <w:hyperlink w:anchor="_Toc45704359" w:history="1">
            <w:r w:rsidRPr="005A1F95">
              <w:rPr>
                <w:rStyle w:val="Hyperlink"/>
              </w:rPr>
              <w:t>6.2.2</w:t>
            </w:r>
            <w:r>
              <w:rPr>
                <w:rFonts w:eastAsiaTheme="minorEastAsia" w:cstheme="minorBidi"/>
                <w:bCs w:val="0"/>
                <w:color w:val="auto"/>
                <w:sz w:val="22"/>
                <w:szCs w:val="22"/>
                <w:lang w:eastAsia="ja-JP"/>
              </w:rPr>
              <w:tab/>
            </w:r>
            <w:r w:rsidRPr="005A1F95">
              <w:rPr>
                <w:rStyle w:val="Hyperlink"/>
              </w:rPr>
              <w:t>Maximum number of passengers</w:t>
            </w:r>
            <w:r>
              <w:rPr>
                <w:webHidden/>
              </w:rPr>
              <w:tab/>
            </w:r>
            <w:r>
              <w:rPr>
                <w:webHidden/>
              </w:rPr>
              <w:fldChar w:fldCharType="begin"/>
            </w:r>
            <w:r>
              <w:rPr>
                <w:webHidden/>
              </w:rPr>
              <w:instrText xml:space="preserve"> PAGEREF _Toc45704359 \h </w:instrText>
            </w:r>
            <w:r>
              <w:rPr>
                <w:webHidden/>
              </w:rPr>
            </w:r>
            <w:r>
              <w:rPr>
                <w:webHidden/>
              </w:rPr>
              <w:fldChar w:fldCharType="separate"/>
            </w:r>
            <w:r>
              <w:rPr>
                <w:webHidden/>
              </w:rPr>
              <w:t>59</w:t>
            </w:r>
            <w:r>
              <w:rPr>
                <w:webHidden/>
              </w:rPr>
              <w:fldChar w:fldCharType="end"/>
            </w:r>
          </w:hyperlink>
        </w:p>
        <w:p w14:paraId="5A83BC4E" w14:textId="0B768F9F" w:rsidR="00277F6E" w:rsidRDefault="00277F6E">
          <w:pPr>
            <w:pStyle w:val="TOC3"/>
            <w:rPr>
              <w:rFonts w:eastAsiaTheme="minorEastAsia" w:cstheme="minorBidi"/>
              <w:bCs w:val="0"/>
              <w:color w:val="auto"/>
              <w:sz w:val="22"/>
              <w:szCs w:val="22"/>
              <w:lang w:eastAsia="ja-JP"/>
            </w:rPr>
          </w:pPr>
          <w:hyperlink w:anchor="_Toc45704360" w:history="1">
            <w:r w:rsidRPr="005A1F95">
              <w:rPr>
                <w:rStyle w:val="Hyperlink"/>
              </w:rPr>
              <w:t>6.2.3</w:t>
            </w:r>
            <w:r>
              <w:rPr>
                <w:rFonts w:eastAsiaTheme="minorEastAsia" w:cstheme="minorBidi"/>
                <w:bCs w:val="0"/>
                <w:color w:val="auto"/>
                <w:sz w:val="22"/>
                <w:szCs w:val="22"/>
                <w:lang w:eastAsia="ja-JP"/>
              </w:rPr>
              <w:tab/>
            </w:r>
            <w:r w:rsidRPr="005A1F95">
              <w:rPr>
                <w:rStyle w:val="Hyperlink"/>
              </w:rPr>
              <w:t>Alcohol and other drugs</w:t>
            </w:r>
            <w:r>
              <w:rPr>
                <w:webHidden/>
              </w:rPr>
              <w:tab/>
            </w:r>
            <w:r>
              <w:rPr>
                <w:webHidden/>
              </w:rPr>
              <w:fldChar w:fldCharType="begin"/>
            </w:r>
            <w:r>
              <w:rPr>
                <w:webHidden/>
              </w:rPr>
              <w:instrText xml:space="preserve"> PAGEREF _Toc45704360 \h </w:instrText>
            </w:r>
            <w:r>
              <w:rPr>
                <w:webHidden/>
              </w:rPr>
            </w:r>
            <w:r>
              <w:rPr>
                <w:webHidden/>
              </w:rPr>
              <w:fldChar w:fldCharType="separate"/>
            </w:r>
            <w:r>
              <w:rPr>
                <w:webHidden/>
              </w:rPr>
              <w:t>60</w:t>
            </w:r>
            <w:r>
              <w:rPr>
                <w:webHidden/>
              </w:rPr>
              <w:fldChar w:fldCharType="end"/>
            </w:r>
          </w:hyperlink>
        </w:p>
        <w:p w14:paraId="0ADBE5C3" w14:textId="0604EACC" w:rsidR="00277F6E" w:rsidRDefault="00277F6E">
          <w:pPr>
            <w:pStyle w:val="TOC3"/>
            <w:rPr>
              <w:rFonts w:eastAsiaTheme="minorEastAsia" w:cstheme="minorBidi"/>
              <w:bCs w:val="0"/>
              <w:color w:val="auto"/>
              <w:sz w:val="22"/>
              <w:szCs w:val="22"/>
              <w:lang w:eastAsia="ja-JP"/>
            </w:rPr>
          </w:pPr>
          <w:hyperlink w:anchor="_Toc45704361" w:history="1">
            <w:r w:rsidRPr="005A1F95">
              <w:rPr>
                <w:rStyle w:val="Hyperlink"/>
              </w:rPr>
              <w:t>6.2.4</w:t>
            </w:r>
            <w:r>
              <w:rPr>
                <w:rFonts w:eastAsiaTheme="minorEastAsia" w:cstheme="minorBidi"/>
                <w:bCs w:val="0"/>
                <w:color w:val="auto"/>
                <w:sz w:val="22"/>
                <w:szCs w:val="22"/>
                <w:lang w:eastAsia="ja-JP"/>
              </w:rPr>
              <w:tab/>
            </w:r>
            <w:r w:rsidRPr="005A1F95">
              <w:rPr>
                <w:rStyle w:val="Hyperlink"/>
              </w:rPr>
              <w:t>School buses</w:t>
            </w:r>
            <w:r>
              <w:rPr>
                <w:webHidden/>
              </w:rPr>
              <w:tab/>
            </w:r>
            <w:r>
              <w:rPr>
                <w:webHidden/>
              </w:rPr>
              <w:fldChar w:fldCharType="begin"/>
            </w:r>
            <w:r>
              <w:rPr>
                <w:webHidden/>
              </w:rPr>
              <w:instrText xml:space="preserve"> PAGEREF _Toc45704361 \h </w:instrText>
            </w:r>
            <w:r>
              <w:rPr>
                <w:webHidden/>
              </w:rPr>
            </w:r>
            <w:r>
              <w:rPr>
                <w:webHidden/>
              </w:rPr>
              <w:fldChar w:fldCharType="separate"/>
            </w:r>
            <w:r>
              <w:rPr>
                <w:webHidden/>
              </w:rPr>
              <w:t>61</w:t>
            </w:r>
            <w:r>
              <w:rPr>
                <w:webHidden/>
              </w:rPr>
              <w:fldChar w:fldCharType="end"/>
            </w:r>
          </w:hyperlink>
        </w:p>
        <w:p w14:paraId="310A331F" w14:textId="4B362A9C" w:rsidR="00277F6E" w:rsidRDefault="00277F6E">
          <w:pPr>
            <w:pStyle w:val="TOC2"/>
            <w:rPr>
              <w:rFonts w:eastAsiaTheme="minorEastAsia" w:cstheme="minorBidi"/>
              <w:bCs w:val="0"/>
              <w:color w:val="auto"/>
              <w:sz w:val="22"/>
              <w:szCs w:val="22"/>
              <w:lang w:eastAsia="ja-JP"/>
            </w:rPr>
          </w:pPr>
          <w:hyperlink w:anchor="_Toc45704362" w:history="1">
            <w:r w:rsidRPr="005A1F95">
              <w:rPr>
                <w:rStyle w:val="Hyperlink"/>
              </w:rPr>
              <w:t>6.3</w:t>
            </w:r>
            <w:r>
              <w:rPr>
                <w:rFonts w:eastAsiaTheme="minorEastAsia" w:cstheme="minorBidi"/>
                <w:bCs w:val="0"/>
                <w:color w:val="auto"/>
                <w:sz w:val="22"/>
                <w:szCs w:val="22"/>
                <w:lang w:eastAsia="ja-JP"/>
              </w:rPr>
              <w:tab/>
            </w:r>
            <w:r w:rsidRPr="005A1F95">
              <w:rPr>
                <w:rStyle w:val="Hyperlink"/>
              </w:rPr>
              <w:t>Notifiable incidents</w:t>
            </w:r>
            <w:r>
              <w:rPr>
                <w:webHidden/>
              </w:rPr>
              <w:tab/>
            </w:r>
            <w:r>
              <w:rPr>
                <w:webHidden/>
              </w:rPr>
              <w:fldChar w:fldCharType="begin"/>
            </w:r>
            <w:r>
              <w:rPr>
                <w:webHidden/>
              </w:rPr>
              <w:instrText xml:space="preserve"> PAGEREF _Toc45704362 \h </w:instrText>
            </w:r>
            <w:r>
              <w:rPr>
                <w:webHidden/>
              </w:rPr>
            </w:r>
            <w:r>
              <w:rPr>
                <w:webHidden/>
              </w:rPr>
              <w:fldChar w:fldCharType="separate"/>
            </w:r>
            <w:r>
              <w:rPr>
                <w:webHidden/>
              </w:rPr>
              <w:t>62</w:t>
            </w:r>
            <w:r>
              <w:rPr>
                <w:webHidden/>
              </w:rPr>
              <w:fldChar w:fldCharType="end"/>
            </w:r>
          </w:hyperlink>
        </w:p>
        <w:p w14:paraId="6F57F876" w14:textId="38D8B294" w:rsidR="00277F6E" w:rsidRDefault="00277F6E">
          <w:pPr>
            <w:pStyle w:val="TOC2"/>
            <w:rPr>
              <w:rFonts w:eastAsiaTheme="minorEastAsia" w:cstheme="minorBidi"/>
              <w:bCs w:val="0"/>
              <w:color w:val="auto"/>
              <w:sz w:val="22"/>
              <w:szCs w:val="22"/>
              <w:lang w:eastAsia="ja-JP"/>
            </w:rPr>
          </w:pPr>
          <w:hyperlink w:anchor="_Toc45704363" w:history="1">
            <w:r w:rsidRPr="005A1F95">
              <w:rPr>
                <w:rStyle w:val="Hyperlink"/>
              </w:rPr>
              <w:t>6.4</w:t>
            </w:r>
            <w:r>
              <w:rPr>
                <w:rFonts w:eastAsiaTheme="minorEastAsia" w:cstheme="minorBidi"/>
                <w:bCs w:val="0"/>
                <w:color w:val="auto"/>
                <w:sz w:val="22"/>
                <w:szCs w:val="22"/>
                <w:lang w:eastAsia="ja-JP"/>
              </w:rPr>
              <w:tab/>
            </w:r>
            <w:r w:rsidRPr="005A1F95">
              <w:rPr>
                <w:rStyle w:val="Hyperlink"/>
              </w:rPr>
              <w:t>Bus incident investigation</w:t>
            </w:r>
            <w:r>
              <w:rPr>
                <w:webHidden/>
              </w:rPr>
              <w:tab/>
            </w:r>
            <w:r>
              <w:rPr>
                <w:webHidden/>
              </w:rPr>
              <w:fldChar w:fldCharType="begin"/>
            </w:r>
            <w:r>
              <w:rPr>
                <w:webHidden/>
              </w:rPr>
              <w:instrText xml:space="preserve"> PAGEREF _Toc45704363 \h </w:instrText>
            </w:r>
            <w:r>
              <w:rPr>
                <w:webHidden/>
              </w:rPr>
            </w:r>
            <w:r>
              <w:rPr>
                <w:webHidden/>
              </w:rPr>
              <w:fldChar w:fldCharType="separate"/>
            </w:r>
            <w:r>
              <w:rPr>
                <w:webHidden/>
              </w:rPr>
              <w:t>64</w:t>
            </w:r>
            <w:r>
              <w:rPr>
                <w:webHidden/>
              </w:rPr>
              <w:fldChar w:fldCharType="end"/>
            </w:r>
          </w:hyperlink>
        </w:p>
        <w:p w14:paraId="1CE3BCA8" w14:textId="628B56AF" w:rsidR="00277F6E" w:rsidRDefault="00277F6E">
          <w:pPr>
            <w:pStyle w:val="TOC2"/>
            <w:rPr>
              <w:rFonts w:eastAsiaTheme="minorEastAsia" w:cstheme="minorBidi"/>
              <w:bCs w:val="0"/>
              <w:color w:val="auto"/>
              <w:sz w:val="22"/>
              <w:szCs w:val="22"/>
              <w:lang w:eastAsia="ja-JP"/>
            </w:rPr>
          </w:pPr>
          <w:hyperlink w:anchor="_Toc45704364" w:history="1">
            <w:r w:rsidRPr="005A1F95">
              <w:rPr>
                <w:rStyle w:val="Hyperlink"/>
              </w:rPr>
              <w:t>6.5</w:t>
            </w:r>
            <w:r>
              <w:rPr>
                <w:rFonts w:eastAsiaTheme="minorEastAsia" w:cstheme="minorBidi"/>
                <w:bCs w:val="0"/>
                <w:color w:val="auto"/>
                <w:sz w:val="22"/>
                <w:szCs w:val="22"/>
                <w:lang w:eastAsia="ja-JP"/>
              </w:rPr>
              <w:tab/>
            </w:r>
            <w:r w:rsidRPr="005A1F95">
              <w:rPr>
                <w:rStyle w:val="Hyperlink"/>
              </w:rPr>
              <w:t>Requirements of accreditation and registration</w:t>
            </w:r>
            <w:r>
              <w:rPr>
                <w:webHidden/>
              </w:rPr>
              <w:tab/>
            </w:r>
            <w:r>
              <w:rPr>
                <w:webHidden/>
              </w:rPr>
              <w:fldChar w:fldCharType="begin"/>
            </w:r>
            <w:r>
              <w:rPr>
                <w:webHidden/>
              </w:rPr>
              <w:instrText xml:space="preserve"> PAGEREF _Toc45704364 \h </w:instrText>
            </w:r>
            <w:r>
              <w:rPr>
                <w:webHidden/>
              </w:rPr>
            </w:r>
            <w:r>
              <w:rPr>
                <w:webHidden/>
              </w:rPr>
              <w:fldChar w:fldCharType="separate"/>
            </w:r>
            <w:r>
              <w:rPr>
                <w:webHidden/>
              </w:rPr>
              <w:t>65</w:t>
            </w:r>
            <w:r>
              <w:rPr>
                <w:webHidden/>
              </w:rPr>
              <w:fldChar w:fldCharType="end"/>
            </w:r>
          </w:hyperlink>
        </w:p>
        <w:p w14:paraId="67C9412F" w14:textId="732D2F7C" w:rsidR="00277F6E" w:rsidRDefault="00277F6E">
          <w:pPr>
            <w:pStyle w:val="TOC2"/>
            <w:rPr>
              <w:rFonts w:eastAsiaTheme="minorEastAsia" w:cstheme="minorBidi"/>
              <w:bCs w:val="0"/>
              <w:color w:val="auto"/>
              <w:sz w:val="22"/>
              <w:szCs w:val="22"/>
              <w:lang w:eastAsia="ja-JP"/>
            </w:rPr>
          </w:pPr>
          <w:hyperlink w:anchor="_Toc45704365" w:history="1">
            <w:r w:rsidRPr="005A1F95">
              <w:rPr>
                <w:rStyle w:val="Hyperlink"/>
              </w:rPr>
              <w:t>6.6</w:t>
            </w:r>
            <w:r>
              <w:rPr>
                <w:rFonts w:eastAsiaTheme="minorEastAsia" w:cstheme="minorBidi"/>
                <w:bCs w:val="0"/>
                <w:color w:val="auto"/>
                <w:sz w:val="22"/>
                <w:szCs w:val="22"/>
                <w:lang w:eastAsia="ja-JP"/>
              </w:rPr>
              <w:tab/>
            </w:r>
            <w:r w:rsidRPr="005A1F95">
              <w:rPr>
                <w:rStyle w:val="Hyperlink"/>
              </w:rPr>
              <w:t>Identification</w:t>
            </w:r>
            <w:r>
              <w:rPr>
                <w:webHidden/>
              </w:rPr>
              <w:tab/>
            </w:r>
            <w:r>
              <w:rPr>
                <w:webHidden/>
              </w:rPr>
              <w:fldChar w:fldCharType="begin"/>
            </w:r>
            <w:r>
              <w:rPr>
                <w:webHidden/>
              </w:rPr>
              <w:instrText xml:space="preserve"> PAGEREF _Toc45704365 \h </w:instrText>
            </w:r>
            <w:r>
              <w:rPr>
                <w:webHidden/>
              </w:rPr>
            </w:r>
            <w:r>
              <w:rPr>
                <w:webHidden/>
              </w:rPr>
              <w:fldChar w:fldCharType="separate"/>
            </w:r>
            <w:r>
              <w:rPr>
                <w:webHidden/>
              </w:rPr>
              <w:t>66</w:t>
            </w:r>
            <w:r>
              <w:rPr>
                <w:webHidden/>
              </w:rPr>
              <w:fldChar w:fldCharType="end"/>
            </w:r>
          </w:hyperlink>
        </w:p>
        <w:p w14:paraId="2ED6A535" w14:textId="484BAFA4" w:rsidR="00277F6E" w:rsidRDefault="00277F6E">
          <w:pPr>
            <w:pStyle w:val="TOC2"/>
            <w:rPr>
              <w:rFonts w:eastAsiaTheme="minorEastAsia" w:cstheme="minorBidi"/>
              <w:bCs w:val="0"/>
              <w:color w:val="auto"/>
              <w:sz w:val="22"/>
              <w:szCs w:val="22"/>
              <w:lang w:eastAsia="ja-JP"/>
            </w:rPr>
          </w:pPr>
          <w:hyperlink w:anchor="_Toc45704366" w:history="1">
            <w:r w:rsidRPr="005A1F95">
              <w:rPr>
                <w:rStyle w:val="Hyperlink"/>
              </w:rPr>
              <w:t>6.7</w:t>
            </w:r>
            <w:r>
              <w:rPr>
                <w:rFonts w:eastAsiaTheme="minorEastAsia" w:cstheme="minorBidi"/>
                <w:bCs w:val="0"/>
                <w:color w:val="auto"/>
                <w:sz w:val="22"/>
                <w:szCs w:val="22"/>
                <w:lang w:eastAsia="ja-JP"/>
              </w:rPr>
              <w:tab/>
            </w:r>
            <w:r w:rsidRPr="005A1F95">
              <w:rPr>
                <w:rStyle w:val="Hyperlink"/>
              </w:rPr>
              <w:t>Records</w:t>
            </w:r>
            <w:r>
              <w:rPr>
                <w:webHidden/>
              </w:rPr>
              <w:tab/>
            </w:r>
            <w:r>
              <w:rPr>
                <w:webHidden/>
              </w:rPr>
              <w:fldChar w:fldCharType="begin"/>
            </w:r>
            <w:r>
              <w:rPr>
                <w:webHidden/>
              </w:rPr>
              <w:instrText xml:space="preserve"> PAGEREF _Toc45704366 \h </w:instrText>
            </w:r>
            <w:r>
              <w:rPr>
                <w:webHidden/>
              </w:rPr>
            </w:r>
            <w:r>
              <w:rPr>
                <w:webHidden/>
              </w:rPr>
              <w:fldChar w:fldCharType="separate"/>
            </w:r>
            <w:r>
              <w:rPr>
                <w:webHidden/>
              </w:rPr>
              <w:t>68</w:t>
            </w:r>
            <w:r>
              <w:rPr>
                <w:webHidden/>
              </w:rPr>
              <w:fldChar w:fldCharType="end"/>
            </w:r>
          </w:hyperlink>
        </w:p>
        <w:p w14:paraId="7B8CA2C4" w14:textId="030A21CC" w:rsidR="00277F6E" w:rsidRDefault="00277F6E">
          <w:pPr>
            <w:pStyle w:val="TOC2"/>
            <w:rPr>
              <w:rFonts w:eastAsiaTheme="minorEastAsia" w:cstheme="minorBidi"/>
              <w:bCs w:val="0"/>
              <w:color w:val="auto"/>
              <w:sz w:val="22"/>
              <w:szCs w:val="22"/>
              <w:lang w:eastAsia="ja-JP"/>
            </w:rPr>
          </w:pPr>
          <w:hyperlink w:anchor="_Toc45704367" w:history="1">
            <w:r w:rsidRPr="005A1F95">
              <w:rPr>
                <w:rStyle w:val="Hyperlink"/>
              </w:rPr>
              <w:t>6.8</w:t>
            </w:r>
            <w:r>
              <w:rPr>
                <w:rFonts w:eastAsiaTheme="minorEastAsia" w:cstheme="minorBidi"/>
                <w:bCs w:val="0"/>
                <w:color w:val="auto"/>
                <w:sz w:val="22"/>
                <w:szCs w:val="22"/>
                <w:lang w:eastAsia="ja-JP"/>
              </w:rPr>
              <w:tab/>
            </w:r>
            <w:r w:rsidRPr="005A1F95">
              <w:rPr>
                <w:rStyle w:val="Hyperlink"/>
              </w:rPr>
              <w:t>Exemptions</w:t>
            </w:r>
            <w:r>
              <w:rPr>
                <w:webHidden/>
              </w:rPr>
              <w:tab/>
            </w:r>
            <w:r>
              <w:rPr>
                <w:webHidden/>
              </w:rPr>
              <w:fldChar w:fldCharType="begin"/>
            </w:r>
            <w:r>
              <w:rPr>
                <w:webHidden/>
              </w:rPr>
              <w:instrText xml:space="preserve"> PAGEREF _Toc45704367 \h </w:instrText>
            </w:r>
            <w:r>
              <w:rPr>
                <w:webHidden/>
              </w:rPr>
            </w:r>
            <w:r>
              <w:rPr>
                <w:webHidden/>
              </w:rPr>
              <w:fldChar w:fldCharType="separate"/>
            </w:r>
            <w:r>
              <w:rPr>
                <w:webHidden/>
              </w:rPr>
              <w:t>70</w:t>
            </w:r>
            <w:r>
              <w:rPr>
                <w:webHidden/>
              </w:rPr>
              <w:fldChar w:fldCharType="end"/>
            </w:r>
          </w:hyperlink>
        </w:p>
        <w:p w14:paraId="5D4D221A" w14:textId="35D767CA" w:rsidR="00277F6E" w:rsidRDefault="00277F6E">
          <w:pPr>
            <w:pStyle w:val="TOC2"/>
            <w:rPr>
              <w:rFonts w:eastAsiaTheme="minorEastAsia" w:cstheme="minorBidi"/>
              <w:bCs w:val="0"/>
              <w:color w:val="auto"/>
              <w:sz w:val="22"/>
              <w:szCs w:val="22"/>
              <w:lang w:eastAsia="ja-JP"/>
            </w:rPr>
          </w:pPr>
          <w:hyperlink w:anchor="_Toc45704368" w:history="1">
            <w:r w:rsidRPr="005A1F95">
              <w:rPr>
                <w:rStyle w:val="Hyperlink"/>
              </w:rPr>
              <w:t>6.9</w:t>
            </w:r>
            <w:r>
              <w:rPr>
                <w:rFonts w:eastAsiaTheme="minorEastAsia" w:cstheme="minorBidi"/>
                <w:bCs w:val="0"/>
                <w:color w:val="auto"/>
                <w:sz w:val="22"/>
                <w:szCs w:val="22"/>
                <w:lang w:eastAsia="ja-JP"/>
              </w:rPr>
              <w:tab/>
            </w:r>
            <w:r w:rsidRPr="005A1F95">
              <w:rPr>
                <w:rStyle w:val="Hyperlink"/>
              </w:rPr>
              <w:t>Fees</w:t>
            </w:r>
            <w:r>
              <w:rPr>
                <w:webHidden/>
              </w:rPr>
              <w:tab/>
            </w:r>
            <w:r>
              <w:rPr>
                <w:webHidden/>
              </w:rPr>
              <w:fldChar w:fldCharType="begin"/>
            </w:r>
            <w:r>
              <w:rPr>
                <w:webHidden/>
              </w:rPr>
              <w:instrText xml:space="preserve"> PAGEREF _Toc45704368 \h </w:instrText>
            </w:r>
            <w:r>
              <w:rPr>
                <w:webHidden/>
              </w:rPr>
            </w:r>
            <w:r>
              <w:rPr>
                <w:webHidden/>
              </w:rPr>
              <w:fldChar w:fldCharType="separate"/>
            </w:r>
            <w:r>
              <w:rPr>
                <w:webHidden/>
              </w:rPr>
              <w:t>71</w:t>
            </w:r>
            <w:r>
              <w:rPr>
                <w:webHidden/>
              </w:rPr>
              <w:fldChar w:fldCharType="end"/>
            </w:r>
          </w:hyperlink>
        </w:p>
        <w:p w14:paraId="732224AC" w14:textId="65DE2C00" w:rsidR="00277F6E" w:rsidRDefault="00277F6E">
          <w:pPr>
            <w:pStyle w:val="TOC1"/>
            <w:rPr>
              <w:rFonts w:asciiTheme="minorHAnsi" w:eastAsiaTheme="minorEastAsia" w:hAnsiTheme="minorHAnsi" w:cstheme="minorBidi"/>
              <w:b w:val="0"/>
              <w:bCs w:val="0"/>
              <w:color w:val="auto"/>
              <w:sz w:val="22"/>
              <w:szCs w:val="22"/>
              <w:lang w:eastAsia="ja-JP"/>
            </w:rPr>
          </w:pPr>
          <w:hyperlink w:anchor="_Toc45704369" w:history="1">
            <w:r w:rsidRPr="005A1F95">
              <w:rPr>
                <w:rStyle w:val="Hyperlink"/>
              </w:rPr>
              <w:t>7</w:t>
            </w:r>
            <w:r>
              <w:rPr>
                <w:rFonts w:asciiTheme="minorHAnsi" w:eastAsiaTheme="minorEastAsia" w:hAnsiTheme="minorHAnsi" w:cstheme="minorBidi"/>
                <w:b w:val="0"/>
                <w:bCs w:val="0"/>
                <w:color w:val="auto"/>
                <w:sz w:val="22"/>
                <w:szCs w:val="22"/>
                <w:lang w:eastAsia="ja-JP"/>
              </w:rPr>
              <w:tab/>
            </w:r>
            <w:r w:rsidRPr="005A1F95">
              <w:rPr>
                <w:rStyle w:val="Hyperlink"/>
              </w:rPr>
              <w:t>Impact Assessment</w:t>
            </w:r>
            <w:r>
              <w:rPr>
                <w:webHidden/>
              </w:rPr>
              <w:tab/>
            </w:r>
            <w:r>
              <w:rPr>
                <w:webHidden/>
              </w:rPr>
              <w:fldChar w:fldCharType="begin"/>
            </w:r>
            <w:r>
              <w:rPr>
                <w:webHidden/>
              </w:rPr>
              <w:instrText xml:space="preserve"> PAGEREF _Toc45704369 \h </w:instrText>
            </w:r>
            <w:r>
              <w:rPr>
                <w:webHidden/>
              </w:rPr>
            </w:r>
            <w:r>
              <w:rPr>
                <w:webHidden/>
              </w:rPr>
              <w:fldChar w:fldCharType="separate"/>
            </w:r>
            <w:r>
              <w:rPr>
                <w:webHidden/>
              </w:rPr>
              <w:t>76</w:t>
            </w:r>
            <w:r>
              <w:rPr>
                <w:webHidden/>
              </w:rPr>
              <w:fldChar w:fldCharType="end"/>
            </w:r>
          </w:hyperlink>
        </w:p>
        <w:p w14:paraId="7FE5C388" w14:textId="67354D07" w:rsidR="00277F6E" w:rsidRDefault="00277F6E">
          <w:pPr>
            <w:pStyle w:val="TOC2"/>
            <w:rPr>
              <w:rFonts w:eastAsiaTheme="minorEastAsia" w:cstheme="minorBidi"/>
              <w:bCs w:val="0"/>
              <w:color w:val="auto"/>
              <w:sz w:val="22"/>
              <w:szCs w:val="22"/>
              <w:lang w:eastAsia="ja-JP"/>
            </w:rPr>
          </w:pPr>
          <w:hyperlink w:anchor="_Toc45704370" w:history="1">
            <w:r w:rsidRPr="005A1F95">
              <w:rPr>
                <w:rStyle w:val="Hyperlink"/>
              </w:rPr>
              <w:t>7.1</w:t>
            </w:r>
            <w:r>
              <w:rPr>
                <w:rFonts w:eastAsiaTheme="minorEastAsia" w:cstheme="minorBidi"/>
                <w:bCs w:val="0"/>
                <w:color w:val="auto"/>
                <w:sz w:val="22"/>
                <w:szCs w:val="22"/>
                <w:lang w:eastAsia="ja-JP"/>
              </w:rPr>
              <w:tab/>
            </w:r>
            <w:r w:rsidRPr="005A1F95">
              <w:rPr>
                <w:rStyle w:val="Hyperlink"/>
              </w:rPr>
              <w:t>Vehicle safety</w:t>
            </w:r>
            <w:r>
              <w:rPr>
                <w:webHidden/>
              </w:rPr>
              <w:tab/>
            </w:r>
            <w:r>
              <w:rPr>
                <w:webHidden/>
              </w:rPr>
              <w:fldChar w:fldCharType="begin"/>
            </w:r>
            <w:r>
              <w:rPr>
                <w:webHidden/>
              </w:rPr>
              <w:instrText xml:space="preserve"> PAGEREF _Toc45704370 \h </w:instrText>
            </w:r>
            <w:r>
              <w:rPr>
                <w:webHidden/>
              </w:rPr>
            </w:r>
            <w:r>
              <w:rPr>
                <w:webHidden/>
              </w:rPr>
              <w:fldChar w:fldCharType="separate"/>
            </w:r>
            <w:r>
              <w:rPr>
                <w:webHidden/>
              </w:rPr>
              <w:t>76</w:t>
            </w:r>
            <w:r>
              <w:rPr>
                <w:webHidden/>
              </w:rPr>
              <w:fldChar w:fldCharType="end"/>
            </w:r>
          </w:hyperlink>
        </w:p>
        <w:p w14:paraId="2C8B2BB9" w14:textId="6EF891BD" w:rsidR="00277F6E" w:rsidRDefault="00277F6E">
          <w:pPr>
            <w:pStyle w:val="TOC3"/>
            <w:rPr>
              <w:rFonts w:eastAsiaTheme="minorEastAsia" w:cstheme="minorBidi"/>
              <w:bCs w:val="0"/>
              <w:color w:val="auto"/>
              <w:sz w:val="22"/>
              <w:szCs w:val="22"/>
              <w:lang w:eastAsia="ja-JP"/>
            </w:rPr>
          </w:pPr>
          <w:hyperlink w:anchor="_Toc45704371" w:history="1">
            <w:r w:rsidRPr="005A1F95">
              <w:rPr>
                <w:rStyle w:val="Hyperlink"/>
              </w:rPr>
              <w:t>7.1.1</w:t>
            </w:r>
            <w:r>
              <w:rPr>
                <w:rFonts w:eastAsiaTheme="minorEastAsia" w:cstheme="minorBidi"/>
                <w:bCs w:val="0"/>
                <w:color w:val="auto"/>
                <w:sz w:val="22"/>
                <w:szCs w:val="22"/>
                <w:lang w:eastAsia="ja-JP"/>
              </w:rPr>
              <w:tab/>
            </w:r>
            <w:r w:rsidRPr="005A1F95">
              <w:rPr>
                <w:rStyle w:val="Hyperlink"/>
              </w:rPr>
              <w:t>Bus standards</w:t>
            </w:r>
            <w:r>
              <w:rPr>
                <w:webHidden/>
              </w:rPr>
              <w:tab/>
            </w:r>
            <w:r>
              <w:rPr>
                <w:webHidden/>
              </w:rPr>
              <w:fldChar w:fldCharType="begin"/>
            </w:r>
            <w:r>
              <w:rPr>
                <w:webHidden/>
              </w:rPr>
              <w:instrText xml:space="preserve"> PAGEREF _Toc45704371 \h </w:instrText>
            </w:r>
            <w:r>
              <w:rPr>
                <w:webHidden/>
              </w:rPr>
            </w:r>
            <w:r>
              <w:rPr>
                <w:webHidden/>
              </w:rPr>
              <w:fldChar w:fldCharType="separate"/>
            </w:r>
            <w:r>
              <w:rPr>
                <w:webHidden/>
              </w:rPr>
              <w:t>76</w:t>
            </w:r>
            <w:r>
              <w:rPr>
                <w:webHidden/>
              </w:rPr>
              <w:fldChar w:fldCharType="end"/>
            </w:r>
          </w:hyperlink>
        </w:p>
        <w:p w14:paraId="721920A9" w14:textId="64C53051" w:rsidR="00277F6E" w:rsidRDefault="00277F6E">
          <w:pPr>
            <w:pStyle w:val="TOC3"/>
            <w:rPr>
              <w:rFonts w:eastAsiaTheme="minorEastAsia" w:cstheme="minorBidi"/>
              <w:bCs w:val="0"/>
              <w:color w:val="auto"/>
              <w:sz w:val="22"/>
              <w:szCs w:val="22"/>
              <w:lang w:eastAsia="ja-JP"/>
            </w:rPr>
          </w:pPr>
          <w:hyperlink w:anchor="_Toc45704372" w:history="1">
            <w:r w:rsidRPr="005A1F95">
              <w:rPr>
                <w:rStyle w:val="Hyperlink"/>
              </w:rPr>
              <w:t>7.1.2</w:t>
            </w:r>
            <w:r>
              <w:rPr>
                <w:rFonts w:eastAsiaTheme="minorEastAsia" w:cstheme="minorBidi"/>
                <w:bCs w:val="0"/>
                <w:color w:val="auto"/>
                <w:sz w:val="22"/>
                <w:szCs w:val="22"/>
                <w:lang w:eastAsia="ja-JP"/>
              </w:rPr>
              <w:tab/>
            </w:r>
            <w:r w:rsidRPr="005A1F95">
              <w:rPr>
                <w:rStyle w:val="Hyperlink"/>
              </w:rPr>
              <w:t>Requirements for maintaining vehicle safety</w:t>
            </w:r>
            <w:r>
              <w:rPr>
                <w:webHidden/>
              </w:rPr>
              <w:tab/>
            </w:r>
            <w:r>
              <w:rPr>
                <w:webHidden/>
              </w:rPr>
              <w:fldChar w:fldCharType="begin"/>
            </w:r>
            <w:r>
              <w:rPr>
                <w:webHidden/>
              </w:rPr>
              <w:instrText xml:space="preserve"> PAGEREF _Toc45704372 \h </w:instrText>
            </w:r>
            <w:r>
              <w:rPr>
                <w:webHidden/>
              </w:rPr>
            </w:r>
            <w:r>
              <w:rPr>
                <w:webHidden/>
              </w:rPr>
              <w:fldChar w:fldCharType="separate"/>
            </w:r>
            <w:r>
              <w:rPr>
                <w:webHidden/>
              </w:rPr>
              <w:t>78</w:t>
            </w:r>
            <w:r>
              <w:rPr>
                <w:webHidden/>
              </w:rPr>
              <w:fldChar w:fldCharType="end"/>
            </w:r>
          </w:hyperlink>
        </w:p>
        <w:p w14:paraId="4906E609" w14:textId="5E44BECE" w:rsidR="00277F6E" w:rsidRDefault="00277F6E">
          <w:pPr>
            <w:pStyle w:val="TOC2"/>
            <w:rPr>
              <w:rFonts w:eastAsiaTheme="minorEastAsia" w:cstheme="minorBidi"/>
              <w:bCs w:val="0"/>
              <w:color w:val="auto"/>
              <w:sz w:val="22"/>
              <w:szCs w:val="22"/>
              <w:lang w:eastAsia="ja-JP"/>
            </w:rPr>
          </w:pPr>
          <w:hyperlink w:anchor="_Toc45704373" w:history="1">
            <w:r w:rsidRPr="005A1F95">
              <w:rPr>
                <w:rStyle w:val="Hyperlink"/>
              </w:rPr>
              <w:t>7.2</w:t>
            </w:r>
            <w:r>
              <w:rPr>
                <w:rFonts w:eastAsiaTheme="minorEastAsia" w:cstheme="minorBidi"/>
                <w:bCs w:val="0"/>
                <w:color w:val="auto"/>
                <w:sz w:val="22"/>
                <w:szCs w:val="22"/>
                <w:lang w:eastAsia="ja-JP"/>
              </w:rPr>
              <w:tab/>
            </w:r>
            <w:r w:rsidRPr="005A1F95">
              <w:rPr>
                <w:rStyle w:val="Hyperlink"/>
              </w:rPr>
              <w:t>Safety of bus operations</w:t>
            </w:r>
            <w:r>
              <w:rPr>
                <w:webHidden/>
              </w:rPr>
              <w:tab/>
            </w:r>
            <w:r>
              <w:rPr>
                <w:webHidden/>
              </w:rPr>
              <w:fldChar w:fldCharType="begin"/>
            </w:r>
            <w:r>
              <w:rPr>
                <w:webHidden/>
              </w:rPr>
              <w:instrText xml:space="preserve"> PAGEREF _Toc45704373 \h </w:instrText>
            </w:r>
            <w:r>
              <w:rPr>
                <w:webHidden/>
              </w:rPr>
            </w:r>
            <w:r>
              <w:rPr>
                <w:webHidden/>
              </w:rPr>
              <w:fldChar w:fldCharType="separate"/>
            </w:r>
            <w:r>
              <w:rPr>
                <w:webHidden/>
              </w:rPr>
              <w:t>87</w:t>
            </w:r>
            <w:r>
              <w:rPr>
                <w:webHidden/>
              </w:rPr>
              <w:fldChar w:fldCharType="end"/>
            </w:r>
          </w:hyperlink>
        </w:p>
        <w:p w14:paraId="28B3BDD0" w14:textId="5E61DEB4" w:rsidR="00277F6E" w:rsidRDefault="00277F6E">
          <w:pPr>
            <w:pStyle w:val="TOC3"/>
            <w:rPr>
              <w:rFonts w:eastAsiaTheme="minorEastAsia" w:cstheme="minorBidi"/>
              <w:bCs w:val="0"/>
              <w:color w:val="auto"/>
              <w:sz w:val="22"/>
              <w:szCs w:val="22"/>
              <w:lang w:eastAsia="ja-JP"/>
            </w:rPr>
          </w:pPr>
          <w:hyperlink w:anchor="_Toc45704374" w:history="1">
            <w:r w:rsidRPr="005A1F95">
              <w:rPr>
                <w:rStyle w:val="Hyperlink"/>
              </w:rPr>
              <w:t>7.2.1</w:t>
            </w:r>
            <w:r>
              <w:rPr>
                <w:rFonts w:eastAsiaTheme="minorEastAsia" w:cstheme="minorBidi"/>
                <w:bCs w:val="0"/>
                <w:color w:val="auto"/>
                <w:sz w:val="22"/>
                <w:szCs w:val="22"/>
                <w:lang w:eastAsia="ja-JP"/>
              </w:rPr>
              <w:tab/>
            </w:r>
            <w:r w:rsidRPr="005A1F95">
              <w:rPr>
                <w:rStyle w:val="Hyperlink"/>
              </w:rPr>
              <w:t>Safety systems for bus operations</w:t>
            </w:r>
            <w:r>
              <w:rPr>
                <w:webHidden/>
              </w:rPr>
              <w:tab/>
            </w:r>
            <w:r>
              <w:rPr>
                <w:webHidden/>
              </w:rPr>
              <w:fldChar w:fldCharType="begin"/>
            </w:r>
            <w:r>
              <w:rPr>
                <w:webHidden/>
              </w:rPr>
              <w:instrText xml:space="preserve"> PAGEREF _Toc45704374 \h </w:instrText>
            </w:r>
            <w:r>
              <w:rPr>
                <w:webHidden/>
              </w:rPr>
            </w:r>
            <w:r>
              <w:rPr>
                <w:webHidden/>
              </w:rPr>
              <w:fldChar w:fldCharType="separate"/>
            </w:r>
            <w:r>
              <w:rPr>
                <w:webHidden/>
              </w:rPr>
              <w:t>87</w:t>
            </w:r>
            <w:r>
              <w:rPr>
                <w:webHidden/>
              </w:rPr>
              <w:fldChar w:fldCharType="end"/>
            </w:r>
          </w:hyperlink>
        </w:p>
        <w:p w14:paraId="1285A68A" w14:textId="1F741DBE" w:rsidR="00277F6E" w:rsidRDefault="00277F6E">
          <w:pPr>
            <w:pStyle w:val="TOC3"/>
            <w:rPr>
              <w:rFonts w:eastAsiaTheme="minorEastAsia" w:cstheme="minorBidi"/>
              <w:bCs w:val="0"/>
              <w:color w:val="auto"/>
              <w:sz w:val="22"/>
              <w:szCs w:val="22"/>
              <w:lang w:eastAsia="ja-JP"/>
            </w:rPr>
          </w:pPr>
          <w:hyperlink w:anchor="_Toc45704375" w:history="1">
            <w:r w:rsidRPr="005A1F95">
              <w:rPr>
                <w:rStyle w:val="Hyperlink"/>
              </w:rPr>
              <w:t>7.2.2</w:t>
            </w:r>
            <w:r>
              <w:rPr>
                <w:rFonts w:eastAsiaTheme="minorEastAsia" w:cstheme="minorBidi"/>
                <w:bCs w:val="0"/>
                <w:color w:val="auto"/>
                <w:sz w:val="22"/>
                <w:szCs w:val="22"/>
                <w:lang w:eastAsia="ja-JP"/>
              </w:rPr>
              <w:tab/>
            </w:r>
            <w:r w:rsidRPr="005A1F95">
              <w:rPr>
                <w:rStyle w:val="Hyperlink"/>
              </w:rPr>
              <w:t>Maximum number of passengers</w:t>
            </w:r>
            <w:r>
              <w:rPr>
                <w:webHidden/>
              </w:rPr>
              <w:tab/>
            </w:r>
            <w:r>
              <w:rPr>
                <w:webHidden/>
              </w:rPr>
              <w:fldChar w:fldCharType="begin"/>
            </w:r>
            <w:r>
              <w:rPr>
                <w:webHidden/>
              </w:rPr>
              <w:instrText xml:space="preserve"> PAGEREF _Toc45704375 \h </w:instrText>
            </w:r>
            <w:r>
              <w:rPr>
                <w:webHidden/>
              </w:rPr>
            </w:r>
            <w:r>
              <w:rPr>
                <w:webHidden/>
              </w:rPr>
              <w:fldChar w:fldCharType="separate"/>
            </w:r>
            <w:r>
              <w:rPr>
                <w:webHidden/>
              </w:rPr>
              <w:t>89</w:t>
            </w:r>
            <w:r>
              <w:rPr>
                <w:webHidden/>
              </w:rPr>
              <w:fldChar w:fldCharType="end"/>
            </w:r>
          </w:hyperlink>
        </w:p>
        <w:p w14:paraId="2C52A4AC" w14:textId="0A812650" w:rsidR="00277F6E" w:rsidRDefault="00277F6E">
          <w:pPr>
            <w:pStyle w:val="TOC3"/>
            <w:rPr>
              <w:rFonts w:eastAsiaTheme="minorEastAsia" w:cstheme="minorBidi"/>
              <w:bCs w:val="0"/>
              <w:color w:val="auto"/>
              <w:sz w:val="22"/>
              <w:szCs w:val="22"/>
              <w:lang w:eastAsia="ja-JP"/>
            </w:rPr>
          </w:pPr>
          <w:hyperlink w:anchor="_Toc45704376" w:history="1">
            <w:r w:rsidRPr="005A1F95">
              <w:rPr>
                <w:rStyle w:val="Hyperlink"/>
              </w:rPr>
              <w:t>7.2.3</w:t>
            </w:r>
            <w:r>
              <w:rPr>
                <w:rFonts w:eastAsiaTheme="minorEastAsia" w:cstheme="minorBidi"/>
                <w:bCs w:val="0"/>
                <w:color w:val="auto"/>
                <w:sz w:val="22"/>
                <w:szCs w:val="22"/>
                <w:lang w:eastAsia="ja-JP"/>
              </w:rPr>
              <w:tab/>
            </w:r>
            <w:r w:rsidRPr="005A1F95">
              <w:rPr>
                <w:rStyle w:val="Hyperlink"/>
              </w:rPr>
              <w:t>Alcohol and other drugs</w:t>
            </w:r>
            <w:r>
              <w:rPr>
                <w:webHidden/>
              </w:rPr>
              <w:tab/>
            </w:r>
            <w:r>
              <w:rPr>
                <w:webHidden/>
              </w:rPr>
              <w:fldChar w:fldCharType="begin"/>
            </w:r>
            <w:r>
              <w:rPr>
                <w:webHidden/>
              </w:rPr>
              <w:instrText xml:space="preserve"> PAGEREF _Toc45704376 \h </w:instrText>
            </w:r>
            <w:r>
              <w:rPr>
                <w:webHidden/>
              </w:rPr>
            </w:r>
            <w:r>
              <w:rPr>
                <w:webHidden/>
              </w:rPr>
              <w:fldChar w:fldCharType="separate"/>
            </w:r>
            <w:r>
              <w:rPr>
                <w:webHidden/>
              </w:rPr>
              <w:t>91</w:t>
            </w:r>
            <w:r>
              <w:rPr>
                <w:webHidden/>
              </w:rPr>
              <w:fldChar w:fldCharType="end"/>
            </w:r>
          </w:hyperlink>
        </w:p>
        <w:p w14:paraId="79841839" w14:textId="51FC1368" w:rsidR="00277F6E" w:rsidRDefault="00277F6E">
          <w:pPr>
            <w:pStyle w:val="TOC3"/>
            <w:rPr>
              <w:rFonts w:eastAsiaTheme="minorEastAsia" w:cstheme="minorBidi"/>
              <w:bCs w:val="0"/>
              <w:color w:val="auto"/>
              <w:sz w:val="22"/>
              <w:szCs w:val="22"/>
              <w:lang w:eastAsia="ja-JP"/>
            </w:rPr>
          </w:pPr>
          <w:hyperlink w:anchor="_Toc45704377" w:history="1">
            <w:r w:rsidRPr="005A1F95">
              <w:rPr>
                <w:rStyle w:val="Hyperlink"/>
              </w:rPr>
              <w:t>7.2.4</w:t>
            </w:r>
            <w:r>
              <w:rPr>
                <w:rFonts w:eastAsiaTheme="minorEastAsia" w:cstheme="minorBidi"/>
                <w:bCs w:val="0"/>
                <w:color w:val="auto"/>
                <w:sz w:val="22"/>
                <w:szCs w:val="22"/>
                <w:lang w:eastAsia="ja-JP"/>
              </w:rPr>
              <w:tab/>
            </w:r>
            <w:r w:rsidRPr="005A1F95">
              <w:rPr>
                <w:rStyle w:val="Hyperlink"/>
              </w:rPr>
              <w:t>School buses</w:t>
            </w:r>
            <w:r>
              <w:rPr>
                <w:webHidden/>
              </w:rPr>
              <w:tab/>
            </w:r>
            <w:r>
              <w:rPr>
                <w:webHidden/>
              </w:rPr>
              <w:fldChar w:fldCharType="begin"/>
            </w:r>
            <w:r>
              <w:rPr>
                <w:webHidden/>
              </w:rPr>
              <w:instrText xml:space="preserve"> PAGEREF _Toc45704377 \h </w:instrText>
            </w:r>
            <w:r>
              <w:rPr>
                <w:webHidden/>
              </w:rPr>
            </w:r>
            <w:r>
              <w:rPr>
                <w:webHidden/>
              </w:rPr>
              <w:fldChar w:fldCharType="separate"/>
            </w:r>
            <w:r>
              <w:rPr>
                <w:webHidden/>
              </w:rPr>
              <w:t>91</w:t>
            </w:r>
            <w:r>
              <w:rPr>
                <w:webHidden/>
              </w:rPr>
              <w:fldChar w:fldCharType="end"/>
            </w:r>
          </w:hyperlink>
        </w:p>
        <w:p w14:paraId="5BA23652" w14:textId="64B7C230" w:rsidR="00277F6E" w:rsidRDefault="00277F6E">
          <w:pPr>
            <w:pStyle w:val="TOC2"/>
            <w:rPr>
              <w:rFonts w:eastAsiaTheme="minorEastAsia" w:cstheme="minorBidi"/>
              <w:bCs w:val="0"/>
              <w:color w:val="auto"/>
              <w:sz w:val="22"/>
              <w:szCs w:val="22"/>
              <w:lang w:eastAsia="ja-JP"/>
            </w:rPr>
          </w:pPr>
          <w:hyperlink w:anchor="_Toc45704378" w:history="1">
            <w:r w:rsidRPr="005A1F95">
              <w:rPr>
                <w:rStyle w:val="Hyperlink"/>
              </w:rPr>
              <w:t>7.3</w:t>
            </w:r>
            <w:r>
              <w:rPr>
                <w:rFonts w:eastAsiaTheme="minorEastAsia" w:cstheme="minorBidi"/>
                <w:bCs w:val="0"/>
                <w:color w:val="auto"/>
                <w:sz w:val="22"/>
                <w:szCs w:val="22"/>
                <w:lang w:eastAsia="ja-JP"/>
              </w:rPr>
              <w:tab/>
            </w:r>
            <w:r w:rsidRPr="005A1F95">
              <w:rPr>
                <w:rStyle w:val="Hyperlink"/>
              </w:rPr>
              <w:t>Notifiable incidents</w:t>
            </w:r>
            <w:r>
              <w:rPr>
                <w:webHidden/>
              </w:rPr>
              <w:tab/>
            </w:r>
            <w:r>
              <w:rPr>
                <w:webHidden/>
              </w:rPr>
              <w:fldChar w:fldCharType="begin"/>
            </w:r>
            <w:r>
              <w:rPr>
                <w:webHidden/>
              </w:rPr>
              <w:instrText xml:space="preserve"> PAGEREF _Toc45704378 \h </w:instrText>
            </w:r>
            <w:r>
              <w:rPr>
                <w:webHidden/>
              </w:rPr>
            </w:r>
            <w:r>
              <w:rPr>
                <w:webHidden/>
              </w:rPr>
              <w:fldChar w:fldCharType="separate"/>
            </w:r>
            <w:r>
              <w:rPr>
                <w:webHidden/>
              </w:rPr>
              <w:t>93</w:t>
            </w:r>
            <w:r>
              <w:rPr>
                <w:webHidden/>
              </w:rPr>
              <w:fldChar w:fldCharType="end"/>
            </w:r>
          </w:hyperlink>
        </w:p>
        <w:p w14:paraId="790ACC1D" w14:textId="5EF29FF8" w:rsidR="00277F6E" w:rsidRDefault="00277F6E">
          <w:pPr>
            <w:pStyle w:val="TOC2"/>
            <w:rPr>
              <w:rFonts w:eastAsiaTheme="minorEastAsia" w:cstheme="minorBidi"/>
              <w:bCs w:val="0"/>
              <w:color w:val="auto"/>
              <w:sz w:val="22"/>
              <w:szCs w:val="22"/>
              <w:lang w:eastAsia="ja-JP"/>
            </w:rPr>
          </w:pPr>
          <w:hyperlink w:anchor="_Toc45704379" w:history="1">
            <w:r w:rsidRPr="005A1F95">
              <w:rPr>
                <w:rStyle w:val="Hyperlink"/>
              </w:rPr>
              <w:t>7.4</w:t>
            </w:r>
            <w:r>
              <w:rPr>
                <w:rFonts w:eastAsiaTheme="minorEastAsia" w:cstheme="minorBidi"/>
                <w:bCs w:val="0"/>
                <w:color w:val="auto"/>
                <w:sz w:val="22"/>
                <w:szCs w:val="22"/>
                <w:lang w:eastAsia="ja-JP"/>
              </w:rPr>
              <w:tab/>
            </w:r>
            <w:r w:rsidRPr="005A1F95">
              <w:rPr>
                <w:rStyle w:val="Hyperlink"/>
              </w:rPr>
              <w:t>Bus incident investigation</w:t>
            </w:r>
            <w:r>
              <w:rPr>
                <w:webHidden/>
              </w:rPr>
              <w:tab/>
            </w:r>
            <w:r>
              <w:rPr>
                <w:webHidden/>
              </w:rPr>
              <w:fldChar w:fldCharType="begin"/>
            </w:r>
            <w:r>
              <w:rPr>
                <w:webHidden/>
              </w:rPr>
              <w:instrText xml:space="preserve"> PAGEREF _Toc45704379 \h </w:instrText>
            </w:r>
            <w:r>
              <w:rPr>
                <w:webHidden/>
              </w:rPr>
            </w:r>
            <w:r>
              <w:rPr>
                <w:webHidden/>
              </w:rPr>
              <w:fldChar w:fldCharType="separate"/>
            </w:r>
            <w:r>
              <w:rPr>
                <w:webHidden/>
              </w:rPr>
              <w:t>96</w:t>
            </w:r>
            <w:r>
              <w:rPr>
                <w:webHidden/>
              </w:rPr>
              <w:fldChar w:fldCharType="end"/>
            </w:r>
          </w:hyperlink>
        </w:p>
        <w:p w14:paraId="2E457D0E" w14:textId="500D36CF" w:rsidR="00277F6E" w:rsidRDefault="00277F6E">
          <w:pPr>
            <w:pStyle w:val="TOC2"/>
            <w:rPr>
              <w:rFonts w:eastAsiaTheme="minorEastAsia" w:cstheme="minorBidi"/>
              <w:bCs w:val="0"/>
              <w:color w:val="auto"/>
              <w:sz w:val="22"/>
              <w:szCs w:val="22"/>
              <w:lang w:eastAsia="ja-JP"/>
            </w:rPr>
          </w:pPr>
          <w:hyperlink w:anchor="_Toc45704380" w:history="1">
            <w:r w:rsidRPr="005A1F95">
              <w:rPr>
                <w:rStyle w:val="Hyperlink"/>
              </w:rPr>
              <w:t>7.5</w:t>
            </w:r>
            <w:r>
              <w:rPr>
                <w:rFonts w:eastAsiaTheme="minorEastAsia" w:cstheme="minorBidi"/>
                <w:bCs w:val="0"/>
                <w:color w:val="auto"/>
                <w:sz w:val="22"/>
                <w:szCs w:val="22"/>
                <w:lang w:eastAsia="ja-JP"/>
              </w:rPr>
              <w:tab/>
            </w:r>
            <w:r w:rsidRPr="005A1F95">
              <w:rPr>
                <w:rStyle w:val="Hyperlink"/>
              </w:rPr>
              <w:t>Requirements for accreditation and registration</w:t>
            </w:r>
            <w:r>
              <w:rPr>
                <w:webHidden/>
              </w:rPr>
              <w:tab/>
            </w:r>
            <w:r>
              <w:rPr>
                <w:webHidden/>
              </w:rPr>
              <w:fldChar w:fldCharType="begin"/>
            </w:r>
            <w:r>
              <w:rPr>
                <w:webHidden/>
              </w:rPr>
              <w:instrText xml:space="preserve"> PAGEREF _Toc45704380 \h </w:instrText>
            </w:r>
            <w:r>
              <w:rPr>
                <w:webHidden/>
              </w:rPr>
            </w:r>
            <w:r>
              <w:rPr>
                <w:webHidden/>
              </w:rPr>
              <w:fldChar w:fldCharType="separate"/>
            </w:r>
            <w:r>
              <w:rPr>
                <w:webHidden/>
              </w:rPr>
              <w:t>98</w:t>
            </w:r>
            <w:r>
              <w:rPr>
                <w:webHidden/>
              </w:rPr>
              <w:fldChar w:fldCharType="end"/>
            </w:r>
          </w:hyperlink>
        </w:p>
        <w:p w14:paraId="3ADB5A21" w14:textId="2C138F3F" w:rsidR="00277F6E" w:rsidRDefault="00277F6E">
          <w:pPr>
            <w:pStyle w:val="TOC2"/>
            <w:rPr>
              <w:rFonts w:eastAsiaTheme="minorEastAsia" w:cstheme="minorBidi"/>
              <w:bCs w:val="0"/>
              <w:color w:val="auto"/>
              <w:sz w:val="22"/>
              <w:szCs w:val="22"/>
              <w:lang w:eastAsia="ja-JP"/>
            </w:rPr>
          </w:pPr>
          <w:hyperlink w:anchor="_Toc45704381" w:history="1">
            <w:r w:rsidRPr="005A1F95">
              <w:rPr>
                <w:rStyle w:val="Hyperlink"/>
              </w:rPr>
              <w:t>7.6</w:t>
            </w:r>
            <w:r>
              <w:rPr>
                <w:rFonts w:eastAsiaTheme="minorEastAsia" w:cstheme="minorBidi"/>
                <w:bCs w:val="0"/>
                <w:color w:val="auto"/>
                <w:sz w:val="22"/>
                <w:szCs w:val="22"/>
                <w:lang w:eastAsia="ja-JP"/>
              </w:rPr>
              <w:tab/>
            </w:r>
            <w:r w:rsidRPr="005A1F95">
              <w:rPr>
                <w:rStyle w:val="Hyperlink"/>
              </w:rPr>
              <w:t>Identification</w:t>
            </w:r>
            <w:r>
              <w:rPr>
                <w:webHidden/>
              </w:rPr>
              <w:tab/>
            </w:r>
            <w:r>
              <w:rPr>
                <w:webHidden/>
              </w:rPr>
              <w:fldChar w:fldCharType="begin"/>
            </w:r>
            <w:r>
              <w:rPr>
                <w:webHidden/>
              </w:rPr>
              <w:instrText xml:space="preserve"> PAGEREF _Toc45704381 \h </w:instrText>
            </w:r>
            <w:r>
              <w:rPr>
                <w:webHidden/>
              </w:rPr>
            </w:r>
            <w:r>
              <w:rPr>
                <w:webHidden/>
              </w:rPr>
              <w:fldChar w:fldCharType="separate"/>
            </w:r>
            <w:r>
              <w:rPr>
                <w:webHidden/>
              </w:rPr>
              <w:t>100</w:t>
            </w:r>
            <w:r>
              <w:rPr>
                <w:webHidden/>
              </w:rPr>
              <w:fldChar w:fldCharType="end"/>
            </w:r>
          </w:hyperlink>
        </w:p>
        <w:p w14:paraId="0C1D67E0" w14:textId="045088D8" w:rsidR="00277F6E" w:rsidRDefault="00277F6E">
          <w:pPr>
            <w:pStyle w:val="TOC2"/>
            <w:rPr>
              <w:rFonts w:eastAsiaTheme="minorEastAsia" w:cstheme="minorBidi"/>
              <w:bCs w:val="0"/>
              <w:color w:val="auto"/>
              <w:sz w:val="22"/>
              <w:szCs w:val="22"/>
              <w:lang w:eastAsia="ja-JP"/>
            </w:rPr>
          </w:pPr>
          <w:hyperlink w:anchor="_Toc45704382" w:history="1">
            <w:r w:rsidRPr="005A1F95">
              <w:rPr>
                <w:rStyle w:val="Hyperlink"/>
              </w:rPr>
              <w:t>7.7</w:t>
            </w:r>
            <w:r>
              <w:rPr>
                <w:rFonts w:eastAsiaTheme="minorEastAsia" w:cstheme="minorBidi"/>
                <w:bCs w:val="0"/>
                <w:color w:val="auto"/>
                <w:sz w:val="22"/>
                <w:szCs w:val="22"/>
                <w:lang w:eastAsia="ja-JP"/>
              </w:rPr>
              <w:tab/>
            </w:r>
            <w:r w:rsidRPr="005A1F95">
              <w:rPr>
                <w:rStyle w:val="Hyperlink"/>
              </w:rPr>
              <w:t>Records</w:t>
            </w:r>
            <w:r>
              <w:rPr>
                <w:webHidden/>
              </w:rPr>
              <w:tab/>
            </w:r>
            <w:r>
              <w:rPr>
                <w:webHidden/>
              </w:rPr>
              <w:fldChar w:fldCharType="begin"/>
            </w:r>
            <w:r>
              <w:rPr>
                <w:webHidden/>
              </w:rPr>
              <w:instrText xml:space="preserve"> PAGEREF _Toc45704382 \h </w:instrText>
            </w:r>
            <w:r>
              <w:rPr>
                <w:webHidden/>
              </w:rPr>
            </w:r>
            <w:r>
              <w:rPr>
                <w:webHidden/>
              </w:rPr>
              <w:fldChar w:fldCharType="separate"/>
            </w:r>
            <w:r>
              <w:rPr>
                <w:webHidden/>
              </w:rPr>
              <w:t>102</w:t>
            </w:r>
            <w:r>
              <w:rPr>
                <w:webHidden/>
              </w:rPr>
              <w:fldChar w:fldCharType="end"/>
            </w:r>
          </w:hyperlink>
        </w:p>
        <w:p w14:paraId="5F26C594" w14:textId="67077C5B" w:rsidR="00277F6E" w:rsidRDefault="00277F6E">
          <w:pPr>
            <w:pStyle w:val="TOC2"/>
            <w:rPr>
              <w:rFonts w:eastAsiaTheme="minorEastAsia" w:cstheme="minorBidi"/>
              <w:bCs w:val="0"/>
              <w:color w:val="auto"/>
              <w:sz w:val="22"/>
              <w:szCs w:val="22"/>
              <w:lang w:eastAsia="ja-JP"/>
            </w:rPr>
          </w:pPr>
          <w:hyperlink w:anchor="_Toc45704383" w:history="1">
            <w:r w:rsidRPr="005A1F95">
              <w:rPr>
                <w:rStyle w:val="Hyperlink"/>
              </w:rPr>
              <w:t>7.8</w:t>
            </w:r>
            <w:r>
              <w:rPr>
                <w:rFonts w:eastAsiaTheme="minorEastAsia" w:cstheme="minorBidi"/>
                <w:bCs w:val="0"/>
                <w:color w:val="auto"/>
                <w:sz w:val="22"/>
                <w:szCs w:val="22"/>
                <w:lang w:eastAsia="ja-JP"/>
              </w:rPr>
              <w:tab/>
            </w:r>
            <w:r w:rsidRPr="005A1F95">
              <w:rPr>
                <w:rStyle w:val="Hyperlink"/>
              </w:rPr>
              <w:t>Exemptions</w:t>
            </w:r>
            <w:r>
              <w:rPr>
                <w:webHidden/>
              </w:rPr>
              <w:tab/>
            </w:r>
            <w:r>
              <w:rPr>
                <w:webHidden/>
              </w:rPr>
              <w:fldChar w:fldCharType="begin"/>
            </w:r>
            <w:r>
              <w:rPr>
                <w:webHidden/>
              </w:rPr>
              <w:instrText xml:space="preserve"> PAGEREF _Toc45704383 \h </w:instrText>
            </w:r>
            <w:r>
              <w:rPr>
                <w:webHidden/>
              </w:rPr>
            </w:r>
            <w:r>
              <w:rPr>
                <w:webHidden/>
              </w:rPr>
              <w:fldChar w:fldCharType="separate"/>
            </w:r>
            <w:r>
              <w:rPr>
                <w:webHidden/>
              </w:rPr>
              <w:t>105</w:t>
            </w:r>
            <w:r>
              <w:rPr>
                <w:webHidden/>
              </w:rPr>
              <w:fldChar w:fldCharType="end"/>
            </w:r>
          </w:hyperlink>
        </w:p>
        <w:p w14:paraId="6D76AA5C" w14:textId="56EA02E9" w:rsidR="00277F6E" w:rsidRDefault="00277F6E">
          <w:pPr>
            <w:pStyle w:val="TOC2"/>
            <w:rPr>
              <w:rFonts w:eastAsiaTheme="minorEastAsia" w:cstheme="minorBidi"/>
              <w:bCs w:val="0"/>
              <w:color w:val="auto"/>
              <w:sz w:val="22"/>
              <w:szCs w:val="22"/>
              <w:lang w:eastAsia="ja-JP"/>
            </w:rPr>
          </w:pPr>
          <w:hyperlink w:anchor="_Toc45704384" w:history="1">
            <w:r w:rsidRPr="005A1F95">
              <w:rPr>
                <w:rStyle w:val="Hyperlink"/>
              </w:rPr>
              <w:t>7.9</w:t>
            </w:r>
            <w:r>
              <w:rPr>
                <w:rFonts w:eastAsiaTheme="minorEastAsia" w:cstheme="minorBidi"/>
                <w:bCs w:val="0"/>
                <w:color w:val="auto"/>
                <w:sz w:val="22"/>
                <w:szCs w:val="22"/>
                <w:lang w:eastAsia="ja-JP"/>
              </w:rPr>
              <w:tab/>
            </w:r>
            <w:r w:rsidRPr="005A1F95">
              <w:rPr>
                <w:rStyle w:val="Hyperlink"/>
              </w:rPr>
              <w:t>Fees</w:t>
            </w:r>
            <w:r>
              <w:rPr>
                <w:webHidden/>
              </w:rPr>
              <w:tab/>
            </w:r>
            <w:r>
              <w:rPr>
                <w:webHidden/>
              </w:rPr>
              <w:fldChar w:fldCharType="begin"/>
            </w:r>
            <w:r>
              <w:rPr>
                <w:webHidden/>
              </w:rPr>
              <w:instrText xml:space="preserve"> PAGEREF _Toc45704384 \h </w:instrText>
            </w:r>
            <w:r>
              <w:rPr>
                <w:webHidden/>
              </w:rPr>
            </w:r>
            <w:r>
              <w:rPr>
                <w:webHidden/>
              </w:rPr>
              <w:fldChar w:fldCharType="separate"/>
            </w:r>
            <w:r>
              <w:rPr>
                <w:webHidden/>
              </w:rPr>
              <w:t>106</w:t>
            </w:r>
            <w:r>
              <w:rPr>
                <w:webHidden/>
              </w:rPr>
              <w:fldChar w:fldCharType="end"/>
            </w:r>
          </w:hyperlink>
        </w:p>
        <w:p w14:paraId="7C728554" w14:textId="6A89DC9E" w:rsidR="00277F6E" w:rsidRDefault="00277F6E">
          <w:pPr>
            <w:pStyle w:val="TOC3"/>
            <w:rPr>
              <w:rFonts w:eastAsiaTheme="minorEastAsia" w:cstheme="minorBidi"/>
              <w:bCs w:val="0"/>
              <w:color w:val="auto"/>
              <w:sz w:val="22"/>
              <w:szCs w:val="22"/>
              <w:lang w:eastAsia="ja-JP"/>
            </w:rPr>
          </w:pPr>
          <w:hyperlink w:anchor="_Toc45704385" w:history="1">
            <w:r w:rsidRPr="005A1F95">
              <w:rPr>
                <w:rStyle w:val="Hyperlink"/>
              </w:rPr>
              <w:t>7.9.1</w:t>
            </w:r>
            <w:r>
              <w:rPr>
                <w:rFonts w:eastAsiaTheme="minorEastAsia" w:cstheme="minorBidi"/>
                <w:bCs w:val="0"/>
                <w:color w:val="auto"/>
                <w:sz w:val="22"/>
                <w:szCs w:val="22"/>
                <w:lang w:eastAsia="ja-JP"/>
              </w:rPr>
              <w:tab/>
            </w:r>
            <w:r w:rsidRPr="005A1F95">
              <w:rPr>
                <w:rStyle w:val="Hyperlink"/>
              </w:rPr>
              <w:t>Methodology</w:t>
            </w:r>
            <w:r>
              <w:rPr>
                <w:webHidden/>
              </w:rPr>
              <w:tab/>
            </w:r>
            <w:r>
              <w:rPr>
                <w:webHidden/>
              </w:rPr>
              <w:fldChar w:fldCharType="begin"/>
            </w:r>
            <w:r>
              <w:rPr>
                <w:webHidden/>
              </w:rPr>
              <w:instrText xml:space="preserve"> PAGEREF _Toc45704385 \h </w:instrText>
            </w:r>
            <w:r>
              <w:rPr>
                <w:webHidden/>
              </w:rPr>
            </w:r>
            <w:r>
              <w:rPr>
                <w:webHidden/>
              </w:rPr>
              <w:fldChar w:fldCharType="separate"/>
            </w:r>
            <w:r>
              <w:rPr>
                <w:webHidden/>
              </w:rPr>
              <w:t>106</w:t>
            </w:r>
            <w:r>
              <w:rPr>
                <w:webHidden/>
              </w:rPr>
              <w:fldChar w:fldCharType="end"/>
            </w:r>
          </w:hyperlink>
        </w:p>
        <w:p w14:paraId="5071D5BC" w14:textId="0D9608B0" w:rsidR="00277F6E" w:rsidRDefault="00277F6E">
          <w:pPr>
            <w:pStyle w:val="TOC3"/>
            <w:rPr>
              <w:rFonts w:eastAsiaTheme="minorEastAsia" w:cstheme="minorBidi"/>
              <w:bCs w:val="0"/>
              <w:color w:val="auto"/>
              <w:sz w:val="22"/>
              <w:szCs w:val="22"/>
              <w:lang w:eastAsia="ja-JP"/>
            </w:rPr>
          </w:pPr>
          <w:hyperlink w:anchor="_Toc45704386" w:history="1">
            <w:r w:rsidRPr="005A1F95">
              <w:rPr>
                <w:rStyle w:val="Hyperlink"/>
              </w:rPr>
              <w:t>7.9.2</w:t>
            </w:r>
            <w:r>
              <w:rPr>
                <w:rFonts w:eastAsiaTheme="minorEastAsia" w:cstheme="minorBidi"/>
                <w:bCs w:val="0"/>
                <w:color w:val="auto"/>
                <w:sz w:val="22"/>
                <w:szCs w:val="22"/>
                <w:lang w:eastAsia="ja-JP"/>
              </w:rPr>
              <w:tab/>
            </w:r>
            <w:r w:rsidRPr="005A1F95">
              <w:rPr>
                <w:rStyle w:val="Hyperlink"/>
              </w:rPr>
              <w:t>Assessment of options</w:t>
            </w:r>
            <w:r>
              <w:rPr>
                <w:webHidden/>
              </w:rPr>
              <w:tab/>
            </w:r>
            <w:r>
              <w:rPr>
                <w:webHidden/>
              </w:rPr>
              <w:fldChar w:fldCharType="begin"/>
            </w:r>
            <w:r>
              <w:rPr>
                <w:webHidden/>
              </w:rPr>
              <w:instrText xml:space="preserve"> PAGEREF _Toc45704386 \h </w:instrText>
            </w:r>
            <w:r>
              <w:rPr>
                <w:webHidden/>
              </w:rPr>
            </w:r>
            <w:r>
              <w:rPr>
                <w:webHidden/>
              </w:rPr>
              <w:fldChar w:fldCharType="separate"/>
            </w:r>
            <w:r>
              <w:rPr>
                <w:webHidden/>
              </w:rPr>
              <w:t>107</w:t>
            </w:r>
            <w:r>
              <w:rPr>
                <w:webHidden/>
              </w:rPr>
              <w:fldChar w:fldCharType="end"/>
            </w:r>
          </w:hyperlink>
        </w:p>
        <w:p w14:paraId="3A216EA1" w14:textId="179A4EAB" w:rsidR="00277F6E" w:rsidRDefault="00277F6E">
          <w:pPr>
            <w:pStyle w:val="TOC3"/>
            <w:rPr>
              <w:rFonts w:eastAsiaTheme="minorEastAsia" w:cstheme="minorBidi"/>
              <w:bCs w:val="0"/>
              <w:color w:val="auto"/>
              <w:sz w:val="22"/>
              <w:szCs w:val="22"/>
              <w:lang w:eastAsia="ja-JP"/>
            </w:rPr>
          </w:pPr>
          <w:hyperlink w:anchor="_Toc45704387" w:history="1">
            <w:r w:rsidRPr="005A1F95">
              <w:rPr>
                <w:rStyle w:val="Hyperlink"/>
              </w:rPr>
              <w:t>7.9.3</w:t>
            </w:r>
            <w:r>
              <w:rPr>
                <w:rFonts w:eastAsiaTheme="minorEastAsia" w:cstheme="minorBidi"/>
                <w:bCs w:val="0"/>
                <w:color w:val="auto"/>
                <w:sz w:val="22"/>
                <w:szCs w:val="22"/>
                <w:lang w:eastAsia="ja-JP"/>
              </w:rPr>
              <w:tab/>
            </w:r>
            <w:r w:rsidRPr="005A1F95">
              <w:rPr>
                <w:rStyle w:val="Hyperlink"/>
              </w:rPr>
              <w:t>Summary</w:t>
            </w:r>
            <w:r>
              <w:rPr>
                <w:webHidden/>
              </w:rPr>
              <w:tab/>
            </w:r>
            <w:r>
              <w:rPr>
                <w:webHidden/>
              </w:rPr>
              <w:fldChar w:fldCharType="begin"/>
            </w:r>
            <w:r>
              <w:rPr>
                <w:webHidden/>
              </w:rPr>
              <w:instrText xml:space="preserve"> PAGEREF _Toc45704387 \h </w:instrText>
            </w:r>
            <w:r>
              <w:rPr>
                <w:webHidden/>
              </w:rPr>
            </w:r>
            <w:r>
              <w:rPr>
                <w:webHidden/>
              </w:rPr>
              <w:fldChar w:fldCharType="separate"/>
            </w:r>
            <w:r>
              <w:rPr>
                <w:webHidden/>
              </w:rPr>
              <w:t>110</w:t>
            </w:r>
            <w:r>
              <w:rPr>
                <w:webHidden/>
              </w:rPr>
              <w:fldChar w:fldCharType="end"/>
            </w:r>
          </w:hyperlink>
        </w:p>
        <w:p w14:paraId="2F9DEE75" w14:textId="13D77483" w:rsidR="00277F6E" w:rsidRDefault="00277F6E">
          <w:pPr>
            <w:pStyle w:val="TOC1"/>
            <w:rPr>
              <w:rFonts w:asciiTheme="minorHAnsi" w:eastAsiaTheme="minorEastAsia" w:hAnsiTheme="minorHAnsi" w:cstheme="minorBidi"/>
              <w:b w:val="0"/>
              <w:bCs w:val="0"/>
              <w:color w:val="auto"/>
              <w:sz w:val="22"/>
              <w:szCs w:val="22"/>
              <w:lang w:eastAsia="ja-JP"/>
            </w:rPr>
          </w:pPr>
          <w:hyperlink w:anchor="_Toc45704388" w:history="1">
            <w:r w:rsidRPr="005A1F95">
              <w:rPr>
                <w:rStyle w:val="Hyperlink"/>
              </w:rPr>
              <w:t>8</w:t>
            </w:r>
            <w:r>
              <w:rPr>
                <w:rFonts w:asciiTheme="minorHAnsi" w:eastAsiaTheme="minorEastAsia" w:hAnsiTheme="minorHAnsi" w:cstheme="minorBidi"/>
                <w:b w:val="0"/>
                <w:bCs w:val="0"/>
                <w:color w:val="auto"/>
                <w:sz w:val="22"/>
                <w:szCs w:val="22"/>
                <w:lang w:eastAsia="ja-JP"/>
              </w:rPr>
              <w:tab/>
            </w:r>
            <w:r w:rsidRPr="005A1F95">
              <w:rPr>
                <w:rStyle w:val="Hyperlink"/>
              </w:rPr>
              <w:t>Preferred option</w:t>
            </w:r>
            <w:r>
              <w:rPr>
                <w:webHidden/>
              </w:rPr>
              <w:tab/>
            </w:r>
            <w:r>
              <w:rPr>
                <w:webHidden/>
              </w:rPr>
              <w:fldChar w:fldCharType="begin"/>
            </w:r>
            <w:r>
              <w:rPr>
                <w:webHidden/>
              </w:rPr>
              <w:instrText xml:space="preserve"> PAGEREF _Toc45704388 \h </w:instrText>
            </w:r>
            <w:r>
              <w:rPr>
                <w:webHidden/>
              </w:rPr>
            </w:r>
            <w:r>
              <w:rPr>
                <w:webHidden/>
              </w:rPr>
              <w:fldChar w:fldCharType="separate"/>
            </w:r>
            <w:r>
              <w:rPr>
                <w:webHidden/>
              </w:rPr>
              <w:t>112</w:t>
            </w:r>
            <w:r>
              <w:rPr>
                <w:webHidden/>
              </w:rPr>
              <w:fldChar w:fldCharType="end"/>
            </w:r>
          </w:hyperlink>
        </w:p>
        <w:p w14:paraId="58D1BB6B" w14:textId="04FADBEE" w:rsidR="00277F6E" w:rsidRDefault="00277F6E">
          <w:pPr>
            <w:pStyle w:val="TOC2"/>
            <w:rPr>
              <w:rFonts w:eastAsiaTheme="minorEastAsia" w:cstheme="minorBidi"/>
              <w:bCs w:val="0"/>
              <w:color w:val="auto"/>
              <w:sz w:val="22"/>
              <w:szCs w:val="22"/>
              <w:lang w:eastAsia="ja-JP"/>
            </w:rPr>
          </w:pPr>
          <w:hyperlink w:anchor="_Toc45704389" w:history="1">
            <w:r w:rsidRPr="005A1F95">
              <w:rPr>
                <w:rStyle w:val="Hyperlink"/>
              </w:rPr>
              <w:t>8.1</w:t>
            </w:r>
            <w:r>
              <w:rPr>
                <w:rFonts w:eastAsiaTheme="minorEastAsia" w:cstheme="minorBidi"/>
                <w:bCs w:val="0"/>
                <w:color w:val="auto"/>
                <w:sz w:val="22"/>
                <w:szCs w:val="22"/>
                <w:lang w:eastAsia="ja-JP"/>
              </w:rPr>
              <w:tab/>
            </w:r>
            <w:r w:rsidRPr="005A1F95">
              <w:rPr>
                <w:rStyle w:val="Hyperlink"/>
              </w:rPr>
              <w:t>Summary of the proposed regulations</w:t>
            </w:r>
            <w:r>
              <w:rPr>
                <w:webHidden/>
              </w:rPr>
              <w:tab/>
            </w:r>
            <w:r>
              <w:rPr>
                <w:webHidden/>
              </w:rPr>
              <w:fldChar w:fldCharType="begin"/>
            </w:r>
            <w:r>
              <w:rPr>
                <w:webHidden/>
              </w:rPr>
              <w:instrText xml:space="preserve"> PAGEREF _Toc45704389 \h </w:instrText>
            </w:r>
            <w:r>
              <w:rPr>
                <w:webHidden/>
              </w:rPr>
            </w:r>
            <w:r>
              <w:rPr>
                <w:webHidden/>
              </w:rPr>
              <w:fldChar w:fldCharType="separate"/>
            </w:r>
            <w:r>
              <w:rPr>
                <w:webHidden/>
              </w:rPr>
              <w:t>112</w:t>
            </w:r>
            <w:r>
              <w:rPr>
                <w:webHidden/>
              </w:rPr>
              <w:fldChar w:fldCharType="end"/>
            </w:r>
          </w:hyperlink>
        </w:p>
        <w:p w14:paraId="010FEB91" w14:textId="41DCAB20" w:rsidR="00277F6E" w:rsidRDefault="00277F6E">
          <w:pPr>
            <w:pStyle w:val="TOC3"/>
            <w:rPr>
              <w:rFonts w:eastAsiaTheme="minorEastAsia" w:cstheme="minorBidi"/>
              <w:bCs w:val="0"/>
              <w:color w:val="auto"/>
              <w:sz w:val="22"/>
              <w:szCs w:val="22"/>
              <w:lang w:eastAsia="ja-JP"/>
            </w:rPr>
          </w:pPr>
          <w:hyperlink w:anchor="_Toc45704390" w:history="1">
            <w:r w:rsidRPr="005A1F95">
              <w:rPr>
                <w:rStyle w:val="Hyperlink"/>
              </w:rPr>
              <w:t>8.1.1</w:t>
            </w:r>
            <w:r>
              <w:rPr>
                <w:rFonts w:eastAsiaTheme="minorEastAsia" w:cstheme="minorBidi"/>
                <w:bCs w:val="0"/>
                <w:color w:val="auto"/>
                <w:sz w:val="22"/>
                <w:szCs w:val="22"/>
                <w:lang w:eastAsia="ja-JP"/>
              </w:rPr>
              <w:tab/>
            </w:r>
            <w:r w:rsidRPr="005A1F95">
              <w:rPr>
                <w:rStyle w:val="Hyperlink"/>
              </w:rPr>
              <w:t>Preliminary matters</w:t>
            </w:r>
            <w:r>
              <w:rPr>
                <w:webHidden/>
              </w:rPr>
              <w:tab/>
            </w:r>
            <w:r>
              <w:rPr>
                <w:webHidden/>
              </w:rPr>
              <w:fldChar w:fldCharType="begin"/>
            </w:r>
            <w:r>
              <w:rPr>
                <w:webHidden/>
              </w:rPr>
              <w:instrText xml:space="preserve"> PAGEREF _Toc45704390 \h </w:instrText>
            </w:r>
            <w:r>
              <w:rPr>
                <w:webHidden/>
              </w:rPr>
            </w:r>
            <w:r>
              <w:rPr>
                <w:webHidden/>
              </w:rPr>
              <w:fldChar w:fldCharType="separate"/>
            </w:r>
            <w:r>
              <w:rPr>
                <w:webHidden/>
              </w:rPr>
              <w:t>112</w:t>
            </w:r>
            <w:r>
              <w:rPr>
                <w:webHidden/>
              </w:rPr>
              <w:fldChar w:fldCharType="end"/>
            </w:r>
          </w:hyperlink>
        </w:p>
        <w:p w14:paraId="5ACCB82C" w14:textId="06455EFD" w:rsidR="00277F6E" w:rsidRDefault="00277F6E">
          <w:pPr>
            <w:pStyle w:val="TOC3"/>
            <w:rPr>
              <w:rFonts w:eastAsiaTheme="minorEastAsia" w:cstheme="minorBidi"/>
              <w:bCs w:val="0"/>
              <w:color w:val="auto"/>
              <w:sz w:val="22"/>
              <w:szCs w:val="22"/>
              <w:lang w:eastAsia="ja-JP"/>
            </w:rPr>
          </w:pPr>
          <w:hyperlink w:anchor="_Toc45704391" w:history="1">
            <w:r w:rsidRPr="005A1F95">
              <w:rPr>
                <w:rStyle w:val="Hyperlink"/>
              </w:rPr>
              <w:t>8.1.2</w:t>
            </w:r>
            <w:r>
              <w:rPr>
                <w:rFonts w:eastAsiaTheme="minorEastAsia" w:cstheme="minorBidi"/>
                <w:bCs w:val="0"/>
                <w:color w:val="auto"/>
                <w:sz w:val="22"/>
                <w:szCs w:val="22"/>
                <w:lang w:eastAsia="ja-JP"/>
              </w:rPr>
              <w:tab/>
            </w:r>
            <w:r w:rsidRPr="005A1F95">
              <w:rPr>
                <w:rStyle w:val="Hyperlink"/>
              </w:rPr>
              <w:t>Bus safety duties</w:t>
            </w:r>
            <w:r>
              <w:rPr>
                <w:webHidden/>
              </w:rPr>
              <w:tab/>
            </w:r>
            <w:r>
              <w:rPr>
                <w:webHidden/>
              </w:rPr>
              <w:fldChar w:fldCharType="begin"/>
            </w:r>
            <w:r>
              <w:rPr>
                <w:webHidden/>
              </w:rPr>
              <w:instrText xml:space="preserve"> PAGEREF _Toc45704391 \h </w:instrText>
            </w:r>
            <w:r>
              <w:rPr>
                <w:webHidden/>
              </w:rPr>
            </w:r>
            <w:r>
              <w:rPr>
                <w:webHidden/>
              </w:rPr>
              <w:fldChar w:fldCharType="separate"/>
            </w:r>
            <w:r>
              <w:rPr>
                <w:webHidden/>
              </w:rPr>
              <w:t>112</w:t>
            </w:r>
            <w:r>
              <w:rPr>
                <w:webHidden/>
              </w:rPr>
              <w:fldChar w:fldCharType="end"/>
            </w:r>
          </w:hyperlink>
        </w:p>
        <w:p w14:paraId="7AC2470D" w14:textId="4D248F57" w:rsidR="00277F6E" w:rsidRDefault="00277F6E">
          <w:pPr>
            <w:pStyle w:val="TOC3"/>
            <w:rPr>
              <w:rFonts w:eastAsiaTheme="minorEastAsia" w:cstheme="minorBidi"/>
              <w:bCs w:val="0"/>
              <w:color w:val="auto"/>
              <w:sz w:val="22"/>
              <w:szCs w:val="22"/>
              <w:lang w:eastAsia="ja-JP"/>
            </w:rPr>
          </w:pPr>
          <w:hyperlink w:anchor="_Toc45704392" w:history="1">
            <w:r w:rsidRPr="005A1F95">
              <w:rPr>
                <w:rStyle w:val="Hyperlink"/>
              </w:rPr>
              <w:t>8.1.3</w:t>
            </w:r>
            <w:r>
              <w:rPr>
                <w:rFonts w:eastAsiaTheme="minorEastAsia" w:cstheme="minorBidi"/>
                <w:bCs w:val="0"/>
                <w:color w:val="auto"/>
                <w:sz w:val="22"/>
                <w:szCs w:val="22"/>
                <w:lang w:eastAsia="ja-JP"/>
              </w:rPr>
              <w:tab/>
            </w:r>
            <w:r w:rsidRPr="005A1F95">
              <w:rPr>
                <w:rStyle w:val="Hyperlink"/>
              </w:rPr>
              <w:t>Registration</w:t>
            </w:r>
            <w:r>
              <w:rPr>
                <w:webHidden/>
              </w:rPr>
              <w:tab/>
            </w:r>
            <w:r>
              <w:rPr>
                <w:webHidden/>
              </w:rPr>
              <w:fldChar w:fldCharType="begin"/>
            </w:r>
            <w:r>
              <w:rPr>
                <w:webHidden/>
              </w:rPr>
              <w:instrText xml:space="preserve"> PAGEREF _Toc45704392 \h </w:instrText>
            </w:r>
            <w:r>
              <w:rPr>
                <w:webHidden/>
              </w:rPr>
            </w:r>
            <w:r>
              <w:rPr>
                <w:webHidden/>
              </w:rPr>
              <w:fldChar w:fldCharType="separate"/>
            </w:r>
            <w:r>
              <w:rPr>
                <w:webHidden/>
              </w:rPr>
              <w:t>112</w:t>
            </w:r>
            <w:r>
              <w:rPr>
                <w:webHidden/>
              </w:rPr>
              <w:fldChar w:fldCharType="end"/>
            </w:r>
          </w:hyperlink>
        </w:p>
        <w:p w14:paraId="0A2CA594" w14:textId="3B404043" w:rsidR="00277F6E" w:rsidRDefault="00277F6E">
          <w:pPr>
            <w:pStyle w:val="TOC3"/>
            <w:rPr>
              <w:rFonts w:eastAsiaTheme="minorEastAsia" w:cstheme="minorBidi"/>
              <w:bCs w:val="0"/>
              <w:color w:val="auto"/>
              <w:sz w:val="22"/>
              <w:szCs w:val="22"/>
              <w:lang w:eastAsia="ja-JP"/>
            </w:rPr>
          </w:pPr>
          <w:hyperlink w:anchor="_Toc45704393" w:history="1">
            <w:r w:rsidRPr="005A1F95">
              <w:rPr>
                <w:rStyle w:val="Hyperlink"/>
              </w:rPr>
              <w:t>8.1.4</w:t>
            </w:r>
            <w:r>
              <w:rPr>
                <w:rFonts w:eastAsiaTheme="minorEastAsia" w:cstheme="minorBidi"/>
                <w:bCs w:val="0"/>
                <w:color w:val="auto"/>
                <w:sz w:val="22"/>
                <w:szCs w:val="22"/>
                <w:lang w:eastAsia="ja-JP"/>
              </w:rPr>
              <w:tab/>
            </w:r>
            <w:r w:rsidRPr="005A1F95">
              <w:rPr>
                <w:rStyle w:val="Hyperlink"/>
              </w:rPr>
              <w:t>Accreditation</w:t>
            </w:r>
            <w:r>
              <w:rPr>
                <w:webHidden/>
              </w:rPr>
              <w:tab/>
            </w:r>
            <w:r>
              <w:rPr>
                <w:webHidden/>
              </w:rPr>
              <w:fldChar w:fldCharType="begin"/>
            </w:r>
            <w:r>
              <w:rPr>
                <w:webHidden/>
              </w:rPr>
              <w:instrText xml:space="preserve"> PAGEREF _Toc45704393 \h </w:instrText>
            </w:r>
            <w:r>
              <w:rPr>
                <w:webHidden/>
              </w:rPr>
            </w:r>
            <w:r>
              <w:rPr>
                <w:webHidden/>
              </w:rPr>
              <w:fldChar w:fldCharType="separate"/>
            </w:r>
            <w:r>
              <w:rPr>
                <w:webHidden/>
              </w:rPr>
              <w:t>112</w:t>
            </w:r>
            <w:r>
              <w:rPr>
                <w:webHidden/>
              </w:rPr>
              <w:fldChar w:fldCharType="end"/>
            </w:r>
          </w:hyperlink>
        </w:p>
        <w:p w14:paraId="6DD8C8F3" w14:textId="6C1E5E3D" w:rsidR="00277F6E" w:rsidRDefault="00277F6E">
          <w:pPr>
            <w:pStyle w:val="TOC3"/>
            <w:rPr>
              <w:rFonts w:eastAsiaTheme="minorEastAsia" w:cstheme="minorBidi"/>
              <w:bCs w:val="0"/>
              <w:color w:val="auto"/>
              <w:sz w:val="22"/>
              <w:szCs w:val="22"/>
              <w:lang w:eastAsia="ja-JP"/>
            </w:rPr>
          </w:pPr>
          <w:hyperlink w:anchor="_Toc45704394" w:history="1">
            <w:r w:rsidRPr="005A1F95">
              <w:rPr>
                <w:rStyle w:val="Hyperlink"/>
              </w:rPr>
              <w:t>8.1.5</w:t>
            </w:r>
            <w:r>
              <w:rPr>
                <w:rFonts w:eastAsiaTheme="minorEastAsia" w:cstheme="minorBidi"/>
                <w:bCs w:val="0"/>
                <w:color w:val="auto"/>
                <w:sz w:val="22"/>
                <w:szCs w:val="22"/>
                <w:lang w:eastAsia="ja-JP"/>
              </w:rPr>
              <w:tab/>
            </w:r>
            <w:r w:rsidRPr="005A1F95">
              <w:rPr>
                <w:rStyle w:val="Hyperlink"/>
              </w:rPr>
              <w:t>Exemptions</w:t>
            </w:r>
            <w:r>
              <w:rPr>
                <w:webHidden/>
              </w:rPr>
              <w:tab/>
            </w:r>
            <w:r>
              <w:rPr>
                <w:webHidden/>
              </w:rPr>
              <w:fldChar w:fldCharType="begin"/>
            </w:r>
            <w:r>
              <w:rPr>
                <w:webHidden/>
              </w:rPr>
              <w:instrText xml:space="preserve"> PAGEREF _Toc45704394 \h </w:instrText>
            </w:r>
            <w:r>
              <w:rPr>
                <w:webHidden/>
              </w:rPr>
            </w:r>
            <w:r>
              <w:rPr>
                <w:webHidden/>
              </w:rPr>
              <w:fldChar w:fldCharType="separate"/>
            </w:r>
            <w:r>
              <w:rPr>
                <w:webHidden/>
              </w:rPr>
              <w:t>113</w:t>
            </w:r>
            <w:r>
              <w:rPr>
                <w:webHidden/>
              </w:rPr>
              <w:fldChar w:fldCharType="end"/>
            </w:r>
          </w:hyperlink>
        </w:p>
        <w:p w14:paraId="30A1F63C" w14:textId="5257724E" w:rsidR="00277F6E" w:rsidRDefault="00277F6E">
          <w:pPr>
            <w:pStyle w:val="TOC3"/>
            <w:rPr>
              <w:rFonts w:eastAsiaTheme="minorEastAsia" w:cstheme="minorBidi"/>
              <w:bCs w:val="0"/>
              <w:color w:val="auto"/>
              <w:sz w:val="22"/>
              <w:szCs w:val="22"/>
              <w:lang w:eastAsia="ja-JP"/>
            </w:rPr>
          </w:pPr>
          <w:hyperlink w:anchor="_Toc45704395" w:history="1">
            <w:r w:rsidRPr="005A1F95">
              <w:rPr>
                <w:rStyle w:val="Hyperlink"/>
              </w:rPr>
              <w:t>8.1.6</w:t>
            </w:r>
            <w:r>
              <w:rPr>
                <w:rFonts w:eastAsiaTheme="minorEastAsia" w:cstheme="minorBidi"/>
                <w:bCs w:val="0"/>
                <w:color w:val="auto"/>
                <w:sz w:val="22"/>
                <w:szCs w:val="22"/>
                <w:lang w:eastAsia="ja-JP"/>
              </w:rPr>
              <w:tab/>
            </w:r>
            <w:r w:rsidRPr="005A1F95">
              <w:rPr>
                <w:rStyle w:val="Hyperlink"/>
              </w:rPr>
              <w:t>Record keeping for bus operators</w:t>
            </w:r>
            <w:r>
              <w:rPr>
                <w:webHidden/>
              </w:rPr>
              <w:tab/>
            </w:r>
            <w:r>
              <w:rPr>
                <w:webHidden/>
              </w:rPr>
              <w:fldChar w:fldCharType="begin"/>
            </w:r>
            <w:r>
              <w:rPr>
                <w:webHidden/>
              </w:rPr>
              <w:instrText xml:space="preserve"> PAGEREF _Toc45704395 \h </w:instrText>
            </w:r>
            <w:r>
              <w:rPr>
                <w:webHidden/>
              </w:rPr>
            </w:r>
            <w:r>
              <w:rPr>
                <w:webHidden/>
              </w:rPr>
              <w:fldChar w:fldCharType="separate"/>
            </w:r>
            <w:r>
              <w:rPr>
                <w:webHidden/>
              </w:rPr>
              <w:t>113</w:t>
            </w:r>
            <w:r>
              <w:rPr>
                <w:webHidden/>
              </w:rPr>
              <w:fldChar w:fldCharType="end"/>
            </w:r>
          </w:hyperlink>
        </w:p>
        <w:p w14:paraId="50701B43" w14:textId="542CAFA2" w:rsidR="00277F6E" w:rsidRDefault="00277F6E">
          <w:pPr>
            <w:pStyle w:val="TOC3"/>
            <w:rPr>
              <w:rFonts w:eastAsiaTheme="minorEastAsia" w:cstheme="minorBidi"/>
              <w:bCs w:val="0"/>
              <w:color w:val="auto"/>
              <w:sz w:val="22"/>
              <w:szCs w:val="22"/>
              <w:lang w:eastAsia="ja-JP"/>
            </w:rPr>
          </w:pPr>
          <w:hyperlink w:anchor="_Toc45704396" w:history="1">
            <w:r w:rsidRPr="005A1F95">
              <w:rPr>
                <w:rStyle w:val="Hyperlink"/>
              </w:rPr>
              <w:t>8.1.7</w:t>
            </w:r>
            <w:r>
              <w:rPr>
                <w:rFonts w:eastAsiaTheme="minorEastAsia" w:cstheme="minorBidi"/>
                <w:bCs w:val="0"/>
                <w:color w:val="auto"/>
                <w:sz w:val="22"/>
                <w:szCs w:val="22"/>
                <w:lang w:eastAsia="ja-JP"/>
              </w:rPr>
              <w:tab/>
            </w:r>
            <w:r w:rsidRPr="005A1F95">
              <w:rPr>
                <w:rStyle w:val="Hyperlink"/>
              </w:rPr>
              <w:t>Bus inspections</w:t>
            </w:r>
            <w:r>
              <w:rPr>
                <w:webHidden/>
              </w:rPr>
              <w:tab/>
            </w:r>
            <w:r>
              <w:rPr>
                <w:webHidden/>
              </w:rPr>
              <w:fldChar w:fldCharType="begin"/>
            </w:r>
            <w:r>
              <w:rPr>
                <w:webHidden/>
              </w:rPr>
              <w:instrText xml:space="preserve"> PAGEREF _Toc45704396 \h </w:instrText>
            </w:r>
            <w:r>
              <w:rPr>
                <w:webHidden/>
              </w:rPr>
            </w:r>
            <w:r>
              <w:rPr>
                <w:webHidden/>
              </w:rPr>
              <w:fldChar w:fldCharType="separate"/>
            </w:r>
            <w:r>
              <w:rPr>
                <w:webHidden/>
              </w:rPr>
              <w:t>114</w:t>
            </w:r>
            <w:r>
              <w:rPr>
                <w:webHidden/>
              </w:rPr>
              <w:fldChar w:fldCharType="end"/>
            </w:r>
          </w:hyperlink>
        </w:p>
        <w:p w14:paraId="77D2AD68" w14:textId="19B17E01" w:rsidR="00277F6E" w:rsidRDefault="00277F6E">
          <w:pPr>
            <w:pStyle w:val="TOC3"/>
            <w:rPr>
              <w:rFonts w:eastAsiaTheme="minorEastAsia" w:cstheme="minorBidi"/>
              <w:bCs w:val="0"/>
              <w:color w:val="auto"/>
              <w:sz w:val="22"/>
              <w:szCs w:val="22"/>
              <w:lang w:eastAsia="ja-JP"/>
            </w:rPr>
          </w:pPr>
          <w:hyperlink w:anchor="_Toc45704397" w:history="1">
            <w:r w:rsidRPr="005A1F95">
              <w:rPr>
                <w:rStyle w:val="Hyperlink"/>
              </w:rPr>
              <w:t>8.1.8</w:t>
            </w:r>
            <w:r>
              <w:rPr>
                <w:rFonts w:eastAsiaTheme="minorEastAsia" w:cstheme="minorBidi"/>
                <w:bCs w:val="0"/>
                <w:color w:val="auto"/>
                <w:sz w:val="22"/>
                <w:szCs w:val="22"/>
                <w:lang w:eastAsia="ja-JP"/>
              </w:rPr>
              <w:tab/>
            </w:r>
            <w:r w:rsidRPr="005A1F95">
              <w:rPr>
                <w:rStyle w:val="Hyperlink"/>
              </w:rPr>
              <w:t>Reporting and investigation of bus incidents</w:t>
            </w:r>
            <w:r>
              <w:rPr>
                <w:webHidden/>
              </w:rPr>
              <w:tab/>
            </w:r>
            <w:r>
              <w:rPr>
                <w:webHidden/>
              </w:rPr>
              <w:fldChar w:fldCharType="begin"/>
            </w:r>
            <w:r>
              <w:rPr>
                <w:webHidden/>
              </w:rPr>
              <w:instrText xml:space="preserve"> PAGEREF _Toc45704397 \h </w:instrText>
            </w:r>
            <w:r>
              <w:rPr>
                <w:webHidden/>
              </w:rPr>
            </w:r>
            <w:r>
              <w:rPr>
                <w:webHidden/>
              </w:rPr>
              <w:fldChar w:fldCharType="separate"/>
            </w:r>
            <w:r>
              <w:rPr>
                <w:webHidden/>
              </w:rPr>
              <w:t>114</w:t>
            </w:r>
            <w:r>
              <w:rPr>
                <w:webHidden/>
              </w:rPr>
              <w:fldChar w:fldCharType="end"/>
            </w:r>
          </w:hyperlink>
        </w:p>
        <w:p w14:paraId="68536757" w14:textId="367E7459" w:rsidR="00277F6E" w:rsidRDefault="00277F6E">
          <w:pPr>
            <w:pStyle w:val="TOC3"/>
            <w:rPr>
              <w:rFonts w:eastAsiaTheme="minorEastAsia" w:cstheme="minorBidi"/>
              <w:bCs w:val="0"/>
              <w:color w:val="auto"/>
              <w:sz w:val="22"/>
              <w:szCs w:val="22"/>
              <w:lang w:eastAsia="ja-JP"/>
            </w:rPr>
          </w:pPr>
          <w:hyperlink w:anchor="_Toc45704398" w:history="1">
            <w:r w:rsidRPr="005A1F95">
              <w:rPr>
                <w:rStyle w:val="Hyperlink"/>
              </w:rPr>
              <w:t>8.1.9</w:t>
            </w:r>
            <w:r>
              <w:rPr>
                <w:rFonts w:eastAsiaTheme="minorEastAsia" w:cstheme="minorBidi"/>
                <w:bCs w:val="0"/>
                <w:color w:val="auto"/>
                <w:sz w:val="22"/>
                <w:szCs w:val="22"/>
                <w:lang w:eastAsia="ja-JP"/>
              </w:rPr>
              <w:tab/>
            </w:r>
            <w:r w:rsidRPr="005A1F95">
              <w:rPr>
                <w:rStyle w:val="Hyperlink"/>
              </w:rPr>
              <w:t>Penalty units</w:t>
            </w:r>
            <w:r>
              <w:rPr>
                <w:webHidden/>
              </w:rPr>
              <w:tab/>
            </w:r>
            <w:r>
              <w:rPr>
                <w:webHidden/>
              </w:rPr>
              <w:fldChar w:fldCharType="begin"/>
            </w:r>
            <w:r>
              <w:rPr>
                <w:webHidden/>
              </w:rPr>
              <w:instrText xml:space="preserve"> PAGEREF _Toc45704398 \h </w:instrText>
            </w:r>
            <w:r>
              <w:rPr>
                <w:webHidden/>
              </w:rPr>
            </w:r>
            <w:r>
              <w:rPr>
                <w:webHidden/>
              </w:rPr>
              <w:fldChar w:fldCharType="separate"/>
            </w:r>
            <w:r>
              <w:rPr>
                <w:webHidden/>
              </w:rPr>
              <w:t>114</w:t>
            </w:r>
            <w:r>
              <w:rPr>
                <w:webHidden/>
              </w:rPr>
              <w:fldChar w:fldCharType="end"/>
            </w:r>
          </w:hyperlink>
        </w:p>
        <w:p w14:paraId="62B0587C" w14:textId="6DA054EB" w:rsidR="00277F6E" w:rsidRDefault="00277F6E">
          <w:pPr>
            <w:pStyle w:val="TOC2"/>
            <w:rPr>
              <w:rFonts w:eastAsiaTheme="minorEastAsia" w:cstheme="minorBidi"/>
              <w:bCs w:val="0"/>
              <w:color w:val="auto"/>
              <w:sz w:val="22"/>
              <w:szCs w:val="22"/>
              <w:lang w:eastAsia="ja-JP"/>
            </w:rPr>
          </w:pPr>
          <w:hyperlink w:anchor="_Toc45704399" w:history="1">
            <w:r w:rsidRPr="005A1F95">
              <w:rPr>
                <w:rStyle w:val="Hyperlink"/>
              </w:rPr>
              <w:t>8.2</w:t>
            </w:r>
            <w:r>
              <w:rPr>
                <w:rFonts w:eastAsiaTheme="minorEastAsia" w:cstheme="minorBidi"/>
                <w:bCs w:val="0"/>
                <w:color w:val="auto"/>
                <w:sz w:val="22"/>
                <w:szCs w:val="22"/>
                <w:lang w:eastAsia="ja-JP"/>
              </w:rPr>
              <w:tab/>
            </w:r>
            <w:r w:rsidRPr="005A1F95">
              <w:rPr>
                <w:rStyle w:val="Hyperlink"/>
              </w:rPr>
              <w:t>Impact on small business</w:t>
            </w:r>
            <w:r>
              <w:rPr>
                <w:webHidden/>
              </w:rPr>
              <w:tab/>
            </w:r>
            <w:r>
              <w:rPr>
                <w:webHidden/>
              </w:rPr>
              <w:fldChar w:fldCharType="begin"/>
            </w:r>
            <w:r>
              <w:rPr>
                <w:webHidden/>
              </w:rPr>
              <w:instrText xml:space="preserve"> PAGEREF _Toc45704399 \h </w:instrText>
            </w:r>
            <w:r>
              <w:rPr>
                <w:webHidden/>
              </w:rPr>
            </w:r>
            <w:r>
              <w:rPr>
                <w:webHidden/>
              </w:rPr>
              <w:fldChar w:fldCharType="separate"/>
            </w:r>
            <w:r>
              <w:rPr>
                <w:webHidden/>
              </w:rPr>
              <w:t>116</w:t>
            </w:r>
            <w:r>
              <w:rPr>
                <w:webHidden/>
              </w:rPr>
              <w:fldChar w:fldCharType="end"/>
            </w:r>
          </w:hyperlink>
        </w:p>
        <w:p w14:paraId="223F6BC2" w14:textId="2AC5B494" w:rsidR="00277F6E" w:rsidRDefault="00277F6E">
          <w:pPr>
            <w:pStyle w:val="TOC3"/>
            <w:rPr>
              <w:rFonts w:eastAsiaTheme="minorEastAsia" w:cstheme="minorBidi"/>
              <w:bCs w:val="0"/>
              <w:color w:val="auto"/>
              <w:sz w:val="22"/>
              <w:szCs w:val="22"/>
              <w:lang w:eastAsia="ja-JP"/>
            </w:rPr>
          </w:pPr>
          <w:hyperlink w:anchor="_Toc45704400" w:history="1">
            <w:r w:rsidRPr="005A1F95">
              <w:rPr>
                <w:rStyle w:val="Hyperlink"/>
                <w:rFonts w:ascii="Arial" w:hAnsi="Arial" w:cs="Arial"/>
              </w:rPr>
              <w:t>8.2.1</w:t>
            </w:r>
            <w:r>
              <w:rPr>
                <w:rFonts w:eastAsiaTheme="minorEastAsia" w:cstheme="minorBidi"/>
                <w:bCs w:val="0"/>
                <w:color w:val="auto"/>
                <w:sz w:val="22"/>
                <w:szCs w:val="22"/>
                <w:lang w:eastAsia="ja-JP"/>
              </w:rPr>
              <w:tab/>
            </w:r>
            <w:r w:rsidRPr="005A1F95">
              <w:rPr>
                <w:rStyle w:val="Hyperlink"/>
                <w:rFonts w:ascii="Arial" w:hAnsi="Arial" w:cs="Arial"/>
              </w:rPr>
              <w:t>Structure of the industry</w:t>
            </w:r>
            <w:r>
              <w:rPr>
                <w:webHidden/>
              </w:rPr>
              <w:tab/>
            </w:r>
            <w:r>
              <w:rPr>
                <w:webHidden/>
              </w:rPr>
              <w:fldChar w:fldCharType="begin"/>
            </w:r>
            <w:r>
              <w:rPr>
                <w:webHidden/>
              </w:rPr>
              <w:instrText xml:space="preserve"> PAGEREF _Toc45704400 \h </w:instrText>
            </w:r>
            <w:r>
              <w:rPr>
                <w:webHidden/>
              </w:rPr>
            </w:r>
            <w:r>
              <w:rPr>
                <w:webHidden/>
              </w:rPr>
              <w:fldChar w:fldCharType="separate"/>
            </w:r>
            <w:r>
              <w:rPr>
                <w:webHidden/>
              </w:rPr>
              <w:t>116</w:t>
            </w:r>
            <w:r>
              <w:rPr>
                <w:webHidden/>
              </w:rPr>
              <w:fldChar w:fldCharType="end"/>
            </w:r>
          </w:hyperlink>
        </w:p>
        <w:p w14:paraId="7615BBBA" w14:textId="1BBF6487" w:rsidR="00277F6E" w:rsidRDefault="00277F6E">
          <w:pPr>
            <w:pStyle w:val="TOC3"/>
            <w:rPr>
              <w:rFonts w:eastAsiaTheme="minorEastAsia" w:cstheme="minorBidi"/>
              <w:bCs w:val="0"/>
              <w:color w:val="auto"/>
              <w:sz w:val="22"/>
              <w:szCs w:val="22"/>
              <w:lang w:eastAsia="ja-JP"/>
            </w:rPr>
          </w:pPr>
          <w:hyperlink w:anchor="_Toc45704401" w:history="1">
            <w:r w:rsidRPr="005A1F95">
              <w:rPr>
                <w:rStyle w:val="Hyperlink"/>
                <w:rFonts w:ascii="Arial" w:hAnsi="Arial" w:cs="Arial"/>
              </w:rPr>
              <w:t>8.2.2</w:t>
            </w:r>
            <w:r>
              <w:rPr>
                <w:rFonts w:eastAsiaTheme="minorEastAsia" w:cstheme="minorBidi"/>
                <w:bCs w:val="0"/>
                <w:color w:val="auto"/>
                <w:sz w:val="22"/>
                <w:szCs w:val="22"/>
                <w:lang w:eastAsia="ja-JP"/>
              </w:rPr>
              <w:tab/>
            </w:r>
            <w:r w:rsidRPr="005A1F95">
              <w:rPr>
                <w:rStyle w:val="Hyperlink"/>
                <w:rFonts w:ascii="Arial" w:hAnsi="Arial" w:cs="Arial"/>
              </w:rPr>
              <w:t>Which requirements have potential effects on small businesses?</w:t>
            </w:r>
            <w:r>
              <w:rPr>
                <w:webHidden/>
              </w:rPr>
              <w:tab/>
            </w:r>
            <w:r>
              <w:rPr>
                <w:webHidden/>
              </w:rPr>
              <w:fldChar w:fldCharType="begin"/>
            </w:r>
            <w:r>
              <w:rPr>
                <w:webHidden/>
              </w:rPr>
              <w:instrText xml:space="preserve"> PAGEREF _Toc45704401 \h </w:instrText>
            </w:r>
            <w:r>
              <w:rPr>
                <w:webHidden/>
              </w:rPr>
            </w:r>
            <w:r>
              <w:rPr>
                <w:webHidden/>
              </w:rPr>
              <w:fldChar w:fldCharType="separate"/>
            </w:r>
            <w:r>
              <w:rPr>
                <w:webHidden/>
              </w:rPr>
              <w:t>116</w:t>
            </w:r>
            <w:r>
              <w:rPr>
                <w:webHidden/>
              </w:rPr>
              <w:fldChar w:fldCharType="end"/>
            </w:r>
          </w:hyperlink>
        </w:p>
        <w:p w14:paraId="3ACFCF00" w14:textId="5243C00C" w:rsidR="00277F6E" w:rsidRDefault="00277F6E">
          <w:pPr>
            <w:pStyle w:val="TOC3"/>
            <w:rPr>
              <w:rFonts w:eastAsiaTheme="minorEastAsia" w:cstheme="minorBidi"/>
              <w:bCs w:val="0"/>
              <w:color w:val="auto"/>
              <w:sz w:val="22"/>
              <w:szCs w:val="22"/>
              <w:lang w:eastAsia="ja-JP"/>
            </w:rPr>
          </w:pPr>
          <w:hyperlink w:anchor="_Toc45704402" w:history="1">
            <w:r w:rsidRPr="005A1F95">
              <w:rPr>
                <w:rStyle w:val="Hyperlink"/>
              </w:rPr>
              <w:t>8.2.3</w:t>
            </w:r>
            <w:r>
              <w:rPr>
                <w:rFonts w:eastAsiaTheme="minorEastAsia" w:cstheme="minorBidi"/>
                <w:bCs w:val="0"/>
                <w:color w:val="auto"/>
                <w:sz w:val="22"/>
                <w:szCs w:val="22"/>
                <w:lang w:eastAsia="ja-JP"/>
              </w:rPr>
              <w:tab/>
            </w:r>
            <w:r w:rsidRPr="005A1F95">
              <w:rPr>
                <w:rStyle w:val="Hyperlink"/>
                <w:rFonts w:ascii="Arial" w:hAnsi="Arial" w:cs="Arial"/>
              </w:rPr>
              <w:t>Do the proposed Regulations place a disproportionate</w:t>
            </w:r>
            <w:r w:rsidRPr="005A1F95">
              <w:rPr>
                <w:rStyle w:val="Hyperlink"/>
              </w:rPr>
              <w:t xml:space="preserve"> burden on small businesses? How is this mitigated?</w:t>
            </w:r>
            <w:r>
              <w:rPr>
                <w:webHidden/>
              </w:rPr>
              <w:tab/>
            </w:r>
            <w:r>
              <w:rPr>
                <w:webHidden/>
              </w:rPr>
              <w:fldChar w:fldCharType="begin"/>
            </w:r>
            <w:r>
              <w:rPr>
                <w:webHidden/>
              </w:rPr>
              <w:instrText xml:space="preserve"> PAGEREF _Toc45704402 \h </w:instrText>
            </w:r>
            <w:r>
              <w:rPr>
                <w:webHidden/>
              </w:rPr>
            </w:r>
            <w:r>
              <w:rPr>
                <w:webHidden/>
              </w:rPr>
              <w:fldChar w:fldCharType="separate"/>
            </w:r>
            <w:r>
              <w:rPr>
                <w:webHidden/>
              </w:rPr>
              <w:t>116</w:t>
            </w:r>
            <w:r>
              <w:rPr>
                <w:webHidden/>
              </w:rPr>
              <w:fldChar w:fldCharType="end"/>
            </w:r>
          </w:hyperlink>
        </w:p>
        <w:p w14:paraId="5144F35D" w14:textId="62101C3E" w:rsidR="00277F6E" w:rsidRDefault="00277F6E">
          <w:pPr>
            <w:pStyle w:val="TOC2"/>
            <w:rPr>
              <w:rFonts w:eastAsiaTheme="minorEastAsia" w:cstheme="minorBidi"/>
              <w:bCs w:val="0"/>
              <w:color w:val="auto"/>
              <w:sz w:val="22"/>
              <w:szCs w:val="22"/>
              <w:lang w:eastAsia="ja-JP"/>
            </w:rPr>
          </w:pPr>
          <w:hyperlink w:anchor="_Toc45704403" w:history="1">
            <w:r w:rsidRPr="005A1F95">
              <w:rPr>
                <w:rStyle w:val="Hyperlink"/>
              </w:rPr>
              <w:t>8.3</w:t>
            </w:r>
            <w:r>
              <w:rPr>
                <w:rFonts w:eastAsiaTheme="minorEastAsia" w:cstheme="minorBidi"/>
                <w:bCs w:val="0"/>
                <w:color w:val="auto"/>
                <w:sz w:val="22"/>
                <w:szCs w:val="22"/>
                <w:lang w:eastAsia="ja-JP"/>
              </w:rPr>
              <w:tab/>
            </w:r>
            <w:r w:rsidRPr="005A1F95">
              <w:rPr>
                <w:rStyle w:val="Hyperlink"/>
              </w:rPr>
              <w:t>Statement of compliance with National Competition Policy</w:t>
            </w:r>
            <w:r>
              <w:rPr>
                <w:webHidden/>
              </w:rPr>
              <w:tab/>
            </w:r>
            <w:r>
              <w:rPr>
                <w:webHidden/>
              </w:rPr>
              <w:fldChar w:fldCharType="begin"/>
            </w:r>
            <w:r>
              <w:rPr>
                <w:webHidden/>
              </w:rPr>
              <w:instrText xml:space="preserve"> PAGEREF _Toc45704403 \h </w:instrText>
            </w:r>
            <w:r>
              <w:rPr>
                <w:webHidden/>
              </w:rPr>
            </w:r>
            <w:r>
              <w:rPr>
                <w:webHidden/>
              </w:rPr>
              <w:fldChar w:fldCharType="separate"/>
            </w:r>
            <w:r>
              <w:rPr>
                <w:webHidden/>
              </w:rPr>
              <w:t>117</w:t>
            </w:r>
            <w:r>
              <w:rPr>
                <w:webHidden/>
              </w:rPr>
              <w:fldChar w:fldCharType="end"/>
            </w:r>
          </w:hyperlink>
        </w:p>
        <w:p w14:paraId="5D3911BF" w14:textId="672B8F98" w:rsidR="00277F6E" w:rsidRDefault="00277F6E">
          <w:pPr>
            <w:pStyle w:val="TOC3"/>
            <w:rPr>
              <w:rFonts w:eastAsiaTheme="minorEastAsia" w:cstheme="minorBidi"/>
              <w:bCs w:val="0"/>
              <w:color w:val="auto"/>
              <w:sz w:val="22"/>
              <w:szCs w:val="22"/>
              <w:lang w:eastAsia="ja-JP"/>
            </w:rPr>
          </w:pPr>
          <w:hyperlink w:anchor="_Toc45704404" w:history="1">
            <w:r w:rsidRPr="005A1F95">
              <w:rPr>
                <w:rStyle w:val="Hyperlink"/>
              </w:rPr>
              <w:t>8.3.1</w:t>
            </w:r>
            <w:r>
              <w:rPr>
                <w:rFonts w:eastAsiaTheme="minorEastAsia" w:cstheme="minorBidi"/>
                <w:bCs w:val="0"/>
                <w:color w:val="auto"/>
                <w:sz w:val="22"/>
                <w:szCs w:val="22"/>
                <w:lang w:eastAsia="ja-JP"/>
              </w:rPr>
              <w:tab/>
            </w:r>
            <w:r w:rsidRPr="005A1F95">
              <w:rPr>
                <w:rStyle w:val="Hyperlink"/>
              </w:rPr>
              <w:t>Background</w:t>
            </w:r>
            <w:r>
              <w:rPr>
                <w:webHidden/>
              </w:rPr>
              <w:tab/>
            </w:r>
            <w:r>
              <w:rPr>
                <w:webHidden/>
              </w:rPr>
              <w:fldChar w:fldCharType="begin"/>
            </w:r>
            <w:r>
              <w:rPr>
                <w:webHidden/>
              </w:rPr>
              <w:instrText xml:space="preserve"> PAGEREF _Toc45704404 \h </w:instrText>
            </w:r>
            <w:r>
              <w:rPr>
                <w:webHidden/>
              </w:rPr>
            </w:r>
            <w:r>
              <w:rPr>
                <w:webHidden/>
              </w:rPr>
              <w:fldChar w:fldCharType="separate"/>
            </w:r>
            <w:r>
              <w:rPr>
                <w:webHidden/>
              </w:rPr>
              <w:t>117</w:t>
            </w:r>
            <w:r>
              <w:rPr>
                <w:webHidden/>
              </w:rPr>
              <w:fldChar w:fldCharType="end"/>
            </w:r>
          </w:hyperlink>
        </w:p>
        <w:p w14:paraId="716AB9DB" w14:textId="2298690C" w:rsidR="00277F6E" w:rsidRDefault="00277F6E">
          <w:pPr>
            <w:pStyle w:val="TOC3"/>
            <w:rPr>
              <w:rFonts w:eastAsiaTheme="minorEastAsia" w:cstheme="minorBidi"/>
              <w:bCs w:val="0"/>
              <w:color w:val="auto"/>
              <w:sz w:val="22"/>
              <w:szCs w:val="22"/>
              <w:lang w:eastAsia="ja-JP"/>
            </w:rPr>
          </w:pPr>
          <w:hyperlink w:anchor="_Toc45704405" w:history="1">
            <w:r w:rsidRPr="005A1F95">
              <w:rPr>
                <w:rStyle w:val="Hyperlink"/>
              </w:rPr>
              <w:t>8.3.2</w:t>
            </w:r>
            <w:r>
              <w:rPr>
                <w:rFonts w:eastAsiaTheme="minorEastAsia" w:cstheme="minorBidi"/>
                <w:bCs w:val="0"/>
                <w:color w:val="auto"/>
                <w:sz w:val="22"/>
                <w:szCs w:val="22"/>
                <w:lang w:eastAsia="ja-JP"/>
              </w:rPr>
              <w:tab/>
            </w:r>
            <w:r w:rsidRPr="005A1F95">
              <w:rPr>
                <w:rStyle w:val="Hyperlink"/>
              </w:rPr>
              <w:t>Assessment</w:t>
            </w:r>
            <w:r>
              <w:rPr>
                <w:webHidden/>
              </w:rPr>
              <w:tab/>
            </w:r>
            <w:r>
              <w:rPr>
                <w:webHidden/>
              </w:rPr>
              <w:fldChar w:fldCharType="begin"/>
            </w:r>
            <w:r>
              <w:rPr>
                <w:webHidden/>
              </w:rPr>
              <w:instrText xml:space="preserve"> PAGEREF _Toc45704405 \h </w:instrText>
            </w:r>
            <w:r>
              <w:rPr>
                <w:webHidden/>
              </w:rPr>
            </w:r>
            <w:r>
              <w:rPr>
                <w:webHidden/>
              </w:rPr>
              <w:fldChar w:fldCharType="separate"/>
            </w:r>
            <w:r>
              <w:rPr>
                <w:webHidden/>
              </w:rPr>
              <w:t>117</w:t>
            </w:r>
            <w:r>
              <w:rPr>
                <w:webHidden/>
              </w:rPr>
              <w:fldChar w:fldCharType="end"/>
            </w:r>
          </w:hyperlink>
        </w:p>
        <w:p w14:paraId="2668EEDC" w14:textId="6557055C" w:rsidR="00277F6E" w:rsidRDefault="00277F6E">
          <w:pPr>
            <w:pStyle w:val="TOC1"/>
            <w:rPr>
              <w:rFonts w:asciiTheme="minorHAnsi" w:eastAsiaTheme="minorEastAsia" w:hAnsiTheme="minorHAnsi" w:cstheme="minorBidi"/>
              <w:b w:val="0"/>
              <w:bCs w:val="0"/>
              <w:color w:val="auto"/>
              <w:sz w:val="22"/>
              <w:szCs w:val="22"/>
              <w:lang w:eastAsia="ja-JP"/>
            </w:rPr>
          </w:pPr>
          <w:hyperlink w:anchor="_Toc45704406" w:history="1">
            <w:r w:rsidRPr="005A1F95">
              <w:rPr>
                <w:rStyle w:val="Hyperlink"/>
              </w:rPr>
              <w:t>9</w:t>
            </w:r>
            <w:r>
              <w:rPr>
                <w:rFonts w:asciiTheme="minorHAnsi" w:eastAsiaTheme="minorEastAsia" w:hAnsiTheme="minorHAnsi" w:cstheme="minorBidi"/>
                <w:b w:val="0"/>
                <w:bCs w:val="0"/>
                <w:color w:val="auto"/>
                <w:sz w:val="22"/>
                <w:szCs w:val="22"/>
                <w:lang w:eastAsia="ja-JP"/>
              </w:rPr>
              <w:tab/>
            </w:r>
            <w:r w:rsidRPr="005A1F95">
              <w:rPr>
                <w:rStyle w:val="Hyperlink"/>
              </w:rPr>
              <w:t>Implementation</w:t>
            </w:r>
            <w:r>
              <w:rPr>
                <w:webHidden/>
              </w:rPr>
              <w:tab/>
            </w:r>
            <w:r>
              <w:rPr>
                <w:webHidden/>
              </w:rPr>
              <w:fldChar w:fldCharType="begin"/>
            </w:r>
            <w:r>
              <w:rPr>
                <w:webHidden/>
              </w:rPr>
              <w:instrText xml:space="preserve"> PAGEREF _Toc45704406 \h </w:instrText>
            </w:r>
            <w:r>
              <w:rPr>
                <w:webHidden/>
              </w:rPr>
            </w:r>
            <w:r>
              <w:rPr>
                <w:webHidden/>
              </w:rPr>
              <w:fldChar w:fldCharType="separate"/>
            </w:r>
            <w:r>
              <w:rPr>
                <w:webHidden/>
              </w:rPr>
              <w:t>119</w:t>
            </w:r>
            <w:r>
              <w:rPr>
                <w:webHidden/>
              </w:rPr>
              <w:fldChar w:fldCharType="end"/>
            </w:r>
          </w:hyperlink>
        </w:p>
        <w:p w14:paraId="22A041C5" w14:textId="7F19D672" w:rsidR="00277F6E" w:rsidRDefault="00277F6E">
          <w:pPr>
            <w:pStyle w:val="TOC2"/>
            <w:rPr>
              <w:rFonts w:eastAsiaTheme="minorEastAsia" w:cstheme="minorBidi"/>
              <w:bCs w:val="0"/>
              <w:color w:val="auto"/>
              <w:sz w:val="22"/>
              <w:szCs w:val="22"/>
              <w:lang w:eastAsia="ja-JP"/>
            </w:rPr>
          </w:pPr>
          <w:hyperlink w:anchor="_Toc45704407" w:history="1">
            <w:r w:rsidRPr="005A1F95">
              <w:rPr>
                <w:rStyle w:val="Hyperlink"/>
              </w:rPr>
              <w:t>9.1</w:t>
            </w:r>
            <w:r>
              <w:rPr>
                <w:rFonts w:eastAsiaTheme="minorEastAsia" w:cstheme="minorBidi"/>
                <w:bCs w:val="0"/>
                <w:color w:val="auto"/>
                <w:sz w:val="22"/>
                <w:szCs w:val="22"/>
                <w:lang w:eastAsia="ja-JP"/>
              </w:rPr>
              <w:tab/>
            </w:r>
            <w:r w:rsidRPr="005A1F95">
              <w:rPr>
                <w:rStyle w:val="Hyperlink"/>
              </w:rPr>
              <w:t>Making of the proposed Regulations</w:t>
            </w:r>
            <w:r>
              <w:rPr>
                <w:webHidden/>
              </w:rPr>
              <w:tab/>
            </w:r>
            <w:r>
              <w:rPr>
                <w:webHidden/>
              </w:rPr>
              <w:fldChar w:fldCharType="begin"/>
            </w:r>
            <w:r>
              <w:rPr>
                <w:webHidden/>
              </w:rPr>
              <w:instrText xml:space="preserve"> PAGEREF _Toc45704407 \h </w:instrText>
            </w:r>
            <w:r>
              <w:rPr>
                <w:webHidden/>
              </w:rPr>
            </w:r>
            <w:r>
              <w:rPr>
                <w:webHidden/>
              </w:rPr>
              <w:fldChar w:fldCharType="separate"/>
            </w:r>
            <w:r>
              <w:rPr>
                <w:webHidden/>
              </w:rPr>
              <w:t>119</w:t>
            </w:r>
            <w:r>
              <w:rPr>
                <w:webHidden/>
              </w:rPr>
              <w:fldChar w:fldCharType="end"/>
            </w:r>
          </w:hyperlink>
        </w:p>
        <w:p w14:paraId="7907DFDB" w14:textId="030F120E" w:rsidR="00277F6E" w:rsidRDefault="00277F6E">
          <w:pPr>
            <w:pStyle w:val="TOC2"/>
            <w:rPr>
              <w:rFonts w:eastAsiaTheme="minorEastAsia" w:cstheme="minorBidi"/>
              <w:bCs w:val="0"/>
              <w:color w:val="auto"/>
              <w:sz w:val="22"/>
              <w:szCs w:val="22"/>
              <w:lang w:eastAsia="ja-JP"/>
            </w:rPr>
          </w:pPr>
          <w:hyperlink w:anchor="_Toc45704408" w:history="1">
            <w:r w:rsidRPr="005A1F95">
              <w:rPr>
                <w:rStyle w:val="Hyperlink"/>
              </w:rPr>
              <w:t>9.2</w:t>
            </w:r>
            <w:r>
              <w:rPr>
                <w:rFonts w:eastAsiaTheme="minorEastAsia" w:cstheme="minorBidi"/>
                <w:bCs w:val="0"/>
                <w:color w:val="auto"/>
                <w:sz w:val="22"/>
                <w:szCs w:val="22"/>
                <w:lang w:eastAsia="ja-JP"/>
              </w:rPr>
              <w:tab/>
            </w:r>
            <w:r w:rsidRPr="005A1F95">
              <w:rPr>
                <w:rStyle w:val="Hyperlink"/>
              </w:rPr>
              <w:t>Role of the regulator and other agencies</w:t>
            </w:r>
            <w:r>
              <w:rPr>
                <w:webHidden/>
              </w:rPr>
              <w:tab/>
            </w:r>
            <w:r>
              <w:rPr>
                <w:webHidden/>
              </w:rPr>
              <w:fldChar w:fldCharType="begin"/>
            </w:r>
            <w:r>
              <w:rPr>
                <w:webHidden/>
              </w:rPr>
              <w:instrText xml:space="preserve"> PAGEREF _Toc45704408 \h </w:instrText>
            </w:r>
            <w:r>
              <w:rPr>
                <w:webHidden/>
              </w:rPr>
            </w:r>
            <w:r>
              <w:rPr>
                <w:webHidden/>
              </w:rPr>
              <w:fldChar w:fldCharType="separate"/>
            </w:r>
            <w:r>
              <w:rPr>
                <w:webHidden/>
              </w:rPr>
              <w:t>119</w:t>
            </w:r>
            <w:r>
              <w:rPr>
                <w:webHidden/>
              </w:rPr>
              <w:fldChar w:fldCharType="end"/>
            </w:r>
          </w:hyperlink>
        </w:p>
        <w:p w14:paraId="3E23C4BA" w14:textId="4C5A40A1" w:rsidR="00277F6E" w:rsidRDefault="00277F6E">
          <w:pPr>
            <w:pStyle w:val="TOC3"/>
            <w:rPr>
              <w:rFonts w:eastAsiaTheme="minorEastAsia" w:cstheme="minorBidi"/>
              <w:bCs w:val="0"/>
              <w:color w:val="auto"/>
              <w:sz w:val="22"/>
              <w:szCs w:val="22"/>
              <w:lang w:eastAsia="ja-JP"/>
            </w:rPr>
          </w:pPr>
          <w:hyperlink w:anchor="_Toc45704409" w:history="1">
            <w:r w:rsidRPr="005A1F95">
              <w:rPr>
                <w:rStyle w:val="Hyperlink"/>
              </w:rPr>
              <w:t>9.2.1</w:t>
            </w:r>
            <w:r>
              <w:rPr>
                <w:rFonts w:eastAsiaTheme="minorEastAsia" w:cstheme="minorBidi"/>
                <w:bCs w:val="0"/>
                <w:color w:val="auto"/>
                <w:sz w:val="22"/>
                <w:szCs w:val="22"/>
                <w:lang w:eastAsia="ja-JP"/>
              </w:rPr>
              <w:tab/>
            </w:r>
            <w:r w:rsidRPr="005A1F95">
              <w:rPr>
                <w:rStyle w:val="Hyperlink"/>
              </w:rPr>
              <w:t>Powers of the regulator and transport safety officers</w:t>
            </w:r>
            <w:r>
              <w:rPr>
                <w:webHidden/>
              </w:rPr>
              <w:tab/>
            </w:r>
            <w:r>
              <w:rPr>
                <w:webHidden/>
              </w:rPr>
              <w:fldChar w:fldCharType="begin"/>
            </w:r>
            <w:r>
              <w:rPr>
                <w:webHidden/>
              </w:rPr>
              <w:instrText xml:space="preserve"> PAGEREF _Toc45704409 \h </w:instrText>
            </w:r>
            <w:r>
              <w:rPr>
                <w:webHidden/>
              </w:rPr>
            </w:r>
            <w:r>
              <w:rPr>
                <w:webHidden/>
              </w:rPr>
              <w:fldChar w:fldCharType="separate"/>
            </w:r>
            <w:r>
              <w:rPr>
                <w:webHidden/>
              </w:rPr>
              <w:t>119</w:t>
            </w:r>
            <w:r>
              <w:rPr>
                <w:webHidden/>
              </w:rPr>
              <w:fldChar w:fldCharType="end"/>
            </w:r>
          </w:hyperlink>
        </w:p>
        <w:p w14:paraId="7D3EEA42" w14:textId="275ED970" w:rsidR="00277F6E" w:rsidRDefault="00277F6E">
          <w:pPr>
            <w:pStyle w:val="TOC3"/>
            <w:rPr>
              <w:rFonts w:eastAsiaTheme="minorEastAsia" w:cstheme="minorBidi"/>
              <w:bCs w:val="0"/>
              <w:color w:val="auto"/>
              <w:sz w:val="22"/>
              <w:szCs w:val="22"/>
              <w:lang w:eastAsia="ja-JP"/>
            </w:rPr>
          </w:pPr>
          <w:hyperlink w:anchor="_Toc45704410" w:history="1">
            <w:r w:rsidRPr="005A1F95">
              <w:rPr>
                <w:rStyle w:val="Hyperlink"/>
              </w:rPr>
              <w:t>9.2.2</w:t>
            </w:r>
            <w:r>
              <w:rPr>
                <w:rFonts w:eastAsiaTheme="minorEastAsia" w:cstheme="minorBidi"/>
                <w:bCs w:val="0"/>
                <w:color w:val="auto"/>
                <w:sz w:val="22"/>
                <w:szCs w:val="22"/>
                <w:lang w:eastAsia="ja-JP"/>
              </w:rPr>
              <w:tab/>
            </w:r>
            <w:r w:rsidRPr="005A1F95">
              <w:rPr>
                <w:rStyle w:val="Hyperlink"/>
              </w:rPr>
              <w:t>Victoria Police</w:t>
            </w:r>
            <w:r>
              <w:rPr>
                <w:webHidden/>
              </w:rPr>
              <w:tab/>
            </w:r>
            <w:r>
              <w:rPr>
                <w:webHidden/>
              </w:rPr>
              <w:fldChar w:fldCharType="begin"/>
            </w:r>
            <w:r>
              <w:rPr>
                <w:webHidden/>
              </w:rPr>
              <w:instrText xml:space="preserve"> PAGEREF _Toc45704410 \h </w:instrText>
            </w:r>
            <w:r>
              <w:rPr>
                <w:webHidden/>
              </w:rPr>
            </w:r>
            <w:r>
              <w:rPr>
                <w:webHidden/>
              </w:rPr>
              <w:fldChar w:fldCharType="separate"/>
            </w:r>
            <w:r>
              <w:rPr>
                <w:webHidden/>
              </w:rPr>
              <w:t>119</w:t>
            </w:r>
            <w:r>
              <w:rPr>
                <w:webHidden/>
              </w:rPr>
              <w:fldChar w:fldCharType="end"/>
            </w:r>
          </w:hyperlink>
        </w:p>
        <w:p w14:paraId="71ADEC3F" w14:textId="1CC49988" w:rsidR="00277F6E" w:rsidRDefault="00277F6E">
          <w:pPr>
            <w:pStyle w:val="TOC3"/>
            <w:rPr>
              <w:rFonts w:eastAsiaTheme="minorEastAsia" w:cstheme="minorBidi"/>
              <w:bCs w:val="0"/>
              <w:color w:val="auto"/>
              <w:sz w:val="22"/>
              <w:szCs w:val="22"/>
              <w:lang w:eastAsia="ja-JP"/>
            </w:rPr>
          </w:pPr>
          <w:hyperlink w:anchor="_Toc45704411" w:history="1">
            <w:r w:rsidRPr="005A1F95">
              <w:rPr>
                <w:rStyle w:val="Hyperlink"/>
              </w:rPr>
              <w:t>9.2.3</w:t>
            </w:r>
            <w:r>
              <w:rPr>
                <w:rFonts w:eastAsiaTheme="minorEastAsia" w:cstheme="minorBidi"/>
                <w:bCs w:val="0"/>
                <w:color w:val="auto"/>
                <w:sz w:val="22"/>
                <w:szCs w:val="22"/>
                <w:lang w:eastAsia="ja-JP"/>
              </w:rPr>
              <w:tab/>
            </w:r>
            <w:r w:rsidRPr="005A1F95">
              <w:rPr>
                <w:rStyle w:val="Hyperlink"/>
              </w:rPr>
              <w:t>WorkSafe</w:t>
            </w:r>
            <w:r>
              <w:rPr>
                <w:webHidden/>
              </w:rPr>
              <w:tab/>
            </w:r>
            <w:r>
              <w:rPr>
                <w:webHidden/>
              </w:rPr>
              <w:fldChar w:fldCharType="begin"/>
            </w:r>
            <w:r>
              <w:rPr>
                <w:webHidden/>
              </w:rPr>
              <w:instrText xml:space="preserve"> PAGEREF _Toc45704411 \h </w:instrText>
            </w:r>
            <w:r>
              <w:rPr>
                <w:webHidden/>
              </w:rPr>
            </w:r>
            <w:r>
              <w:rPr>
                <w:webHidden/>
              </w:rPr>
              <w:fldChar w:fldCharType="separate"/>
            </w:r>
            <w:r>
              <w:rPr>
                <w:webHidden/>
              </w:rPr>
              <w:t>119</w:t>
            </w:r>
            <w:r>
              <w:rPr>
                <w:webHidden/>
              </w:rPr>
              <w:fldChar w:fldCharType="end"/>
            </w:r>
          </w:hyperlink>
        </w:p>
        <w:p w14:paraId="384D19E8" w14:textId="7B43EF70" w:rsidR="00277F6E" w:rsidRDefault="00277F6E">
          <w:pPr>
            <w:pStyle w:val="TOC2"/>
            <w:rPr>
              <w:rFonts w:eastAsiaTheme="minorEastAsia" w:cstheme="minorBidi"/>
              <w:bCs w:val="0"/>
              <w:color w:val="auto"/>
              <w:sz w:val="22"/>
              <w:szCs w:val="22"/>
              <w:lang w:eastAsia="ja-JP"/>
            </w:rPr>
          </w:pPr>
          <w:hyperlink w:anchor="_Toc45704412" w:history="1">
            <w:r w:rsidRPr="005A1F95">
              <w:rPr>
                <w:rStyle w:val="Hyperlink"/>
              </w:rPr>
              <w:t>9.3</w:t>
            </w:r>
            <w:r>
              <w:rPr>
                <w:rFonts w:eastAsiaTheme="minorEastAsia" w:cstheme="minorBidi"/>
                <w:bCs w:val="0"/>
                <w:color w:val="auto"/>
                <w:sz w:val="22"/>
                <w:szCs w:val="22"/>
                <w:lang w:eastAsia="ja-JP"/>
              </w:rPr>
              <w:tab/>
            </w:r>
            <w:r w:rsidRPr="005A1F95">
              <w:rPr>
                <w:rStyle w:val="Hyperlink"/>
              </w:rPr>
              <w:t>Changes to processes and systems</w:t>
            </w:r>
            <w:r>
              <w:rPr>
                <w:webHidden/>
              </w:rPr>
              <w:tab/>
            </w:r>
            <w:r>
              <w:rPr>
                <w:webHidden/>
              </w:rPr>
              <w:fldChar w:fldCharType="begin"/>
            </w:r>
            <w:r>
              <w:rPr>
                <w:webHidden/>
              </w:rPr>
              <w:instrText xml:space="preserve"> PAGEREF _Toc45704412 \h </w:instrText>
            </w:r>
            <w:r>
              <w:rPr>
                <w:webHidden/>
              </w:rPr>
            </w:r>
            <w:r>
              <w:rPr>
                <w:webHidden/>
              </w:rPr>
              <w:fldChar w:fldCharType="separate"/>
            </w:r>
            <w:r>
              <w:rPr>
                <w:webHidden/>
              </w:rPr>
              <w:t>120</w:t>
            </w:r>
            <w:r>
              <w:rPr>
                <w:webHidden/>
              </w:rPr>
              <w:fldChar w:fldCharType="end"/>
            </w:r>
          </w:hyperlink>
        </w:p>
        <w:p w14:paraId="00E7BE37" w14:textId="3F33D389" w:rsidR="00277F6E" w:rsidRDefault="00277F6E">
          <w:pPr>
            <w:pStyle w:val="TOC2"/>
            <w:rPr>
              <w:rFonts w:eastAsiaTheme="minorEastAsia" w:cstheme="minorBidi"/>
              <w:bCs w:val="0"/>
              <w:color w:val="auto"/>
              <w:sz w:val="22"/>
              <w:szCs w:val="22"/>
              <w:lang w:eastAsia="ja-JP"/>
            </w:rPr>
          </w:pPr>
          <w:hyperlink w:anchor="_Toc45704413" w:history="1">
            <w:r w:rsidRPr="005A1F95">
              <w:rPr>
                <w:rStyle w:val="Hyperlink"/>
              </w:rPr>
              <w:t>9.4</w:t>
            </w:r>
            <w:r>
              <w:rPr>
                <w:rFonts w:eastAsiaTheme="minorEastAsia" w:cstheme="minorBidi"/>
                <w:bCs w:val="0"/>
                <w:color w:val="auto"/>
                <w:sz w:val="22"/>
                <w:szCs w:val="22"/>
                <w:lang w:eastAsia="ja-JP"/>
              </w:rPr>
              <w:tab/>
            </w:r>
            <w:r w:rsidRPr="005A1F95">
              <w:rPr>
                <w:rStyle w:val="Hyperlink"/>
              </w:rPr>
              <w:t>Timing of commencement</w:t>
            </w:r>
            <w:r>
              <w:rPr>
                <w:webHidden/>
              </w:rPr>
              <w:tab/>
            </w:r>
            <w:r>
              <w:rPr>
                <w:webHidden/>
              </w:rPr>
              <w:fldChar w:fldCharType="begin"/>
            </w:r>
            <w:r>
              <w:rPr>
                <w:webHidden/>
              </w:rPr>
              <w:instrText xml:space="preserve"> PAGEREF _Toc45704413 \h </w:instrText>
            </w:r>
            <w:r>
              <w:rPr>
                <w:webHidden/>
              </w:rPr>
            </w:r>
            <w:r>
              <w:rPr>
                <w:webHidden/>
              </w:rPr>
              <w:fldChar w:fldCharType="separate"/>
            </w:r>
            <w:r>
              <w:rPr>
                <w:webHidden/>
              </w:rPr>
              <w:t>120</w:t>
            </w:r>
            <w:r>
              <w:rPr>
                <w:webHidden/>
              </w:rPr>
              <w:fldChar w:fldCharType="end"/>
            </w:r>
          </w:hyperlink>
        </w:p>
        <w:p w14:paraId="5578EACB" w14:textId="0F1F1992" w:rsidR="00277F6E" w:rsidRDefault="00277F6E">
          <w:pPr>
            <w:pStyle w:val="TOC2"/>
            <w:rPr>
              <w:rFonts w:eastAsiaTheme="minorEastAsia" w:cstheme="minorBidi"/>
              <w:bCs w:val="0"/>
              <w:color w:val="auto"/>
              <w:sz w:val="22"/>
              <w:szCs w:val="22"/>
              <w:lang w:eastAsia="ja-JP"/>
            </w:rPr>
          </w:pPr>
          <w:hyperlink w:anchor="_Toc45704414" w:history="1">
            <w:r w:rsidRPr="005A1F95">
              <w:rPr>
                <w:rStyle w:val="Hyperlink"/>
              </w:rPr>
              <w:t>9.5</w:t>
            </w:r>
            <w:r>
              <w:rPr>
                <w:rFonts w:eastAsiaTheme="minorEastAsia" w:cstheme="minorBidi"/>
                <w:bCs w:val="0"/>
                <w:color w:val="auto"/>
                <w:sz w:val="22"/>
                <w:szCs w:val="22"/>
                <w:lang w:eastAsia="ja-JP"/>
              </w:rPr>
              <w:tab/>
            </w:r>
            <w:r w:rsidRPr="005A1F95">
              <w:rPr>
                <w:rStyle w:val="Hyperlink"/>
              </w:rPr>
              <w:t>Communication and consultation</w:t>
            </w:r>
            <w:r>
              <w:rPr>
                <w:webHidden/>
              </w:rPr>
              <w:tab/>
            </w:r>
            <w:r>
              <w:rPr>
                <w:webHidden/>
              </w:rPr>
              <w:fldChar w:fldCharType="begin"/>
            </w:r>
            <w:r>
              <w:rPr>
                <w:webHidden/>
              </w:rPr>
              <w:instrText xml:space="preserve"> PAGEREF _Toc45704414 \h </w:instrText>
            </w:r>
            <w:r>
              <w:rPr>
                <w:webHidden/>
              </w:rPr>
            </w:r>
            <w:r>
              <w:rPr>
                <w:webHidden/>
              </w:rPr>
              <w:fldChar w:fldCharType="separate"/>
            </w:r>
            <w:r>
              <w:rPr>
                <w:webHidden/>
              </w:rPr>
              <w:t>121</w:t>
            </w:r>
            <w:r>
              <w:rPr>
                <w:webHidden/>
              </w:rPr>
              <w:fldChar w:fldCharType="end"/>
            </w:r>
          </w:hyperlink>
        </w:p>
        <w:p w14:paraId="1AD44B09" w14:textId="1451CB3B" w:rsidR="00277F6E" w:rsidRDefault="00277F6E">
          <w:pPr>
            <w:pStyle w:val="TOC1"/>
            <w:rPr>
              <w:rFonts w:asciiTheme="minorHAnsi" w:eastAsiaTheme="minorEastAsia" w:hAnsiTheme="minorHAnsi" w:cstheme="minorBidi"/>
              <w:b w:val="0"/>
              <w:bCs w:val="0"/>
              <w:color w:val="auto"/>
              <w:sz w:val="22"/>
              <w:szCs w:val="22"/>
              <w:lang w:eastAsia="ja-JP"/>
            </w:rPr>
          </w:pPr>
          <w:hyperlink w:anchor="_Toc45704415" w:history="1">
            <w:r w:rsidRPr="005A1F95">
              <w:rPr>
                <w:rStyle w:val="Hyperlink"/>
              </w:rPr>
              <w:t>10</w:t>
            </w:r>
            <w:r>
              <w:rPr>
                <w:rFonts w:asciiTheme="minorHAnsi" w:eastAsiaTheme="minorEastAsia" w:hAnsiTheme="minorHAnsi" w:cstheme="minorBidi"/>
                <w:b w:val="0"/>
                <w:bCs w:val="0"/>
                <w:color w:val="auto"/>
                <w:sz w:val="22"/>
                <w:szCs w:val="22"/>
                <w:lang w:eastAsia="ja-JP"/>
              </w:rPr>
              <w:tab/>
            </w:r>
            <w:r w:rsidRPr="005A1F95">
              <w:rPr>
                <w:rStyle w:val="Hyperlink"/>
              </w:rPr>
              <w:t>Evaluation Strategy</w:t>
            </w:r>
            <w:r>
              <w:rPr>
                <w:webHidden/>
              </w:rPr>
              <w:tab/>
            </w:r>
            <w:r>
              <w:rPr>
                <w:webHidden/>
              </w:rPr>
              <w:fldChar w:fldCharType="begin"/>
            </w:r>
            <w:r>
              <w:rPr>
                <w:webHidden/>
              </w:rPr>
              <w:instrText xml:space="preserve"> PAGEREF _Toc45704415 \h </w:instrText>
            </w:r>
            <w:r>
              <w:rPr>
                <w:webHidden/>
              </w:rPr>
            </w:r>
            <w:r>
              <w:rPr>
                <w:webHidden/>
              </w:rPr>
              <w:fldChar w:fldCharType="separate"/>
            </w:r>
            <w:r>
              <w:rPr>
                <w:webHidden/>
              </w:rPr>
              <w:t>122</w:t>
            </w:r>
            <w:r>
              <w:rPr>
                <w:webHidden/>
              </w:rPr>
              <w:fldChar w:fldCharType="end"/>
            </w:r>
          </w:hyperlink>
        </w:p>
        <w:p w14:paraId="5D4F5CAD" w14:textId="05905537" w:rsidR="00277F6E" w:rsidRDefault="00277F6E">
          <w:pPr>
            <w:pStyle w:val="TOC2"/>
            <w:rPr>
              <w:rFonts w:eastAsiaTheme="minorEastAsia" w:cstheme="minorBidi"/>
              <w:bCs w:val="0"/>
              <w:color w:val="auto"/>
              <w:sz w:val="22"/>
              <w:szCs w:val="22"/>
              <w:lang w:eastAsia="ja-JP"/>
            </w:rPr>
          </w:pPr>
          <w:hyperlink w:anchor="_Toc45704416" w:history="1">
            <w:r w:rsidRPr="005A1F95">
              <w:rPr>
                <w:rStyle w:val="Hyperlink"/>
              </w:rPr>
              <w:t>10.1</w:t>
            </w:r>
            <w:r>
              <w:rPr>
                <w:rFonts w:eastAsiaTheme="minorEastAsia" w:cstheme="minorBidi"/>
                <w:bCs w:val="0"/>
                <w:color w:val="auto"/>
                <w:sz w:val="22"/>
                <w:szCs w:val="22"/>
                <w:lang w:eastAsia="ja-JP"/>
              </w:rPr>
              <w:tab/>
            </w:r>
            <w:r w:rsidRPr="005A1F95">
              <w:rPr>
                <w:rStyle w:val="Hyperlink"/>
              </w:rPr>
              <w:t>Purpose of an evaluation</w:t>
            </w:r>
            <w:r>
              <w:rPr>
                <w:webHidden/>
              </w:rPr>
              <w:tab/>
            </w:r>
            <w:r>
              <w:rPr>
                <w:webHidden/>
              </w:rPr>
              <w:fldChar w:fldCharType="begin"/>
            </w:r>
            <w:r>
              <w:rPr>
                <w:webHidden/>
              </w:rPr>
              <w:instrText xml:space="preserve"> PAGEREF _Toc45704416 \h </w:instrText>
            </w:r>
            <w:r>
              <w:rPr>
                <w:webHidden/>
              </w:rPr>
            </w:r>
            <w:r>
              <w:rPr>
                <w:webHidden/>
              </w:rPr>
              <w:fldChar w:fldCharType="separate"/>
            </w:r>
            <w:r>
              <w:rPr>
                <w:webHidden/>
              </w:rPr>
              <w:t>122</w:t>
            </w:r>
            <w:r>
              <w:rPr>
                <w:webHidden/>
              </w:rPr>
              <w:fldChar w:fldCharType="end"/>
            </w:r>
          </w:hyperlink>
        </w:p>
        <w:p w14:paraId="48A352D5" w14:textId="3375C987" w:rsidR="00277F6E" w:rsidRDefault="00277F6E">
          <w:pPr>
            <w:pStyle w:val="TOC2"/>
            <w:rPr>
              <w:rFonts w:eastAsiaTheme="minorEastAsia" w:cstheme="minorBidi"/>
              <w:bCs w:val="0"/>
              <w:color w:val="auto"/>
              <w:sz w:val="22"/>
              <w:szCs w:val="22"/>
              <w:lang w:eastAsia="ja-JP"/>
            </w:rPr>
          </w:pPr>
          <w:hyperlink w:anchor="_Toc45704417" w:history="1">
            <w:r w:rsidRPr="005A1F95">
              <w:rPr>
                <w:rStyle w:val="Hyperlink"/>
              </w:rPr>
              <w:t>10.2</w:t>
            </w:r>
            <w:r>
              <w:rPr>
                <w:rFonts w:eastAsiaTheme="minorEastAsia" w:cstheme="minorBidi"/>
                <w:bCs w:val="0"/>
                <w:color w:val="auto"/>
                <w:sz w:val="22"/>
                <w:szCs w:val="22"/>
                <w:lang w:eastAsia="ja-JP"/>
              </w:rPr>
              <w:tab/>
            </w:r>
            <w:r w:rsidRPr="005A1F95">
              <w:rPr>
                <w:rStyle w:val="Hyperlink"/>
              </w:rPr>
              <w:t>The approach to evaluation</w:t>
            </w:r>
            <w:r>
              <w:rPr>
                <w:webHidden/>
              </w:rPr>
              <w:tab/>
            </w:r>
            <w:r>
              <w:rPr>
                <w:webHidden/>
              </w:rPr>
              <w:fldChar w:fldCharType="begin"/>
            </w:r>
            <w:r>
              <w:rPr>
                <w:webHidden/>
              </w:rPr>
              <w:instrText xml:space="preserve"> PAGEREF _Toc45704417 \h </w:instrText>
            </w:r>
            <w:r>
              <w:rPr>
                <w:webHidden/>
              </w:rPr>
            </w:r>
            <w:r>
              <w:rPr>
                <w:webHidden/>
              </w:rPr>
              <w:fldChar w:fldCharType="separate"/>
            </w:r>
            <w:r>
              <w:rPr>
                <w:webHidden/>
              </w:rPr>
              <w:t>122</w:t>
            </w:r>
            <w:r>
              <w:rPr>
                <w:webHidden/>
              </w:rPr>
              <w:fldChar w:fldCharType="end"/>
            </w:r>
          </w:hyperlink>
        </w:p>
        <w:p w14:paraId="3CAD8421" w14:textId="35C8930D" w:rsidR="00277F6E" w:rsidRDefault="00277F6E">
          <w:pPr>
            <w:pStyle w:val="TOC3"/>
            <w:rPr>
              <w:rFonts w:eastAsiaTheme="minorEastAsia" w:cstheme="minorBidi"/>
              <w:bCs w:val="0"/>
              <w:color w:val="auto"/>
              <w:sz w:val="22"/>
              <w:szCs w:val="22"/>
              <w:lang w:eastAsia="ja-JP"/>
            </w:rPr>
          </w:pPr>
          <w:hyperlink w:anchor="_Toc45704418" w:history="1">
            <w:r w:rsidRPr="005A1F95">
              <w:rPr>
                <w:rStyle w:val="Hyperlink"/>
              </w:rPr>
              <w:t>10.2.1</w:t>
            </w:r>
            <w:r>
              <w:rPr>
                <w:rFonts w:eastAsiaTheme="minorEastAsia" w:cstheme="minorBidi"/>
                <w:bCs w:val="0"/>
                <w:color w:val="auto"/>
                <w:sz w:val="22"/>
                <w:szCs w:val="22"/>
                <w:lang w:eastAsia="ja-JP"/>
              </w:rPr>
              <w:tab/>
            </w:r>
            <w:r w:rsidRPr="005A1F95">
              <w:rPr>
                <w:rStyle w:val="Hyperlink"/>
              </w:rPr>
              <w:t>Timing, evidence and monitoring</w:t>
            </w:r>
            <w:r>
              <w:rPr>
                <w:webHidden/>
              </w:rPr>
              <w:tab/>
            </w:r>
            <w:r>
              <w:rPr>
                <w:webHidden/>
              </w:rPr>
              <w:fldChar w:fldCharType="begin"/>
            </w:r>
            <w:r>
              <w:rPr>
                <w:webHidden/>
              </w:rPr>
              <w:instrText xml:space="preserve"> PAGEREF _Toc45704418 \h </w:instrText>
            </w:r>
            <w:r>
              <w:rPr>
                <w:webHidden/>
              </w:rPr>
            </w:r>
            <w:r>
              <w:rPr>
                <w:webHidden/>
              </w:rPr>
              <w:fldChar w:fldCharType="separate"/>
            </w:r>
            <w:r>
              <w:rPr>
                <w:webHidden/>
              </w:rPr>
              <w:t>122</w:t>
            </w:r>
            <w:r>
              <w:rPr>
                <w:webHidden/>
              </w:rPr>
              <w:fldChar w:fldCharType="end"/>
            </w:r>
          </w:hyperlink>
        </w:p>
        <w:p w14:paraId="67B2BC27" w14:textId="67472668" w:rsidR="00277F6E" w:rsidRDefault="00277F6E">
          <w:pPr>
            <w:pStyle w:val="TOC3"/>
            <w:rPr>
              <w:rFonts w:eastAsiaTheme="minorEastAsia" w:cstheme="minorBidi"/>
              <w:bCs w:val="0"/>
              <w:color w:val="auto"/>
              <w:sz w:val="22"/>
              <w:szCs w:val="22"/>
              <w:lang w:eastAsia="ja-JP"/>
            </w:rPr>
          </w:pPr>
          <w:hyperlink w:anchor="_Toc45704419" w:history="1">
            <w:r w:rsidRPr="005A1F95">
              <w:rPr>
                <w:rStyle w:val="Hyperlink"/>
              </w:rPr>
              <w:t>10.2.2</w:t>
            </w:r>
            <w:r>
              <w:rPr>
                <w:rFonts w:eastAsiaTheme="minorEastAsia" w:cstheme="minorBidi"/>
                <w:bCs w:val="0"/>
                <w:color w:val="auto"/>
                <w:sz w:val="22"/>
                <w:szCs w:val="22"/>
                <w:lang w:eastAsia="ja-JP"/>
              </w:rPr>
              <w:tab/>
            </w:r>
            <w:r w:rsidRPr="005A1F95">
              <w:rPr>
                <w:rStyle w:val="Hyperlink"/>
              </w:rPr>
              <w:t>Objectives of the regulatory proposal</w:t>
            </w:r>
            <w:r>
              <w:rPr>
                <w:webHidden/>
              </w:rPr>
              <w:tab/>
            </w:r>
            <w:r>
              <w:rPr>
                <w:webHidden/>
              </w:rPr>
              <w:fldChar w:fldCharType="begin"/>
            </w:r>
            <w:r>
              <w:rPr>
                <w:webHidden/>
              </w:rPr>
              <w:instrText xml:space="preserve"> PAGEREF _Toc45704419 \h </w:instrText>
            </w:r>
            <w:r>
              <w:rPr>
                <w:webHidden/>
              </w:rPr>
            </w:r>
            <w:r>
              <w:rPr>
                <w:webHidden/>
              </w:rPr>
              <w:fldChar w:fldCharType="separate"/>
            </w:r>
            <w:r>
              <w:rPr>
                <w:webHidden/>
              </w:rPr>
              <w:t>122</w:t>
            </w:r>
            <w:r>
              <w:rPr>
                <w:webHidden/>
              </w:rPr>
              <w:fldChar w:fldCharType="end"/>
            </w:r>
          </w:hyperlink>
        </w:p>
        <w:p w14:paraId="4EE92006" w14:textId="45121CDC" w:rsidR="00277F6E" w:rsidRDefault="00277F6E">
          <w:pPr>
            <w:pStyle w:val="TOC3"/>
            <w:rPr>
              <w:rFonts w:eastAsiaTheme="minorEastAsia" w:cstheme="minorBidi"/>
              <w:bCs w:val="0"/>
              <w:color w:val="auto"/>
              <w:sz w:val="22"/>
              <w:szCs w:val="22"/>
              <w:lang w:eastAsia="ja-JP"/>
            </w:rPr>
          </w:pPr>
          <w:hyperlink w:anchor="_Toc45704420" w:history="1">
            <w:r w:rsidRPr="005A1F95">
              <w:rPr>
                <w:rStyle w:val="Hyperlink"/>
              </w:rPr>
              <w:t>10.2.3</w:t>
            </w:r>
            <w:r>
              <w:rPr>
                <w:rFonts w:eastAsiaTheme="minorEastAsia" w:cstheme="minorBidi"/>
                <w:bCs w:val="0"/>
                <w:color w:val="auto"/>
                <w:sz w:val="22"/>
                <w:szCs w:val="22"/>
                <w:lang w:eastAsia="ja-JP"/>
              </w:rPr>
              <w:tab/>
            </w:r>
            <w:r w:rsidRPr="005A1F95">
              <w:rPr>
                <w:rStyle w:val="Hyperlink"/>
              </w:rPr>
              <w:t>Baseline data</w:t>
            </w:r>
            <w:r>
              <w:rPr>
                <w:webHidden/>
              </w:rPr>
              <w:tab/>
            </w:r>
            <w:r>
              <w:rPr>
                <w:webHidden/>
              </w:rPr>
              <w:fldChar w:fldCharType="begin"/>
            </w:r>
            <w:r>
              <w:rPr>
                <w:webHidden/>
              </w:rPr>
              <w:instrText xml:space="preserve"> PAGEREF _Toc45704420 \h </w:instrText>
            </w:r>
            <w:r>
              <w:rPr>
                <w:webHidden/>
              </w:rPr>
            </w:r>
            <w:r>
              <w:rPr>
                <w:webHidden/>
              </w:rPr>
              <w:fldChar w:fldCharType="separate"/>
            </w:r>
            <w:r>
              <w:rPr>
                <w:webHidden/>
              </w:rPr>
              <w:t>123</w:t>
            </w:r>
            <w:r>
              <w:rPr>
                <w:webHidden/>
              </w:rPr>
              <w:fldChar w:fldCharType="end"/>
            </w:r>
          </w:hyperlink>
        </w:p>
        <w:p w14:paraId="607E69AF" w14:textId="6B478AB0" w:rsidR="00277F6E" w:rsidRDefault="00277F6E">
          <w:pPr>
            <w:pStyle w:val="TOC3"/>
            <w:rPr>
              <w:rFonts w:eastAsiaTheme="minorEastAsia" w:cstheme="minorBidi"/>
              <w:bCs w:val="0"/>
              <w:color w:val="auto"/>
              <w:sz w:val="22"/>
              <w:szCs w:val="22"/>
              <w:lang w:eastAsia="ja-JP"/>
            </w:rPr>
          </w:pPr>
          <w:hyperlink w:anchor="_Toc45704421" w:history="1">
            <w:r w:rsidRPr="005A1F95">
              <w:rPr>
                <w:rStyle w:val="Hyperlink"/>
              </w:rPr>
              <w:t>10.2.4</w:t>
            </w:r>
            <w:r>
              <w:rPr>
                <w:rFonts w:eastAsiaTheme="minorEastAsia" w:cstheme="minorBidi"/>
                <w:bCs w:val="0"/>
                <w:color w:val="auto"/>
                <w:sz w:val="22"/>
                <w:szCs w:val="22"/>
                <w:lang w:eastAsia="ja-JP"/>
              </w:rPr>
              <w:tab/>
            </w:r>
            <w:r w:rsidRPr="005A1F95">
              <w:rPr>
                <w:rStyle w:val="Hyperlink"/>
              </w:rPr>
              <w:t>Information and data to be collected</w:t>
            </w:r>
            <w:r>
              <w:rPr>
                <w:webHidden/>
              </w:rPr>
              <w:tab/>
            </w:r>
            <w:r>
              <w:rPr>
                <w:webHidden/>
              </w:rPr>
              <w:fldChar w:fldCharType="begin"/>
            </w:r>
            <w:r>
              <w:rPr>
                <w:webHidden/>
              </w:rPr>
              <w:instrText xml:space="preserve"> PAGEREF _Toc45704421 \h </w:instrText>
            </w:r>
            <w:r>
              <w:rPr>
                <w:webHidden/>
              </w:rPr>
            </w:r>
            <w:r>
              <w:rPr>
                <w:webHidden/>
              </w:rPr>
              <w:fldChar w:fldCharType="separate"/>
            </w:r>
            <w:r>
              <w:rPr>
                <w:webHidden/>
              </w:rPr>
              <w:t>123</w:t>
            </w:r>
            <w:r>
              <w:rPr>
                <w:webHidden/>
              </w:rPr>
              <w:fldChar w:fldCharType="end"/>
            </w:r>
          </w:hyperlink>
        </w:p>
        <w:p w14:paraId="6CA940CE" w14:textId="2740CF36" w:rsidR="00277F6E" w:rsidRDefault="00277F6E">
          <w:pPr>
            <w:pStyle w:val="TOC3"/>
            <w:rPr>
              <w:rFonts w:eastAsiaTheme="minorEastAsia" w:cstheme="minorBidi"/>
              <w:bCs w:val="0"/>
              <w:color w:val="auto"/>
              <w:sz w:val="22"/>
              <w:szCs w:val="22"/>
              <w:lang w:eastAsia="ja-JP"/>
            </w:rPr>
          </w:pPr>
          <w:hyperlink w:anchor="_Toc45704422" w:history="1">
            <w:r w:rsidRPr="005A1F95">
              <w:rPr>
                <w:rStyle w:val="Hyperlink"/>
              </w:rPr>
              <w:t>10.2.5</w:t>
            </w:r>
            <w:r>
              <w:rPr>
                <w:rFonts w:eastAsiaTheme="minorEastAsia" w:cstheme="minorBidi"/>
                <w:bCs w:val="0"/>
                <w:color w:val="auto"/>
                <w:sz w:val="22"/>
                <w:szCs w:val="22"/>
                <w:lang w:eastAsia="ja-JP"/>
              </w:rPr>
              <w:tab/>
            </w:r>
            <w:r w:rsidRPr="005A1F95">
              <w:rPr>
                <w:rStyle w:val="Hyperlink"/>
              </w:rPr>
              <w:t>Key performance indicators</w:t>
            </w:r>
            <w:r>
              <w:rPr>
                <w:webHidden/>
              </w:rPr>
              <w:tab/>
            </w:r>
            <w:r>
              <w:rPr>
                <w:webHidden/>
              </w:rPr>
              <w:fldChar w:fldCharType="begin"/>
            </w:r>
            <w:r>
              <w:rPr>
                <w:webHidden/>
              </w:rPr>
              <w:instrText xml:space="preserve"> PAGEREF _Toc45704422 \h </w:instrText>
            </w:r>
            <w:r>
              <w:rPr>
                <w:webHidden/>
              </w:rPr>
            </w:r>
            <w:r>
              <w:rPr>
                <w:webHidden/>
              </w:rPr>
              <w:fldChar w:fldCharType="separate"/>
            </w:r>
            <w:r>
              <w:rPr>
                <w:webHidden/>
              </w:rPr>
              <w:t>124</w:t>
            </w:r>
            <w:r>
              <w:rPr>
                <w:webHidden/>
              </w:rPr>
              <w:fldChar w:fldCharType="end"/>
            </w:r>
          </w:hyperlink>
        </w:p>
        <w:p w14:paraId="3427FDB2" w14:textId="509879A3" w:rsidR="00277F6E" w:rsidRDefault="00277F6E">
          <w:pPr>
            <w:pStyle w:val="TOC1"/>
            <w:rPr>
              <w:rFonts w:asciiTheme="minorHAnsi" w:eastAsiaTheme="minorEastAsia" w:hAnsiTheme="minorHAnsi" w:cstheme="minorBidi"/>
              <w:b w:val="0"/>
              <w:bCs w:val="0"/>
              <w:color w:val="auto"/>
              <w:sz w:val="22"/>
              <w:szCs w:val="22"/>
              <w:lang w:eastAsia="ja-JP"/>
            </w:rPr>
          </w:pPr>
          <w:hyperlink w:anchor="_Toc45704423" w:history="1">
            <w:r w:rsidRPr="005A1F95">
              <w:rPr>
                <w:rStyle w:val="Hyperlink"/>
              </w:rPr>
              <w:t>11</w:t>
            </w:r>
            <w:r>
              <w:rPr>
                <w:rFonts w:asciiTheme="minorHAnsi" w:eastAsiaTheme="minorEastAsia" w:hAnsiTheme="minorHAnsi" w:cstheme="minorBidi"/>
                <w:b w:val="0"/>
                <w:bCs w:val="0"/>
                <w:color w:val="auto"/>
                <w:sz w:val="22"/>
                <w:szCs w:val="22"/>
                <w:lang w:eastAsia="ja-JP"/>
              </w:rPr>
              <w:tab/>
            </w:r>
            <w:r w:rsidRPr="005A1F95">
              <w:rPr>
                <w:rStyle w:val="Hyperlink"/>
              </w:rPr>
              <w:t>Consultation</w:t>
            </w:r>
            <w:r>
              <w:rPr>
                <w:webHidden/>
              </w:rPr>
              <w:tab/>
            </w:r>
            <w:r>
              <w:rPr>
                <w:webHidden/>
              </w:rPr>
              <w:fldChar w:fldCharType="begin"/>
            </w:r>
            <w:r>
              <w:rPr>
                <w:webHidden/>
              </w:rPr>
              <w:instrText xml:space="preserve"> PAGEREF _Toc45704423 \h </w:instrText>
            </w:r>
            <w:r>
              <w:rPr>
                <w:webHidden/>
              </w:rPr>
            </w:r>
            <w:r>
              <w:rPr>
                <w:webHidden/>
              </w:rPr>
              <w:fldChar w:fldCharType="separate"/>
            </w:r>
            <w:r>
              <w:rPr>
                <w:webHidden/>
              </w:rPr>
              <w:t>126</w:t>
            </w:r>
            <w:r>
              <w:rPr>
                <w:webHidden/>
              </w:rPr>
              <w:fldChar w:fldCharType="end"/>
            </w:r>
          </w:hyperlink>
        </w:p>
        <w:p w14:paraId="7D3C6E00" w14:textId="1A059A68" w:rsidR="00277F6E" w:rsidRDefault="00277F6E">
          <w:pPr>
            <w:pStyle w:val="TOC2"/>
            <w:rPr>
              <w:rFonts w:eastAsiaTheme="minorEastAsia" w:cstheme="minorBidi"/>
              <w:bCs w:val="0"/>
              <w:color w:val="auto"/>
              <w:sz w:val="22"/>
              <w:szCs w:val="22"/>
              <w:lang w:eastAsia="ja-JP"/>
            </w:rPr>
          </w:pPr>
          <w:hyperlink w:anchor="_Toc45704424" w:history="1">
            <w:r w:rsidRPr="005A1F95">
              <w:rPr>
                <w:rStyle w:val="Hyperlink"/>
              </w:rPr>
              <w:t>11.1</w:t>
            </w:r>
            <w:r>
              <w:rPr>
                <w:rFonts w:eastAsiaTheme="minorEastAsia" w:cstheme="minorBidi"/>
                <w:bCs w:val="0"/>
                <w:color w:val="auto"/>
                <w:sz w:val="22"/>
                <w:szCs w:val="22"/>
                <w:lang w:eastAsia="ja-JP"/>
              </w:rPr>
              <w:tab/>
            </w:r>
            <w:r w:rsidRPr="005A1F95">
              <w:rPr>
                <w:rStyle w:val="Hyperlink"/>
              </w:rPr>
              <w:t>Stakeholder questions</w:t>
            </w:r>
            <w:r>
              <w:rPr>
                <w:webHidden/>
              </w:rPr>
              <w:tab/>
            </w:r>
            <w:r>
              <w:rPr>
                <w:webHidden/>
              </w:rPr>
              <w:fldChar w:fldCharType="begin"/>
            </w:r>
            <w:r>
              <w:rPr>
                <w:webHidden/>
              </w:rPr>
              <w:instrText xml:space="preserve"> PAGEREF _Toc45704424 \h </w:instrText>
            </w:r>
            <w:r>
              <w:rPr>
                <w:webHidden/>
              </w:rPr>
            </w:r>
            <w:r>
              <w:rPr>
                <w:webHidden/>
              </w:rPr>
              <w:fldChar w:fldCharType="separate"/>
            </w:r>
            <w:r>
              <w:rPr>
                <w:webHidden/>
              </w:rPr>
              <w:t>126</w:t>
            </w:r>
            <w:r>
              <w:rPr>
                <w:webHidden/>
              </w:rPr>
              <w:fldChar w:fldCharType="end"/>
            </w:r>
          </w:hyperlink>
        </w:p>
        <w:p w14:paraId="1254FC20" w14:textId="467A73A9" w:rsidR="00277F6E" w:rsidRDefault="00277F6E">
          <w:pPr>
            <w:pStyle w:val="TOC2"/>
            <w:rPr>
              <w:rFonts w:eastAsiaTheme="minorEastAsia" w:cstheme="minorBidi"/>
              <w:bCs w:val="0"/>
              <w:color w:val="auto"/>
              <w:sz w:val="22"/>
              <w:szCs w:val="22"/>
              <w:lang w:eastAsia="ja-JP"/>
            </w:rPr>
          </w:pPr>
          <w:hyperlink w:anchor="_Toc45704425" w:history="1">
            <w:r w:rsidRPr="005A1F95">
              <w:rPr>
                <w:rStyle w:val="Hyperlink"/>
              </w:rPr>
              <w:t>11.2</w:t>
            </w:r>
            <w:r>
              <w:rPr>
                <w:rFonts w:eastAsiaTheme="minorEastAsia" w:cstheme="minorBidi"/>
                <w:bCs w:val="0"/>
                <w:color w:val="auto"/>
                <w:sz w:val="22"/>
                <w:szCs w:val="22"/>
                <w:lang w:eastAsia="ja-JP"/>
              </w:rPr>
              <w:tab/>
            </w:r>
            <w:r w:rsidRPr="005A1F95">
              <w:rPr>
                <w:rStyle w:val="Hyperlink"/>
              </w:rPr>
              <w:t>Next steps</w:t>
            </w:r>
            <w:r>
              <w:rPr>
                <w:webHidden/>
              </w:rPr>
              <w:tab/>
            </w:r>
            <w:r>
              <w:rPr>
                <w:webHidden/>
              </w:rPr>
              <w:fldChar w:fldCharType="begin"/>
            </w:r>
            <w:r>
              <w:rPr>
                <w:webHidden/>
              </w:rPr>
              <w:instrText xml:space="preserve"> PAGEREF _Toc45704425 \h </w:instrText>
            </w:r>
            <w:r>
              <w:rPr>
                <w:webHidden/>
              </w:rPr>
            </w:r>
            <w:r>
              <w:rPr>
                <w:webHidden/>
              </w:rPr>
              <w:fldChar w:fldCharType="separate"/>
            </w:r>
            <w:r>
              <w:rPr>
                <w:webHidden/>
              </w:rPr>
              <w:t>126</w:t>
            </w:r>
            <w:r>
              <w:rPr>
                <w:webHidden/>
              </w:rPr>
              <w:fldChar w:fldCharType="end"/>
            </w:r>
          </w:hyperlink>
        </w:p>
        <w:p w14:paraId="1F1630D3" w14:textId="6159107E" w:rsidR="005F2D3E" w:rsidRDefault="005F2D3E">
          <w:r>
            <w:rPr>
              <w:b/>
              <w:bCs/>
              <w:noProof/>
            </w:rPr>
            <w:fldChar w:fldCharType="end"/>
          </w:r>
        </w:p>
      </w:sdtContent>
    </w:sdt>
    <w:p w14:paraId="788E3A10" w14:textId="3E50A8A9" w:rsidR="003468AA" w:rsidRDefault="003468AA">
      <w:pPr>
        <w:spacing w:before="0" w:after="0"/>
      </w:pPr>
      <w:r>
        <w:br w:type="page"/>
      </w:r>
    </w:p>
    <w:p w14:paraId="55D69D24" w14:textId="361BBB8C" w:rsidR="00960F62" w:rsidRDefault="00960F62" w:rsidP="00960F62">
      <w:pPr>
        <w:pStyle w:val="TOCHeading"/>
      </w:pPr>
      <w:bookmarkStart w:id="0" w:name="_Toc33711730"/>
      <w:bookmarkStart w:id="1" w:name="_Toc32909767"/>
      <w:bookmarkEnd w:id="0"/>
      <w:r>
        <w:lastRenderedPageBreak/>
        <w:t>List of Tables</w:t>
      </w:r>
    </w:p>
    <w:p w14:paraId="02FDC25F" w14:textId="37B1EE12" w:rsidR="00277F6E" w:rsidRDefault="00546E7E">
      <w:pPr>
        <w:pStyle w:val="TableofFigures"/>
        <w:tabs>
          <w:tab w:val="right" w:leader="dot" w:pos="9010"/>
        </w:tabs>
        <w:rPr>
          <w:rFonts w:eastAsiaTheme="minorEastAsia"/>
          <w:noProof/>
          <w:color w:val="auto"/>
          <w:sz w:val="22"/>
          <w:szCs w:val="22"/>
          <w:lang w:eastAsia="ja-JP"/>
        </w:rPr>
      </w:pPr>
      <w:r w:rsidRPr="00546E7E">
        <w:fldChar w:fldCharType="begin"/>
      </w:r>
      <w:r w:rsidRPr="00546E7E">
        <w:instrText xml:space="preserve"> TOC \h \z \c "Table" </w:instrText>
      </w:r>
      <w:r w:rsidRPr="00546E7E">
        <w:fldChar w:fldCharType="separate"/>
      </w:r>
      <w:hyperlink w:anchor="_Toc45704426" w:history="1">
        <w:r w:rsidR="00277F6E" w:rsidRPr="00EA68E1">
          <w:rPr>
            <w:rStyle w:val="Hyperlink"/>
            <w:b/>
            <w:noProof/>
          </w:rPr>
          <w:t>Table 3</w:t>
        </w:r>
        <w:r w:rsidR="00277F6E" w:rsidRPr="00EA68E1">
          <w:rPr>
            <w:rStyle w:val="Hyperlink"/>
            <w:b/>
            <w:noProof/>
          </w:rPr>
          <w:noBreakHyphen/>
          <w:t>1: Bus incidents, fatalities and serious injuries in Victoria – 2011-2019</w:t>
        </w:r>
        <w:r w:rsidR="00277F6E">
          <w:rPr>
            <w:noProof/>
            <w:webHidden/>
          </w:rPr>
          <w:tab/>
        </w:r>
        <w:r w:rsidR="00277F6E">
          <w:rPr>
            <w:noProof/>
            <w:webHidden/>
          </w:rPr>
          <w:fldChar w:fldCharType="begin"/>
        </w:r>
        <w:r w:rsidR="00277F6E">
          <w:rPr>
            <w:noProof/>
            <w:webHidden/>
          </w:rPr>
          <w:instrText xml:space="preserve"> PAGEREF _Toc45704426 \h </w:instrText>
        </w:r>
        <w:r w:rsidR="00277F6E">
          <w:rPr>
            <w:noProof/>
            <w:webHidden/>
          </w:rPr>
        </w:r>
        <w:r w:rsidR="00277F6E">
          <w:rPr>
            <w:noProof/>
            <w:webHidden/>
          </w:rPr>
          <w:fldChar w:fldCharType="separate"/>
        </w:r>
        <w:r w:rsidR="00277F6E">
          <w:rPr>
            <w:noProof/>
            <w:webHidden/>
          </w:rPr>
          <w:t>26</w:t>
        </w:r>
        <w:r w:rsidR="00277F6E">
          <w:rPr>
            <w:noProof/>
            <w:webHidden/>
          </w:rPr>
          <w:fldChar w:fldCharType="end"/>
        </w:r>
      </w:hyperlink>
    </w:p>
    <w:p w14:paraId="5C166D48" w14:textId="62E1A771" w:rsidR="00277F6E" w:rsidRDefault="00277F6E">
      <w:pPr>
        <w:pStyle w:val="TableofFigures"/>
        <w:tabs>
          <w:tab w:val="right" w:leader="dot" w:pos="9010"/>
        </w:tabs>
        <w:rPr>
          <w:rFonts w:eastAsiaTheme="minorEastAsia"/>
          <w:noProof/>
          <w:color w:val="auto"/>
          <w:sz w:val="22"/>
          <w:szCs w:val="22"/>
          <w:lang w:eastAsia="ja-JP"/>
        </w:rPr>
      </w:pPr>
      <w:hyperlink w:anchor="_Toc45704427" w:history="1">
        <w:r w:rsidRPr="00EA68E1">
          <w:rPr>
            <w:rStyle w:val="Hyperlink"/>
            <w:b/>
            <w:noProof/>
          </w:rPr>
          <w:t>Table 3</w:t>
        </w:r>
        <w:r w:rsidRPr="00EA68E1">
          <w:rPr>
            <w:rStyle w:val="Hyperlink"/>
            <w:b/>
            <w:noProof/>
          </w:rPr>
          <w:noBreakHyphen/>
          <w:t>2: Number of bus related incidents by incident type – 2011-2019</w:t>
        </w:r>
        <w:r>
          <w:rPr>
            <w:noProof/>
            <w:webHidden/>
          </w:rPr>
          <w:tab/>
        </w:r>
        <w:r>
          <w:rPr>
            <w:noProof/>
            <w:webHidden/>
          </w:rPr>
          <w:fldChar w:fldCharType="begin"/>
        </w:r>
        <w:r>
          <w:rPr>
            <w:noProof/>
            <w:webHidden/>
          </w:rPr>
          <w:instrText xml:space="preserve"> PAGEREF _Toc45704427 \h </w:instrText>
        </w:r>
        <w:r>
          <w:rPr>
            <w:noProof/>
            <w:webHidden/>
          </w:rPr>
        </w:r>
        <w:r>
          <w:rPr>
            <w:noProof/>
            <w:webHidden/>
          </w:rPr>
          <w:fldChar w:fldCharType="separate"/>
        </w:r>
        <w:r>
          <w:rPr>
            <w:noProof/>
            <w:webHidden/>
          </w:rPr>
          <w:t>27</w:t>
        </w:r>
        <w:r>
          <w:rPr>
            <w:noProof/>
            <w:webHidden/>
          </w:rPr>
          <w:fldChar w:fldCharType="end"/>
        </w:r>
      </w:hyperlink>
    </w:p>
    <w:p w14:paraId="636B5AE4" w14:textId="79071602" w:rsidR="00277F6E" w:rsidRDefault="00277F6E">
      <w:pPr>
        <w:pStyle w:val="TableofFigures"/>
        <w:tabs>
          <w:tab w:val="right" w:leader="dot" w:pos="9010"/>
        </w:tabs>
        <w:rPr>
          <w:rFonts w:eastAsiaTheme="minorEastAsia"/>
          <w:noProof/>
          <w:color w:val="auto"/>
          <w:sz w:val="22"/>
          <w:szCs w:val="22"/>
          <w:lang w:eastAsia="ja-JP"/>
        </w:rPr>
      </w:pPr>
      <w:hyperlink w:anchor="_Toc45704428" w:history="1">
        <w:r w:rsidRPr="00EA68E1">
          <w:rPr>
            <w:rStyle w:val="Hyperlink"/>
            <w:b/>
            <w:noProof/>
          </w:rPr>
          <w:t>Table 3</w:t>
        </w:r>
        <w:r w:rsidRPr="00EA68E1">
          <w:rPr>
            <w:rStyle w:val="Hyperlink"/>
            <w:b/>
            <w:noProof/>
          </w:rPr>
          <w:noBreakHyphen/>
          <w:t>3: Fatalities by occurrence type – 2011-2019</w:t>
        </w:r>
        <w:r>
          <w:rPr>
            <w:noProof/>
            <w:webHidden/>
          </w:rPr>
          <w:tab/>
        </w:r>
        <w:r>
          <w:rPr>
            <w:noProof/>
            <w:webHidden/>
          </w:rPr>
          <w:fldChar w:fldCharType="begin"/>
        </w:r>
        <w:r>
          <w:rPr>
            <w:noProof/>
            <w:webHidden/>
          </w:rPr>
          <w:instrText xml:space="preserve"> PAGEREF _Toc45704428 \h </w:instrText>
        </w:r>
        <w:r>
          <w:rPr>
            <w:noProof/>
            <w:webHidden/>
          </w:rPr>
        </w:r>
        <w:r>
          <w:rPr>
            <w:noProof/>
            <w:webHidden/>
          </w:rPr>
          <w:fldChar w:fldCharType="separate"/>
        </w:r>
        <w:r>
          <w:rPr>
            <w:noProof/>
            <w:webHidden/>
          </w:rPr>
          <w:t>28</w:t>
        </w:r>
        <w:r>
          <w:rPr>
            <w:noProof/>
            <w:webHidden/>
          </w:rPr>
          <w:fldChar w:fldCharType="end"/>
        </w:r>
      </w:hyperlink>
    </w:p>
    <w:p w14:paraId="288AD7B6" w14:textId="7A900ED4" w:rsidR="00277F6E" w:rsidRDefault="00277F6E">
      <w:pPr>
        <w:pStyle w:val="TableofFigures"/>
        <w:tabs>
          <w:tab w:val="right" w:leader="dot" w:pos="9010"/>
        </w:tabs>
        <w:rPr>
          <w:rFonts w:eastAsiaTheme="minorEastAsia"/>
          <w:noProof/>
          <w:color w:val="auto"/>
          <w:sz w:val="22"/>
          <w:szCs w:val="22"/>
          <w:lang w:eastAsia="ja-JP"/>
        </w:rPr>
      </w:pPr>
      <w:hyperlink w:anchor="_Toc45704429" w:history="1">
        <w:r w:rsidRPr="00EA68E1">
          <w:rPr>
            <w:rStyle w:val="Hyperlink"/>
            <w:b/>
            <w:noProof/>
          </w:rPr>
          <w:t>Table 3</w:t>
        </w:r>
        <w:r w:rsidRPr="00EA68E1">
          <w:rPr>
            <w:rStyle w:val="Hyperlink"/>
            <w:b/>
            <w:noProof/>
          </w:rPr>
          <w:noBreakHyphen/>
          <w:t>4: Number of fatalities by person type – 2011-2019</w:t>
        </w:r>
        <w:r>
          <w:rPr>
            <w:noProof/>
            <w:webHidden/>
          </w:rPr>
          <w:tab/>
        </w:r>
        <w:r>
          <w:rPr>
            <w:noProof/>
            <w:webHidden/>
          </w:rPr>
          <w:fldChar w:fldCharType="begin"/>
        </w:r>
        <w:r>
          <w:rPr>
            <w:noProof/>
            <w:webHidden/>
          </w:rPr>
          <w:instrText xml:space="preserve"> PAGEREF _Toc45704429 \h </w:instrText>
        </w:r>
        <w:r>
          <w:rPr>
            <w:noProof/>
            <w:webHidden/>
          </w:rPr>
        </w:r>
        <w:r>
          <w:rPr>
            <w:noProof/>
            <w:webHidden/>
          </w:rPr>
          <w:fldChar w:fldCharType="separate"/>
        </w:r>
        <w:r>
          <w:rPr>
            <w:noProof/>
            <w:webHidden/>
          </w:rPr>
          <w:t>29</w:t>
        </w:r>
        <w:r>
          <w:rPr>
            <w:noProof/>
            <w:webHidden/>
          </w:rPr>
          <w:fldChar w:fldCharType="end"/>
        </w:r>
      </w:hyperlink>
    </w:p>
    <w:p w14:paraId="718236C2" w14:textId="402C5F85" w:rsidR="00277F6E" w:rsidRDefault="00277F6E">
      <w:pPr>
        <w:pStyle w:val="TableofFigures"/>
        <w:tabs>
          <w:tab w:val="right" w:leader="dot" w:pos="9010"/>
        </w:tabs>
        <w:rPr>
          <w:rFonts w:eastAsiaTheme="minorEastAsia"/>
          <w:noProof/>
          <w:color w:val="auto"/>
          <w:sz w:val="22"/>
          <w:szCs w:val="22"/>
          <w:lang w:eastAsia="ja-JP"/>
        </w:rPr>
      </w:pPr>
      <w:hyperlink w:anchor="_Toc45704430" w:history="1">
        <w:r w:rsidRPr="00EA68E1">
          <w:rPr>
            <w:rStyle w:val="Hyperlink"/>
            <w:b/>
            <w:noProof/>
          </w:rPr>
          <w:t>Table 3</w:t>
        </w:r>
        <w:r w:rsidRPr="00EA68E1">
          <w:rPr>
            <w:rStyle w:val="Hyperlink"/>
            <w:b/>
            <w:noProof/>
          </w:rPr>
          <w:noBreakHyphen/>
          <w:t>5: Serious injuries by occurrence type – 2011-2019</w:t>
        </w:r>
        <w:r>
          <w:rPr>
            <w:noProof/>
            <w:webHidden/>
          </w:rPr>
          <w:tab/>
        </w:r>
        <w:r>
          <w:rPr>
            <w:noProof/>
            <w:webHidden/>
          </w:rPr>
          <w:fldChar w:fldCharType="begin"/>
        </w:r>
        <w:r>
          <w:rPr>
            <w:noProof/>
            <w:webHidden/>
          </w:rPr>
          <w:instrText xml:space="preserve"> PAGEREF _Toc45704430 \h </w:instrText>
        </w:r>
        <w:r>
          <w:rPr>
            <w:noProof/>
            <w:webHidden/>
          </w:rPr>
        </w:r>
        <w:r>
          <w:rPr>
            <w:noProof/>
            <w:webHidden/>
          </w:rPr>
          <w:fldChar w:fldCharType="separate"/>
        </w:r>
        <w:r>
          <w:rPr>
            <w:noProof/>
            <w:webHidden/>
          </w:rPr>
          <w:t>29</w:t>
        </w:r>
        <w:r>
          <w:rPr>
            <w:noProof/>
            <w:webHidden/>
          </w:rPr>
          <w:fldChar w:fldCharType="end"/>
        </w:r>
      </w:hyperlink>
    </w:p>
    <w:p w14:paraId="2B7BA1EB" w14:textId="0353C36B" w:rsidR="00277F6E" w:rsidRDefault="00277F6E">
      <w:pPr>
        <w:pStyle w:val="TableofFigures"/>
        <w:tabs>
          <w:tab w:val="right" w:leader="dot" w:pos="9010"/>
        </w:tabs>
        <w:rPr>
          <w:rFonts w:eastAsiaTheme="minorEastAsia"/>
          <w:noProof/>
          <w:color w:val="auto"/>
          <w:sz w:val="22"/>
          <w:szCs w:val="22"/>
          <w:lang w:eastAsia="ja-JP"/>
        </w:rPr>
      </w:pPr>
      <w:hyperlink w:anchor="_Toc45704431" w:history="1">
        <w:r w:rsidRPr="00EA68E1">
          <w:rPr>
            <w:rStyle w:val="Hyperlink"/>
            <w:b/>
            <w:noProof/>
          </w:rPr>
          <w:t>Table 3</w:t>
        </w:r>
        <w:r w:rsidRPr="00EA68E1">
          <w:rPr>
            <w:rStyle w:val="Hyperlink"/>
            <w:b/>
            <w:noProof/>
          </w:rPr>
          <w:noBreakHyphen/>
          <w:t>6: Number of serious injuries by person type – 2011-2019</w:t>
        </w:r>
        <w:r>
          <w:rPr>
            <w:noProof/>
            <w:webHidden/>
          </w:rPr>
          <w:tab/>
        </w:r>
        <w:r>
          <w:rPr>
            <w:noProof/>
            <w:webHidden/>
          </w:rPr>
          <w:fldChar w:fldCharType="begin"/>
        </w:r>
        <w:r>
          <w:rPr>
            <w:noProof/>
            <w:webHidden/>
          </w:rPr>
          <w:instrText xml:space="preserve"> PAGEREF _Toc45704431 \h </w:instrText>
        </w:r>
        <w:r>
          <w:rPr>
            <w:noProof/>
            <w:webHidden/>
          </w:rPr>
        </w:r>
        <w:r>
          <w:rPr>
            <w:noProof/>
            <w:webHidden/>
          </w:rPr>
          <w:fldChar w:fldCharType="separate"/>
        </w:r>
        <w:r>
          <w:rPr>
            <w:noProof/>
            <w:webHidden/>
          </w:rPr>
          <w:t>30</w:t>
        </w:r>
        <w:r>
          <w:rPr>
            <w:noProof/>
            <w:webHidden/>
          </w:rPr>
          <w:fldChar w:fldCharType="end"/>
        </w:r>
      </w:hyperlink>
    </w:p>
    <w:p w14:paraId="40FF8E83" w14:textId="1663D2C0" w:rsidR="00277F6E" w:rsidRDefault="00277F6E">
      <w:pPr>
        <w:pStyle w:val="TableofFigures"/>
        <w:tabs>
          <w:tab w:val="right" w:leader="dot" w:pos="9010"/>
        </w:tabs>
        <w:rPr>
          <w:rFonts w:eastAsiaTheme="minorEastAsia"/>
          <w:noProof/>
          <w:color w:val="auto"/>
          <w:sz w:val="22"/>
          <w:szCs w:val="22"/>
          <w:lang w:eastAsia="ja-JP"/>
        </w:rPr>
      </w:pPr>
      <w:hyperlink w:anchor="_Toc45704432" w:history="1">
        <w:r w:rsidRPr="00EA68E1">
          <w:rPr>
            <w:rStyle w:val="Hyperlink"/>
            <w:b/>
            <w:noProof/>
          </w:rPr>
          <w:t>Table 3</w:t>
        </w:r>
        <w:r w:rsidRPr="00EA68E1">
          <w:rPr>
            <w:rStyle w:val="Hyperlink"/>
            <w:b/>
            <w:noProof/>
          </w:rPr>
          <w:noBreakHyphen/>
          <w:t>7: Number of mechanical failure incidents by type – 2011-2019</w:t>
        </w:r>
        <w:r>
          <w:rPr>
            <w:noProof/>
            <w:webHidden/>
          </w:rPr>
          <w:tab/>
        </w:r>
        <w:r>
          <w:rPr>
            <w:noProof/>
            <w:webHidden/>
          </w:rPr>
          <w:fldChar w:fldCharType="begin"/>
        </w:r>
        <w:r>
          <w:rPr>
            <w:noProof/>
            <w:webHidden/>
          </w:rPr>
          <w:instrText xml:space="preserve"> PAGEREF _Toc45704432 \h </w:instrText>
        </w:r>
        <w:r>
          <w:rPr>
            <w:noProof/>
            <w:webHidden/>
          </w:rPr>
        </w:r>
        <w:r>
          <w:rPr>
            <w:noProof/>
            <w:webHidden/>
          </w:rPr>
          <w:fldChar w:fldCharType="separate"/>
        </w:r>
        <w:r>
          <w:rPr>
            <w:noProof/>
            <w:webHidden/>
          </w:rPr>
          <w:t>31</w:t>
        </w:r>
        <w:r>
          <w:rPr>
            <w:noProof/>
            <w:webHidden/>
          </w:rPr>
          <w:fldChar w:fldCharType="end"/>
        </w:r>
      </w:hyperlink>
    </w:p>
    <w:p w14:paraId="270AFEC6" w14:textId="758B30BD" w:rsidR="00277F6E" w:rsidRDefault="00277F6E">
      <w:pPr>
        <w:pStyle w:val="TableofFigures"/>
        <w:tabs>
          <w:tab w:val="right" w:leader="dot" w:pos="9010"/>
        </w:tabs>
        <w:rPr>
          <w:rFonts w:eastAsiaTheme="minorEastAsia"/>
          <w:noProof/>
          <w:color w:val="auto"/>
          <w:sz w:val="22"/>
          <w:szCs w:val="22"/>
          <w:lang w:eastAsia="ja-JP"/>
        </w:rPr>
      </w:pPr>
      <w:hyperlink w:anchor="_Toc45704433" w:history="1">
        <w:r w:rsidRPr="00EA68E1">
          <w:rPr>
            <w:rStyle w:val="Hyperlink"/>
            <w:b/>
            <w:noProof/>
          </w:rPr>
          <w:t>Table 3</w:t>
        </w:r>
        <w:r w:rsidRPr="00EA68E1">
          <w:rPr>
            <w:rStyle w:val="Hyperlink"/>
            <w:b/>
            <w:noProof/>
          </w:rPr>
          <w:noBreakHyphen/>
          <w:t>8: Comparison of the number of mechanical failure incidents to the number of buses and distance travelled – 2011-2019</w:t>
        </w:r>
        <w:r>
          <w:rPr>
            <w:noProof/>
            <w:webHidden/>
          </w:rPr>
          <w:tab/>
        </w:r>
        <w:r>
          <w:rPr>
            <w:noProof/>
            <w:webHidden/>
          </w:rPr>
          <w:fldChar w:fldCharType="begin"/>
        </w:r>
        <w:r>
          <w:rPr>
            <w:noProof/>
            <w:webHidden/>
          </w:rPr>
          <w:instrText xml:space="preserve"> PAGEREF _Toc45704433 \h </w:instrText>
        </w:r>
        <w:r>
          <w:rPr>
            <w:noProof/>
            <w:webHidden/>
          </w:rPr>
        </w:r>
        <w:r>
          <w:rPr>
            <w:noProof/>
            <w:webHidden/>
          </w:rPr>
          <w:fldChar w:fldCharType="separate"/>
        </w:r>
        <w:r>
          <w:rPr>
            <w:noProof/>
            <w:webHidden/>
          </w:rPr>
          <w:t>31</w:t>
        </w:r>
        <w:r>
          <w:rPr>
            <w:noProof/>
            <w:webHidden/>
          </w:rPr>
          <w:fldChar w:fldCharType="end"/>
        </w:r>
      </w:hyperlink>
    </w:p>
    <w:p w14:paraId="6BDCBAD5" w14:textId="2167C066" w:rsidR="00277F6E" w:rsidRDefault="00277F6E">
      <w:pPr>
        <w:pStyle w:val="TableofFigures"/>
        <w:tabs>
          <w:tab w:val="right" w:leader="dot" w:pos="9010"/>
        </w:tabs>
        <w:rPr>
          <w:rFonts w:eastAsiaTheme="minorEastAsia"/>
          <w:noProof/>
          <w:color w:val="auto"/>
          <w:sz w:val="22"/>
          <w:szCs w:val="22"/>
          <w:lang w:eastAsia="ja-JP"/>
        </w:rPr>
      </w:pPr>
      <w:hyperlink w:anchor="_Toc45704434" w:history="1">
        <w:r w:rsidRPr="00EA68E1">
          <w:rPr>
            <w:rStyle w:val="Hyperlink"/>
            <w:b/>
            <w:noProof/>
          </w:rPr>
          <w:t>Table 3</w:t>
        </w:r>
        <w:r w:rsidRPr="00EA68E1">
          <w:rPr>
            <w:rStyle w:val="Hyperlink"/>
            <w:b/>
            <w:noProof/>
          </w:rPr>
          <w:noBreakHyphen/>
          <w:t>9: Incidence of fire on bus – 2011-2019</w:t>
        </w:r>
        <w:r>
          <w:rPr>
            <w:noProof/>
            <w:webHidden/>
          </w:rPr>
          <w:tab/>
        </w:r>
        <w:r>
          <w:rPr>
            <w:noProof/>
            <w:webHidden/>
          </w:rPr>
          <w:fldChar w:fldCharType="begin"/>
        </w:r>
        <w:r>
          <w:rPr>
            <w:noProof/>
            <w:webHidden/>
          </w:rPr>
          <w:instrText xml:space="preserve"> PAGEREF _Toc45704434 \h </w:instrText>
        </w:r>
        <w:r>
          <w:rPr>
            <w:noProof/>
            <w:webHidden/>
          </w:rPr>
        </w:r>
        <w:r>
          <w:rPr>
            <w:noProof/>
            <w:webHidden/>
          </w:rPr>
          <w:fldChar w:fldCharType="separate"/>
        </w:r>
        <w:r>
          <w:rPr>
            <w:noProof/>
            <w:webHidden/>
          </w:rPr>
          <w:t>33</w:t>
        </w:r>
        <w:r>
          <w:rPr>
            <w:noProof/>
            <w:webHidden/>
          </w:rPr>
          <w:fldChar w:fldCharType="end"/>
        </w:r>
      </w:hyperlink>
    </w:p>
    <w:p w14:paraId="0DF87378" w14:textId="1BD650B0" w:rsidR="00277F6E" w:rsidRDefault="00277F6E">
      <w:pPr>
        <w:pStyle w:val="TableofFigures"/>
        <w:tabs>
          <w:tab w:val="right" w:leader="dot" w:pos="9010"/>
        </w:tabs>
        <w:rPr>
          <w:rFonts w:eastAsiaTheme="minorEastAsia"/>
          <w:noProof/>
          <w:color w:val="auto"/>
          <w:sz w:val="22"/>
          <w:szCs w:val="22"/>
          <w:lang w:eastAsia="ja-JP"/>
        </w:rPr>
      </w:pPr>
      <w:hyperlink w:anchor="_Toc45704435" w:history="1">
        <w:r w:rsidRPr="00EA68E1">
          <w:rPr>
            <w:rStyle w:val="Hyperlink"/>
            <w:b/>
            <w:noProof/>
          </w:rPr>
          <w:t>Table 3</w:t>
        </w:r>
        <w:r w:rsidRPr="00EA68E1">
          <w:rPr>
            <w:rStyle w:val="Hyperlink"/>
            <w:b/>
            <w:noProof/>
          </w:rPr>
          <w:noBreakHyphen/>
          <w:t>10: Compliance inspection outcomes relating to fire extinguishers – 2018-2019</w:t>
        </w:r>
        <w:r>
          <w:rPr>
            <w:noProof/>
            <w:webHidden/>
          </w:rPr>
          <w:tab/>
        </w:r>
        <w:r>
          <w:rPr>
            <w:noProof/>
            <w:webHidden/>
          </w:rPr>
          <w:fldChar w:fldCharType="begin"/>
        </w:r>
        <w:r>
          <w:rPr>
            <w:noProof/>
            <w:webHidden/>
          </w:rPr>
          <w:instrText xml:space="preserve"> PAGEREF _Toc45704435 \h </w:instrText>
        </w:r>
        <w:r>
          <w:rPr>
            <w:noProof/>
            <w:webHidden/>
          </w:rPr>
        </w:r>
        <w:r>
          <w:rPr>
            <w:noProof/>
            <w:webHidden/>
          </w:rPr>
          <w:fldChar w:fldCharType="separate"/>
        </w:r>
        <w:r>
          <w:rPr>
            <w:noProof/>
            <w:webHidden/>
          </w:rPr>
          <w:t>33</w:t>
        </w:r>
        <w:r>
          <w:rPr>
            <w:noProof/>
            <w:webHidden/>
          </w:rPr>
          <w:fldChar w:fldCharType="end"/>
        </w:r>
      </w:hyperlink>
    </w:p>
    <w:p w14:paraId="0F728043" w14:textId="415A40B0" w:rsidR="00277F6E" w:rsidRDefault="00277F6E">
      <w:pPr>
        <w:pStyle w:val="TableofFigures"/>
        <w:tabs>
          <w:tab w:val="right" w:leader="dot" w:pos="9010"/>
        </w:tabs>
        <w:rPr>
          <w:rFonts w:eastAsiaTheme="minorEastAsia"/>
          <w:noProof/>
          <w:color w:val="auto"/>
          <w:sz w:val="22"/>
          <w:szCs w:val="22"/>
          <w:lang w:eastAsia="ja-JP"/>
        </w:rPr>
      </w:pPr>
      <w:hyperlink w:anchor="_Toc45704436" w:history="1">
        <w:r w:rsidRPr="00EA68E1">
          <w:rPr>
            <w:rStyle w:val="Hyperlink"/>
            <w:b/>
            <w:noProof/>
          </w:rPr>
          <w:t>Table 3</w:t>
        </w:r>
        <w:r w:rsidRPr="00EA68E1">
          <w:rPr>
            <w:rStyle w:val="Hyperlink"/>
            <w:b/>
            <w:noProof/>
          </w:rPr>
          <w:noBreakHyphen/>
          <w:t>11: Items failed during annual bus inspections – 2015-2017</w:t>
        </w:r>
        <w:r>
          <w:rPr>
            <w:noProof/>
            <w:webHidden/>
          </w:rPr>
          <w:tab/>
        </w:r>
        <w:r>
          <w:rPr>
            <w:noProof/>
            <w:webHidden/>
          </w:rPr>
          <w:fldChar w:fldCharType="begin"/>
        </w:r>
        <w:r>
          <w:rPr>
            <w:noProof/>
            <w:webHidden/>
          </w:rPr>
          <w:instrText xml:space="preserve"> PAGEREF _Toc45704436 \h </w:instrText>
        </w:r>
        <w:r>
          <w:rPr>
            <w:noProof/>
            <w:webHidden/>
          </w:rPr>
        </w:r>
        <w:r>
          <w:rPr>
            <w:noProof/>
            <w:webHidden/>
          </w:rPr>
          <w:fldChar w:fldCharType="separate"/>
        </w:r>
        <w:r>
          <w:rPr>
            <w:noProof/>
            <w:webHidden/>
          </w:rPr>
          <w:t>35</w:t>
        </w:r>
        <w:r>
          <w:rPr>
            <w:noProof/>
            <w:webHidden/>
          </w:rPr>
          <w:fldChar w:fldCharType="end"/>
        </w:r>
      </w:hyperlink>
    </w:p>
    <w:p w14:paraId="36AF50A0" w14:textId="2E1DBC0E" w:rsidR="00277F6E" w:rsidRDefault="00277F6E">
      <w:pPr>
        <w:pStyle w:val="TableofFigures"/>
        <w:tabs>
          <w:tab w:val="right" w:leader="dot" w:pos="9010"/>
        </w:tabs>
        <w:rPr>
          <w:rFonts w:eastAsiaTheme="minorEastAsia"/>
          <w:noProof/>
          <w:color w:val="auto"/>
          <w:sz w:val="22"/>
          <w:szCs w:val="22"/>
          <w:lang w:eastAsia="ja-JP"/>
        </w:rPr>
      </w:pPr>
      <w:hyperlink w:anchor="_Toc45704437" w:history="1">
        <w:r w:rsidRPr="00EA68E1">
          <w:rPr>
            <w:rStyle w:val="Hyperlink"/>
            <w:b/>
            <w:noProof/>
          </w:rPr>
          <w:t>Table 3</w:t>
        </w:r>
        <w:r w:rsidRPr="00EA68E1">
          <w:rPr>
            <w:rStyle w:val="Hyperlink"/>
            <w:b/>
            <w:noProof/>
          </w:rPr>
          <w:noBreakHyphen/>
          <w:t>12: Incidence of positive test for alcohol or drugs – 2011-2019</w:t>
        </w:r>
        <w:r>
          <w:rPr>
            <w:noProof/>
            <w:webHidden/>
          </w:rPr>
          <w:tab/>
        </w:r>
        <w:r>
          <w:rPr>
            <w:noProof/>
            <w:webHidden/>
          </w:rPr>
          <w:fldChar w:fldCharType="begin"/>
        </w:r>
        <w:r>
          <w:rPr>
            <w:noProof/>
            <w:webHidden/>
          </w:rPr>
          <w:instrText xml:space="preserve"> PAGEREF _Toc45704437 \h </w:instrText>
        </w:r>
        <w:r>
          <w:rPr>
            <w:noProof/>
            <w:webHidden/>
          </w:rPr>
        </w:r>
        <w:r>
          <w:rPr>
            <w:noProof/>
            <w:webHidden/>
          </w:rPr>
          <w:fldChar w:fldCharType="separate"/>
        </w:r>
        <w:r>
          <w:rPr>
            <w:noProof/>
            <w:webHidden/>
          </w:rPr>
          <w:t>37</w:t>
        </w:r>
        <w:r>
          <w:rPr>
            <w:noProof/>
            <w:webHidden/>
          </w:rPr>
          <w:fldChar w:fldCharType="end"/>
        </w:r>
      </w:hyperlink>
    </w:p>
    <w:p w14:paraId="7EB4CC22" w14:textId="3DBC8994" w:rsidR="00277F6E" w:rsidRDefault="00277F6E">
      <w:pPr>
        <w:pStyle w:val="TableofFigures"/>
        <w:tabs>
          <w:tab w:val="right" w:leader="dot" w:pos="9010"/>
        </w:tabs>
        <w:rPr>
          <w:rFonts w:eastAsiaTheme="minorEastAsia"/>
          <w:noProof/>
          <w:color w:val="auto"/>
          <w:sz w:val="22"/>
          <w:szCs w:val="22"/>
          <w:lang w:eastAsia="ja-JP"/>
        </w:rPr>
      </w:pPr>
      <w:hyperlink w:anchor="_Toc45704438" w:history="1">
        <w:r w:rsidRPr="00EA68E1">
          <w:rPr>
            <w:rStyle w:val="Hyperlink"/>
            <w:b/>
            <w:noProof/>
          </w:rPr>
          <w:t>Table 3</w:t>
        </w:r>
        <w:r w:rsidRPr="00EA68E1">
          <w:rPr>
            <w:rStyle w:val="Hyperlink"/>
            <w:b/>
            <w:noProof/>
          </w:rPr>
          <w:noBreakHyphen/>
          <w:t>13: Compliance inspection outcomes relating to school bus lights – 2018-2019</w:t>
        </w:r>
        <w:r>
          <w:rPr>
            <w:noProof/>
            <w:webHidden/>
          </w:rPr>
          <w:tab/>
        </w:r>
        <w:r>
          <w:rPr>
            <w:noProof/>
            <w:webHidden/>
          </w:rPr>
          <w:fldChar w:fldCharType="begin"/>
        </w:r>
        <w:r>
          <w:rPr>
            <w:noProof/>
            <w:webHidden/>
          </w:rPr>
          <w:instrText xml:space="preserve"> PAGEREF _Toc45704438 \h </w:instrText>
        </w:r>
        <w:r>
          <w:rPr>
            <w:noProof/>
            <w:webHidden/>
          </w:rPr>
        </w:r>
        <w:r>
          <w:rPr>
            <w:noProof/>
            <w:webHidden/>
          </w:rPr>
          <w:fldChar w:fldCharType="separate"/>
        </w:r>
        <w:r>
          <w:rPr>
            <w:noProof/>
            <w:webHidden/>
          </w:rPr>
          <w:t>38</w:t>
        </w:r>
        <w:r>
          <w:rPr>
            <w:noProof/>
            <w:webHidden/>
          </w:rPr>
          <w:fldChar w:fldCharType="end"/>
        </w:r>
      </w:hyperlink>
    </w:p>
    <w:p w14:paraId="79083586" w14:textId="3E7D1B34" w:rsidR="00277F6E" w:rsidRDefault="00277F6E">
      <w:pPr>
        <w:pStyle w:val="TableofFigures"/>
        <w:tabs>
          <w:tab w:val="right" w:leader="dot" w:pos="9010"/>
        </w:tabs>
        <w:rPr>
          <w:rFonts w:eastAsiaTheme="minorEastAsia"/>
          <w:noProof/>
          <w:color w:val="auto"/>
          <w:sz w:val="22"/>
          <w:szCs w:val="22"/>
          <w:lang w:eastAsia="ja-JP"/>
        </w:rPr>
      </w:pPr>
      <w:hyperlink w:anchor="_Toc45704439" w:history="1">
        <w:r w:rsidRPr="00EA68E1">
          <w:rPr>
            <w:rStyle w:val="Hyperlink"/>
            <w:b/>
            <w:noProof/>
          </w:rPr>
          <w:t>Table 3</w:t>
        </w:r>
        <w:r w:rsidRPr="00EA68E1">
          <w:rPr>
            <w:rStyle w:val="Hyperlink"/>
            <w:b/>
            <w:noProof/>
          </w:rPr>
          <w:noBreakHyphen/>
          <w:t>14: Number of applications for accreditation or registration granted per year – 2011-2019</w:t>
        </w:r>
        <w:r>
          <w:rPr>
            <w:noProof/>
            <w:webHidden/>
          </w:rPr>
          <w:tab/>
        </w:r>
        <w:r>
          <w:rPr>
            <w:noProof/>
            <w:webHidden/>
          </w:rPr>
          <w:fldChar w:fldCharType="begin"/>
        </w:r>
        <w:r>
          <w:rPr>
            <w:noProof/>
            <w:webHidden/>
          </w:rPr>
          <w:instrText xml:space="preserve"> PAGEREF _Toc45704439 \h </w:instrText>
        </w:r>
        <w:r>
          <w:rPr>
            <w:noProof/>
            <w:webHidden/>
          </w:rPr>
        </w:r>
        <w:r>
          <w:rPr>
            <w:noProof/>
            <w:webHidden/>
          </w:rPr>
          <w:fldChar w:fldCharType="separate"/>
        </w:r>
        <w:r>
          <w:rPr>
            <w:noProof/>
            <w:webHidden/>
          </w:rPr>
          <w:t>39</w:t>
        </w:r>
        <w:r>
          <w:rPr>
            <w:noProof/>
            <w:webHidden/>
          </w:rPr>
          <w:fldChar w:fldCharType="end"/>
        </w:r>
      </w:hyperlink>
    </w:p>
    <w:p w14:paraId="4AFA5B94" w14:textId="7CA5784A" w:rsidR="00277F6E" w:rsidRDefault="00277F6E">
      <w:pPr>
        <w:pStyle w:val="TableofFigures"/>
        <w:tabs>
          <w:tab w:val="right" w:leader="dot" w:pos="9010"/>
        </w:tabs>
        <w:rPr>
          <w:rFonts w:eastAsiaTheme="minorEastAsia"/>
          <w:noProof/>
          <w:color w:val="auto"/>
          <w:sz w:val="22"/>
          <w:szCs w:val="22"/>
          <w:lang w:eastAsia="ja-JP"/>
        </w:rPr>
      </w:pPr>
      <w:hyperlink w:anchor="_Toc45704440" w:history="1">
        <w:r w:rsidRPr="00EA68E1">
          <w:rPr>
            <w:rStyle w:val="Hyperlink"/>
            <w:b/>
            <w:noProof/>
          </w:rPr>
          <w:t>Table 3</w:t>
        </w:r>
        <w:r w:rsidRPr="00EA68E1">
          <w:rPr>
            <w:rStyle w:val="Hyperlink"/>
            <w:b/>
            <w:noProof/>
          </w:rPr>
          <w:noBreakHyphen/>
          <w:t>15: Current fees prescribed under the Bus Safety Regulations and estimated revenue in 2019-2020</w:t>
        </w:r>
        <w:r>
          <w:rPr>
            <w:noProof/>
            <w:webHidden/>
          </w:rPr>
          <w:tab/>
        </w:r>
        <w:r>
          <w:rPr>
            <w:noProof/>
            <w:webHidden/>
          </w:rPr>
          <w:fldChar w:fldCharType="begin"/>
        </w:r>
        <w:r>
          <w:rPr>
            <w:noProof/>
            <w:webHidden/>
          </w:rPr>
          <w:instrText xml:space="preserve"> PAGEREF _Toc45704440 \h </w:instrText>
        </w:r>
        <w:r>
          <w:rPr>
            <w:noProof/>
            <w:webHidden/>
          </w:rPr>
        </w:r>
        <w:r>
          <w:rPr>
            <w:noProof/>
            <w:webHidden/>
          </w:rPr>
          <w:fldChar w:fldCharType="separate"/>
        </w:r>
        <w:r>
          <w:rPr>
            <w:noProof/>
            <w:webHidden/>
          </w:rPr>
          <w:t>42</w:t>
        </w:r>
        <w:r>
          <w:rPr>
            <w:noProof/>
            <w:webHidden/>
          </w:rPr>
          <w:fldChar w:fldCharType="end"/>
        </w:r>
      </w:hyperlink>
    </w:p>
    <w:p w14:paraId="01980706" w14:textId="6FBFF4A6" w:rsidR="00277F6E" w:rsidRDefault="00277F6E">
      <w:pPr>
        <w:pStyle w:val="TableofFigures"/>
        <w:tabs>
          <w:tab w:val="right" w:leader="dot" w:pos="9010"/>
        </w:tabs>
        <w:rPr>
          <w:rFonts w:eastAsiaTheme="minorEastAsia"/>
          <w:noProof/>
          <w:color w:val="auto"/>
          <w:sz w:val="22"/>
          <w:szCs w:val="22"/>
          <w:lang w:eastAsia="ja-JP"/>
        </w:rPr>
      </w:pPr>
      <w:hyperlink w:anchor="_Toc45704441" w:history="1">
        <w:r w:rsidRPr="00EA68E1">
          <w:rPr>
            <w:rStyle w:val="Hyperlink"/>
            <w:b/>
            <w:noProof/>
          </w:rPr>
          <w:t>Table 3</w:t>
        </w:r>
        <w:r w:rsidRPr="00EA68E1">
          <w:rPr>
            <w:rStyle w:val="Hyperlink"/>
            <w:b/>
            <w:noProof/>
          </w:rPr>
          <w:noBreakHyphen/>
          <w:t>16: Aggregate costs attributed to bus regulatory activities under the Bus Safety Act and Regulations in 2018-19 – by cost category</w:t>
        </w:r>
        <w:r>
          <w:rPr>
            <w:noProof/>
            <w:webHidden/>
          </w:rPr>
          <w:tab/>
        </w:r>
        <w:r>
          <w:rPr>
            <w:noProof/>
            <w:webHidden/>
          </w:rPr>
          <w:fldChar w:fldCharType="begin"/>
        </w:r>
        <w:r>
          <w:rPr>
            <w:noProof/>
            <w:webHidden/>
          </w:rPr>
          <w:instrText xml:space="preserve"> PAGEREF _Toc45704441 \h </w:instrText>
        </w:r>
        <w:r>
          <w:rPr>
            <w:noProof/>
            <w:webHidden/>
          </w:rPr>
        </w:r>
        <w:r>
          <w:rPr>
            <w:noProof/>
            <w:webHidden/>
          </w:rPr>
          <w:fldChar w:fldCharType="separate"/>
        </w:r>
        <w:r>
          <w:rPr>
            <w:noProof/>
            <w:webHidden/>
          </w:rPr>
          <w:t>43</w:t>
        </w:r>
        <w:r>
          <w:rPr>
            <w:noProof/>
            <w:webHidden/>
          </w:rPr>
          <w:fldChar w:fldCharType="end"/>
        </w:r>
      </w:hyperlink>
    </w:p>
    <w:p w14:paraId="405224E1" w14:textId="411754AE" w:rsidR="00277F6E" w:rsidRDefault="00277F6E">
      <w:pPr>
        <w:pStyle w:val="TableofFigures"/>
        <w:tabs>
          <w:tab w:val="right" w:leader="dot" w:pos="9010"/>
        </w:tabs>
        <w:rPr>
          <w:rFonts w:eastAsiaTheme="minorEastAsia"/>
          <w:noProof/>
          <w:color w:val="auto"/>
          <w:sz w:val="22"/>
          <w:szCs w:val="22"/>
          <w:lang w:eastAsia="ja-JP"/>
        </w:rPr>
      </w:pPr>
      <w:hyperlink w:anchor="_Toc45704442" w:history="1">
        <w:r w:rsidRPr="00EA68E1">
          <w:rPr>
            <w:rStyle w:val="Hyperlink"/>
            <w:b/>
            <w:noProof/>
          </w:rPr>
          <w:t>Table 3</w:t>
        </w:r>
        <w:r w:rsidRPr="00EA68E1">
          <w:rPr>
            <w:rStyle w:val="Hyperlink"/>
            <w:b/>
            <w:noProof/>
          </w:rPr>
          <w:noBreakHyphen/>
          <w:t>17: Aggregate direct costs attributed to bus regulatory activities under the Bus Safety Act and Regulations in 2018-19 – by activity category</w:t>
        </w:r>
        <w:r>
          <w:rPr>
            <w:noProof/>
            <w:webHidden/>
          </w:rPr>
          <w:tab/>
        </w:r>
        <w:r>
          <w:rPr>
            <w:noProof/>
            <w:webHidden/>
          </w:rPr>
          <w:fldChar w:fldCharType="begin"/>
        </w:r>
        <w:r>
          <w:rPr>
            <w:noProof/>
            <w:webHidden/>
          </w:rPr>
          <w:instrText xml:space="preserve"> PAGEREF _Toc45704442 \h </w:instrText>
        </w:r>
        <w:r>
          <w:rPr>
            <w:noProof/>
            <w:webHidden/>
          </w:rPr>
        </w:r>
        <w:r>
          <w:rPr>
            <w:noProof/>
            <w:webHidden/>
          </w:rPr>
          <w:fldChar w:fldCharType="separate"/>
        </w:r>
        <w:r>
          <w:rPr>
            <w:noProof/>
            <w:webHidden/>
          </w:rPr>
          <w:t>44</w:t>
        </w:r>
        <w:r>
          <w:rPr>
            <w:noProof/>
            <w:webHidden/>
          </w:rPr>
          <w:fldChar w:fldCharType="end"/>
        </w:r>
      </w:hyperlink>
    </w:p>
    <w:p w14:paraId="2A5DB251" w14:textId="3F831E98" w:rsidR="00277F6E" w:rsidRDefault="00277F6E">
      <w:pPr>
        <w:pStyle w:val="TableofFigures"/>
        <w:tabs>
          <w:tab w:val="right" w:leader="dot" w:pos="9010"/>
        </w:tabs>
        <w:rPr>
          <w:rFonts w:eastAsiaTheme="minorEastAsia"/>
          <w:noProof/>
          <w:color w:val="auto"/>
          <w:sz w:val="22"/>
          <w:szCs w:val="22"/>
          <w:lang w:eastAsia="ja-JP"/>
        </w:rPr>
      </w:pPr>
      <w:hyperlink w:anchor="_Toc45704443" w:history="1">
        <w:r w:rsidRPr="00EA68E1">
          <w:rPr>
            <w:rStyle w:val="Hyperlink"/>
            <w:b/>
            <w:noProof/>
          </w:rPr>
          <w:t>Table 3</w:t>
        </w:r>
        <w:r w:rsidRPr="00EA68E1">
          <w:rPr>
            <w:rStyle w:val="Hyperlink"/>
            <w:b/>
            <w:noProof/>
          </w:rPr>
          <w:noBreakHyphen/>
          <w:t>18: Summary of input costs for assessing bus operator accreditation applications</w:t>
        </w:r>
        <w:r>
          <w:rPr>
            <w:noProof/>
            <w:webHidden/>
          </w:rPr>
          <w:tab/>
        </w:r>
        <w:r>
          <w:rPr>
            <w:noProof/>
            <w:webHidden/>
          </w:rPr>
          <w:fldChar w:fldCharType="begin"/>
        </w:r>
        <w:r>
          <w:rPr>
            <w:noProof/>
            <w:webHidden/>
          </w:rPr>
          <w:instrText xml:space="preserve"> PAGEREF _Toc45704443 \h </w:instrText>
        </w:r>
        <w:r>
          <w:rPr>
            <w:noProof/>
            <w:webHidden/>
          </w:rPr>
        </w:r>
        <w:r>
          <w:rPr>
            <w:noProof/>
            <w:webHidden/>
          </w:rPr>
          <w:fldChar w:fldCharType="separate"/>
        </w:r>
        <w:r>
          <w:rPr>
            <w:noProof/>
            <w:webHidden/>
          </w:rPr>
          <w:t>44</w:t>
        </w:r>
        <w:r>
          <w:rPr>
            <w:noProof/>
            <w:webHidden/>
          </w:rPr>
          <w:fldChar w:fldCharType="end"/>
        </w:r>
      </w:hyperlink>
    </w:p>
    <w:p w14:paraId="678EA5EA" w14:textId="2D650124" w:rsidR="00277F6E" w:rsidRDefault="00277F6E">
      <w:pPr>
        <w:pStyle w:val="TableofFigures"/>
        <w:tabs>
          <w:tab w:val="right" w:leader="dot" w:pos="9010"/>
        </w:tabs>
        <w:rPr>
          <w:rFonts w:eastAsiaTheme="minorEastAsia"/>
          <w:noProof/>
          <w:color w:val="auto"/>
          <w:sz w:val="22"/>
          <w:szCs w:val="22"/>
          <w:lang w:eastAsia="ja-JP"/>
        </w:rPr>
      </w:pPr>
      <w:hyperlink w:anchor="_Toc45704444" w:history="1">
        <w:r w:rsidRPr="00EA68E1">
          <w:rPr>
            <w:rStyle w:val="Hyperlink"/>
            <w:b/>
            <w:noProof/>
          </w:rPr>
          <w:t>Table 3</w:t>
        </w:r>
        <w:r w:rsidRPr="00EA68E1">
          <w:rPr>
            <w:rStyle w:val="Hyperlink"/>
            <w:b/>
            <w:noProof/>
          </w:rPr>
          <w:noBreakHyphen/>
          <w:t>19: Estimate aggregate costs of processing bus operator accreditation applications</w:t>
        </w:r>
        <w:r>
          <w:rPr>
            <w:noProof/>
            <w:webHidden/>
          </w:rPr>
          <w:tab/>
        </w:r>
        <w:r>
          <w:rPr>
            <w:noProof/>
            <w:webHidden/>
          </w:rPr>
          <w:fldChar w:fldCharType="begin"/>
        </w:r>
        <w:r>
          <w:rPr>
            <w:noProof/>
            <w:webHidden/>
          </w:rPr>
          <w:instrText xml:space="preserve"> PAGEREF _Toc45704444 \h </w:instrText>
        </w:r>
        <w:r>
          <w:rPr>
            <w:noProof/>
            <w:webHidden/>
          </w:rPr>
        </w:r>
        <w:r>
          <w:rPr>
            <w:noProof/>
            <w:webHidden/>
          </w:rPr>
          <w:fldChar w:fldCharType="separate"/>
        </w:r>
        <w:r>
          <w:rPr>
            <w:noProof/>
            <w:webHidden/>
          </w:rPr>
          <w:t>44</w:t>
        </w:r>
        <w:r>
          <w:rPr>
            <w:noProof/>
            <w:webHidden/>
          </w:rPr>
          <w:fldChar w:fldCharType="end"/>
        </w:r>
      </w:hyperlink>
    </w:p>
    <w:p w14:paraId="667FEFB3" w14:textId="66A213D9" w:rsidR="00277F6E" w:rsidRDefault="00277F6E">
      <w:pPr>
        <w:pStyle w:val="TableofFigures"/>
        <w:tabs>
          <w:tab w:val="right" w:leader="dot" w:pos="9010"/>
        </w:tabs>
        <w:rPr>
          <w:rFonts w:eastAsiaTheme="minorEastAsia"/>
          <w:noProof/>
          <w:color w:val="auto"/>
          <w:sz w:val="22"/>
          <w:szCs w:val="22"/>
          <w:lang w:eastAsia="ja-JP"/>
        </w:rPr>
      </w:pPr>
      <w:hyperlink w:anchor="_Toc45704445" w:history="1">
        <w:r w:rsidRPr="00EA68E1">
          <w:rPr>
            <w:rStyle w:val="Hyperlink"/>
            <w:b/>
            <w:bCs/>
            <w:noProof/>
          </w:rPr>
          <w:t>Table 6</w:t>
        </w:r>
        <w:r w:rsidRPr="00EA68E1">
          <w:rPr>
            <w:rStyle w:val="Hyperlink"/>
            <w:b/>
            <w:bCs/>
            <w:noProof/>
          </w:rPr>
          <w:noBreakHyphen/>
          <w:t>1: Summary of fee options for further assessment</w:t>
        </w:r>
        <w:r>
          <w:rPr>
            <w:noProof/>
            <w:webHidden/>
          </w:rPr>
          <w:tab/>
        </w:r>
        <w:r>
          <w:rPr>
            <w:noProof/>
            <w:webHidden/>
          </w:rPr>
          <w:fldChar w:fldCharType="begin"/>
        </w:r>
        <w:r>
          <w:rPr>
            <w:noProof/>
            <w:webHidden/>
          </w:rPr>
          <w:instrText xml:space="preserve"> PAGEREF _Toc45704445 \h </w:instrText>
        </w:r>
        <w:r>
          <w:rPr>
            <w:noProof/>
            <w:webHidden/>
          </w:rPr>
        </w:r>
        <w:r>
          <w:rPr>
            <w:noProof/>
            <w:webHidden/>
          </w:rPr>
          <w:fldChar w:fldCharType="separate"/>
        </w:r>
        <w:r>
          <w:rPr>
            <w:noProof/>
            <w:webHidden/>
          </w:rPr>
          <w:t>75</w:t>
        </w:r>
        <w:r>
          <w:rPr>
            <w:noProof/>
            <w:webHidden/>
          </w:rPr>
          <w:fldChar w:fldCharType="end"/>
        </w:r>
      </w:hyperlink>
    </w:p>
    <w:p w14:paraId="551BA33B" w14:textId="3BB08674" w:rsidR="00277F6E" w:rsidRDefault="00277F6E">
      <w:pPr>
        <w:pStyle w:val="TableofFigures"/>
        <w:tabs>
          <w:tab w:val="right" w:leader="dot" w:pos="9010"/>
        </w:tabs>
        <w:rPr>
          <w:rFonts w:eastAsiaTheme="minorEastAsia"/>
          <w:noProof/>
          <w:color w:val="auto"/>
          <w:sz w:val="22"/>
          <w:szCs w:val="22"/>
          <w:lang w:eastAsia="ja-JP"/>
        </w:rPr>
      </w:pPr>
      <w:hyperlink w:anchor="_Toc45704446" w:history="1">
        <w:r w:rsidRPr="00EA68E1">
          <w:rPr>
            <w:rStyle w:val="Hyperlink"/>
            <w:b/>
            <w:bCs/>
            <w:noProof/>
          </w:rPr>
          <w:t>Table 7</w:t>
        </w:r>
        <w:r w:rsidRPr="00EA68E1">
          <w:rPr>
            <w:rStyle w:val="Hyperlink"/>
            <w:b/>
            <w:bCs/>
            <w:noProof/>
          </w:rPr>
          <w:noBreakHyphen/>
          <w:t>1: MMS cost parameters for accredited operators</w:t>
        </w:r>
        <w:r>
          <w:rPr>
            <w:noProof/>
            <w:webHidden/>
          </w:rPr>
          <w:tab/>
        </w:r>
        <w:r>
          <w:rPr>
            <w:noProof/>
            <w:webHidden/>
          </w:rPr>
          <w:fldChar w:fldCharType="begin"/>
        </w:r>
        <w:r>
          <w:rPr>
            <w:noProof/>
            <w:webHidden/>
          </w:rPr>
          <w:instrText xml:space="preserve"> PAGEREF _Toc45704446 \h </w:instrText>
        </w:r>
        <w:r>
          <w:rPr>
            <w:noProof/>
            <w:webHidden/>
          </w:rPr>
        </w:r>
        <w:r>
          <w:rPr>
            <w:noProof/>
            <w:webHidden/>
          </w:rPr>
          <w:fldChar w:fldCharType="separate"/>
        </w:r>
        <w:r>
          <w:rPr>
            <w:noProof/>
            <w:webHidden/>
          </w:rPr>
          <w:t>80</w:t>
        </w:r>
        <w:r>
          <w:rPr>
            <w:noProof/>
            <w:webHidden/>
          </w:rPr>
          <w:fldChar w:fldCharType="end"/>
        </w:r>
      </w:hyperlink>
    </w:p>
    <w:p w14:paraId="2051FC48" w14:textId="06CD7A7F" w:rsidR="00277F6E" w:rsidRDefault="00277F6E">
      <w:pPr>
        <w:pStyle w:val="TableofFigures"/>
        <w:tabs>
          <w:tab w:val="right" w:leader="dot" w:pos="9010"/>
        </w:tabs>
        <w:rPr>
          <w:rFonts w:eastAsiaTheme="minorEastAsia"/>
          <w:noProof/>
          <w:color w:val="auto"/>
          <w:sz w:val="22"/>
          <w:szCs w:val="22"/>
          <w:lang w:eastAsia="ja-JP"/>
        </w:rPr>
      </w:pPr>
      <w:hyperlink w:anchor="_Toc45704447" w:history="1">
        <w:r w:rsidRPr="00EA68E1">
          <w:rPr>
            <w:rStyle w:val="Hyperlink"/>
            <w:b/>
            <w:noProof/>
          </w:rPr>
          <w:t>Table 7</w:t>
        </w:r>
        <w:r w:rsidRPr="00EA68E1">
          <w:rPr>
            <w:rStyle w:val="Hyperlink"/>
            <w:b/>
            <w:noProof/>
          </w:rPr>
          <w:noBreakHyphen/>
          <w:t>2: NPV and EAC for accredited operators to develop and maintain MMS</w:t>
        </w:r>
        <w:r>
          <w:rPr>
            <w:noProof/>
            <w:webHidden/>
          </w:rPr>
          <w:tab/>
        </w:r>
        <w:r>
          <w:rPr>
            <w:noProof/>
            <w:webHidden/>
          </w:rPr>
          <w:fldChar w:fldCharType="begin"/>
        </w:r>
        <w:r>
          <w:rPr>
            <w:noProof/>
            <w:webHidden/>
          </w:rPr>
          <w:instrText xml:space="preserve"> PAGEREF _Toc45704447 \h </w:instrText>
        </w:r>
        <w:r>
          <w:rPr>
            <w:noProof/>
            <w:webHidden/>
          </w:rPr>
        </w:r>
        <w:r>
          <w:rPr>
            <w:noProof/>
            <w:webHidden/>
          </w:rPr>
          <w:fldChar w:fldCharType="separate"/>
        </w:r>
        <w:r>
          <w:rPr>
            <w:noProof/>
            <w:webHidden/>
          </w:rPr>
          <w:t>80</w:t>
        </w:r>
        <w:r>
          <w:rPr>
            <w:noProof/>
            <w:webHidden/>
          </w:rPr>
          <w:fldChar w:fldCharType="end"/>
        </w:r>
      </w:hyperlink>
    </w:p>
    <w:p w14:paraId="04481493" w14:textId="22FCF915" w:rsidR="00277F6E" w:rsidRDefault="00277F6E">
      <w:pPr>
        <w:pStyle w:val="TableofFigures"/>
        <w:tabs>
          <w:tab w:val="right" w:leader="dot" w:pos="9010"/>
        </w:tabs>
        <w:rPr>
          <w:rFonts w:eastAsiaTheme="minorEastAsia"/>
          <w:noProof/>
          <w:color w:val="auto"/>
          <w:sz w:val="22"/>
          <w:szCs w:val="22"/>
          <w:lang w:eastAsia="ja-JP"/>
        </w:rPr>
      </w:pPr>
      <w:hyperlink w:anchor="_Toc45704448" w:history="1">
        <w:r w:rsidRPr="00EA68E1">
          <w:rPr>
            <w:rStyle w:val="Hyperlink"/>
            <w:b/>
            <w:noProof/>
          </w:rPr>
          <w:t>Table 7</w:t>
        </w:r>
        <w:r w:rsidRPr="00EA68E1">
          <w:rPr>
            <w:rStyle w:val="Hyperlink"/>
            <w:b/>
            <w:noProof/>
          </w:rPr>
          <w:noBreakHyphen/>
          <w:t xml:space="preserve">3: MMS pre-trip </w:t>
        </w:r>
        <w:r w:rsidRPr="00EA68E1">
          <w:rPr>
            <w:rStyle w:val="Hyperlink"/>
            <w:b/>
            <w:bCs/>
            <w:noProof/>
          </w:rPr>
          <w:t>inspection</w:t>
        </w:r>
        <w:r w:rsidRPr="00EA68E1">
          <w:rPr>
            <w:rStyle w:val="Hyperlink"/>
            <w:b/>
            <w:noProof/>
          </w:rPr>
          <w:t xml:space="preserve"> cost parameters for buses operated by accredited operators</w:t>
        </w:r>
        <w:r>
          <w:rPr>
            <w:noProof/>
            <w:webHidden/>
          </w:rPr>
          <w:tab/>
        </w:r>
        <w:r>
          <w:rPr>
            <w:noProof/>
            <w:webHidden/>
          </w:rPr>
          <w:fldChar w:fldCharType="begin"/>
        </w:r>
        <w:r>
          <w:rPr>
            <w:noProof/>
            <w:webHidden/>
          </w:rPr>
          <w:instrText xml:space="preserve"> PAGEREF _Toc45704448 \h </w:instrText>
        </w:r>
        <w:r>
          <w:rPr>
            <w:noProof/>
            <w:webHidden/>
          </w:rPr>
        </w:r>
        <w:r>
          <w:rPr>
            <w:noProof/>
            <w:webHidden/>
          </w:rPr>
          <w:fldChar w:fldCharType="separate"/>
        </w:r>
        <w:r>
          <w:rPr>
            <w:noProof/>
            <w:webHidden/>
          </w:rPr>
          <w:t>81</w:t>
        </w:r>
        <w:r>
          <w:rPr>
            <w:noProof/>
            <w:webHidden/>
          </w:rPr>
          <w:fldChar w:fldCharType="end"/>
        </w:r>
      </w:hyperlink>
    </w:p>
    <w:p w14:paraId="5C4A0AA4" w14:textId="22FB2D0F" w:rsidR="00277F6E" w:rsidRDefault="00277F6E">
      <w:pPr>
        <w:pStyle w:val="TableofFigures"/>
        <w:tabs>
          <w:tab w:val="right" w:leader="dot" w:pos="9010"/>
        </w:tabs>
        <w:rPr>
          <w:rFonts w:eastAsiaTheme="minorEastAsia"/>
          <w:noProof/>
          <w:color w:val="auto"/>
          <w:sz w:val="22"/>
          <w:szCs w:val="22"/>
          <w:lang w:eastAsia="ja-JP"/>
        </w:rPr>
      </w:pPr>
      <w:hyperlink w:anchor="_Toc45704449" w:history="1">
        <w:r w:rsidRPr="00EA68E1">
          <w:rPr>
            <w:rStyle w:val="Hyperlink"/>
            <w:b/>
            <w:noProof/>
          </w:rPr>
          <w:t>Table 7</w:t>
        </w:r>
        <w:r w:rsidRPr="00EA68E1">
          <w:rPr>
            <w:rStyle w:val="Hyperlink"/>
            <w:b/>
            <w:noProof/>
          </w:rPr>
          <w:noBreakHyphen/>
          <w:t xml:space="preserve">4: </w:t>
        </w:r>
        <w:r w:rsidRPr="00EA68E1">
          <w:rPr>
            <w:rStyle w:val="Hyperlink"/>
            <w:b/>
            <w:bCs/>
            <w:noProof/>
          </w:rPr>
          <w:t>NPV</w:t>
        </w:r>
        <w:r w:rsidRPr="00EA68E1">
          <w:rPr>
            <w:rStyle w:val="Hyperlink"/>
            <w:b/>
            <w:noProof/>
          </w:rPr>
          <w:t xml:space="preserve"> and EAC for MMS pre-trip inspections</w:t>
        </w:r>
        <w:r>
          <w:rPr>
            <w:noProof/>
            <w:webHidden/>
          </w:rPr>
          <w:tab/>
        </w:r>
        <w:r>
          <w:rPr>
            <w:noProof/>
            <w:webHidden/>
          </w:rPr>
          <w:fldChar w:fldCharType="begin"/>
        </w:r>
        <w:r>
          <w:rPr>
            <w:noProof/>
            <w:webHidden/>
          </w:rPr>
          <w:instrText xml:space="preserve"> PAGEREF _Toc45704449 \h </w:instrText>
        </w:r>
        <w:r>
          <w:rPr>
            <w:noProof/>
            <w:webHidden/>
          </w:rPr>
        </w:r>
        <w:r>
          <w:rPr>
            <w:noProof/>
            <w:webHidden/>
          </w:rPr>
          <w:fldChar w:fldCharType="separate"/>
        </w:r>
        <w:r>
          <w:rPr>
            <w:noProof/>
            <w:webHidden/>
          </w:rPr>
          <w:t>82</w:t>
        </w:r>
        <w:r>
          <w:rPr>
            <w:noProof/>
            <w:webHidden/>
          </w:rPr>
          <w:fldChar w:fldCharType="end"/>
        </w:r>
      </w:hyperlink>
    </w:p>
    <w:p w14:paraId="1F871B1C" w14:textId="5222C812" w:rsidR="00277F6E" w:rsidRDefault="00277F6E">
      <w:pPr>
        <w:pStyle w:val="TableofFigures"/>
        <w:tabs>
          <w:tab w:val="right" w:leader="dot" w:pos="9010"/>
        </w:tabs>
        <w:rPr>
          <w:rFonts w:eastAsiaTheme="minorEastAsia"/>
          <w:noProof/>
          <w:color w:val="auto"/>
          <w:sz w:val="22"/>
          <w:szCs w:val="22"/>
          <w:lang w:eastAsia="ja-JP"/>
        </w:rPr>
      </w:pPr>
      <w:hyperlink w:anchor="_Toc45704450" w:history="1">
        <w:r w:rsidRPr="00EA68E1">
          <w:rPr>
            <w:rStyle w:val="Hyperlink"/>
            <w:b/>
            <w:bCs/>
            <w:noProof/>
          </w:rPr>
          <w:t>Table 7</w:t>
        </w:r>
        <w:r w:rsidRPr="00EA68E1">
          <w:rPr>
            <w:rStyle w:val="Hyperlink"/>
            <w:b/>
            <w:bCs/>
            <w:noProof/>
          </w:rPr>
          <w:noBreakHyphen/>
          <w:t>5: MMS vehicle inspection cost parameters for buses operated by accredited operators</w:t>
        </w:r>
        <w:r>
          <w:rPr>
            <w:noProof/>
            <w:webHidden/>
          </w:rPr>
          <w:tab/>
        </w:r>
        <w:r>
          <w:rPr>
            <w:noProof/>
            <w:webHidden/>
          </w:rPr>
          <w:fldChar w:fldCharType="begin"/>
        </w:r>
        <w:r>
          <w:rPr>
            <w:noProof/>
            <w:webHidden/>
          </w:rPr>
          <w:instrText xml:space="preserve"> PAGEREF _Toc45704450 \h </w:instrText>
        </w:r>
        <w:r>
          <w:rPr>
            <w:noProof/>
            <w:webHidden/>
          </w:rPr>
        </w:r>
        <w:r>
          <w:rPr>
            <w:noProof/>
            <w:webHidden/>
          </w:rPr>
          <w:fldChar w:fldCharType="separate"/>
        </w:r>
        <w:r>
          <w:rPr>
            <w:noProof/>
            <w:webHidden/>
          </w:rPr>
          <w:t>82</w:t>
        </w:r>
        <w:r>
          <w:rPr>
            <w:noProof/>
            <w:webHidden/>
          </w:rPr>
          <w:fldChar w:fldCharType="end"/>
        </w:r>
      </w:hyperlink>
    </w:p>
    <w:p w14:paraId="1D27B95F" w14:textId="768C46BD" w:rsidR="00277F6E" w:rsidRDefault="00277F6E">
      <w:pPr>
        <w:pStyle w:val="TableofFigures"/>
        <w:tabs>
          <w:tab w:val="right" w:leader="dot" w:pos="9010"/>
        </w:tabs>
        <w:rPr>
          <w:rFonts w:eastAsiaTheme="minorEastAsia"/>
          <w:noProof/>
          <w:color w:val="auto"/>
          <w:sz w:val="22"/>
          <w:szCs w:val="22"/>
          <w:lang w:eastAsia="ja-JP"/>
        </w:rPr>
      </w:pPr>
      <w:hyperlink w:anchor="_Toc45704451" w:history="1">
        <w:r w:rsidRPr="00EA68E1">
          <w:rPr>
            <w:rStyle w:val="Hyperlink"/>
            <w:b/>
            <w:bCs/>
            <w:noProof/>
          </w:rPr>
          <w:t>Table 7</w:t>
        </w:r>
        <w:r w:rsidRPr="00EA68E1">
          <w:rPr>
            <w:rStyle w:val="Hyperlink"/>
            <w:b/>
            <w:bCs/>
            <w:noProof/>
          </w:rPr>
          <w:noBreakHyphen/>
          <w:t>6: NPV and EAC for vehicle safety inspections</w:t>
        </w:r>
        <w:r>
          <w:rPr>
            <w:noProof/>
            <w:webHidden/>
          </w:rPr>
          <w:tab/>
        </w:r>
        <w:r>
          <w:rPr>
            <w:noProof/>
            <w:webHidden/>
          </w:rPr>
          <w:fldChar w:fldCharType="begin"/>
        </w:r>
        <w:r>
          <w:rPr>
            <w:noProof/>
            <w:webHidden/>
          </w:rPr>
          <w:instrText xml:space="preserve"> PAGEREF _Toc45704451 \h </w:instrText>
        </w:r>
        <w:r>
          <w:rPr>
            <w:noProof/>
            <w:webHidden/>
          </w:rPr>
        </w:r>
        <w:r>
          <w:rPr>
            <w:noProof/>
            <w:webHidden/>
          </w:rPr>
          <w:fldChar w:fldCharType="separate"/>
        </w:r>
        <w:r>
          <w:rPr>
            <w:noProof/>
            <w:webHidden/>
          </w:rPr>
          <w:t>82</w:t>
        </w:r>
        <w:r>
          <w:rPr>
            <w:noProof/>
            <w:webHidden/>
          </w:rPr>
          <w:fldChar w:fldCharType="end"/>
        </w:r>
      </w:hyperlink>
    </w:p>
    <w:p w14:paraId="17FF2DD5" w14:textId="41F4BA40" w:rsidR="00277F6E" w:rsidRDefault="00277F6E">
      <w:pPr>
        <w:pStyle w:val="TableofFigures"/>
        <w:tabs>
          <w:tab w:val="right" w:leader="dot" w:pos="9010"/>
        </w:tabs>
        <w:rPr>
          <w:rFonts w:eastAsiaTheme="minorEastAsia"/>
          <w:noProof/>
          <w:color w:val="auto"/>
          <w:sz w:val="22"/>
          <w:szCs w:val="22"/>
          <w:lang w:eastAsia="ja-JP"/>
        </w:rPr>
      </w:pPr>
      <w:hyperlink w:anchor="_Toc45704452" w:history="1">
        <w:r w:rsidRPr="00EA68E1">
          <w:rPr>
            <w:rStyle w:val="Hyperlink"/>
            <w:b/>
            <w:noProof/>
          </w:rPr>
          <w:t>Table 7</w:t>
        </w:r>
        <w:r w:rsidRPr="00EA68E1">
          <w:rPr>
            <w:rStyle w:val="Hyperlink"/>
            <w:b/>
            <w:noProof/>
          </w:rPr>
          <w:noBreakHyphen/>
          <w:t xml:space="preserve">7: </w:t>
        </w:r>
        <w:r w:rsidRPr="00EA68E1">
          <w:rPr>
            <w:rStyle w:val="Hyperlink"/>
            <w:b/>
            <w:bCs/>
            <w:noProof/>
          </w:rPr>
          <w:t>Inspection</w:t>
        </w:r>
        <w:r w:rsidRPr="00EA68E1">
          <w:rPr>
            <w:rStyle w:val="Hyperlink"/>
            <w:b/>
            <w:noProof/>
          </w:rPr>
          <w:t xml:space="preserve"> cost parameters for buses operated by registered operators</w:t>
        </w:r>
        <w:r>
          <w:rPr>
            <w:noProof/>
            <w:webHidden/>
          </w:rPr>
          <w:tab/>
        </w:r>
        <w:r>
          <w:rPr>
            <w:noProof/>
            <w:webHidden/>
          </w:rPr>
          <w:fldChar w:fldCharType="begin"/>
        </w:r>
        <w:r>
          <w:rPr>
            <w:noProof/>
            <w:webHidden/>
          </w:rPr>
          <w:instrText xml:space="preserve"> PAGEREF _Toc45704452 \h </w:instrText>
        </w:r>
        <w:r>
          <w:rPr>
            <w:noProof/>
            <w:webHidden/>
          </w:rPr>
        </w:r>
        <w:r>
          <w:rPr>
            <w:noProof/>
            <w:webHidden/>
          </w:rPr>
          <w:fldChar w:fldCharType="separate"/>
        </w:r>
        <w:r>
          <w:rPr>
            <w:noProof/>
            <w:webHidden/>
          </w:rPr>
          <w:t>84</w:t>
        </w:r>
        <w:r>
          <w:rPr>
            <w:noProof/>
            <w:webHidden/>
          </w:rPr>
          <w:fldChar w:fldCharType="end"/>
        </w:r>
      </w:hyperlink>
    </w:p>
    <w:p w14:paraId="338E0053" w14:textId="535E6921" w:rsidR="00277F6E" w:rsidRDefault="00277F6E">
      <w:pPr>
        <w:pStyle w:val="TableofFigures"/>
        <w:tabs>
          <w:tab w:val="right" w:leader="dot" w:pos="9010"/>
        </w:tabs>
        <w:rPr>
          <w:rFonts w:eastAsiaTheme="minorEastAsia"/>
          <w:noProof/>
          <w:color w:val="auto"/>
          <w:sz w:val="22"/>
          <w:szCs w:val="22"/>
          <w:lang w:eastAsia="ja-JP"/>
        </w:rPr>
      </w:pPr>
      <w:hyperlink w:anchor="_Toc45704453" w:history="1">
        <w:r w:rsidRPr="00EA68E1">
          <w:rPr>
            <w:rStyle w:val="Hyperlink"/>
            <w:b/>
            <w:noProof/>
          </w:rPr>
          <w:t>Table 7</w:t>
        </w:r>
        <w:r w:rsidRPr="00EA68E1">
          <w:rPr>
            <w:rStyle w:val="Hyperlink"/>
            <w:b/>
            <w:noProof/>
          </w:rPr>
          <w:noBreakHyphen/>
          <w:t xml:space="preserve">8: NPV and </w:t>
        </w:r>
        <w:r w:rsidRPr="00EA68E1">
          <w:rPr>
            <w:rStyle w:val="Hyperlink"/>
            <w:b/>
            <w:bCs/>
            <w:noProof/>
          </w:rPr>
          <w:t>EAC</w:t>
        </w:r>
        <w:r w:rsidRPr="00EA68E1">
          <w:rPr>
            <w:rStyle w:val="Hyperlink"/>
            <w:b/>
            <w:noProof/>
          </w:rPr>
          <w:t xml:space="preserve"> for annual inspections for buses operated by registered buses operators</w:t>
        </w:r>
        <w:r>
          <w:rPr>
            <w:noProof/>
            <w:webHidden/>
          </w:rPr>
          <w:tab/>
        </w:r>
        <w:r>
          <w:rPr>
            <w:noProof/>
            <w:webHidden/>
          </w:rPr>
          <w:fldChar w:fldCharType="begin"/>
        </w:r>
        <w:r>
          <w:rPr>
            <w:noProof/>
            <w:webHidden/>
          </w:rPr>
          <w:instrText xml:space="preserve"> PAGEREF _Toc45704453 \h </w:instrText>
        </w:r>
        <w:r>
          <w:rPr>
            <w:noProof/>
            <w:webHidden/>
          </w:rPr>
        </w:r>
        <w:r>
          <w:rPr>
            <w:noProof/>
            <w:webHidden/>
          </w:rPr>
          <w:fldChar w:fldCharType="separate"/>
        </w:r>
        <w:r>
          <w:rPr>
            <w:noProof/>
            <w:webHidden/>
          </w:rPr>
          <w:t>84</w:t>
        </w:r>
        <w:r>
          <w:rPr>
            <w:noProof/>
            <w:webHidden/>
          </w:rPr>
          <w:fldChar w:fldCharType="end"/>
        </w:r>
      </w:hyperlink>
    </w:p>
    <w:p w14:paraId="69AF2F9D" w14:textId="6E847EB3" w:rsidR="00277F6E" w:rsidRDefault="00277F6E">
      <w:pPr>
        <w:pStyle w:val="TableofFigures"/>
        <w:tabs>
          <w:tab w:val="right" w:leader="dot" w:pos="9010"/>
        </w:tabs>
        <w:rPr>
          <w:rFonts w:eastAsiaTheme="minorEastAsia"/>
          <w:noProof/>
          <w:color w:val="auto"/>
          <w:sz w:val="22"/>
          <w:szCs w:val="22"/>
          <w:lang w:eastAsia="ja-JP"/>
        </w:rPr>
      </w:pPr>
      <w:hyperlink w:anchor="_Toc45704454" w:history="1">
        <w:r w:rsidRPr="00EA68E1">
          <w:rPr>
            <w:rStyle w:val="Hyperlink"/>
            <w:b/>
            <w:bCs/>
            <w:noProof/>
          </w:rPr>
          <w:t>Table 7</w:t>
        </w:r>
        <w:r w:rsidRPr="00EA68E1">
          <w:rPr>
            <w:rStyle w:val="Hyperlink"/>
            <w:b/>
            <w:bCs/>
            <w:noProof/>
          </w:rPr>
          <w:noBreakHyphen/>
          <w:t>9: Estimated costs by injury type using the willingness to pay approach, June 2013</w:t>
        </w:r>
        <w:r>
          <w:rPr>
            <w:noProof/>
            <w:webHidden/>
          </w:rPr>
          <w:tab/>
        </w:r>
        <w:r>
          <w:rPr>
            <w:noProof/>
            <w:webHidden/>
          </w:rPr>
          <w:fldChar w:fldCharType="begin"/>
        </w:r>
        <w:r>
          <w:rPr>
            <w:noProof/>
            <w:webHidden/>
          </w:rPr>
          <w:instrText xml:space="preserve"> PAGEREF _Toc45704454 \h </w:instrText>
        </w:r>
        <w:r>
          <w:rPr>
            <w:noProof/>
            <w:webHidden/>
          </w:rPr>
        </w:r>
        <w:r>
          <w:rPr>
            <w:noProof/>
            <w:webHidden/>
          </w:rPr>
          <w:fldChar w:fldCharType="separate"/>
        </w:r>
        <w:r>
          <w:rPr>
            <w:noProof/>
            <w:webHidden/>
          </w:rPr>
          <w:t>85</w:t>
        </w:r>
        <w:r>
          <w:rPr>
            <w:noProof/>
            <w:webHidden/>
          </w:rPr>
          <w:fldChar w:fldCharType="end"/>
        </w:r>
      </w:hyperlink>
    </w:p>
    <w:p w14:paraId="00C29479" w14:textId="1A6A918B" w:rsidR="00277F6E" w:rsidRDefault="00277F6E">
      <w:pPr>
        <w:pStyle w:val="TableofFigures"/>
        <w:tabs>
          <w:tab w:val="right" w:leader="dot" w:pos="9010"/>
        </w:tabs>
        <w:rPr>
          <w:rFonts w:eastAsiaTheme="minorEastAsia"/>
          <w:noProof/>
          <w:color w:val="auto"/>
          <w:sz w:val="22"/>
          <w:szCs w:val="22"/>
          <w:lang w:eastAsia="ja-JP"/>
        </w:rPr>
      </w:pPr>
      <w:hyperlink w:anchor="_Toc45704455" w:history="1">
        <w:r w:rsidRPr="00EA68E1">
          <w:rPr>
            <w:rStyle w:val="Hyperlink"/>
            <w:b/>
            <w:bCs/>
            <w:noProof/>
          </w:rPr>
          <w:t>Table 7</w:t>
        </w:r>
        <w:r w:rsidRPr="00EA68E1">
          <w:rPr>
            <w:rStyle w:val="Hyperlink"/>
            <w:b/>
            <w:bCs/>
            <w:noProof/>
          </w:rPr>
          <w:noBreakHyphen/>
          <w:t>10: Summary of results of break-even analysis for MMS and annual inspections</w:t>
        </w:r>
        <w:r>
          <w:rPr>
            <w:noProof/>
            <w:webHidden/>
          </w:rPr>
          <w:tab/>
        </w:r>
        <w:r>
          <w:rPr>
            <w:noProof/>
            <w:webHidden/>
          </w:rPr>
          <w:fldChar w:fldCharType="begin"/>
        </w:r>
        <w:r>
          <w:rPr>
            <w:noProof/>
            <w:webHidden/>
          </w:rPr>
          <w:instrText xml:space="preserve"> PAGEREF _Toc45704455 \h </w:instrText>
        </w:r>
        <w:r>
          <w:rPr>
            <w:noProof/>
            <w:webHidden/>
          </w:rPr>
        </w:r>
        <w:r>
          <w:rPr>
            <w:noProof/>
            <w:webHidden/>
          </w:rPr>
          <w:fldChar w:fldCharType="separate"/>
        </w:r>
        <w:r>
          <w:rPr>
            <w:noProof/>
            <w:webHidden/>
          </w:rPr>
          <w:t>86</w:t>
        </w:r>
        <w:r>
          <w:rPr>
            <w:noProof/>
            <w:webHidden/>
          </w:rPr>
          <w:fldChar w:fldCharType="end"/>
        </w:r>
      </w:hyperlink>
    </w:p>
    <w:p w14:paraId="43C691CA" w14:textId="26ABBE77" w:rsidR="00277F6E" w:rsidRDefault="00277F6E">
      <w:pPr>
        <w:pStyle w:val="TableofFigures"/>
        <w:tabs>
          <w:tab w:val="right" w:leader="dot" w:pos="9010"/>
        </w:tabs>
        <w:rPr>
          <w:rFonts w:eastAsiaTheme="minorEastAsia"/>
          <w:noProof/>
          <w:color w:val="auto"/>
          <w:sz w:val="22"/>
          <w:szCs w:val="22"/>
          <w:lang w:eastAsia="ja-JP"/>
        </w:rPr>
      </w:pPr>
      <w:hyperlink w:anchor="_Toc45704456" w:history="1">
        <w:r w:rsidRPr="00EA68E1">
          <w:rPr>
            <w:rStyle w:val="Hyperlink"/>
            <w:b/>
            <w:noProof/>
          </w:rPr>
          <w:t>Table 7</w:t>
        </w:r>
        <w:r w:rsidRPr="00EA68E1">
          <w:rPr>
            <w:rStyle w:val="Hyperlink"/>
            <w:b/>
            <w:noProof/>
          </w:rPr>
          <w:noBreakHyphen/>
          <w:t xml:space="preserve">11: </w:t>
        </w:r>
        <w:r w:rsidRPr="00EA68E1">
          <w:rPr>
            <w:rStyle w:val="Hyperlink"/>
            <w:b/>
            <w:bCs/>
            <w:noProof/>
          </w:rPr>
          <w:t>Vehicle</w:t>
        </w:r>
        <w:r w:rsidRPr="00EA68E1">
          <w:rPr>
            <w:rStyle w:val="Hyperlink"/>
            <w:b/>
            <w:noProof/>
          </w:rPr>
          <w:t xml:space="preserve"> fault incidents resulting in a fatality or serious injury</w:t>
        </w:r>
        <w:r w:rsidRPr="00EA68E1">
          <w:rPr>
            <w:rStyle w:val="Hyperlink"/>
            <w:b/>
            <w:bCs/>
            <w:noProof/>
          </w:rPr>
          <w:t xml:space="preserve"> – 2011-2019</w:t>
        </w:r>
        <w:r>
          <w:rPr>
            <w:noProof/>
            <w:webHidden/>
          </w:rPr>
          <w:tab/>
        </w:r>
        <w:r>
          <w:rPr>
            <w:noProof/>
            <w:webHidden/>
          </w:rPr>
          <w:fldChar w:fldCharType="begin"/>
        </w:r>
        <w:r>
          <w:rPr>
            <w:noProof/>
            <w:webHidden/>
          </w:rPr>
          <w:instrText xml:space="preserve"> PAGEREF _Toc45704456 \h </w:instrText>
        </w:r>
        <w:r>
          <w:rPr>
            <w:noProof/>
            <w:webHidden/>
          </w:rPr>
        </w:r>
        <w:r>
          <w:rPr>
            <w:noProof/>
            <w:webHidden/>
          </w:rPr>
          <w:fldChar w:fldCharType="separate"/>
        </w:r>
        <w:r>
          <w:rPr>
            <w:noProof/>
            <w:webHidden/>
          </w:rPr>
          <w:t>86</w:t>
        </w:r>
        <w:r>
          <w:rPr>
            <w:noProof/>
            <w:webHidden/>
          </w:rPr>
          <w:fldChar w:fldCharType="end"/>
        </w:r>
      </w:hyperlink>
    </w:p>
    <w:p w14:paraId="33D3D631" w14:textId="2196B5B5" w:rsidR="00277F6E" w:rsidRDefault="00277F6E">
      <w:pPr>
        <w:pStyle w:val="TableofFigures"/>
        <w:tabs>
          <w:tab w:val="right" w:leader="dot" w:pos="9010"/>
        </w:tabs>
        <w:rPr>
          <w:rFonts w:eastAsiaTheme="minorEastAsia"/>
          <w:noProof/>
          <w:color w:val="auto"/>
          <w:sz w:val="22"/>
          <w:szCs w:val="22"/>
          <w:lang w:eastAsia="ja-JP"/>
        </w:rPr>
      </w:pPr>
      <w:hyperlink w:anchor="_Toc45704457" w:history="1">
        <w:r w:rsidRPr="00EA68E1">
          <w:rPr>
            <w:rStyle w:val="Hyperlink"/>
            <w:b/>
            <w:noProof/>
          </w:rPr>
          <w:t>Table 7</w:t>
        </w:r>
        <w:r w:rsidRPr="00EA68E1">
          <w:rPr>
            <w:rStyle w:val="Hyperlink"/>
            <w:b/>
            <w:noProof/>
          </w:rPr>
          <w:noBreakHyphen/>
          <w:t xml:space="preserve">12: </w:t>
        </w:r>
        <w:r w:rsidRPr="00EA68E1">
          <w:rPr>
            <w:rStyle w:val="Hyperlink"/>
            <w:b/>
            <w:bCs/>
            <w:noProof/>
          </w:rPr>
          <w:t>MIS</w:t>
        </w:r>
        <w:r w:rsidRPr="00EA68E1">
          <w:rPr>
            <w:rStyle w:val="Hyperlink"/>
            <w:b/>
            <w:noProof/>
          </w:rPr>
          <w:t xml:space="preserve"> cost parameters for accredited operators</w:t>
        </w:r>
        <w:r>
          <w:rPr>
            <w:noProof/>
            <w:webHidden/>
          </w:rPr>
          <w:tab/>
        </w:r>
        <w:r>
          <w:rPr>
            <w:noProof/>
            <w:webHidden/>
          </w:rPr>
          <w:fldChar w:fldCharType="begin"/>
        </w:r>
        <w:r>
          <w:rPr>
            <w:noProof/>
            <w:webHidden/>
          </w:rPr>
          <w:instrText xml:space="preserve"> PAGEREF _Toc45704457 \h </w:instrText>
        </w:r>
        <w:r>
          <w:rPr>
            <w:noProof/>
            <w:webHidden/>
          </w:rPr>
        </w:r>
        <w:r>
          <w:rPr>
            <w:noProof/>
            <w:webHidden/>
          </w:rPr>
          <w:fldChar w:fldCharType="separate"/>
        </w:r>
        <w:r>
          <w:rPr>
            <w:noProof/>
            <w:webHidden/>
          </w:rPr>
          <w:t>88</w:t>
        </w:r>
        <w:r>
          <w:rPr>
            <w:noProof/>
            <w:webHidden/>
          </w:rPr>
          <w:fldChar w:fldCharType="end"/>
        </w:r>
      </w:hyperlink>
    </w:p>
    <w:p w14:paraId="60CCD2A4" w14:textId="416AFC51" w:rsidR="00277F6E" w:rsidRDefault="00277F6E">
      <w:pPr>
        <w:pStyle w:val="TableofFigures"/>
        <w:tabs>
          <w:tab w:val="right" w:leader="dot" w:pos="9010"/>
        </w:tabs>
        <w:rPr>
          <w:rFonts w:eastAsiaTheme="minorEastAsia"/>
          <w:noProof/>
          <w:color w:val="auto"/>
          <w:sz w:val="22"/>
          <w:szCs w:val="22"/>
          <w:lang w:eastAsia="ja-JP"/>
        </w:rPr>
      </w:pPr>
      <w:hyperlink w:anchor="_Toc45704458" w:history="1">
        <w:r w:rsidRPr="00EA68E1">
          <w:rPr>
            <w:rStyle w:val="Hyperlink"/>
            <w:b/>
            <w:noProof/>
          </w:rPr>
          <w:t>Table 7</w:t>
        </w:r>
        <w:r w:rsidRPr="00EA68E1">
          <w:rPr>
            <w:rStyle w:val="Hyperlink"/>
            <w:b/>
            <w:noProof/>
          </w:rPr>
          <w:noBreakHyphen/>
          <w:t xml:space="preserve">13: NPV and EAC to develop and </w:t>
        </w:r>
        <w:r w:rsidRPr="00EA68E1">
          <w:rPr>
            <w:rStyle w:val="Hyperlink"/>
            <w:b/>
            <w:bCs/>
            <w:noProof/>
          </w:rPr>
          <w:t>maintain</w:t>
        </w:r>
        <w:r w:rsidRPr="00EA68E1">
          <w:rPr>
            <w:rStyle w:val="Hyperlink"/>
            <w:b/>
            <w:noProof/>
          </w:rPr>
          <w:t xml:space="preserve"> MIS for accredited operators</w:t>
        </w:r>
        <w:r>
          <w:rPr>
            <w:noProof/>
            <w:webHidden/>
          </w:rPr>
          <w:tab/>
        </w:r>
        <w:r>
          <w:rPr>
            <w:noProof/>
            <w:webHidden/>
          </w:rPr>
          <w:fldChar w:fldCharType="begin"/>
        </w:r>
        <w:r>
          <w:rPr>
            <w:noProof/>
            <w:webHidden/>
          </w:rPr>
          <w:instrText xml:space="preserve"> PAGEREF _Toc45704458 \h </w:instrText>
        </w:r>
        <w:r>
          <w:rPr>
            <w:noProof/>
            <w:webHidden/>
          </w:rPr>
        </w:r>
        <w:r>
          <w:rPr>
            <w:noProof/>
            <w:webHidden/>
          </w:rPr>
          <w:fldChar w:fldCharType="separate"/>
        </w:r>
        <w:r>
          <w:rPr>
            <w:noProof/>
            <w:webHidden/>
          </w:rPr>
          <w:t>89</w:t>
        </w:r>
        <w:r>
          <w:rPr>
            <w:noProof/>
            <w:webHidden/>
          </w:rPr>
          <w:fldChar w:fldCharType="end"/>
        </w:r>
      </w:hyperlink>
    </w:p>
    <w:p w14:paraId="2CB9CA4D" w14:textId="37D8767D" w:rsidR="00277F6E" w:rsidRDefault="00277F6E">
      <w:pPr>
        <w:pStyle w:val="TableofFigures"/>
        <w:tabs>
          <w:tab w:val="right" w:leader="dot" w:pos="9010"/>
        </w:tabs>
        <w:rPr>
          <w:rFonts w:eastAsiaTheme="minorEastAsia"/>
          <w:noProof/>
          <w:color w:val="auto"/>
          <w:sz w:val="22"/>
          <w:szCs w:val="22"/>
          <w:lang w:eastAsia="ja-JP"/>
        </w:rPr>
      </w:pPr>
      <w:hyperlink w:anchor="_Toc45704459" w:history="1">
        <w:r w:rsidRPr="00EA68E1">
          <w:rPr>
            <w:rStyle w:val="Hyperlink"/>
            <w:b/>
            <w:noProof/>
          </w:rPr>
          <w:t>Table 7</w:t>
        </w:r>
        <w:r w:rsidRPr="00EA68E1">
          <w:rPr>
            <w:rStyle w:val="Hyperlink"/>
            <w:b/>
            <w:noProof/>
          </w:rPr>
          <w:noBreakHyphen/>
          <w:t xml:space="preserve">14: </w:t>
        </w:r>
        <w:r w:rsidRPr="00EA68E1">
          <w:rPr>
            <w:rStyle w:val="Hyperlink"/>
            <w:b/>
            <w:bCs/>
            <w:noProof/>
          </w:rPr>
          <w:t>Maximum</w:t>
        </w:r>
        <w:r w:rsidRPr="00EA68E1">
          <w:rPr>
            <w:rStyle w:val="Hyperlink"/>
            <w:b/>
            <w:noProof/>
          </w:rPr>
          <w:t xml:space="preserve"> passenger sign cost parameters for buses with 13 or more seats</w:t>
        </w:r>
        <w:r>
          <w:rPr>
            <w:noProof/>
            <w:webHidden/>
          </w:rPr>
          <w:tab/>
        </w:r>
        <w:r>
          <w:rPr>
            <w:noProof/>
            <w:webHidden/>
          </w:rPr>
          <w:fldChar w:fldCharType="begin"/>
        </w:r>
        <w:r>
          <w:rPr>
            <w:noProof/>
            <w:webHidden/>
          </w:rPr>
          <w:instrText xml:space="preserve"> PAGEREF _Toc45704459 \h </w:instrText>
        </w:r>
        <w:r>
          <w:rPr>
            <w:noProof/>
            <w:webHidden/>
          </w:rPr>
        </w:r>
        <w:r>
          <w:rPr>
            <w:noProof/>
            <w:webHidden/>
          </w:rPr>
          <w:fldChar w:fldCharType="separate"/>
        </w:r>
        <w:r>
          <w:rPr>
            <w:noProof/>
            <w:webHidden/>
          </w:rPr>
          <w:t>90</w:t>
        </w:r>
        <w:r>
          <w:rPr>
            <w:noProof/>
            <w:webHidden/>
          </w:rPr>
          <w:fldChar w:fldCharType="end"/>
        </w:r>
      </w:hyperlink>
    </w:p>
    <w:p w14:paraId="6E92B4F3" w14:textId="750FB389" w:rsidR="00277F6E" w:rsidRDefault="00277F6E">
      <w:pPr>
        <w:pStyle w:val="TableofFigures"/>
        <w:tabs>
          <w:tab w:val="right" w:leader="dot" w:pos="9010"/>
        </w:tabs>
        <w:rPr>
          <w:rFonts w:eastAsiaTheme="minorEastAsia"/>
          <w:noProof/>
          <w:color w:val="auto"/>
          <w:sz w:val="22"/>
          <w:szCs w:val="22"/>
          <w:lang w:eastAsia="ja-JP"/>
        </w:rPr>
      </w:pPr>
      <w:hyperlink w:anchor="_Toc45704460" w:history="1">
        <w:r w:rsidRPr="00EA68E1">
          <w:rPr>
            <w:rStyle w:val="Hyperlink"/>
            <w:b/>
            <w:noProof/>
          </w:rPr>
          <w:t>Table 7</w:t>
        </w:r>
        <w:r w:rsidRPr="00EA68E1">
          <w:rPr>
            <w:rStyle w:val="Hyperlink"/>
            <w:b/>
            <w:noProof/>
          </w:rPr>
          <w:noBreakHyphen/>
          <w:t xml:space="preserve">15: NPV and EAC for maximum </w:t>
        </w:r>
        <w:r w:rsidRPr="00EA68E1">
          <w:rPr>
            <w:rStyle w:val="Hyperlink"/>
            <w:b/>
            <w:bCs/>
            <w:noProof/>
          </w:rPr>
          <w:t>passenger</w:t>
        </w:r>
        <w:r w:rsidRPr="00EA68E1">
          <w:rPr>
            <w:rStyle w:val="Hyperlink"/>
            <w:b/>
            <w:noProof/>
          </w:rPr>
          <w:t xml:space="preserve"> signs</w:t>
        </w:r>
        <w:r>
          <w:rPr>
            <w:noProof/>
            <w:webHidden/>
          </w:rPr>
          <w:tab/>
        </w:r>
        <w:r>
          <w:rPr>
            <w:noProof/>
            <w:webHidden/>
          </w:rPr>
          <w:fldChar w:fldCharType="begin"/>
        </w:r>
        <w:r>
          <w:rPr>
            <w:noProof/>
            <w:webHidden/>
          </w:rPr>
          <w:instrText xml:space="preserve"> PAGEREF _Toc45704460 \h </w:instrText>
        </w:r>
        <w:r>
          <w:rPr>
            <w:noProof/>
            <w:webHidden/>
          </w:rPr>
        </w:r>
        <w:r>
          <w:rPr>
            <w:noProof/>
            <w:webHidden/>
          </w:rPr>
          <w:fldChar w:fldCharType="separate"/>
        </w:r>
        <w:r>
          <w:rPr>
            <w:noProof/>
            <w:webHidden/>
          </w:rPr>
          <w:t>91</w:t>
        </w:r>
        <w:r>
          <w:rPr>
            <w:noProof/>
            <w:webHidden/>
          </w:rPr>
          <w:fldChar w:fldCharType="end"/>
        </w:r>
      </w:hyperlink>
    </w:p>
    <w:p w14:paraId="0D34CB56" w14:textId="1B0C9C5A" w:rsidR="00277F6E" w:rsidRDefault="00277F6E">
      <w:pPr>
        <w:pStyle w:val="TableofFigures"/>
        <w:tabs>
          <w:tab w:val="right" w:leader="dot" w:pos="9010"/>
        </w:tabs>
        <w:rPr>
          <w:rFonts w:eastAsiaTheme="minorEastAsia"/>
          <w:noProof/>
          <w:color w:val="auto"/>
          <w:sz w:val="22"/>
          <w:szCs w:val="22"/>
          <w:lang w:eastAsia="ja-JP"/>
        </w:rPr>
      </w:pPr>
      <w:hyperlink w:anchor="_Toc45704461" w:history="1">
        <w:r w:rsidRPr="00EA68E1">
          <w:rPr>
            <w:rStyle w:val="Hyperlink"/>
            <w:b/>
            <w:noProof/>
          </w:rPr>
          <w:t>Table 7</w:t>
        </w:r>
        <w:r w:rsidRPr="00EA68E1">
          <w:rPr>
            <w:rStyle w:val="Hyperlink"/>
            <w:b/>
            <w:noProof/>
          </w:rPr>
          <w:noBreakHyphen/>
          <w:t>16: School bus cost parameters of NSW standards (Option 2) that are additional to what is required under current Victorian standards (</w:t>
        </w:r>
        <w:r w:rsidRPr="00EA68E1">
          <w:rPr>
            <w:rStyle w:val="Hyperlink"/>
            <w:b/>
            <w:bCs/>
            <w:noProof/>
          </w:rPr>
          <w:t>Option</w:t>
        </w:r>
        <w:r w:rsidRPr="00EA68E1">
          <w:rPr>
            <w:rStyle w:val="Hyperlink"/>
            <w:b/>
            <w:noProof/>
          </w:rPr>
          <w:t xml:space="preserve"> 1)</w:t>
        </w:r>
        <w:r>
          <w:rPr>
            <w:noProof/>
            <w:webHidden/>
          </w:rPr>
          <w:tab/>
        </w:r>
        <w:r>
          <w:rPr>
            <w:noProof/>
            <w:webHidden/>
          </w:rPr>
          <w:fldChar w:fldCharType="begin"/>
        </w:r>
        <w:r>
          <w:rPr>
            <w:noProof/>
            <w:webHidden/>
          </w:rPr>
          <w:instrText xml:space="preserve"> PAGEREF _Toc45704461 \h </w:instrText>
        </w:r>
        <w:r>
          <w:rPr>
            <w:noProof/>
            <w:webHidden/>
          </w:rPr>
        </w:r>
        <w:r>
          <w:rPr>
            <w:noProof/>
            <w:webHidden/>
          </w:rPr>
          <w:fldChar w:fldCharType="separate"/>
        </w:r>
        <w:r>
          <w:rPr>
            <w:noProof/>
            <w:webHidden/>
          </w:rPr>
          <w:t>93</w:t>
        </w:r>
        <w:r>
          <w:rPr>
            <w:noProof/>
            <w:webHidden/>
          </w:rPr>
          <w:fldChar w:fldCharType="end"/>
        </w:r>
      </w:hyperlink>
    </w:p>
    <w:p w14:paraId="3D695BDD" w14:textId="4A53A2B5" w:rsidR="00277F6E" w:rsidRDefault="00277F6E">
      <w:pPr>
        <w:pStyle w:val="TableofFigures"/>
        <w:tabs>
          <w:tab w:val="right" w:leader="dot" w:pos="9010"/>
        </w:tabs>
        <w:rPr>
          <w:rFonts w:eastAsiaTheme="minorEastAsia"/>
          <w:noProof/>
          <w:color w:val="auto"/>
          <w:sz w:val="22"/>
          <w:szCs w:val="22"/>
          <w:lang w:eastAsia="ja-JP"/>
        </w:rPr>
      </w:pPr>
      <w:hyperlink w:anchor="_Toc45704462" w:history="1">
        <w:r w:rsidRPr="00EA68E1">
          <w:rPr>
            <w:rStyle w:val="Hyperlink"/>
            <w:b/>
            <w:noProof/>
          </w:rPr>
          <w:t>Table 7</w:t>
        </w:r>
        <w:r w:rsidRPr="00EA68E1">
          <w:rPr>
            <w:rStyle w:val="Hyperlink"/>
            <w:b/>
            <w:noProof/>
          </w:rPr>
          <w:noBreakHyphen/>
          <w:t xml:space="preserve">17: NPV and EAC for compliance </w:t>
        </w:r>
        <w:r w:rsidRPr="00EA68E1">
          <w:rPr>
            <w:rStyle w:val="Hyperlink"/>
            <w:b/>
            <w:bCs/>
            <w:noProof/>
          </w:rPr>
          <w:t>with</w:t>
        </w:r>
        <w:r w:rsidRPr="00EA68E1">
          <w:rPr>
            <w:rStyle w:val="Hyperlink"/>
            <w:b/>
            <w:noProof/>
          </w:rPr>
          <w:t xml:space="preserve"> NSW standards for school bus lights and signs</w:t>
        </w:r>
        <w:r>
          <w:rPr>
            <w:noProof/>
            <w:webHidden/>
          </w:rPr>
          <w:tab/>
        </w:r>
        <w:r>
          <w:rPr>
            <w:noProof/>
            <w:webHidden/>
          </w:rPr>
          <w:fldChar w:fldCharType="begin"/>
        </w:r>
        <w:r>
          <w:rPr>
            <w:noProof/>
            <w:webHidden/>
          </w:rPr>
          <w:instrText xml:space="preserve"> PAGEREF _Toc45704462 \h </w:instrText>
        </w:r>
        <w:r>
          <w:rPr>
            <w:noProof/>
            <w:webHidden/>
          </w:rPr>
        </w:r>
        <w:r>
          <w:rPr>
            <w:noProof/>
            <w:webHidden/>
          </w:rPr>
          <w:fldChar w:fldCharType="separate"/>
        </w:r>
        <w:r>
          <w:rPr>
            <w:noProof/>
            <w:webHidden/>
          </w:rPr>
          <w:t>93</w:t>
        </w:r>
        <w:r>
          <w:rPr>
            <w:noProof/>
            <w:webHidden/>
          </w:rPr>
          <w:fldChar w:fldCharType="end"/>
        </w:r>
      </w:hyperlink>
    </w:p>
    <w:p w14:paraId="0DF5FAEA" w14:textId="70275E6C" w:rsidR="00277F6E" w:rsidRDefault="00277F6E">
      <w:pPr>
        <w:pStyle w:val="TableofFigures"/>
        <w:tabs>
          <w:tab w:val="right" w:leader="dot" w:pos="9010"/>
        </w:tabs>
        <w:rPr>
          <w:rFonts w:eastAsiaTheme="minorEastAsia"/>
          <w:noProof/>
          <w:color w:val="auto"/>
          <w:sz w:val="22"/>
          <w:szCs w:val="22"/>
          <w:lang w:eastAsia="ja-JP"/>
        </w:rPr>
      </w:pPr>
      <w:hyperlink w:anchor="_Toc45704463" w:history="1">
        <w:r w:rsidRPr="00EA68E1">
          <w:rPr>
            <w:rStyle w:val="Hyperlink"/>
            <w:b/>
            <w:noProof/>
          </w:rPr>
          <w:t>Table 7</w:t>
        </w:r>
        <w:r w:rsidRPr="00EA68E1">
          <w:rPr>
            <w:rStyle w:val="Hyperlink"/>
            <w:b/>
            <w:noProof/>
          </w:rPr>
          <w:noBreakHyphen/>
          <w:t>18</w:t>
        </w:r>
        <w:r w:rsidRPr="00EA68E1">
          <w:rPr>
            <w:rStyle w:val="Hyperlink"/>
            <w:b/>
            <w:bCs/>
            <w:noProof/>
          </w:rPr>
          <w:t>: Notification cost parameters for all operators</w:t>
        </w:r>
        <w:r>
          <w:rPr>
            <w:noProof/>
            <w:webHidden/>
          </w:rPr>
          <w:tab/>
        </w:r>
        <w:r>
          <w:rPr>
            <w:noProof/>
            <w:webHidden/>
          </w:rPr>
          <w:fldChar w:fldCharType="begin"/>
        </w:r>
        <w:r>
          <w:rPr>
            <w:noProof/>
            <w:webHidden/>
          </w:rPr>
          <w:instrText xml:space="preserve"> PAGEREF _Toc45704463 \h </w:instrText>
        </w:r>
        <w:r>
          <w:rPr>
            <w:noProof/>
            <w:webHidden/>
          </w:rPr>
        </w:r>
        <w:r>
          <w:rPr>
            <w:noProof/>
            <w:webHidden/>
          </w:rPr>
          <w:fldChar w:fldCharType="separate"/>
        </w:r>
        <w:r>
          <w:rPr>
            <w:noProof/>
            <w:webHidden/>
          </w:rPr>
          <w:t>96</w:t>
        </w:r>
        <w:r>
          <w:rPr>
            <w:noProof/>
            <w:webHidden/>
          </w:rPr>
          <w:fldChar w:fldCharType="end"/>
        </w:r>
      </w:hyperlink>
    </w:p>
    <w:p w14:paraId="30A79D61" w14:textId="501947AB" w:rsidR="00277F6E" w:rsidRDefault="00277F6E">
      <w:pPr>
        <w:pStyle w:val="TableofFigures"/>
        <w:tabs>
          <w:tab w:val="right" w:leader="dot" w:pos="9010"/>
        </w:tabs>
        <w:rPr>
          <w:rFonts w:eastAsiaTheme="minorEastAsia"/>
          <w:noProof/>
          <w:color w:val="auto"/>
          <w:sz w:val="22"/>
          <w:szCs w:val="22"/>
          <w:lang w:eastAsia="ja-JP"/>
        </w:rPr>
      </w:pPr>
      <w:hyperlink w:anchor="_Toc45704464" w:history="1">
        <w:r w:rsidRPr="00EA68E1">
          <w:rPr>
            <w:rStyle w:val="Hyperlink"/>
            <w:b/>
            <w:noProof/>
          </w:rPr>
          <w:t>Table 7</w:t>
        </w:r>
        <w:r w:rsidRPr="00EA68E1">
          <w:rPr>
            <w:rStyle w:val="Hyperlink"/>
            <w:b/>
            <w:noProof/>
          </w:rPr>
          <w:noBreakHyphen/>
          <w:t>19</w:t>
        </w:r>
        <w:r w:rsidRPr="00EA68E1">
          <w:rPr>
            <w:rStyle w:val="Hyperlink"/>
            <w:b/>
            <w:bCs/>
            <w:noProof/>
          </w:rPr>
          <w:t>: NPV and EAC for notifications</w:t>
        </w:r>
        <w:r>
          <w:rPr>
            <w:noProof/>
            <w:webHidden/>
          </w:rPr>
          <w:tab/>
        </w:r>
        <w:r>
          <w:rPr>
            <w:noProof/>
            <w:webHidden/>
          </w:rPr>
          <w:fldChar w:fldCharType="begin"/>
        </w:r>
        <w:r>
          <w:rPr>
            <w:noProof/>
            <w:webHidden/>
          </w:rPr>
          <w:instrText xml:space="preserve"> PAGEREF _Toc45704464 \h </w:instrText>
        </w:r>
        <w:r>
          <w:rPr>
            <w:noProof/>
            <w:webHidden/>
          </w:rPr>
        </w:r>
        <w:r>
          <w:rPr>
            <w:noProof/>
            <w:webHidden/>
          </w:rPr>
          <w:fldChar w:fldCharType="separate"/>
        </w:r>
        <w:r>
          <w:rPr>
            <w:noProof/>
            <w:webHidden/>
          </w:rPr>
          <w:t>96</w:t>
        </w:r>
        <w:r>
          <w:rPr>
            <w:noProof/>
            <w:webHidden/>
          </w:rPr>
          <w:fldChar w:fldCharType="end"/>
        </w:r>
      </w:hyperlink>
    </w:p>
    <w:p w14:paraId="294D58D3" w14:textId="7359E374" w:rsidR="00277F6E" w:rsidRDefault="00277F6E">
      <w:pPr>
        <w:pStyle w:val="TableofFigures"/>
        <w:tabs>
          <w:tab w:val="right" w:leader="dot" w:pos="9010"/>
        </w:tabs>
        <w:rPr>
          <w:rFonts w:eastAsiaTheme="minorEastAsia"/>
          <w:noProof/>
          <w:color w:val="auto"/>
          <w:sz w:val="22"/>
          <w:szCs w:val="22"/>
          <w:lang w:eastAsia="ja-JP"/>
        </w:rPr>
      </w:pPr>
      <w:hyperlink w:anchor="_Toc45704465" w:history="1">
        <w:r w:rsidRPr="00EA68E1">
          <w:rPr>
            <w:rStyle w:val="Hyperlink"/>
            <w:b/>
            <w:noProof/>
          </w:rPr>
          <w:t>Table 7</w:t>
        </w:r>
        <w:r w:rsidRPr="00EA68E1">
          <w:rPr>
            <w:rStyle w:val="Hyperlink"/>
            <w:b/>
            <w:noProof/>
          </w:rPr>
          <w:noBreakHyphen/>
          <w:t>20</w:t>
        </w:r>
        <w:r w:rsidRPr="00EA68E1">
          <w:rPr>
            <w:rStyle w:val="Hyperlink"/>
            <w:b/>
            <w:bCs/>
            <w:noProof/>
          </w:rPr>
          <w:t>: Total bus investigations per year – 2011-2019</w:t>
        </w:r>
        <w:r>
          <w:rPr>
            <w:noProof/>
            <w:webHidden/>
          </w:rPr>
          <w:tab/>
        </w:r>
        <w:r>
          <w:rPr>
            <w:noProof/>
            <w:webHidden/>
          </w:rPr>
          <w:fldChar w:fldCharType="begin"/>
        </w:r>
        <w:r>
          <w:rPr>
            <w:noProof/>
            <w:webHidden/>
          </w:rPr>
          <w:instrText xml:space="preserve"> PAGEREF _Toc45704465 \h </w:instrText>
        </w:r>
        <w:r>
          <w:rPr>
            <w:noProof/>
            <w:webHidden/>
          </w:rPr>
        </w:r>
        <w:r>
          <w:rPr>
            <w:noProof/>
            <w:webHidden/>
          </w:rPr>
          <w:fldChar w:fldCharType="separate"/>
        </w:r>
        <w:r>
          <w:rPr>
            <w:noProof/>
            <w:webHidden/>
          </w:rPr>
          <w:t>97</w:t>
        </w:r>
        <w:r>
          <w:rPr>
            <w:noProof/>
            <w:webHidden/>
          </w:rPr>
          <w:fldChar w:fldCharType="end"/>
        </w:r>
      </w:hyperlink>
    </w:p>
    <w:p w14:paraId="17554E2D" w14:textId="42CA572A" w:rsidR="00277F6E" w:rsidRDefault="00277F6E">
      <w:pPr>
        <w:pStyle w:val="TableofFigures"/>
        <w:tabs>
          <w:tab w:val="right" w:leader="dot" w:pos="9010"/>
        </w:tabs>
        <w:rPr>
          <w:rFonts w:eastAsiaTheme="minorEastAsia"/>
          <w:noProof/>
          <w:color w:val="auto"/>
          <w:sz w:val="22"/>
          <w:szCs w:val="22"/>
          <w:lang w:eastAsia="ja-JP"/>
        </w:rPr>
      </w:pPr>
      <w:hyperlink w:anchor="_Toc45704466" w:history="1">
        <w:r w:rsidRPr="00EA68E1">
          <w:rPr>
            <w:rStyle w:val="Hyperlink"/>
            <w:b/>
            <w:noProof/>
          </w:rPr>
          <w:t>Table 7</w:t>
        </w:r>
        <w:r w:rsidRPr="00EA68E1">
          <w:rPr>
            <w:rStyle w:val="Hyperlink"/>
            <w:b/>
            <w:noProof/>
          </w:rPr>
          <w:noBreakHyphen/>
          <w:t xml:space="preserve">21: </w:t>
        </w:r>
        <w:r w:rsidRPr="00EA68E1">
          <w:rPr>
            <w:rStyle w:val="Hyperlink"/>
            <w:b/>
            <w:bCs/>
            <w:noProof/>
          </w:rPr>
          <w:t>Number</w:t>
        </w:r>
        <w:r w:rsidRPr="00EA68E1">
          <w:rPr>
            <w:rStyle w:val="Hyperlink"/>
            <w:b/>
            <w:noProof/>
          </w:rPr>
          <w:t xml:space="preserve"> of accreditation and registration applications granted per year – 2011-2019</w:t>
        </w:r>
        <w:r>
          <w:rPr>
            <w:noProof/>
            <w:webHidden/>
          </w:rPr>
          <w:tab/>
        </w:r>
        <w:r>
          <w:rPr>
            <w:noProof/>
            <w:webHidden/>
          </w:rPr>
          <w:fldChar w:fldCharType="begin"/>
        </w:r>
        <w:r>
          <w:rPr>
            <w:noProof/>
            <w:webHidden/>
          </w:rPr>
          <w:instrText xml:space="preserve"> PAGEREF _Toc45704466 \h </w:instrText>
        </w:r>
        <w:r>
          <w:rPr>
            <w:noProof/>
            <w:webHidden/>
          </w:rPr>
        </w:r>
        <w:r>
          <w:rPr>
            <w:noProof/>
            <w:webHidden/>
          </w:rPr>
          <w:fldChar w:fldCharType="separate"/>
        </w:r>
        <w:r>
          <w:rPr>
            <w:noProof/>
            <w:webHidden/>
          </w:rPr>
          <w:t>98</w:t>
        </w:r>
        <w:r>
          <w:rPr>
            <w:noProof/>
            <w:webHidden/>
          </w:rPr>
          <w:fldChar w:fldCharType="end"/>
        </w:r>
      </w:hyperlink>
    </w:p>
    <w:p w14:paraId="3EA4DEAD" w14:textId="319E464D" w:rsidR="00277F6E" w:rsidRDefault="00277F6E">
      <w:pPr>
        <w:pStyle w:val="TableofFigures"/>
        <w:tabs>
          <w:tab w:val="right" w:leader="dot" w:pos="9010"/>
        </w:tabs>
        <w:rPr>
          <w:rFonts w:eastAsiaTheme="minorEastAsia"/>
          <w:noProof/>
          <w:color w:val="auto"/>
          <w:sz w:val="22"/>
          <w:szCs w:val="22"/>
          <w:lang w:eastAsia="ja-JP"/>
        </w:rPr>
      </w:pPr>
      <w:hyperlink w:anchor="_Toc45704467" w:history="1">
        <w:r w:rsidRPr="00EA68E1">
          <w:rPr>
            <w:rStyle w:val="Hyperlink"/>
            <w:b/>
            <w:noProof/>
          </w:rPr>
          <w:t>Table 7</w:t>
        </w:r>
        <w:r w:rsidRPr="00EA68E1">
          <w:rPr>
            <w:rStyle w:val="Hyperlink"/>
            <w:b/>
            <w:noProof/>
          </w:rPr>
          <w:noBreakHyphen/>
          <w:t xml:space="preserve">22: </w:t>
        </w:r>
        <w:r w:rsidRPr="00EA68E1">
          <w:rPr>
            <w:rStyle w:val="Hyperlink"/>
            <w:b/>
            <w:bCs/>
            <w:noProof/>
          </w:rPr>
          <w:t>Applications</w:t>
        </w:r>
        <w:r w:rsidRPr="00EA68E1">
          <w:rPr>
            <w:rStyle w:val="Hyperlink"/>
            <w:b/>
            <w:noProof/>
          </w:rPr>
          <w:t xml:space="preserve"> for accreditation and registration cost parameters</w:t>
        </w:r>
        <w:r>
          <w:rPr>
            <w:noProof/>
            <w:webHidden/>
          </w:rPr>
          <w:tab/>
        </w:r>
        <w:r>
          <w:rPr>
            <w:noProof/>
            <w:webHidden/>
          </w:rPr>
          <w:fldChar w:fldCharType="begin"/>
        </w:r>
        <w:r>
          <w:rPr>
            <w:noProof/>
            <w:webHidden/>
          </w:rPr>
          <w:instrText xml:space="preserve"> PAGEREF _Toc45704467 \h </w:instrText>
        </w:r>
        <w:r>
          <w:rPr>
            <w:noProof/>
            <w:webHidden/>
          </w:rPr>
        </w:r>
        <w:r>
          <w:rPr>
            <w:noProof/>
            <w:webHidden/>
          </w:rPr>
          <w:fldChar w:fldCharType="separate"/>
        </w:r>
        <w:r>
          <w:rPr>
            <w:noProof/>
            <w:webHidden/>
          </w:rPr>
          <w:t>100</w:t>
        </w:r>
        <w:r>
          <w:rPr>
            <w:noProof/>
            <w:webHidden/>
          </w:rPr>
          <w:fldChar w:fldCharType="end"/>
        </w:r>
      </w:hyperlink>
    </w:p>
    <w:p w14:paraId="55FF73E1" w14:textId="690B4109" w:rsidR="00277F6E" w:rsidRDefault="00277F6E">
      <w:pPr>
        <w:pStyle w:val="TableofFigures"/>
        <w:tabs>
          <w:tab w:val="right" w:leader="dot" w:pos="9010"/>
        </w:tabs>
        <w:rPr>
          <w:rFonts w:eastAsiaTheme="minorEastAsia"/>
          <w:noProof/>
          <w:color w:val="auto"/>
          <w:sz w:val="22"/>
          <w:szCs w:val="22"/>
          <w:lang w:eastAsia="ja-JP"/>
        </w:rPr>
      </w:pPr>
      <w:hyperlink w:anchor="_Toc45704468" w:history="1">
        <w:r w:rsidRPr="00EA68E1">
          <w:rPr>
            <w:rStyle w:val="Hyperlink"/>
            <w:b/>
            <w:noProof/>
          </w:rPr>
          <w:t>Table 7</w:t>
        </w:r>
        <w:r w:rsidRPr="00EA68E1">
          <w:rPr>
            <w:rStyle w:val="Hyperlink"/>
            <w:b/>
            <w:noProof/>
          </w:rPr>
          <w:noBreakHyphen/>
          <w:t>23: NPV and EAC for applications for accreditation and registration</w:t>
        </w:r>
        <w:r>
          <w:rPr>
            <w:noProof/>
            <w:webHidden/>
          </w:rPr>
          <w:tab/>
        </w:r>
        <w:r>
          <w:rPr>
            <w:noProof/>
            <w:webHidden/>
          </w:rPr>
          <w:fldChar w:fldCharType="begin"/>
        </w:r>
        <w:r>
          <w:rPr>
            <w:noProof/>
            <w:webHidden/>
          </w:rPr>
          <w:instrText xml:space="preserve"> PAGEREF _Toc45704468 \h </w:instrText>
        </w:r>
        <w:r>
          <w:rPr>
            <w:noProof/>
            <w:webHidden/>
          </w:rPr>
        </w:r>
        <w:r>
          <w:rPr>
            <w:noProof/>
            <w:webHidden/>
          </w:rPr>
          <w:fldChar w:fldCharType="separate"/>
        </w:r>
        <w:r>
          <w:rPr>
            <w:noProof/>
            <w:webHidden/>
          </w:rPr>
          <w:t>100</w:t>
        </w:r>
        <w:r>
          <w:rPr>
            <w:noProof/>
            <w:webHidden/>
          </w:rPr>
          <w:fldChar w:fldCharType="end"/>
        </w:r>
      </w:hyperlink>
    </w:p>
    <w:p w14:paraId="440D6132" w14:textId="1B4F674C" w:rsidR="00277F6E" w:rsidRDefault="00277F6E">
      <w:pPr>
        <w:pStyle w:val="TableofFigures"/>
        <w:tabs>
          <w:tab w:val="right" w:leader="dot" w:pos="9010"/>
        </w:tabs>
        <w:rPr>
          <w:rFonts w:eastAsiaTheme="minorEastAsia"/>
          <w:noProof/>
          <w:color w:val="auto"/>
          <w:sz w:val="22"/>
          <w:szCs w:val="22"/>
          <w:lang w:eastAsia="ja-JP"/>
        </w:rPr>
      </w:pPr>
      <w:hyperlink w:anchor="_Toc45704469" w:history="1">
        <w:r w:rsidRPr="00EA68E1">
          <w:rPr>
            <w:rStyle w:val="Hyperlink"/>
            <w:b/>
            <w:noProof/>
          </w:rPr>
          <w:t>Table 7</w:t>
        </w:r>
        <w:r w:rsidRPr="00EA68E1">
          <w:rPr>
            <w:rStyle w:val="Hyperlink"/>
            <w:b/>
            <w:noProof/>
          </w:rPr>
          <w:noBreakHyphen/>
          <w:t xml:space="preserve">24: </w:t>
        </w:r>
        <w:r w:rsidRPr="00EA68E1">
          <w:rPr>
            <w:rStyle w:val="Hyperlink"/>
            <w:b/>
            <w:bCs/>
            <w:noProof/>
          </w:rPr>
          <w:t>Identifying signs cost parameters for all buses</w:t>
        </w:r>
        <w:r>
          <w:rPr>
            <w:noProof/>
            <w:webHidden/>
          </w:rPr>
          <w:tab/>
        </w:r>
        <w:r>
          <w:rPr>
            <w:noProof/>
            <w:webHidden/>
          </w:rPr>
          <w:fldChar w:fldCharType="begin"/>
        </w:r>
        <w:r>
          <w:rPr>
            <w:noProof/>
            <w:webHidden/>
          </w:rPr>
          <w:instrText xml:space="preserve"> PAGEREF _Toc45704469 \h </w:instrText>
        </w:r>
        <w:r>
          <w:rPr>
            <w:noProof/>
            <w:webHidden/>
          </w:rPr>
        </w:r>
        <w:r>
          <w:rPr>
            <w:noProof/>
            <w:webHidden/>
          </w:rPr>
          <w:fldChar w:fldCharType="separate"/>
        </w:r>
        <w:r>
          <w:rPr>
            <w:noProof/>
            <w:webHidden/>
          </w:rPr>
          <w:t>101</w:t>
        </w:r>
        <w:r>
          <w:rPr>
            <w:noProof/>
            <w:webHidden/>
          </w:rPr>
          <w:fldChar w:fldCharType="end"/>
        </w:r>
      </w:hyperlink>
    </w:p>
    <w:p w14:paraId="50568890" w14:textId="17810F63" w:rsidR="00277F6E" w:rsidRDefault="00277F6E">
      <w:pPr>
        <w:pStyle w:val="TableofFigures"/>
        <w:tabs>
          <w:tab w:val="right" w:leader="dot" w:pos="9010"/>
        </w:tabs>
        <w:rPr>
          <w:rFonts w:eastAsiaTheme="minorEastAsia"/>
          <w:noProof/>
          <w:color w:val="auto"/>
          <w:sz w:val="22"/>
          <w:szCs w:val="22"/>
          <w:lang w:eastAsia="ja-JP"/>
        </w:rPr>
      </w:pPr>
      <w:hyperlink w:anchor="_Toc45704470" w:history="1">
        <w:r w:rsidRPr="00EA68E1">
          <w:rPr>
            <w:rStyle w:val="Hyperlink"/>
            <w:b/>
            <w:noProof/>
          </w:rPr>
          <w:t>Table 7</w:t>
        </w:r>
        <w:r w:rsidRPr="00EA68E1">
          <w:rPr>
            <w:rStyle w:val="Hyperlink"/>
            <w:b/>
            <w:noProof/>
          </w:rPr>
          <w:noBreakHyphen/>
          <w:t xml:space="preserve">25: Record </w:t>
        </w:r>
        <w:r w:rsidRPr="00EA68E1">
          <w:rPr>
            <w:rStyle w:val="Hyperlink"/>
            <w:b/>
            <w:bCs/>
            <w:noProof/>
          </w:rPr>
          <w:t>keeping</w:t>
        </w:r>
        <w:r w:rsidRPr="00EA68E1">
          <w:rPr>
            <w:rStyle w:val="Hyperlink"/>
            <w:b/>
            <w:noProof/>
          </w:rPr>
          <w:t xml:space="preserve"> cost parameters for accredited and registered operators</w:t>
        </w:r>
        <w:r>
          <w:rPr>
            <w:noProof/>
            <w:webHidden/>
          </w:rPr>
          <w:tab/>
        </w:r>
        <w:r>
          <w:rPr>
            <w:noProof/>
            <w:webHidden/>
          </w:rPr>
          <w:fldChar w:fldCharType="begin"/>
        </w:r>
        <w:r>
          <w:rPr>
            <w:noProof/>
            <w:webHidden/>
          </w:rPr>
          <w:instrText xml:space="preserve"> PAGEREF _Toc45704470 \h </w:instrText>
        </w:r>
        <w:r>
          <w:rPr>
            <w:noProof/>
            <w:webHidden/>
          </w:rPr>
        </w:r>
        <w:r>
          <w:rPr>
            <w:noProof/>
            <w:webHidden/>
          </w:rPr>
          <w:fldChar w:fldCharType="separate"/>
        </w:r>
        <w:r>
          <w:rPr>
            <w:noProof/>
            <w:webHidden/>
          </w:rPr>
          <w:t>104</w:t>
        </w:r>
        <w:r>
          <w:rPr>
            <w:noProof/>
            <w:webHidden/>
          </w:rPr>
          <w:fldChar w:fldCharType="end"/>
        </w:r>
      </w:hyperlink>
    </w:p>
    <w:p w14:paraId="22C1EE81" w14:textId="43C93535" w:rsidR="00277F6E" w:rsidRDefault="00277F6E">
      <w:pPr>
        <w:pStyle w:val="TableofFigures"/>
        <w:tabs>
          <w:tab w:val="right" w:leader="dot" w:pos="9010"/>
        </w:tabs>
        <w:rPr>
          <w:rFonts w:eastAsiaTheme="minorEastAsia"/>
          <w:noProof/>
          <w:color w:val="auto"/>
          <w:sz w:val="22"/>
          <w:szCs w:val="22"/>
          <w:lang w:eastAsia="ja-JP"/>
        </w:rPr>
      </w:pPr>
      <w:hyperlink w:anchor="_Toc45704471" w:history="1">
        <w:r w:rsidRPr="00EA68E1">
          <w:rPr>
            <w:rStyle w:val="Hyperlink"/>
            <w:b/>
            <w:noProof/>
          </w:rPr>
          <w:t>Table 7</w:t>
        </w:r>
        <w:r w:rsidRPr="00EA68E1">
          <w:rPr>
            <w:rStyle w:val="Hyperlink"/>
            <w:b/>
            <w:noProof/>
          </w:rPr>
          <w:noBreakHyphen/>
          <w:t xml:space="preserve">26: </w:t>
        </w:r>
        <w:r w:rsidRPr="00EA68E1">
          <w:rPr>
            <w:rStyle w:val="Hyperlink"/>
            <w:b/>
            <w:bCs/>
            <w:noProof/>
          </w:rPr>
          <w:t>NPV</w:t>
        </w:r>
        <w:r w:rsidRPr="00EA68E1">
          <w:rPr>
            <w:rStyle w:val="Hyperlink"/>
            <w:b/>
            <w:noProof/>
          </w:rPr>
          <w:t xml:space="preserve"> and EAC for record keeping requirements</w:t>
        </w:r>
        <w:r>
          <w:rPr>
            <w:noProof/>
            <w:webHidden/>
          </w:rPr>
          <w:tab/>
        </w:r>
        <w:r>
          <w:rPr>
            <w:noProof/>
            <w:webHidden/>
          </w:rPr>
          <w:fldChar w:fldCharType="begin"/>
        </w:r>
        <w:r>
          <w:rPr>
            <w:noProof/>
            <w:webHidden/>
          </w:rPr>
          <w:instrText xml:space="preserve"> PAGEREF _Toc45704471 \h </w:instrText>
        </w:r>
        <w:r>
          <w:rPr>
            <w:noProof/>
            <w:webHidden/>
          </w:rPr>
        </w:r>
        <w:r>
          <w:rPr>
            <w:noProof/>
            <w:webHidden/>
          </w:rPr>
          <w:fldChar w:fldCharType="separate"/>
        </w:r>
        <w:r>
          <w:rPr>
            <w:noProof/>
            <w:webHidden/>
          </w:rPr>
          <w:t>104</w:t>
        </w:r>
        <w:r>
          <w:rPr>
            <w:noProof/>
            <w:webHidden/>
          </w:rPr>
          <w:fldChar w:fldCharType="end"/>
        </w:r>
      </w:hyperlink>
    </w:p>
    <w:p w14:paraId="04E79DD0" w14:textId="22502352" w:rsidR="00277F6E" w:rsidRDefault="00277F6E">
      <w:pPr>
        <w:pStyle w:val="TableofFigures"/>
        <w:tabs>
          <w:tab w:val="right" w:leader="dot" w:pos="9010"/>
        </w:tabs>
        <w:rPr>
          <w:rFonts w:eastAsiaTheme="minorEastAsia"/>
          <w:noProof/>
          <w:color w:val="auto"/>
          <w:sz w:val="22"/>
          <w:szCs w:val="22"/>
          <w:lang w:eastAsia="ja-JP"/>
        </w:rPr>
      </w:pPr>
      <w:hyperlink w:anchor="_Toc45704472" w:history="1">
        <w:r w:rsidRPr="00EA68E1">
          <w:rPr>
            <w:rStyle w:val="Hyperlink"/>
            <w:b/>
            <w:noProof/>
          </w:rPr>
          <w:t>Table 7</w:t>
        </w:r>
        <w:r w:rsidRPr="00EA68E1">
          <w:rPr>
            <w:rStyle w:val="Hyperlink"/>
            <w:b/>
            <w:noProof/>
          </w:rPr>
          <w:noBreakHyphen/>
          <w:t xml:space="preserve">27: </w:t>
        </w:r>
        <w:r w:rsidRPr="00EA68E1">
          <w:rPr>
            <w:rStyle w:val="Hyperlink"/>
            <w:b/>
            <w:bCs/>
            <w:noProof/>
          </w:rPr>
          <w:t>Comparison</w:t>
        </w:r>
        <w:r w:rsidRPr="00EA68E1">
          <w:rPr>
            <w:rStyle w:val="Hyperlink"/>
            <w:b/>
            <w:noProof/>
          </w:rPr>
          <w:t xml:space="preserve"> of estimated costs for record keeping options</w:t>
        </w:r>
        <w:r>
          <w:rPr>
            <w:noProof/>
            <w:webHidden/>
          </w:rPr>
          <w:tab/>
        </w:r>
        <w:r>
          <w:rPr>
            <w:noProof/>
            <w:webHidden/>
          </w:rPr>
          <w:fldChar w:fldCharType="begin"/>
        </w:r>
        <w:r>
          <w:rPr>
            <w:noProof/>
            <w:webHidden/>
          </w:rPr>
          <w:instrText xml:space="preserve"> PAGEREF _Toc45704472 \h </w:instrText>
        </w:r>
        <w:r>
          <w:rPr>
            <w:noProof/>
            <w:webHidden/>
          </w:rPr>
        </w:r>
        <w:r>
          <w:rPr>
            <w:noProof/>
            <w:webHidden/>
          </w:rPr>
          <w:fldChar w:fldCharType="separate"/>
        </w:r>
        <w:r>
          <w:rPr>
            <w:noProof/>
            <w:webHidden/>
          </w:rPr>
          <w:t>104</w:t>
        </w:r>
        <w:r>
          <w:rPr>
            <w:noProof/>
            <w:webHidden/>
          </w:rPr>
          <w:fldChar w:fldCharType="end"/>
        </w:r>
      </w:hyperlink>
    </w:p>
    <w:p w14:paraId="449DEAF6" w14:textId="7BDB95E4" w:rsidR="00277F6E" w:rsidRDefault="00277F6E">
      <w:pPr>
        <w:pStyle w:val="TableofFigures"/>
        <w:tabs>
          <w:tab w:val="right" w:leader="dot" w:pos="9010"/>
        </w:tabs>
        <w:rPr>
          <w:rFonts w:eastAsiaTheme="minorEastAsia"/>
          <w:noProof/>
          <w:color w:val="auto"/>
          <w:sz w:val="22"/>
          <w:szCs w:val="22"/>
          <w:lang w:eastAsia="ja-JP"/>
        </w:rPr>
      </w:pPr>
      <w:hyperlink w:anchor="_Toc45704473" w:history="1">
        <w:r w:rsidRPr="00EA68E1">
          <w:rPr>
            <w:rStyle w:val="Hyperlink"/>
            <w:b/>
            <w:noProof/>
          </w:rPr>
          <w:t>Table 7</w:t>
        </w:r>
        <w:r w:rsidRPr="00EA68E1">
          <w:rPr>
            <w:rStyle w:val="Hyperlink"/>
            <w:b/>
            <w:noProof/>
          </w:rPr>
          <w:noBreakHyphen/>
          <w:t xml:space="preserve">28: </w:t>
        </w:r>
        <w:r w:rsidRPr="00EA68E1">
          <w:rPr>
            <w:rStyle w:val="Hyperlink"/>
            <w:b/>
            <w:bCs/>
            <w:noProof/>
          </w:rPr>
          <w:t>Proposed</w:t>
        </w:r>
        <w:r w:rsidRPr="00EA68E1">
          <w:rPr>
            <w:rStyle w:val="Hyperlink"/>
            <w:b/>
            <w:noProof/>
          </w:rPr>
          <w:t xml:space="preserve"> criterion weights for multi-criteria analysis of fee options</w:t>
        </w:r>
        <w:r>
          <w:rPr>
            <w:noProof/>
            <w:webHidden/>
          </w:rPr>
          <w:tab/>
        </w:r>
        <w:r>
          <w:rPr>
            <w:noProof/>
            <w:webHidden/>
          </w:rPr>
          <w:fldChar w:fldCharType="begin"/>
        </w:r>
        <w:r>
          <w:rPr>
            <w:noProof/>
            <w:webHidden/>
          </w:rPr>
          <w:instrText xml:space="preserve"> PAGEREF _Toc45704473 \h </w:instrText>
        </w:r>
        <w:r>
          <w:rPr>
            <w:noProof/>
            <w:webHidden/>
          </w:rPr>
        </w:r>
        <w:r>
          <w:rPr>
            <w:noProof/>
            <w:webHidden/>
          </w:rPr>
          <w:fldChar w:fldCharType="separate"/>
        </w:r>
        <w:r>
          <w:rPr>
            <w:noProof/>
            <w:webHidden/>
          </w:rPr>
          <w:t>106</w:t>
        </w:r>
        <w:r>
          <w:rPr>
            <w:noProof/>
            <w:webHidden/>
          </w:rPr>
          <w:fldChar w:fldCharType="end"/>
        </w:r>
      </w:hyperlink>
    </w:p>
    <w:p w14:paraId="794BB442" w14:textId="1389FD82" w:rsidR="00277F6E" w:rsidRDefault="00277F6E">
      <w:pPr>
        <w:pStyle w:val="TableofFigures"/>
        <w:tabs>
          <w:tab w:val="right" w:leader="dot" w:pos="9010"/>
        </w:tabs>
        <w:rPr>
          <w:rFonts w:eastAsiaTheme="minorEastAsia"/>
          <w:noProof/>
          <w:color w:val="auto"/>
          <w:sz w:val="22"/>
          <w:szCs w:val="22"/>
          <w:lang w:eastAsia="ja-JP"/>
        </w:rPr>
      </w:pPr>
      <w:hyperlink w:anchor="_Toc45704474" w:history="1">
        <w:r w:rsidRPr="00EA68E1">
          <w:rPr>
            <w:rStyle w:val="Hyperlink"/>
            <w:b/>
            <w:noProof/>
          </w:rPr>
          <w:t>Table 7</w:t>
        </w:r>
        <w:r w:rsidRPr="00EA68E1">
          <w:rPr>
            <w:rStyle w:val="Hyperlink"/>
            <w:b/>
            <w:noProof/>
          </w:rPr>
          <w:noBreakHyphen/>
          <w:t xml:space="preserve">29: Options assessment criteria </w:t>
        </w:r>
        <w:r w:rsidRPr="00EA68E1">
          <w:rPr>
            <w:rStyle w:val="Hyperlink"/>
            <w:b/>
            <w:bCs/>
            <w:noProof/>
          </w:rPr>
          <w:t>ratings</w:t>
        </w:r>
        <w:r w:rsidRPr="00EA68E1">
          <w:rPr>
            <w:rStyle w:val="Hyperlink"/>
            <w:b/>
            <w:noProof/>
          </w:rPr>
          <w:t xml:space="preserve"> for fees</w:t>
        </w:r>
        <w:r>
          <w:rPr>
            <w:noProof/>
            <w:webHidden/>
          </w:rPr>
          <w:tab/>
        </w:r>
        <w:r>
          <w:rPr>
            <w:noProof/>
            <w:webHidden/>
          </w:rPr>
          <w:fldChar w:fldCharType="begin"/>
        </w:r>
        <w:r>
          <w:rPr>
            <w:noProof/>
            <w:webHidden/>
          </w:rPr>
          <w:instrText xml:space="preserve"> PAGEREF _Toc45704474 \h </w:instrText>
        </w:r>
        <w:r>
          <w:rPr>
            <w:noProof/>
            <w:webHidden/>
          </w:rPr>
        </w:r>
        <w:r>
          <w:rPr>
            <w:noProof/>
            <w:webHidden/>
          </w:rPr>
          <w:fldChar w:fldCharType="separate"/>
        </w:r>
        <w:r>
          <w:rPr>
            <w:noProof/>
            <w:webHidden/>
          </w:rPr>
          <w:t>107</w:t>
        </w:r>
        <w:r>
          <w:rPr>
            <w:noProof/>
            <w:webHidden/>
          </w:rPr>
          <w:fldChar w:fldCharType="end"/>
        </w:r>
      </w:hyperlink>
    </w:p>
    <w:p w14:paraId="684F4076" w14:textId="44C504F1" w:rsidR="00277F6E" w:rsidRDefault="00277F6E">
      <w:pPr>
        <w:pStyle w:val="TableofFigures"/>
        <w:tabs>
          <w:tab w:val="right" w:leader="dot" w:pos="9010"/>
        </w:tabs>
        <w:rPr>
          <w:rFonts w:eastAsiaTheme="minorEastAsia"/>
          <w:noProof/>
          <w:color w:val="auto"/>
          <w:sz w:val="22"/>
          <w:szCs w:val="22"/>
          <w:lang w:eastAsia="ja-JP"/>
        </w:rPr>
      </w:pPr>
      <w:hyperlink w:anchor="_Toc45704475" w:history="1">
        <w:r w:rsidRPr="00EA68E1">
          <w:rPr>
            <w:rStyle w:val="Hyperlink"/>
            <w:b/>
            <w:noProof/>
          </w:rPr>
          <w:t>Table 7</w:t>
        </w:r>
        <w:r w:rsidRPr="00EA68E1">
          <w:rPr>
            <w:rStyle w:val="Hyperlink"/>
            <w:b/>
            <w:noProof/>
          </w:rPr>
          <w:noBreakHyphen/>
          <w:t xml:space="preserve">30: </w:t>
        </w:r>
        <w:r w:rsidRPr="00EA68E1">
          <w:rPr>
            <w:rStyle w:val="Hyperlink"/>
            <w:b/>
            <w:bCs/>
            <w:noProof/>
          </w:rPr>
          <w:t>Summary</w:t>
        </w:r>
        <w:r w:rsidRPr="00EA68E1">
          <w:rPr>
            <w:rStyle w:val="Hyperlink"/>
            <w:b/>
            <w:noProof/>
          </w:rPr>
          <w:t xml:space="preserve"> of fees and estimated revenue under each fee option</w:t>
        </w:r>
        <w:r>
          <w:rPr>
            <w:noProof/>
            <w:webHidden/>
          </w:rPr>
          <w:tab/>
        </w:r>
        <w:r>
          <w:rPr>
            <w:noProof/>
            <w:webHidden/>
          </w:rPr>
          <w:fldChar w:fldCharType="begin"/>
        </w:r>
        <w:r>
          <w:rPr>
            <w:noProof/>
            <w:webHidden/>
          </w:rPr>
          <w:instrText xml:space="preserve"> PAGEREF _Toc45704475 \h </w:instrText>
        </w:r>
        <w:r>
          <w:rPr>
            <w:noProof/>
            <w:webHidden/>
          </w:rPr>
        </w:r>
        <w:r>
          <w:rPr>
            <w:noProof/>
            <w:webHidden/>
          </w:rPr>
          <w:fldChar w:fldCharType="separate"/>
        </w:r>
        <w:r>
          <w:rPr>
            <w:noProof/>
            <w:webHidden/>
          </w:rPr>
          <w:t>108</w:t>
        </w:r>
        <w:r>
          <w:rPr>
            <w:noProof/>
            <w:webHidden/>
          </w:rPr>
          <w:fldChar w:fldCharType="end"/>
        </w:r>
      </w:hyperlink>
    </w:p>
    <w:p w14:paraId="4368CBB4" w14:textId="5463CDA6" w:rsidR="00277F6E" w:rsidRDefault="00277F6E">
      <w:pPr>
        <w:pStyle w:val="TableofFigures"/>
        <w:tabs>
          <w:tab w:val="right" w:leader="dot" w:pos="9010"/>
        </w:tabs>
        <w:rPr>
          <w:rFonts w:eastAsiaTheme="minorEastAsia"/>
          <w:noProof/>
          <w:color w:val="auto"/>
          <w:sz w:val="22"/>
          <w:szCs w:val="22"/>
          <w:lang w:eastAsia="ja-JP"/>
        </w:rPr>
      </w:pPr>
      <w:hyperlink w:anchor="_Toc45704476" w:history="1">
        <w:r w:rsidRPr="00EA68E1">
          <w:rPr>
            <w:rStyle w:val="Hyperlink"/>
            <w:b/>
            <w:noProof/>
          </w:rPr>
          <w:t>Table 7</w:t>
        </w:r>
        <w:r w:rsidRPr="00EA68E1">
          <w:rPr>
            <w:rStyle w:val="Hyperlink"/>
            <w:b/>
            <w:noProof/>
          </w:rPr>
          <w:noBreakHyphen/>
          <w:t xml:space="preserve">31: Summary of </w:t>
        </w:r>
        <w:r w:rsidRPr="00EA68E1">
          <w:rPr>
            <w:rStyle w:val="Hyperlink"/>
            <w:b/>
            <w:bCs/>
            <w:noProof/>
          </w:rPr>
          <w:t>multi</w:t>
        </w:r>
        <w:r w:rsidRPr="00EA68E1">
          <w:rPr>
            <w:rStyle w:val="Hyperlink"/>
            <w:b/>
            <w:noProof/>
          </w:rPr>
          <w:t>-criteria analysis for fee options</w:t>
        </w:r>
        <w:r>
          <w:rPr>
            <w:noProof/>
            <w:webHidden/>
          </w:rPr>
          <w:tab/>
        </w:r>
        <w:r>
          <w:rPr>
            <w:noProof/>
            <w:webHidden/>
          </w:rPr>
          <w:fldChar w:fldCharType="begin"/>
        </w:r>
        <w:r>
          <w:rPr>
            <w:noProof/>
            <w:webHidden/>
          </w:rPr>
          <w:instrText xml:space="preserve"> PAGEREF _Toc45704476 \h </w:instrText>
        </w:r>
        <w:r>
          <w:rPr>
            <w:noProof/>
            <w:webHidden/>
          </w:rPr>
        </w:r>
        <w:r>
          <w:rPr>
            <w:noProof/>
            <w:webHidden/>
          </w:rPr>
          <w:fldChar w:fldCharType="separate"/>
        </w:r>
        <w:r>
          <w:rPr>
            <w:noProof/>
            <w:webHidden/>
          </w:rPr>
          <w:t>110</w:t>
        </w:r>
        <w:r>
          <w:rPr>
            <w:noProof/>
            <w:webHidden/>
          </w:rPr>
          <w:fldChar w:fldCharType="end"/>
        </w:r>
      </w:hyperlink>
    </w:p>
    <w:p w14:paraId="265B9441" w14:textId="2FDEDEFE" w:rsidR="00277F6E" w:rsidRDefault="00277F6E">
      <w:pPr>
        <w:pStyle w:val="TableofFigures"/>
        <w:tabs>
          <w:tab w:val="right" w:leader="dot" w:pos="9010"/>
        </w:tabs>
        <w:rPr>
          <w:rFonts w:eastAsiaTheme="minorEastAsia"/>
          <w:noProof/>
          <w:color w:val="auto"/>
          <w:sz w:val="22"/>
          <w:szCs w:val="22"/>
          <w:lang w:eastAsia="ja-JP"/>
        </w:rPr>
      </w:pPr>
      <w:hyperlink w:anchor="_Toc45704477" w:history="1">
        <w:r w:rsidRPr="00EA68E1">
          <w:rPr>
            <w:rStyle w:val="Hyperlink"/>
            <w:b/>
            <w:noProof/>
          </w:rPr>
          <w:t>Table 8</w:t>
        </w:r>
        <w:r w:rsidRPr="00EA68E1">
          <w:rPr>
            <w:rStyle w:val="Hyperlink"/>
            <w:b/>
            <w:noProof/>
          </w:rPr>
          <w:noBreakHyphen/>
          <w:t xml:space="preserve">1: </w:t>
        </w:r>
        <w:r w:rsidRPr="00EA68E1">
          <w:rPr>
            <w:rStyle w:val="Hyperlink"/>
            <w:b/>
            <w:bCs/>
            <w:noProof/>
          </w:rPr>
          <w:t>Penalty</w:t>
        </w:r>
        <w:r w:rsidRPr="00EA68E1">
          <w:rPr>
            <w:rStyle w:val="Hyperlink"/>
            <w:b/>
            <w:noProof/>
          </w:rPr>
          <w:t xml:space="preserve"> units associated with breaches in the proposed regulations</w:t>
        </w:r>
        <w:r>
          <w:rPr>
            <w:noProof/>
            <w:webHidden/>
          </w:rPr>
          <w:tab/>
        </w:r>
        <w:r>
          <w:rPr>
            <w:noProof/>
            <w:webHidden/>
          </w:rPr>
          <w:fldChar w:fldCharType="begin"/>
        </w:r>
        <w:r>
          <w:rPr>
            <w:noProof/>
            <w:webHidden/>
          </w:rPr>
          <w:instrText xml:space="preserve"> PAGEREF _Toc45704477 \h </w:instrText>
        </w:r>
        <w:r>
          <w:rPr>
            <w:noProof/>
            <w:webHidden/>
          </w:rPr>
        </w:r>
        <w:r>
          <w:rPr>
            <w:noProof/>
            <w:webHidden/>
          </w:rPr>
          <w:fldChar w:fldCharType="separate"/>
        </w:r>
        <w:r>
          <w:rPr>
            <w:noProof/>
            <w:webHidden/>
          </w:rPr>
          <w:t>114</w:t>
        </w:r>
        <w:r>
          <w:rPr>
            <w:noProof/>
            <w:webHidden/>
          </w:rPr>
          <w:fldChar w:fldCharType="end"/>
        </w:r>
      </w:hyperlink>
    </w:p>
    <w:p w14:paraId="6104AE70" w14:textId="22534F9E" w:rsidR="005A6A6B" w:rsidRPr="00165B03" w:rsidRDefault="00546E7E" w:rsidP="005A6A6B">
      <w:pPr>
        <w:pStyle w:val="TOCHeading"/>
      </w:pPr>
      <w:r w:rsidRPr="00546E7E">
        <w:fldChar w:fldCharType="end"/>
      </w:r>
    </w:p>
    <w:p w14:paraId="747E8FA9" w14:textId="0BA4DB01" w:rsidR="00ED4954" w:rsidRPr="001A1EAA" w:rsidRDefault="00ED4954">
      <w:pPr>
        <w:spacing w:before="0" w:after="0"/>
      </w:pPr>
    </w:p>
    <w:p w14:paraId="5B564761" w14:textId="77777777" w:rsidR="001A1EAA" w:rsidRDefault="001A1EAA">
      <w:pPr>
        <w:spacing w:before="0" w:after="0"/>
      </w:pPr>
      <w:r>
        <w:br w:type="page"/>
      </w:r>
    </w:p>
    <w:p w14:paraId="04D97C42" w14:textId="31A4CF67" w:rsidR="00D26A53" w:rsidRDefault="001A1EAA" w:rsidP="00D26A53">
      <w:pPr>
        <w:pStyle w:val="TOCHeading"/>
      </w:pPr>
      <w:r>
        <w:lastRenderedPageBreak/>
        <w:t>Glossary</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6379"/>
      </w:tblGrid>
      <w:tr w:rsidR="00D26A53" w:rsidRPr="00A8224C" w14:paraId="51EE42D1" w14:textId="77777777" w:rsidTr="00A94FE9">
        <w:trPr>
          <w:trHeight w:val="232"/>
        </w:trPr>
        <w:tc>
          <w:tcPr>
            <w:tcW w:w="2552" w:type="dxa"/>
          </w:tcPr>
          <w:p w14:paraId="3413D266"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ABS</w:t>
            </w:r>
          </w:p>
        </w:tc>
        <w:tc>
          <w:tcPr>
            <w:tcW w:w="6379" w:type="dxa"/>
          </w:tcPr>
          <w:p w14:paraId="777B5810"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Australian Bureau of Statistics</w:t>
            </w:r>
          </w:p>
        </w:tc>
      </w:tr>
      <w:tr w:rsidR="00D26A53" w:rsidRPr="00A8224C" w14:paraId="295E7813" w14:textId="77777777" w:rsidTr="00A94FE9">
        <w:trPr>
          <w:trHeight w:val="40"/>
        </w:trPr>
        <w:tc>
          <w:tcPr>
            <w:tcW w:w="2552" w:type="dxa"/>
          </w:tcPr>
          <w:p w14:paraId="3C862012"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ADRs</w:t>
            </w:r>
          </w:p>
        </w:tc>
        <w:tc>
          <w:tcPr>
            <w:tcW w:w="6379" w:type="dxa"/>
          </w:tcPr>
          <w:p w14:paraId="00892BB5"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Australian Design Rules</w:t>
            </w:r>
          </w:p>
        </w:tc>
      </w:tr>
      <w:tr w:rsidR="00D26A53" w:rsidRPr="00A8224C" w14:paraId="5BDE3AB7" w14:textId="77777777" w:rsidTr="00A94FE9">
        <w:trPr>
          <w:trHeight w:val="40"/>
        </w:trPr>
        <w:tc>
          <w:tcPr>
            <w:tcW w:w="2552" w:type="dxa"/>
          </w:tcPr>
          <w:p w14:paraId="28314905"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ALVSR</w:t>
            </w:r>
          </w:p>
        </w:tc>
        <w:tc>
          <w:tcPr>
            <w:tcW w:w="6379" w:type="dxa"/>
          </w:tcPr>
          <w:p w14:paraId="05CB1B2D" w14:textId="7654775E" w:rsidR="00D26A53" w:rsidRPr="00A8224C" w:rsidRDefault="00D26A53" w:rsidP="00D26A53">
            <w:pPr>
              <w:spacing w:before="120" w:after="120"/>
              <w:ind w:left="323"/>
              <w:rPr>
                <w:rFonts w:ascii="Arial" w:hAnsi="Arial" w:cs="Arial"/>
                <w:szCs w:val="20"/>
              </w:rPr>
            </w:pPr>
            <w:r w:rsidRPr="00A8224C">
              <w:rPr>
                <w:rFonts w:ascii="Arial" w:hAnsi="Arial" w:cs="Arial"/>
                <w:szCs w:val="20"/>
              </w:rPr>
              <w:t>Australia</w:t>
            </w:r>
            <w:r w:rsidR="00280581">
              <w:rPr>
                <w:rFonts w:ascii="Arial" w:hAnsi="Arial" w:cs="Arial"/>
                <w:szCs w:val="20"/>
              </w:rPr>
              <w:t>n</w:t>
            </w:r>
            <w:r w:rsidRPr="00A8224C">
              <w:rPr>
                <w:rFonts w:ascii="Arial" w:hAnsi="Arial" w:cs="Arial"/>
                <w:szCs w:val="20"/>
              </w:rPr>
              <w:t xml:space="preserve"> Light Vehicle Standards Rules</w:t>
            </w:r>
          </w:p>
        </w:tc>
      </w:tr>
      <w:tr w:rsidR="00D26A53" w:rsidRPr="00A8224C" w14:paraId="49483F22" w14:textId="77777777" w:rsidTr="00A94FE9">
        <w:trPr>
          <w:trHeight w:val="40"/>
        </w:trPr>
        <w:tc>
          <w:tcPr>
            <w:tcW w:w="2552" w:type="dxa"/>
          </w:tcPr>
          <w:p w14:paraId="777F6ADC"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AMSA</w:t>
            </w:r>
          </w:p>
        </w:tc>
        <w:tc>
          <w:tcPr>
            <w:tcW w:w="6379" w:type="dxa"/>
          </w:tcPr>
          <w:p w14:paraId="6E33837D"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Australian Maritime Safety Authority</w:t>
            </w:r>
          </w:p>
        </w:tc>
      </w:tr>
      <w:tr w:rsidR="00D26A53" w:rsidRPr="00A8224C" w14:paraId="4D4D75FD" w14:textId="77777777" w:rsidTr="00A94FE9">
        <w:trPr>
          <w:trHeight w:val="248"/>
        </w:trPr>
        <w:tc>
          <w:tcPr>
            <w:tcW w:w="2552" w:type="dxa"/>
          </w:tcPr>
          <w:p w14:paraId="73AAC467"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ATAC</w:t>
            </w:r>
          </w:p>
        </w:tc>
        <w:tc>
          <w:tcPr>
            <w:tcW w:w="6379" w:type="dxa"/>
          </w:tcPr>
          <w:p w14:paraId="793DA770"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Australian Transport Advisory Council</w:t>
            </w:r>
          </w:p>
        </w:tc>
      </w:tr>
      <w:tr w:rsidR="00D26A53" w:rsidRPr="00A8224C" w14:paraId="5AC5CE9F" w14:textId="77777777" w:rsidTr="00A94FE9">
        <w:trPr>
          <w:trHeight w:val="285"/>
        </w:trPr>
        <w:tc>
          <w:tcPr>
            <w:tcW w:w="2552" w:type="dxa"/>
          </w:tcPr>
          <w:p w14:paraId="2FB43FF5"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ATAP</w:t>
            </w:r>
          </w:p>
        </w:tc>
        <w:tc>
          <w:tcPr>
            <w:tcW w:w="6379" w:type="dxa"/>
          </w:tcPr>
          <w:p w14:paraId="310653B3"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Australian Transport Assessment and Planning</w:t>
            </w:r>
          </w:p>
        </w:tc>
      </w:tr>
      <w:tr w:rsidR="00D26A53" w:rsidRPr="00A8224C" w14:paraId="4AABE0D1" w14:textId="77777777" w:rsidTr="00A94FE9">
        <w:trPr>
          <w:trHeight w:val="248"/>
        </w:trPr>
        <w:tc>
          <w:tcPr>
            <w:tcW w:w="2552" w:type="dxa"/>
          </w:tcPr>
          <w:p w14:paraId="7194865F"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BITRE</w:t>
            </w:r>
          </w:p>
        </w:tc>
        <w:tc>
          <w:tcPr>
            <w:tcW w:w="6379" w:type="dxa"/>
          </w:tcPr>
          <w:p w14:paraId="69F3D7D4"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Bureau of Infrastructure, Transport and Regional Economics</w:t>
            </w:r>
          </w:p>
        </w:tc>
      </w:tr>
      <w:tr w:rsidR="00D26A53" w:rsidRPr="00A8224C" w14:paraId="1B3EDE52" w14:textId="77777777" w:rsidTr="00A94FE9">
        <w:trPr>
          <w:trHeight w:val="40"/>
        </w:trPr>
        <w:tc>
          <w:tcPr>
            <w:tcW w:w="2552" w:type="dxa"/>
          </w:tcPr>
          <w:p w14:paraId="3EDC94FB"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BRV</w:t>
            </w:r>
          </w:p>
        </w:tc>
        <w:tc>
          <w:tcPr>
            <w:tcW w:w="6379" w:type="dxa"/>
          </w:tcPr>
          <w:p w14:paraId="2F4C3FF8"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Better Regulation Victoria</w:t>
            </w:r>
          </w:p>
        </w:tc>
      </w:tr>
      <w:tr w:rsidR="00D26A53" w:rsidRPr="00A8224C" w14:paraId="12876EF4" w14:textId="77777777" w:rsidTr="00A94FE9">
        <w:trPr>
          <w:trHeight w:val="40"/>
        </w:trPr>
        <w:tc>
          <w:tcPr>
            <w:tcW w:w="2552" w:type="dxa"/>
          </w:tcPr>
          <w:p w14:paraId="55E39F5E"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BSV</w:t>
            </w:r>
          </w:p>
        </w:tc>
        <w:tc>
          <w:tcPr>
            <w:tcW w:w="6379" w:type="dxa"/>
          </w:tcPr>
          <w:p w14:paraId="1865C01A"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Bus Safety Victoria</w:t>
            </w:r>
          </w:p>
        </w:tc>
      </w:tr>
      <w:tr w:rsidR="00D26A53" w:rsidRPr="00A8224C" w14:paraId="147273E7" w14:textId="77777777" w:rsidTr="00A94FE9">
        <w:trPr>
          <w:trHeight w:val="192"/>
        </w:trPr>
        <w:tc>
          <w:tcPr>
            <w:tcW w:w="2552" w:type="dxa"/>
          </w:tcPr>
          <w:p w14:paraId="70B84162"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DoT</w:t>
            </w:r>
          </w:p>
        </w:tc>
        <w:tc>
          <w:tcPr>
            <w:tcW w:w="6379" w:type="dxa"/>
          </w:tcPr>
          <w:p w14:paraId="67B13606"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Department of Transport</w:t>
            </w:r>
          </w:p>
        </w:tc>
      </w:tr>
      <w:tr w:rsidR="00D26A53" w:rsidRPr="00A8224C" w14:paraId="130774E9" w14:textId="77777777" w:rsidTr="00A94FE9">
        <w:trPr>
          <w:trHeight w:val="232"/>
        </w:trPr>
        <w:tc>
          <w:tcPr>
            <w:tcW w:w="2552" w:type="dxa"/>
          </w:tcPr>
          <w:p w14:paraId="05D511BB"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EAC</w:t>
            </w:r>
          </w:p>
        </w:tc>
        <w:tc>
          <w:tcPr>
            <w:tcW w:w="6379" w:type="dxa"/>
          </w:tcPr>
          <w:p w14:paraId="5A15D7DF"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Equivalent Annual Cost</w:t>
            </w:r>
          </w:p>
        </w:tc>
      </w:tr>
      <w:tr w:rsidR="00D26A53" w:rsidRPr="00A8224C" w14:paraId="4FA673D6" w14:textId="77777777" w:rsidTr="00A94FE9">
        <w:trPr>
          <w:trHeight w:val="240"/>
        </w:trPr>
        <w:tc>
          <w:tcPr>
            <w:tcW w:w="2552" w:type="dxa"/>
          </w:tcPr>
          <w:p w14:paraId="201CBB87"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HVNL</w:t>
            </w:r>
          </w:p>
        </w:tc>
        <w:tc>
          <w:tcPr>
            <w:tcW w:w="6379" w:type="dxa"/>
          </w:tcPr>
          <w:p w14:paraId="0952FC51" w14:textId="77777777" w:rsidR="00D26A53" w:rsidRPr="00A8224C" w:rsidRDefault="00D26A53" w:rsidP="00D26A53">
            <w:pPr>
              <w:spacing w:before="120" w:after="120"/>
              <w:ind w:left="323"/>
              <w:rPr>
                <w:rFonts w:ascii="Arial" w:hAnsi="Arial" w:cs="Arial"/>
                <w:szCs w:val="20"/>
              </w:rPr>
            </w:pPr>
            <w:r w:rsidRPr="00A8224C">
              <w:rPr>
                <w:rFonts w:ascii="Arial" w:hAnsi="Arial" w:cs="Arial"/>
                <w:i/>
                <w:iCs/>
                <w:szCs w:val="20"/>
              </w:rPr>
              <w:t>Heavy Vehicle National Law</w:t>
            </w:r>
          </w:p>
        </w:tc>
      </w:tr>
      <w:tr w:rsidR="00D26A53" w:rsidRPr="00A8224C" w14:paraId="23756FF0" w14:textId="77777777" w:rsidTr="00A94FE9">
        <w:trPr>
          <w:trHeight w:val="40"/>
        </w:trPr>
        <w:tc>
          <w:tcPr>
            <w:tcW w:w="2552" w:type="dxa"/>
          </w:tcPr>
          <w:p w14:paraId="3FB6AC5D"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LBT</w:t>
            </w:r>
          </w:p>
        </w:tc>
        <w:tc>
          <w:tcPr>
            <w:tcW w:w="6379" w:type="dxa"/>
          </w:tcPr>
          <w:p w14:paraId="5DFF3A89"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 xml:space="preserve">Licensed Bus Tester </w:t>
            </w:r>
          </w:p>
        </w:tc>
      </w:tr>
      <w:tr w:rsidR="00D26A53" w:rsidRPr="00A8224C" w14:paraId="41C303B6" w14:textId="77777777" w:rsidTr="00A94FE9">
        <w:trPr>
          <w:trHeight w:val="247"/>
        </w:trPr>
        <w:tc>
          <w:tcPr>
            <w:tcW w:w="2552" w:type="dxa"/>
          </w:tcPr>
          <w:p w14:paraId="6B541FAE"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MCA</w:t>
            </w:r>
          </w:p>
        </w:tc>
        <w:tc>
          <w:tcPr>
            <w:tcW w:w="6379" w:type="dxa"/>
          </w:tcPr>
          <w:p w14:paraId="155039B8"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 xml:space="preserve">Multi-criteria Analysis </w:t>
            </w:r>
          </w:p>
        </w:tc>
      </w:tr>
      <w:tr w:rsidR="00D26A53" w:rsidRPr="00A8224C" w14:paraId="614D4AFC" w14:textId="77777777" w:rsidTr="00A94FE9">
        <w:trPr>
          <w:trHeight w:val="225"/>
        </w:trPr>
        <w:tc>
          <w:tcPr>
            <w:tcW w:w="2552" w:type="dxa"/>
          </w:tcPr>
          <w:p w14:paraId="71723BF9"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MMS</w:t>
            </w:r>
          </w:p>
        </w:tc>
        <w:tc>
          <w:tcPr>
            <w:tcW w:w="6379" w:type="dxa"/>
          </w:tcPr>
          <w:p w14:paraId="4673BE03"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Maintenance Management System</w:t>
            </w:r>
          </w:p>
        </w:tc>
      </w:tr>
      <w:tr w:rsidR="00D26A53" w:rsidRPr="00A8224C" w14:paraId="4A0A94D4" w14:textId="77777777" w:rsidTr="00A94FE9">
        <w:trPr>
          <w:trHeight w:val="308"/>
        </w:trPr>
        <w:tc>
          <w:tcPr>
            <w:tcW w:w="2552" w:type="dxa"/>
          </w:tcPr>
          <w:p w14:paraId="6D4293D7"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MIS</w:t>
            </w:r>
          </w:p>
        </w:tc>
        <w:tc>
          <w:tcPr>
            <w:tcW w:w="6379" w:type="dxa"/>
          </w:tcPr>
          <w:p w14:paraId="2E2E8755"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Management Information System</w:t>
            </w:r>
          </w:p>
        </w:tc>
      </w:tr>
      <w:tr w:rsidR="00D26A53" w:rsidRPr="00A8224C" w14:paraId="4A1C4151" w14:textId="77777777" w:rsidTr="00A94FE9">
        <w:trPr>
          <w:trHeight w:val="262"/>
        </w:trPr>
        <w:tc>
          <w:tcPr>
            <w:tcW w:w="2552" w:type="dxa"/>
          </w:tcPr>
          <w:p w14:paraId="12FC77C3"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NPV</w:t>
            </w:r>
          </w:p>
        </w:tc>
        <w:tc>
          <w:tcPr>
            <w:tcW w:w="6379" w:type="dxa"/>
          </w:tcPr>
          <w:p w14:paraId="7A8B3925"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Net Present Value</w:t>
            </w:r>
          </w:p>
        </w:tc>
      </w:tr>
      <w:tr w:rsidR="00D26A53" w:rsidRPr="00A8224C" w14:paraId="7CE938A5" w14:textId="77777777" w:rsidTr="00A94FE9">
        <w:trPr>
          <w:trHeight w:val="300"/>
        </w:trPr>
        <w:tc>
          <w:tcPr>
            <w:tcW w:w="2552" w:type="dxa"/>
          </w:tcPr>
          <w:p w14:paraId="3902AA73"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OHS Act</w:t>
            </w:r>
          </w:p>
        </w:tc>
        <w:tc>
          <w:tcPr>
            <w:tcW w:w="6379" w:type="dxa"/>
          </w:tcPr>
          <w:p w14:paraId="3651D871" w14:textId="77777777" w:rsidR="00D26A53" w:rsidRPr="00A8224C" w:rsidRDefault="00D26A53" w:rsidP="00D26A53">
            <w:pPr>
              <w:spacing w:before="120" w:after="120"/>
              <w:ind w:left="323"/>
              <w:rPr>
                <w:rFonts w:ascii="Arial" w:hAnsi="Arial" w:cs="Arial"/>
                <w:szCs w:val="20"/>
              </w:rPr>
            </w:pPr>
            <w:r w:rsidRPr="00A8224C">
              <w:rPr>
                <w:rFonts w:ascii="Arial" w:hAnsi="Arial" w:cs="Arial"/>
                <w:i/>
                <w:iCs/>
                <w:szCs w:val="20"/>
              </w:rPr>
              <w:t>Occupational Health and Safety Act 2004</w:t>
            </w:r>
          </w:p>
        </w:tc>
      </w:tr>
      <w:tr w:rsidR="00D26A53" w:rsidRPr="00A8224C" w14:paraId="428F29C0" w14:textId="77777777" w:rsidTr="00A94FE9">
        <w:trPr>
          <w:trHeight w:val="232"/>
        </w:trPr>
        <w:tc>
          <w:tcPr>
            <w:tcW w:w="2552" w:type="dxa"/>
          </w:tcPr>
          <w:p w14:paraId="1A2F0ABA"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ONRSR</w:t>
            </w:r>
          </w:p>
        </w:tc>
        <w:tc>
          <w:tcPr>
            <w:tcW w:w="6379" w:type="dxa"/>
          </w:tcPr>
          <w:p w14:paraId="19BB53EB"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Office of the National Rail Safety Regulator</w:t>
            </w:r>
          </w:p>
        </w:tc>
      </w:tr>
      <w:tr w:rsidR="00D26A53" w:rsidRPr="00A8224C" w14:paraId="66DD0D85" w14:textId="77777777" w:rsidTr="00A94FE9">
        <w:trPr>
          <w:trHeight w:val="300"/>
        </w:trPr>
        <w:tc>
          <w:tcPr>
            <w:tcW w:w="2552" w:type="dxa"/>
          </w:tcPr>
          <w:p w14:paraId="09417A41"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RSV</w:t>
            </w:r>
          </w:p>
        </w:tc>
        <w:tc>
          <w:tcPr>
            <w:tcW w:w="6379" w:type="dxa"/>
          </w:tcPr>
          <w:p w14:paraId="2FFBB860"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Road Safety Victoria</w:t>
            </w:r>
          </w:p>
        </w:tc>
      </w:tr>
      <w:tr w:rsidR="00D26A53" w:rsidRPr="00A8224C" w14:paraId="7AE487B5" w14:textId="77777777" w:rsidTr="00A94FE9">
        <w:trPr>
          <w:trHeight w:val="240"/>
        </w:trPr>
        <w:tc>
          <w:tcPr>
            <w:tcW w:w="2552" w:type="dxa"/>
          </w:tcPr>
          <w:p w14:paraId="495C8E91"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RIS</w:t>
            </w:r>
          </w:p>
        </w:tc>
        <w:tc>
          <w:tcPr>
            <w:tcW w:w="6379" w:type="dxa"/>
          </w:tcPr>
          <w:p w14:paraId="7ED6360D"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Regulatory Impact Statement</w:t>
            </w:r>
          </w:p>
        </w:tc>
      </w:tr>
      <w:tr w:rsidR="00D26A53" w:rsidRPr="00A8224C" w14:paraId="478C8F29" w14:textId="77777777" w:rsidTr="00A94FE9">
        <w:trPr>
          <w:trHeight w:val="300"/>
        </w:trPr>
        <w:tc>
          <w:tcPr>
            <w:tcW w:w="2552" w:type="dxa"/>
          </w:tcPr>
          <w:p w14:paraId="2C3715AE"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SLA</w:t>
            </w:r>
          </w:p>
        </w:tc>
        <w:tc>
          <w:tcPr>
            <w:tcW w:w="6379" w:type="dxa"/>
          </w:tcPr>
          <w:p w14:paraId="58476F7A" w14:textId="77777777" w:rsidR="00D26A53" w:rsidRPr="00A8224C" w:rsidRDefault="00D26A53" w:rsidP="00D26A53">
            <w:pPr>
              <w:spacing w:before="120" w:after="120"/>
              <w:ind w:left="323"/>
              <w:rPr>
                <w:rFonts w:ascii="Arial" w:hAnsi="Arial" w:cs="Arial"/>
                <w:szCs w:val="20"/>
              </w:rPr>
            </w:pPr>
            <w:r w:rsidRPr="00A8224C">
              <w:rPr>
                <w:rFonts w:ascii="Arial" w:hAnsi="Arial" w:cs="Arial"/>
                <w:i/>
                <w:iCs/>
                <w:szCs w:val="20"/>
              </w:rPr>
              <w:t>Subordinate Legislation Act 1994</w:t>
            </w:r>
          </w:p>
        </w:tc>
      </w:tr>
      <w:tr w:rsidR="00D26A53" w:rsidRPr="00A8224C" w14:paraId="6CAF43C2" w14:textId="77777777" w:rsidTr="00A94FE9">
        <w:trPr>
          <w:trHeight w:val="40"/>
        </w:trPr>
        <w:tc>
          <w:tcPr>
            <w:tcW w:w="2552" w:type="dxa"/>
          </w:tcPr>
          <w:p w14:paraId="765CEAB0"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TSV</w:t>
            </w:r>
          </w:p>
        </w:tc>
        <w:tc>
          <w:tcPr>
            <w:tcW w:w="6379" w:type="dxa"/>
          </w:tcPr>
          <w:p w14:paraId="65A45720"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Transport Safety Victoria</w:t>
            </w:r>
          </w:p>
        </w:tc>
      </w:tr>
      <w:tr w:rsidR="00D26A53" w:rsidRPr="00A8224C" w14:paraId="272EFE97" w14:textId="77777777" w:rsidTr="00A94FE9">
        <w:trPr>
          <w:trHeight w:val="40"/>
        </w:trPr>
        <w:tc>
          <w:tcPr>
            <w:tcW w:w="2552" w:type="dxa"/>
          </w:tcPr>
          <w:p w14:paraId="1AC76137"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VASS</w:t>
            </w:r>
          </w:p>
        </w:tc>
        <w:tc>
          <w:tcPr>
            <w:tcW w:w="6379" w:type="dxa"/>
          </w:tcPr>
          <w:p w14:paraId="6DE938A5"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Vehicle Assessment Signatory Scheme</w:t>
            </w:r>
          </w:p>
        </w:tc>
      </w:tr>
      <w:tr w:rsidR="00D26A53" w:rsidRPr="00A8224C" w14:paraId="10838D2F" w14:textId="77777777" w:rsidTr="00A94FE9">
        <w:trPr>
          <w:trHeight w:val="210"/>
        </w:trPr>
        <w:tc>
          <w:tcPr>
            <w:tcW w:w="2552" w:type="dxa"/>
          </w:tcPr>
          <w:p w14:paraId="50E9A904"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Vehicle Regulations</w:t>
            </w:r>
          </w:p>
        </w:tc>
        <w:tc>
          <w:tcPr>
            <w:tcW w:w="6379" w:type="dxa"/>
          </w:tcPr>
          <w:p w14:paraId="2F05E734" w14:textId="77777777" w:rsidR="00D26A53" w:rsidRPr="00A8224C" w:rsidRDefault="00D26A53" w:rsidP="00D26A53">
            <w:pPr>
              <w:spacing w:before="120" w:after="120"/>
              <w:ind w:left="323"/>
              <w:rPr>
                <w:rFonts w:ascii="Arial" w:hAnsi="Arial" w:cs="Arial"/>
                <w:szCs w:val="20"/>
              </w:rPr>
            </w:pPr>
            <w:r w:rsidRPr="00A8224C">
              <w:rPr>
                <w:rFonts w:ascii="Arial" w:hAnsi="Arial" w:cs="Arial"/>
                <w:szCs w:val="20"/>
              </w:rPr>
              <w:t>Road Safety (Vehicle) Regulations 2009</w:t>
            </w:r>
          </w:p>
        </w:tc>
      </w:tr>
      <w:tr w:rsidR="00D26A53" w:rsidRPr="00A8224C" w14:paraId="3C077B5C" w14:textId="77777777" w:rsidTr="00A94FE9">
        <w:trPr>
          <w:trHeight w:val="40"/>
        </w:trPr>
        <w:tc>
          <w:tcPr>
            <w:tcW w:w="2552" w:type="dxa"/>
          </w:tcPr>
          <w:p w14:paraId="21CC0F01" w14:textId="77777777" w:rsidR="00D26A53" w:rsidRPr="00A8224C" w:rsidRDefault="00D26A53" w:rsidP="005E479A">
            <w:pPr>
              <w:spacing w:before="120" w:after="120"/>
              <w:ind w:left="323"/>
              <w:rPr>
                <w:rFonts w:ascii="Arial" w:hAnsi="Arial" w:cs="Arial"/>
                <w:szCs w:val="20"/>
              </w:rPr>
            </w:pPr>
            <w:r w:rsidRPr="00A8224C">
              <w:rPr>
                <w:rFonts w:ascii="Arial" w:hAnsi="Arial" w:cs="Arial"/>
                <w:szCs w:val="20"/>
              </w:rPr>
              <w:t>VIN</w:t>
            </w:r>
          </w:p>
        </w:tc>
        <w:tc>
          <w:tcPr>
            <w:tcW w:w="6379" w:type="dxa"/>
          </w:tcPr>
          <w:p w14:paraId="2C68656B" w14:textId="77777777" w:rsidR="00D26A53" w:rsidRPr="00A8224C" w:rsidRDefault="00D26A53" w:rsidP="005E479A">
            <w:pPr>
              <w:spacing w:before="120" w:after="120"/>
              <w:ind w:left="323"/>
              <w:rPr>
                <w:rFonts w:ascii="Arial" w:hAnsi="Arial" w:cs="Arial"/>
                <w:szCs w:val="20"/>
              </w:rPr>
            </w:pPr>
            <w:r w:rsidRPr="00A8224C">
              <w:rPr>
                <w:rFonts w:ascii="Arial" w:hAnsi="Arial" w:cs="Arial"/>
                <w:szCs w:val="20"/>
              </w:rPr>
              <w:t>Vehicle Identification Number</w:t>
            </w:r>
          </w:p>
        </w:tc>
      </w:tr>
    </w:tbl>
    <w:p w14:paraId="4EA07EE6" w14:textId="5E77F1B3" w:rsidR="0015211E" w:rsidRPr="00121A3F" w:rsidRDefault="0015211E" w:rsidP="0015211E">
      <w:pPr>
        <w:pStyle w:val="Heading1"/>
      </w:pPr>
      <w:bookmarkStart w:id="2" w:name="_Toc45704286"/>
      <w:r>
        <w:lastRenderedPageBreak/>
        <w:t>Executive Summary</w:t>
      </w:r>
      <w:bookmarkEnd w:id="1"/>
      <w:bookmarkEnd w:id="2"/>
    </w:p>
    <w:p w14:paraId="571B67D7" w14:textId="77777777" w:rsidR="00985302" w:rsidRPr="008E78BC" w:rsidRDefault="00985302" w:rsidP="00985302">
      <w:pPr>
        <w:rPr>
          <w:rFonts w:ascii="Arial" w:hAnsi="Arial" w:cs="Arial"/>
          <w:szCs w:val="20"/>
        </w:rPr>
      </w:pPr>
      <w:r w:rsidRPr="008E78BC">
        <w:rPr>
          <w:rFonts w:ascii="Arial" w:hAnsi="Arial" w:cs="Arial"/>
          <w:szCs w:val="20"/>
        </w:rPr>
        <w:t xml:space="preserve">The </w:t>
      </w:r>
      <w:r w:rsidRPr="008E78BC">
        <w:rPr>
          <w:rFonts w:ascii="Arial" w:hAnsi="Arial" w:cs="Arial"/>
          <w:i/>
          <w:szCs w:val="20"/>
        </w:rPr>
        <w:t>Bus Safety Act 2009</w:t>
      </w:r>
      <w:r w:rsidRPr="008E78BC">
        <w:rPr>
          <w:rFonts w:ascii="Arial" w:hAnsi="Arial" w:cs="Arial"/>
          <w:szCs w:val="20"/>
        </w:rPr>
        <w:t xml:space="preserve"> commenced December 2010 and is the prime statue regulating the safety of </w:t>
      </w:r>
      <w:bookmarkStart w:id="3" w:name="_Hlk43473863"/>
      <w:r w:rsidRPr="008E78BC">
        <w:rPr>
          <w:rFonts w:ascii="Arial" w:hAnsi="Arial" w:cs="Arial"/>
          <w:szCs w:val="20"/>
        </w:rPr>
        <w:t xml:space="preserve">bus operations across the State. The purpose of the Bus Safety Act is to prevent deaths and injuries arising from bus operations and services by facilitating better hazard identification and better risk management. </w:t>
      </w:r>
    </w:p>
    <w:p w14:paraId="516B7C0B" w14:textId="77777777" w:rsidR="00985302" w:rsidRPr="008E78BC" w:rsidRDefault="00985302" w:rsidP="009D2A96">
      <w:pPr>
        <w:spacing w:after="0" w:line="240" w:lineRule="atLeast"/>
        <w:rPr>
          <w:rFonts w:ascii="Arial" w:hAnsi="Arial" w:cs="Arial"/>
          <w:szCs w:val="20"/>
        </w:rPr>
      </w:pPr>
      <w:r w:rsidRPr="008E78BC">
        <w:rPr>
          <w:rFonts w:ascii="Arial" w:hAnsi="Arial" w:cs="Arial"/>
          <w:szCs w:val="20"/>
        </w:rPr>
        <w:t>The Bus Safety Act established a broad-based safety duties scheme applicable to all bus operators and other parties who have a role in providing bus services. Operators of large buses continued to be regulated through an accreditation scheme and new safety standards were introduced to the small, or mini-bus sector, through a registration scheme.</w:t>
      </w:r>
    </w:p>
    <w:p w14:paraId="2382A324" w14:textId="77777777" w:rsidR="00985302" w:rsidRPr="008E78BC" w:rsidRDefault="00985302" w:rsidP="009D2A96">
      <w:pPr>
        <w:spacing w:after="0" w:line="240" w:lineRule="atLeast"/>
        <w:rPr>
          <w:rFonts w:ascii="Arial" w:hAnsi="Arial" w:cs="Arial"/>
          <w:szCs w:val="20"/>
        </w:rPr>
      </w:pPr>
      <w:r w:rsidRPr="008E78BC">
        <w:rPr>
          <w:rFonts w:ascii="Arial" w:hAnsi="Arial" w:cs="Arial"/>
          <w:szCs w:val="20"/>
        </w:rPr>
        <w:t>Bus Safety Victoria (BSV) is</w:t>
      </w:r>
      <w:r>
        <w:rPr>
          <w:rFonts w:ascii="Arial" w:hAnsi="Arial" w:cs="Arial"/>
          <w:szCs w:val="20"/>
        </w:rPr>
        <w:t xml:space="preserve"> a</w:t>
      </w:r>
      <w:r w:rsidRPr="008E78BC">
        <w:rPr>
          <w:rFonts w:ascii="Arial" w:hAnsi="Arial" w:cs="Arial"/>
          <w:szCs w:val="20"/>
        </w:rPr>
        <w:t xml:space="preserve"> branch of Transport Safety Victoria (TSV) whose role as the regulator derives from the powers and functions of the Safety Director described in Part 7, Division 1 of the </w:t>
      </w:r>
      <w:r w:rsidRPr="008E78BC">
        <w:rPr>
          <w:rFonts w:ascii="Arial" w:hAnsi="Arial" w:cs="Arial"/>
          <w:i/>
          <w:szCs w:val="20"/>
        </w:rPr>
        <w:t>Transport Integration Act 2010</w:t>
      </w:r>
      <w:r w:rsidRPr="008E78BC">
        <w:rPr>
          <w:rFonts w:ascii="Arial" w:hAnsi="Arial" w:cs="Arial"/>
          <w:szCs w:val="20"/>
        </w:rPr>
        <w:t xml:space="preserve">.  </w:t>
      </w:r>
    </w:p>
    <w:p w14:paraId="65B95A31" w14:textId="77777777" w:rsidR="00985302" w:rsidRPr="008E78BC" w:rsidRDefault="00985302" w:rsidP="00985302">
      <w:pPr>
        <w:spacing w:after="0" w:line="240" w:lineRule="atLeast"/>
        <w:jc w:val="both"/>
        <w:rPr>
          <w:rFonts w:ascii="Arial" w:hAnsi="Arial" w:cs="Arial"/>
          <w:szCs w:val="20"/>
        </w:rPr>
      </w:pPr>
      <w:r w:rsidRPr="008E78BC">
        <w:rPr>
          <w:rFonts w:ascii="Arial" w:hAnsi="Arial" w:cs="Arial"/>
          <w:szCs w:val="20"/>
        </w:rPr>
        <w:t xml:space="preserve">While </w:t>
      </w:r>
      <w:r>
        <w:rPr>
          <w:rFonts w:ascii="Arial" w:hAnsi="Arial" w:cs="Arial"/>
          <w:szCs w:val="20"/>
        </w:rPr>
        <w:t>the Department of Transport (DoT)</w:t>
      </w:r>
      <w:r w:rsidRPr="008E78BC">
        <w:rPr>
          <w:rFonts w:ascii="Arial" w:hAnsi="Arial" w:cs="Arial"/>
          <w:szCs w:val="20"/>
        </w:rPr>
        <w:t xml:space="preserve"> has no safety regulatory role, it </w:t>
      </w:r>
      <w:r>
        <w:rPr>
          <w:rFonts w:ascii="Arial" w:hAnsi="Arial" w:cs="Arial"/>
          <w:szCs w:val="20"/>
        </w:rPr>
        <w:t>does have a role in</w:t>
      </w:r>
      <w:r w:rsidRPr="008E78BC">
        <w:rPr>
          <w:rFonts w:ascii="Arial" w:hAnsi="Arial" w:cs="Arial"/>
          <w:szCs w:val="20"/>
        </w:rPr>
        <w:t xml:space="preserve"> manag</w:t>
      </w:r>
      <w:r>
        <w:rPr>
          <w:rFonts w:ascii="Arial" w:hAnsi="Arial" w:cs="Arial"/>
          <w:szCs w:val="20"/>
        </w:rPr>
        <w:t>ing</w:t>
      </w:r>
      <w:r w:rsidRPr="008E78BC">
        <w:rPr>
          <w:rFonts w:ascii="Arial" w:hAnsi="Arial" w:cs="Arial"/>
          <w:szCs w:val="20"/>
        </w:rPr>
        <w:t xml:space="preserve"> the delivery of contracted passenger bus services in metropolitan and regional areas.</w:t>
      </w:r>
    </w:p>
    <w:p w14:paraId="12C5F9E6" w14:textId="77777777" w:rsidR="00985302" w:rsidRPr="008E78BC" w:rsidRDefault="00985302" w:rsidP="00985302">
      <w:pPr>
        <w:rPr>
          <w:rFonts w:ascii="Arial" w:hAnsi="Arial" w:cs="Arial"/>
          <w:szCs w:val="20"/>
        </w:rPr>
      </w:pPr>
      <w:r w:rsidRPr="008E78BC">
        <w:rPr>
          <w:rFonts w:ascii="Arial" w:hAnsi="Arial" w:cs="Arial"/>
          <w:szCs w:val="20"/>
        </w:rPr>
        <w:t xml:space="preserve">The Bus Safety Regulations 2010 (the Regulations) commenced at the same time as the Bus Safety Act. The objective of the Regulations is to provide for the safety of bus services in Victoria by giving effect to the key provisions of the Bus Safety Act. </w:t>
      </w:r>
    </w:p>
    <w:p w14:paraId="501095D7" w14:textId="3BA09BEE" w:rsidR="00985302" w:rsidRPr="008E78BC" w:rsidRDefault="00985302" w:rsidP="00985302">
      <w:pPr>
        <w:rPr>
          <w:rFonts w:ascii="Arial" w:hAnsi="Arial" w:cs="Arial"/>
          <w:szCs w:val="20"/>
        </w:rPr>
      </w:pPr>
      <w:r>
        <w:rPr>
          <w:rFonts w:ascii="Arial" w:hAnsi="Arial" w:cs="Arial"/>
          <w:szCs w:val="20"/>
        </w:rPr>
        <w:t xml:space="preserve">The Bus Safety Regulations 2010 will sunset on 12 October 2020. The Department has reviewed these regulations to assess whether the regulations should be remade and whether there is any opportunity to improve their operation. This regulatory impact statement </w:t>
      </w:r>
      <w:r w:rsidR="00C32EC9">
        <w:rPr>
          <w:rFonts w:ascii="Arial" w:hAnsi="Arial" w:cs="Arial"/>
          <w:szCs w:val="20"/>
        </w:rPr>
        <w:t xml:space="preserve">(RIS) </w:t>
      </w:r>
      <w:r>
        <w:rPr>
          <w:rFonts w:ascii="Arial" w:hAnsi="Arial" w:cs="Arial"/>
          <w:szCs w:val="20"/>
        </w:rPr>
        <w:t xml:space="preserve">summarises the nature and extent of the problem that gives rise to the need for regulation, various options to address the identified problems, and an assessment of the impacts of those options. </w:t>
      </w:r>
      <w:r w:rsidRPr="008E78BC">
        <w:rPr>
          <w:rFonts w:ascii="Arial" w:hAnsi="Arial" w:cs="Arial"/>
          <w:szCs w:val="20"/>
        </w:rPr>
        <w:t>Th</w:t>
      </w:r>
      <w:r>
        <w:rPr>
          <w:rFonts w:ascii="Arial" w:hAnsi="Arial" w:cs="Arial"/>
          <w:szCs w:val="20"/>
        </w:rPr>
        <w:t>is</w:t>
      </w:r>
      <w:r w:rsidRPr="008E78BC">
        <w:rPr>
          <w:rFonts w:ascii="Arial" w:hAnsi="Arial" w:cs="Arial"/>
          <w:szCs w:val="20"/>
        </w:rPr>
        <w:t xml:space="preserve"> RIS has been prepared in accordance with requirements of the </w:t>
      </w:r>
      <w:r w:rsidRPr="008E78BC">
        <w:rPr>
          <w:rFonts w:ascii="Arial" w:hAnsi="Arial" w:cs="Arial"/>
          <w:i/>
          <w:szCs w:val="20"/>
        </w:rPr>
        <w:t>Subordinate Legislation Act 1994</w:t>
      </w:r>
      <w:r w:rsidRPr="008E78BC">
        <w:rPr>
          <w:rFonts w:ascii="Arial" w:hAnsi="Arial" w:cs="Arial"/>
          <w:szCs w:val="20"/>
        </w:rPr>
        <w:t xml:space="preserve"> (the SLA) and the </w:t>
      </w:r>
      <w:r w:rsidRPr="008E78BC">
        <w:rPr>
          <w:rFonts w:ascii="Arial" w:hAnsi="Arial" w:cs="Arial"/>
          <w:i/>
          <w:szCs w:val="20"/>
        </w:rPr>
        <w:t>Victorian Guide to Regulation</w:t>
      </w:r>
      <w:r w:rsidRPr="008E78BC">
        <w:rPr>
          <w:rFonts w:ascii="Arial" w:hAnsi="Arial" w:cs="Arial"/>
          <w:szCs w:val="20"/>
        </w:rPr>
        <w:t xml:space="preserve">. </w:t>
      </w:r>
    </w:p>
    <w:p w14:paraId="2751362B" w14:textId="77777777" w:rsidR="00985302" w:rsidRPr="008E78BC" w:rsidRDefault="00985302" w:rsidP="00985302">
      <w:pPr>
        <w:rPr>
          <w:rFonts w:ascii="Arial" w:hAnsi="Arial" w:cs="Arial"/>
          <w:szCs w:val="20"/>
        </w:rPr>
      </w:pPr>
      <w:r w:rsidRPr="008E78BC">
        <w:rPr>
          <w:rFonts w:ascii="Arial" w:hAnsi="Arial" w:cs="Arial"/>
          <w:szCs w:val="20"/>
        </w:rPr>
        <w:t>The Commissioner for Better Regulation is responsible for providing independent advice</w:t>
      </w:r>
      <w:r>
        <w:rPr>
          <w:rFonts w:ascii="Arial" w:hAnsi="Arial" w:cs="Arial"/>
          <w:szCs w:val="20"/>
        </w:rPr>
        <w:t xml:space="preserve"> and</w:t>
      </w:r>
      <w:r w:rsidRPr="008E78BC">
        <w:rPr>
          <w:rFonts w:ascii="Arial" w:hAnsi="Arial" w:cs="Arial"/>
          <w:szCs w:val="20"/>
        </w:rPr>
        <w:t xml:space="preserve"> reviewing the adequacy of RIS</w:t>
      </w:r>
      <w:r>
        <w:rPr>
          <w:rFonts w:ascii="Arial" w:hAnsi="Arial" w:cs="Arial"/>
          <w:szCs w:val="20"/>
        </w:rPr>
        <w:t>s for public consultation purposes</w:t>
      </w:r>
      <w:r w:rsidRPr="008E78BC">
        <w:rPr>
          <w:rFonts w:ascii="Arial" w:hAnsi="Arial" w:cs="Arial"/>
          <w:szCs w:val="20"/>
        </w:rPr>
        <w:t xml:space="preserve">. Better Regulation Victoria (BRV) supports the Commissioner for Better Regulation and makes its assessment of adequacy relative to the </w:t>
      </w:r>
      <w:r>
        <w:rPr>
          <w:rFonts w:ascii="Arial" w:hAnsi="Arial" w:cs="Arial"/>
          <w:szCs w:val="20"/>
        </w:rPr>
        <w:t xml:space="preserve">Victorian </w:t>
      </w:r>
      <w:r w:rsidRPr="008E78BC">
        <w:rPr>
          <w:rFonts w:ascii="Arial" w:hAnsi="Arial" w:cs="Arial"/>
          <w:szCs w:val="20"/>
        </w:rPr>
        <w:t>Guide</w:t>
      </w:r>
      <w:r>
        <w:rPr>
          <w:rFonts w:ascii="Arial" w:hAnsi="Arial" w:cs="Arial"/>
          <w:szCs w:val="20"/>
        </w:rPr>
        <w:t xml:space="preserve"> to Regulation</w:t>
      </w:r>
      <w:r w:rsidRPr="008E78BC">
        <w:rPr>
          <w:rFonts w:ascii="Arial" w:hAnsi="Arial" w:cs="Arial"/>
          <w:szCs w:val="20"/>
        </w:rPr>
        <w:t>.</w:t>
      </w:r>
    </w:p>
    <w:p w14:paraId="7197DA06" w14:textId="30A00D2F" w:rsidR="00985302" w:rsidRPr="00EF5AA7" w:rsidRDefault="00985302" w:rsidP="00985302">
      <w:pPr>
        <w:pStyle w:val="Heading2"/>
        <w:ind w:left="0" w:firstLine="0"/>
      </w:pPr>
      <w:bookmarkStart w:id="4" w:name="_Toc44436847"/>
      <w:bookmarkStart w:id="5" w:name="_Toc45548639"/>
      <w:bookmarkStart w:id="6" w:name="_Toc45704287"/>
      <w:r w:rsidRPr="00EF5AA7">
        <w:t xml:space="preserve">Nature </w:t>
      </w:r>
      <w:r>
        <w:t>and</w:t>
      </w:r>
      <w:r w:rsidRPr="00EF5AA7">
        <w:t xml:space="preserve"> extent of the proble</w:t>
      </w:r>
      <w:r>
        <w:t>m (</w:t>
      </w:r>
      <w:r w:rsidR="008D7AE1">
        <w:t xml:space="preserve">refer to </w:t>
      </w:r>
      <w:r w:rsidR="00BF0935">
        <w:t xml:space="preserve">Section </w:t>
      </w:r>
      <w:r>
        <w:t>3</w:t>
      </w:r>
      <w:r w:rsidRPr="00EF5AA7">
        <w:t>)</w:t>
      </w:r>
      <w:bookmarkEnd w:id="4"/>
      <w:bookmarkEnd w:id="5"/>
      <w:bookmarkEnd w:id="6"/>
    </w:p>
    <w:p w14:paraId="6994002E" w14:textId="77777777" w:rsidR="00985302" w:rsidRPr="008E78BC" w:rsidRDefault="00985302" w:rsidP="00985302">
      <w:pPr>
        <w:rPr>
          <w:rFonts w:ascii="Arial" w:hAnsi="Arial" w:cs="Arial"/>
          <w:szCs w:val="20"/>
        </w:rPr>
      </w:pPr>
      <w:r w:rsidRPr="008E78BC">
        <w:rPr>
          <w:rFonts w:ascii="Arial" w:hAnsi="Arial" w:cs="Arial"/>
          <w:szCs w:val="20"/>
        </w:rPr>
        <w:t xml:space="preserve">Bus services operate on the public roads and regularly interact with other road users. Accidents and incidents may occur during the delivery of bus services and may impact drivers of buses, bus passengers, and other road users, such as other motor vehicle drivers, cyclists, and pedestrians. </w:t>
      </w:r>
    </w:p>
    <w:p w14:paraId="6DD7C30B" w14:textId="29715587" w:rsidR="00985302" w:rsidRPr="008E78BC" w:rsidRDefault="00985302" w:rsidP="00985302">
      <w:pPr>
        <w:rPr>
          <w:rFonts w:ascii="Arial" w:hAnsi="Arial" w:cs="Arial"/>
          <w:szCs w:val="20"/>
        </w:rPr>
      </w:pPr>
      <w:r w:rsidRPr="008E78BC">
        <w:rPr>
          <w:rFonts w:ascii="Arial" w:hAnsi="Arial" w:cs="Arial"/>
          <w:szCs w:val="20"/>
        </w:rPr>
        <w:t xml:space="preserve">The actions or </w:t>
      </w:r>
      <w:r w:rsidR="007D26AB">
        <w:rPr>
          <w:rFonts w:ascii="Arial" w:hAnsi="Arial" w:cs="Arial"/>
          <w:szCs w:val="20"/>
        </w:rPr>
        <w:t>inactions of</w:t>
      </w:r>
      <w:r w:rsidRPr="008E78BC">
        <w:rPr>
          <w:rFonts w:ascii="Arial" w:hAnsi="Arial" w:cs="Arial"/>
          <w:szCs w:val="20"/>
        </w:rPr>
        <w:t xml:space="preserve"> the providers of bus services affect the safety of those services and the safety of all road users. </w:t>
      </w:r>
      <w:r>
        <w:rPr>
          <w:rFonts w:ascii="Arial" w:hAnsi="Arial" w:cs="Arial"/>
          <w:szCs w:val="20"/>
        </w:rPr>
        <w:t>If safety is not adequately managed</w:t>
      </w:r>
      <w:r w:rsidRPr="008E78BC">
        <w:rPr>
          <w:rFonts w:ascii="Arial" w:hAnsi="Arial" w:cs="Arial"/>
          <w:szCs w:val="20"/>
        </w:rPr>
        <w:t>,</w:t>
      </w:r>
      <w:r>
        <w:rPr>
          <w:rFonts w:ascii="Arial" w:hAnsi="Arial" w:cs="Arial"/>
          <w:szCs w:val="20"/>
        </w:rPr>
        <w:t xml:space="preserve"> there may be a higher level of fatalities </w:t>
      </w:r>
      <w:r w:rsidRPr="008E78BC">
        <w:rPr>
          <w:rFonts w:ascii="Arial" w:hAnsi="Arial" w:cs="Arial"/>
          <w:szCs w:val="20"/>
        </w:rPr>
        <w:t>or serious injuries</w:t>
      </w:r>
      <w:r>
        <w:rPr>
          <w:rFonts w:ascii="Arial" w:hAnsi="Arial" w:cs="Arial"/>
          <w:szCs w:val="20"/>
        </w:rPr>
        <w:t xml:space="preserve"> which may be undesirable from the community’s perspective</w:t>
      </w:r>
      <w:r w:rsidRPr="008E78BC">
        <w:rPr>
          <w:rFonts w:ascii="Arial" w:hAnsi="Arial" w:cs="Arial"/>
          <w:szCs w:val="20"/>
        </w:rPr>
        <w:t xml:space="preserve">. </w:t>
      </w:r>
    </w:p>
    <w:p w14:paraId="09627123" w14:textId="77777777" w:rsidR="00985302" w:rsidRPr="008E78BC" w:rsidRDefault="00985302" w:rsidP="00985302">
      <w:pPr>
        <w:rPr>
          <w:rFonts w:ascii="Arial" w:hAnsi="Arial" w:cs="Arial"/>
          <w:szCs w:val="20"/>
        </w:rPr>
      </w:pPr>
      <w:r w:rsidRPr="008E78BC">
        <w:rPr>
          <w:rFonts w:ascii="Arial" w:hAnsi="Arial" w:cs="Arial"/>
          <w:szCs w:val="20"/>
        </w:rPr>
        <w:t xml:space="preserve">While safety is regulated through a principle-based safety duties scheme imposed on industry participants under the Bus Safety Act, this RIS considers whether any further safety requirements </w:t>
      </w:r>
      <w:r>
        <w:rPr>
          <w:rFonts w:ascii="Arial" w:hAnsi="Arial" w:cs="Arial"/>
          <w:szCs w:val="20"/>
        </w:rPr>
        <w:t>should be prescribed in regulations</w:t>
      </w:r>
      <w:r w:rsidRPr="008E78BC">
        <w:rPr>
          <w:rFonts w:ascii="Arial" w:hAnsi="Arial" w:cs="Arial"/>
          <w:szCs w:val="20"/>
        </w:rPr>
        <w:t>.</w:t>
      </w:r>
    </w:p>
    <w:p w14:paraId="209B142C" w14:textId="77777777" w:rsidR="00985302" w:rsidRPr="008E78BC" w:rsidRDefault="00985302" w:rsidP="00985302">
      <w:pPr>
        <w:pStyle w:val="Heading3"/>
      </w:pPr>
      <w:bookmarkStart w:id="7" w:name="_Toc42262222"/>
      <w:bookmarkStart w:id="8" w:name="_Toc44436848"/>
      <w:bookmarkStart w:id="9" w:name="_Toc45548640"/>
      <w:bookmarkStart w:id="10" w:name="_Toc45704288"/>
      <w:r w:rsidRPr="008E78BC">
        <w:t>Bus safety performance</w:t>
      </w:r>
      <w:bookmarkEnd w:id="7"/>
      <w:r w:rsidRPr="008E78BC">
        <w:t xml:space="preserve"> (refer to Section 3.2 for further discussion)</w:t>
      </w:r>
      <w:bookmarkEnd w:id="8"/>
      <w:bookmarkEnd w:id="9"/>
      <w:bookmarkEnd w:id="10"/>
    </w:p>
    <w:p w14:paraId="7861A842" w14:textId="38D548A7" w:rsidR="00985302" w:rsidRPr="008E78BC" w:rsidRDefault="00985302" w:rsidP="00985302">
      <w:pPr>
        <w:rPr>
          <w:rFonts w:ascii="Arial" w:hAnsi="Arial" w:cs="Arial"/>
          <w:szCs w:val="20"/>
        </w:rPr>
      </w:pPr>
      <w:r w:rsidRPr="008E78BC">
        <w:rPr>
          <w:rFonts w:ascii="Arial" w:hAnsi="Arial" w:cs="Arial"/>
          <w:szCs w:val="20"/>
        </w:rPr>
        <w:t xml:space="preserve">Between 2011 and 2019, there were 3,651 bus related incidents </w:t>
      </w:r>
      <w:r w:rsidR="009D2A96">
        <w:rPr>
          <w:rFonts w:ascii="Arial" w:hAnsi="Arial" w:cs="Arial"/>
          <w:szCs w:val="20"/>
        </w:rPr>
        <w:t xml:space="preserve">equivalent to </w:t>
      </w:r>
      <w:r w:rsidRPr="008E78BC">
        <w:rPr>
          <w:rFonts w:ascii="Arial" w:hAnsi="Arial" w:cs="Arial"/>
          <w:szCs w:val="20"/>
        </w:rPr>
        <w:t xml:space="preserve">an average of 406 incidents involving a bus service per year. </w:t>
      </w:r>
      <w:r w:rsidR="00953C71">
        <w:rPr>
          <w:rFonts w:ascii="Arial" w:hAnsi="Arial" w:cs="Arial"/>
          <w:szCs w:val="20"/>
        </w:rPr>
        <w:t>The most prevalent types of</w:t>
      </w:r>
      <w:r w:rsidRPr="008E78BC">
        <w:rPr>
          <w:rFonts w:ascii="Arial" w:hAnsi="Arial" w:cs="Arial"/>
          <w:szCs w:val="20"/>
        </w:rPr>
        <w:t xml:space="preserve"> incidents over the period</w:t>
      </w:r>
      <w:r w:rsidR="00953C71">
        <w:rPr>
          <w:rFonts w:ascii="Arial" w:hAnsi="Arial" w:cs="Arial"/>
          <w:szCs w:val="20"/>
        </w:rPr>
        <w:t xml:space="preserve"> were</w:t>
      </w:r>
      <w:r w:rsidRPr="008E78BC">
        <w:rPr>
          <w:rFonts w:ascii="Arial" w:hAnsi="Arial" w:cs="Arial"/>
          <w:szCs w:val="20"/>
        </w:rPr>
        <w:t xml:space="preserve"> collisions (1,869 incidents) and slip, trip or fall (658 incidents). </w:t>
      </w:r>
    </w:p>
    <w:p w14:paraId="5580E8BB" w14:textId="124D1149" w:rsidR="00985302" w:rsidRPr="008E78BC" w:rsidRDefault="00985302" w:rsidP="00985302">
      <w:pPr>
        <w:rPr>
          <w:rFonts w:ascii="Arial" w:hAnsi="Arial" w:cs="Arial"/>
          <w:szCs w:val="20"/>
        </w:rPr>
      </w:pPr>
      <w:r w:rsidRPr="008E78BC">
        <w:rPr>
          <w:rFonts w:ascii="Arial" w:hAnsi="Arial" w:cs="Arial"/>
          <w:szCs w:val="20"/>
        </w:rPr>
        <w:t>There was a total of 57 recorded fatalities</w:t>
      </w:r>
      <w:r>
        <w:rPr>
          <w:rFonts w:ascii="Arial" w:hAnsi="Arial" w:cs="Arial"/>
          <w:szCs w:val="20"/>
        </w:rPr>
        <w:t xml:space="preserve"> involving a bus service</w:t>
      </w:r>
      <w:r w:rsidRPr="008E78BC">
        <w:rPr>
          <w:rFonts w:ascii="Arial" w:hAnsi="Arial" w:cs="Arial"/>
          <w:szCs w:val="20"/>
        </w:rPr>
        <w:t xml:space="preserve"> for the period 2011 to 2019 or an average of 6 fatalities per year. Collisions are associated with</w:t>
      </w:r>
      <w:r w:rsidR="00BD6E62">
        <w:rPr>
          <w:rFonts w:ascii="Arial" w:hAnsi="Arial" w:cs="Arial"/>
          <w:szCs w:val="20"/>
        </w:rPr>
        <w:t xml:space="preserve"> the most</w:t>
      </w:r>
      <w:r w:rsidRPr="008E78BC">
        <w:rPr>
          <w:rFonts w:ascii="Arial" w:hAnsi="Arial" w:cs="Arial"/>
          <w:szCs w:val="20"/>
        </w:rPr>
        <w:t xml:space="preserve"> fatalities (34 </w:t>
      </w:r>
      <w:r w:rsidR="00012051">
        <w:rPr>
          <w:rFonts w:ascii="Arial" w:hAnsi="Arial" w:cs="Arial"/>
          <w:szCs w:val="20"/>
        </w:rPr>
        <w:t>fatalities</w:t>
      </w:r>
      <w:r w:rsidR="00012051" w:rsidRPr="008E78BC">
        <w:rPr>
          <w:rFonts w:ascii="Arial" w:hAnsi="Arial" w:cs="Arial"/>
          <w:szCs w:val="20"/>
        </w:rPr>
        <w:t xml:space="preserve"> </w:t>
      </w:r>
      <w:r w:rsidRPr="008E78BC">
        <w:rPr>
          <w:rFonts w:ascii="Arial" w:hAnsi="Arial" w:cs="Arial"/>
          <w:szCs w:val="20"/>
        </w:rPr>
        <w:t xml:space="preserve">in total). The second highest cause for fatalities relates to medical episodes (15 </w:t>
      </w:r>
      <w:r w:rsidR="00751140">
        <w:rPr>
          <w:rFonts w:ascii="Arial" w:hAnsi="Arial" w:cs="Arial"/>
          <w:szCs w:val="20"/>
        </w:rPr>
        <w:t>fatalities</w:t>
      </w:r>
      <w:r w:rsidRPr="008E78BC">
        <w:rPr>
          <w:rFonts w:ascii="Arial" w:hAnsi="Arial" w:cs="Arial"/>
          <w:szCs w:val="20"/>
        </w:rPr>
        <w:t xml:space="preserve">). During this period, </w:t>
      </w:r>
      <w:r w:rsidRPr="008E78BC">
        <w:rPr>
          <w:rFonts w:ascii="Arial" w:hAnsi="Arial" w:cs="Arial"/>
          <w:szCs w:val="20"/>
        </w:rPr>
        <w:lastRenderedPageBreak/>
        <w:t xml:space="preserve">the highest number of fatalities are suffered by passengers (27 fatalities), followed by drivers of other motor vehicles (11 fatalities) and pedestrians (10 fatalities).  </w:t>
      </w:r>
    </w:p>
    <w:p w14:paraId="4D6D3868" w14:textId="2ABF9D88" w:rsidR="00985302" w:rsidRPr="008E78BC" w:rsidRDefault="00985302" w:rsidP="00985302">
      <w:pPr>
        <w:rPr>
          <w:rFonts w:ascii="Arial" w:hAnsi="Arial" w:cs="Arial"/>
          <w:szCs w:val="20"/>
        </w:rPr>
      </w:pPr>
      <w:r w:rsidRPr="008E78BC">
        <w:rPr>
          <w:rFonts w:ascii="Arial" w:hAnsi="Arial" w:cs="Arial"/>
          <w:szCs w:val="20"/>
        </w:rPr>
        <w:t>There was a total of 534 serious injuries recorded from the period 2011 to 2019 or an average of 59 serio</w:t>
      </w:r>
      <w:r w:rsidR="009D2A96">
        <w:rPr>
          <w:rFonts w:ascii="Arial" w:hAnsi="Arial" w:cs="Arial"/>
          <w:szCs w:val="20"/>
        </w:rPr>
        <w:t>u</w:t>
      </w:r>
      <w:r w:rsidRPr="008E78BC">
        <w:rPr>
          <w:rFonts w:ascii="Arial" w:hAnsi="Arial" w:cs="Arial"/>
          <w:szCs w:val="20"/>
        </w:rPr>
        <w:t>s injuries to persons per year. Collisions (273 serious injuries) make up the greatest proportion of causes for serious injuries, followed by slip</w:t>
      </w:r>
      <w:r>
        <w:rPr>
          <w:rFonts w:ascii="Arial" w:hAnsi="Arial" w:cs="Arial"/>
          <w:szCs w:val="20"/>
        </w:rPr>
        <w:t>s</w:t>
      </w:r>
      <w:r w:rsidRPr="008E78BC">
        <w:rPr>
          <w:rFonts w:ascii="Arial" w:hAnsi="Arial" w:cs="Arial"/>
          <w:szCs w:val="20"/>
        </w:rPr>
        <w:t>, trip</w:t>
      </w:r>
      <w:r>
        <w:rPr>
          <w:rFonts w:ascii="Arial" w:hAnsi="Arial" w:cs="Arial"/>
          <w:szCs w:val="20"/>
        </w:rPr>
        <w:t>s</w:t>
      </w:r>
      <w:r w:rsidRPr="008E78BC">
        <w:rPr>
          <w:rFonts w:ascii="Arial" w:hAnsi="Arial" w:cs="Arial"/>
          <w:szCs w:val="20"/>
        </w:rPr>
        <w:t xml:space="preserve"> or fall</w:t>
      </w:r>
      <w:r>
        <w:rPr>
          <w:rFonts w:ascii="Arial" w:hAnsi="Arial" w:cs="Arial"/>
          <w:szCs w:val="20"/>
        </w:rPr>
        <w:t>s</w:t>
      </w:r>
      <w:r w:rsidRPr="008E78BC">
        <w:rPr>
          <w:rFonts w:ascii="Arial" w:hAnsi="Arial" w:cs="Arial"/>
          <w:szCs w:val="20"/>
        </w:rPr>
        <w:t xml:space="preserve"> (172 serious injuries). Bus passengers suffer the majority of serious injuries (311 serious injuries), followed by drivers of other vehicles (84 serious injuries) and bus drivers (62 serious injuries).</w:t>
      </w:r>
    </w:p>
    <w:p w14:paraId="7219CBE3" w14:textId="77777777" w:rsidR="00985302" w:rsidRPr="008E78BC" w:rsidRDefault="00985302" w:rsidP="00985302">
      <w:pPr>
        <w:rPr>
          <w:rFonts w:ascii="Arial" w:hAnsi="Arial" w:cs="Arial"/>
          <w:szCs w:val="20"/>
        </w:rPr>
      </w:pPr>
      <w:r w:rsidRPr="008E78BC">
        <w:rPr>
          <w:rFonts w:ascii="Arial" w:hAnsi="Arial" w:cs="Arial"/>
          <w:szCs w:val="20"/>
        </w:rPr>
        <w:t>The safety performance of the industry has been relatively stable over the life of the regulations. While there are no emerging trends that would warrant consideration of additional regulatory requirements, DoT will consider the merits of continuing regulatory requirements in Bus Safety Regulations and the merits of additional measures to improve safety</w:t>
      </w:r>
      <w:r>
        <w:rPr>
          <w:rFonts w:ascii="Arial" w:hAnsi="Arial" w:cs="Arial"/>
          <w:szCs w:val="20"/>
        </w:rPr>
        <w:t xml:space="preserve"> outcomes</w:t>
      </w:r>
      <w:r w:rsidRPr="008E78BC">
        <w:rPr>
          <w:rFonts w:ascii="Arial" w:hAnsi="Arial" w:cs="Arial"/>
          <w:szCs w:val="20"/>
        </w:rPr>
        <w:t xml:space="preserve">. </w:t>
      </w:r>
    </w:p>
    <w:p w14:paraId="62AFC90F" w14:textId="77777777" w:rsidR="00985302" w:rsidRPr="008E78BC" w:rsidRDefault="00985302" w:rsidP="00985302">
      <w:pPr>
        <w:pStyle w:val="Heading3"/>
      </w:pPr>
      <w:bookmarkStart w:id="11" w:name="_Toc42262227"/>
      <w:bookmarkStart w:id="12" w:name="_Toc44436849"/>
      <w:bookmarkStart w:id="13" w:name="_Toc45548641"/>
      <w:bookmarkStart w:id="14" w:name="_Toc45704289"/>
      <w:r w:rsidRPr="008E78BC">
        <w:t>Vehicle safety</w:t>
      </w:r>
      <w:bookmarkEnd w:id="11"/>
      <w:r w:rsidRPr="008E78BC">
        <w:t xml:space="preserve"> (refer to Section 3.3 for further discussion)</w:t>
      </w:r>
      <w:bookmarkEnd w:id="12"/>
      <w:bookmarkEnd w:id="13"/>
      <w:bookmarkEnd w:id="14"/>
    </w:p>
    <w:p w14:paraId="0CC13F8F" w14:textId="59438213" w:rsidR="00985302" w:rsidRPr="008E78BC" w:rsidRDefault="00985302" w:rsidP="00985302">
      <w:pPr>
        <w:rPr>
          <w:rFonts w:ascii="Arial" w:hAnsi="Arial" w:cs="Arial"/>
          <w:color w:val="auto"/>
          <w:szCs w:val="20"/>
        </w:rPr>
      </w:pPr>
      <w:r w:rsidRPr="008E78BC">
        <w:rPr>
          <w:rFonts w:ascii="Arial" w:hAnsi="Arial" w:cs="Arial"/>
          <w:szCs w:val="20"/>
        </w:rPr>
        <w:t xml:space="preserve">Between 2011 and 2019 there were a total of 134 incidents of mechanical failures reported to the regulator while the bus was operating. </w:t>
      </w:r>
      <w:r>
        <w:rPr>
          <w:rFonts w:ascii="Arial" w:hAnsi="Arial" w:cs="Arial"/>
          <w:szCs w:val="20"/>
        </w:rPr>
        <w:t>Using unsafe buses or inadequately maintaining vehicles</w:t>
      </w:r>
      <w:r w:rsidRPr="008E78BC">
        <w:rPr>
          <w:rFonts w:ascii="Arial" w:hAnsi="Arial" w:cs="Arial"/>
          <w:szCs w:val="20"/>
        </w:rPr>
        <w:t xml:space="preserve"> may increase the risk </w:t>
      </w:r>
      <w:r>
        <w:rPr>
          <w:rFonts w:ascii="Arial" w:hAnsi="Arial" w:cs="Arial"/>
          <w:szCs w:val="20"/>
        </w:rPr>
        <w:t>of a</w:t>
      </w:r>
      <w:r w:rsidR="009C7131">
        <w:rPr>
          <w:rFonts w:ascii="Arial" w:hAnsi="Arial" w:cs="Arial"/>
          <w:szCs w:val="20"/>
        </w:rPr>
        <w:t>n</w:t>
      </w:r>
      <w:r>
        <w:rPr>
          <w:rFonts w:ascii="Arial" w:hAnsi="Arial" w:cs="Arial"/>
          <w:szCs w:val="20"/>
        </w:rPr>
        <w:t xml:space="preserve"> incident</w:t>
      </w:r>
      <w:r w:rsidRPr="008E78BC">
        <w:rPr>
          <w:rFonts w:ascii="Arial" w:hAnsi="Arial" w:cs="Arial"/>
          <w:szCs w:val="20"/>
        </w:rPr>
        <w:t>. DoT</w:t>
      </w:r>
      <w:r w:rsidRPr="008E78BC">
        <w:rPr>
          <w:rFonts w:ascii="Arial" w:hAnsi="Arial" w:cs="Arial"/>
          <w:color w:val="auto"/>
          <w:szCs w:val="20"/>
        </w:rPr>
        <w:t xml:space="preserve"> considers that regulatory intervention is still required. </w:t>
      </w:r>
    </w:p>
    <w:p w14:paraId="6CB01522" w14:textId="77777777" w:rsidR="00985302" w:rsidRPr="008E78BC" w:rsidRDefault="00985302" w:rsidP="0095677C">
      <w:pPr>
        <w:pStyle w:val="Heading4"/>
      </w:pPr>
      <w:bookmarkStart w:id="15" w:name="_Toc42262228"/>
      <w:r w:rsidRPr="008E78BC">
        <w:t>Design and standards</w:t>
      </w:r>
      <w:bookmarkEnd w:id="15"/>
      <w:r w:rsidRPr="008E78BC">
        <w:t xml:space="preserve"> (refer to Section 3.3.1 for further discussion)</w:t>
      </w:r>
    </w:p>
    <w:p w14:paraId="3A279E6E" w14:textId="240D10C8" w:rsidR="00985302" w:rsidRPr="008E78BC" w:rsidRDefault="00985302" w:rsidP="00985302">
      <w:pPr>
        <w:rPr>
          <w:rFonts w:ascii="Arial" w:hAnsi="Arial" w:cs="Arial"/>
          <w:szCs w:val="20"/>
        </w:rPr>
      </w:pPr>
      <w:r w:rsidRPr="008E78BC">
        <w:rPr>
          <w:rFonts w:ascii="Arial" w:hAnsi="Arial" w:cs="Arial"/>
          <w:szCs w:val="20"/>
        </w:rPr>
        <w:t xml:space="preserve">The safety of a bus is dependent on the vehicle design and standards. Appropriate vehicle design and standards, including installed equipment and devices, will ensure that vehicles are safe for use on the road and do not harm passengers and other road users. </w:t>
      </w:r>
      <w:r w:rsidR="00FC6D2E">
        <w:rPr>
          <w:rFonts w:ascii="Arial" w:hAnsi="Arial" w:cs="Arial"/>
          <w:szCs w:val="20"/>
        </w:rPr>
        <w:t>A</w:t>
      </w:r>
      <w:r>
        <w:rPr>
          <w:rFonts w:ascii="Arial" w:hAnsi="Arial" w:cs="Arial"/>
          <w:szCs w:val="20"/>
        </w:rPr>
        <w:t xml:space="preserve">dditional standards </w:t>
      </w:r>
      <w:r w:rsidRPr="008E78BC">
        <w:rPr>
          <w:rFonts w:ascii="Arial" w:hAnsi="Arial" w:cs="Arial"/>
          <w:szCs w:val="20"/>
        </w:rPr>
        <w:t xml:space="preserve">may be required </w:t>
      </w:r>
      <w:r>
        <w:rPr>
          <w:rFonts w:ascii="Arial" w:hAnsi="Arial" w:cs="Arial"/>
          <w:szCs w:val="20"/>
        </w:rPr>
        <w:t xml:space="preserve">to cover any gaps in the ADRs to ensure </w:t>
      </w:r>
      <w:r w:rsidRPr="008E78BC">
        <w:rPr>
          <w:rFonts w:ascii="Arial" w:hAnsi="Arial" w:cs="Arial"/>
          <w:szCs w:val="20"/>
        </w:rPr>
        <w:t>buses are safe</w:t>
      </w:r>
      <w:r w:rsidR="00FC6D2E">
        <w:rPr>
          <w:rFonts w:ascii="Arial" w:hAnsi="Arial" w:cs="Arial"/>
          <w:szCs w:val="20"/>
        </w:rPr>
        <w:t xml:space="preserve"> or </w:t>
      </w:r>
      <w:r w:rsidRPr="008E78BC">
        <w:rPr>
          <w:rFonts w:ascii="Arial" w:hAnsi="Arial" w:cs="Arial"/>
          <w:szCs w:val="20"/>
        </w:rPr>
        <w:t>to ensure the standards can be enforced by the regulator</w:t>
      </w:r>
      <w:r>
        <w:rPr>
          <w:rFonts w:ascii="Arial" w:hAnsi="Arial" w:cs="Arial"/>
          <w:szCs w:val="20"/>
        </w:rPr>
        <w:t xml:space="preserve"> or to provide clarity of enforcement. </w:t>
      </w:r>
    </w:p>
    <w:p w14:paraId="1CF5BD27" w14:textId="77777777" w:rsidR="00985302" w:rsidRPr="008E78BC" w:rsidRDefault="00985302" w:rsidP="0095677C">
      <w:pPr>
        <w:pStyle w:val="Heading4"/>
      </w:pPr>
      <w:bookmarkStart w:id="16" w:name="_Toc42262229"/>
      <w:r w:rsidRPr="008E78BC">
        <w:t>Vehicle maintenance and inspections</w:t>
      </w:r>
      <w:bookmarkEnd w:id="16"/>
      <w:r w:rsidRPr="008E78BC">
        <w:t xml:space="preserve"> (refer to Section 3.3.2)</w:t>
      </w:r>
    </w:p>
    <w:p w14:paraId="1A6636D2" w14:textId="39181B2F" w:rsidR="00985302" w:rsidRDefault="00985302" w:rsidP="00985302">
      <w:pPr>
        <w:rPr>
          <w:rFonts w:ascii="Arial" w:hAnsi="Arial" w:cs="Arial"/>
          <w:szCs w:val="20"/>
        </w:rPr>
      </w:pPr>
      <w:r>
        <w:rPr>
          <w:rFonts w:ascii="Arial" w:hAnsi="Arial" w:cs="Arial"/>
          <w:szCs w:val="20"/>
        </w:rPr>
        <w:t>M</w:t>
      </w:r>
      <w:r w:rsidRPr="008E78BC">
        <w:rPr>
          <w:rFonts w:ascii="Arial" w:hAnsi="Arial" w:cs="Arial"/>
          <w:szCs w:val="20"/>
        </w:rPr>
        <w:t xml:space="preserve">easures to ensure that the vehicle and equipment continues to be maintained to a safe standard can both reduce the occurrence of an incident itself as well as act as mitigating the consequences of an incident should one occur. </w:t>
      </w:r>
      <w:r>
        <w:rPr>
          <w:rFonts w:ascii="Arial" w:hAnsi="Arial" w:cs="Arial"/>
          <w:szCs w:val="20"/>
        </w:rPr>
        <w:t>An i</w:t>
      </w:r>
      <w:r w:rsidRPr="008E78BC">
        <w:rPr>
          <w:rFonts w:ascii="Arial" w:hAnsi="Arial" w:cs="Arial"/>
          <w:szCs w:val="20"/>
        </w:rPr>
        <w:t xml:space="preserve">nspection </w:t>
      </w:r>
      <w:r>
        <w:rPr>
          <w:rFonts w:ascii="Arial" w:hAnsi="Arial" w:cs="Arial"/>
          <w:szCs w:val="20"/>
        </w:rPr>
        <w:t xml:space="preserve">of </w:t>
      </w:r>
      <w:r w:rsidRPr="008E78BC">
        <w:rPr>
          <w:rFonts w:ascii="Arial" w:hAnsi="Arial" w:cs="Arial"/>
          <w:szCs w:val="20"/>
        </w:rPr>
        <w:t xml:space="preserve">a vehicle </w:t>
      </w:r>
      <w:r>
        <w:rPr>
          <w:rFonts w:ascii="Arial" w:hAnsi="Arial" w:cs="Arial"/>
          <w:szCs w:val="20"/>
        </w:rPr>
        <w:t>is a way</w:t>
      </w:r>
      <w:r w:rsidRPr="008E78BC">
        <w:rPr>
          <w:rFonts w:ascii="Arial" w:hAnsi="Arial" w:cs="Arial"/>
          <w:szCs w:val="20"/>
        </w:rPr>
        <w:t xml:space="preserve"> to </w:t>
      </w:r>
      <w:r>
        <w:rPr>
          <w:rFonts w:ascii="Arial" w:hAnsi="Arial" w:cs="Arial"/>
          <w:szCs w:val="20"/>
        </w:rPr>
        <w:t>confirm whether a vehicle is maintained and is compliant with bus standards.</w:t>
      </w:r>
      <w:r w:rsidRPr="008E78BC">
        <w:rPr>
          <w:rFonts w:ascii="Arial" w:hAnsi="Arial" w:cs="Arial"/>
          <w:szCs w:val="20"/>
        </w:rPr>
        <w:t xml:space="preserve"> </w:t>
      </w:r>
    </w:p>
    <w:p w14:paraId="0306B242" w14:textId="77777777" w:rsidR="00985302" w:rsidRPr="008E78BC" w:rsidRDefault="00985302" w:rsidP="00985302">
      <w:pPr>
        <w:pStyle w:val="Heading3"/>
      </w:pPr>
      <w:bookmarkStart w:id="17" w:name="_Toc42262230"/>
      <w:bookmarkStart w:id="18" w:name="_Toc44436850"/>
      <w:bookmarkStart w:id="19" w:name="_Toc45548642"/>
      <w:bookmarkStart w:id="20" w:name="_Toc45704290"/>
      <w:r w:rsidRPr="008E78BC">
        <w:t>Safety of bus operations</w:t>
      </w:r>
      <w:bookmarkEnd w:id="17"/>
      <w:r>
        <w:t xml:space="preserve"> (refer to Section 3.4 for further discussion)</w:t>
      </w:r>
      <w:bookmarkEnd w:id="18"/>
      <w:bookmarkEnd w:id="19"/>
      <w:bookmarkEnd w:id="20"/>
    </w:p>
    <w:p w14:paraId="32F140B4" w14:textId="4BE4039F" w:rsidR="00985302" w:rsidRPr="008E78BC" w:rsidRDefault="00985302" w:rsidP="00985302">
      <w:pPr>
        <w:rPr>
          <w:rFonts w:ascii="Arial" w:hAnsi="Arial" w:cs="Arial"/>
          <w:szCs w:val="20"/>
        </w:rPr>
      </w:pPr>
      <w:r>
        <w:rPr>
          <w:rFonts w:ascii="Arial" w:hAnsi="Arial" w:cs="Arial"/>
          <w:szCs w:val="20"/>
        </w:rPr>
        <w:t>The</w:t>
      </w:r>
      <w:r w:rsidRPr="008E78BC">
        <w:rPr>
          <w:rFonts w:ascii="Arial" w:hAnsi="Arial" w:cs="Arial"/>
          <w:szCs w:val="20"/>
        </w:rPr>
        <w:t xml:space="preserve"> safety of a bus service is </w:t>
      </w:r>
      <w:r>
        <w:rPr>
          <w:rFonts w:ascii="Arial" w:hAnsi="Arial" w:cs="Arial"/>
          <w:szCs w:val="20"/>
        </w:rPr>
        <w:t xml:space="preserve">also </w:t>
      </w:r>
      <w:r w:rsidRPr="008E78BC">
        <w:rPr>
          <w:rFonts w:ascii="Arial" w:hAnsi="Arial" w:cs="Arial"/>
          <w:szCs w:val="20"/>
        </w:rPr>
        <w:t>dependent</w:t>
      </w:r>
      <w:r>
        <w:rPr>
          <w:rFonts w:ascii="Arial" w:hAnsi="Arial" w:cs="Arial"/>
          <w:szCs w:val="20"/>
        </w:rPr>
        <w:t xml:space="preserve"> on how the bus service is operated by the operator. </w:t>
      </w:r>
      <w:r w:rsidR="00EC190F">
        <w:rPr>
          <w:rFonts w:ascii="Arial" w:hAnsi="Arial" w:cs="Arial"/>
          <w:szCs w:val="20"/>
        </w:rPr>
        <w:t>F</w:t>
      </w:r>
      <w:r>
        <w:rPr>
          <w:rFonts w:ascii="Arial" w:hAnsi="Arial" w:cs="Arial"/>
          <w:szCs w:val="20"/>
        </w:rPr>
        <w:t>urther</w:t>
      </w:r>
      <w:r w:rsidRPr="008E78BC">
        <w:rPr>
          <w:rFonts w:ascii="Arial" w:hAnsi="Arial" w:cs="Arial"/>
          <w:szCs w:val="20"/>
        </w:rPr>
        <w:t xml:space="preserve"> regulatory intervention may be required to ensure that operators meet their safety obligations under the Act or that the operators implement measures to address known safety risks. The driver</w:t>
      </w:r>
      <w:r>
        <w:rPr>
          <w:rFonts w:ascii="Arial" w:hAnsi="Arial" w:cs="Arial"/>
          <w:szCs w:val="20"/>
        </w:rPr>
        <w:t xml:space="preserve"> of the bus also plays a role in the safety </w:t>
      </w:r>
      <w:r w:rsidRPr="008E78BC">
        <w:rPr>
          <w:rFonts w:ascii="Arial" w:hAnsi="Arial" w:cs="Arial"/>
          <w:szCs w:val="20"/>
        </w:rPr>
        <w:t>of the bus service</w:t>
      </w:r>
      <w:r>
        <w:rPr>
          <w:rFonts w:ascii="Arial" w:hAnsi="Arial" w:cs="Arial"/>
          <w:szCs w:val="20"/>
        </w:rPr>
        <w:t>, so</w:t>
      </w:r>
      <w:r w:rsidRPr="008E78BC">
        <w:rPr>
          <w:rFonts w:ascii="Arial" w:hAnsi="Arial" w:cs="Arial"/>
          <w:szCs w:val="20"/>
        </w:rPr>
        <w:t xml:space="preserve"> additional measures could be required. </w:t>
      </w:r>
    </w:p>
    <w:p w14:paraId="6C4C121B" w14:textId="77777777" w:rsidR="00985302" w:rsidRPr="008E78BC" w:rsidRDefault="00985302" w:rsidP="0095677C">
      <w:pPr>
        <w:pStyle w:val="Heading4"/>
      </w:pPr>
      <w:bookmarkStart w:id="21" w:name="_Toc42262231"/>
      <w:r w:rsidRPr="008E78BC">
        <w:t>Maximum number of passengers</w:t>
      </w:r>
      <w:bookmarkEnd w:id="21"/>
      <w:r>
        <w:t xml:space="preserve"> (refer to section 3.4.1 for further discussion)</w:t>
      </w:r>
    </w:p>
    <w:p w14:paraId="3D5F890C" w14:textId="77777777" w:rsidR="00985302" w:rsidRPr="008E78BC" w:rsidRDefault="00985302" w:rsidP="00985302">
      <w:pPr>
        <w:rPr>
          <w:rFonts w:ascii="Arial" w:hAnsi="Arial" w:cs="Arial"/>
          <w:szCs w:val="20"/>
        </w:rPr>
      </w:pPr>
      <w:r>
        <w:rPr>
          <w:rFonts w:ascii="Arial" w:hAnsi="Arial" w:cs="Arial"/>
          <w:szCs w:val="20"/>
        </w:rPr>
        <w:t>A</w:t>
      </w:r>
      <w:r w:rsidRPr="008E78BC">
        <w:rPr>
          <w:rFonts w:ascii="Arial" w:hAnsi="Arial" w:cs="Arial"/>
          <w:szCs w:val="20"/>
        </w:rPr>
        <w:t>n overloaded bus</w:t>
      </w:r>
      <w:r>
        <w:rPr>
          <w:rFonts w:ascii="Arial" w:hAnsi="Arial" w:cs="Arial"/>
          <w:szCs w:val="20"/>
        </w:rPr>
        <w:t xml:space="preserve"> may</w:t>
      </w:r>
      <w:r w:rsidRPr="008E78BC">
        <w:rPr>
          <w:rFonts w:ascii="Arial" w:hAnsi="Arial" w:cs="Arial"/>
          <w:szCs w:val="20"/>
        </w:rPr>
        <w:t xml:space="preserve"> pose several safety risks</w:t>
      </w:r>
      <w:r>
        <w:rPr>
          <w:rFonts w:ascii="Arial" w:hAnsi="Arial" w:cs="Arial"/>
          <w:szCs w:val="20"/>
        </w:rPr>
        <w:t xml:space="preserve"> to the structural integrity of the vehicle. It is important for the driver to know the maximum carrying capacity of each bus to minimise the risk </w:t>
      </w:r>
      <w:r w:rsidRPr="008E78BC">
        <w:rPr>
          <w:rFonts w:ascii="Arial" w:hAnsi="Arial" w:cs="Arial"/>
          <w:szCs w:val="20"/>
        </w:rPr>
        <w:t xml:space="preserve">of overloading a bus. </w:t>
      </w:r>
      <w:r>
        <w:rPr>
          <w:rFonts w:ascii="Arial" w:hAnsi="Arial" w:cs="Arial"/>
          <w:szCs w:val="20"/>
        </w:rPr>
        <w:t>As different vehicles may have different capacities, particularly if the vehicle has been modified, a driver may not know the maximum carrying capacity for each bus they drive. A regulatory intervention may be needed to address this specific issue.</w:t>
      </w:r>
    </w:p>
    <w:p w14:paraId="1519794A" w14:textId="77777777" w:rsidR="00985302" w:rsidRPr="008E78BC" w:rsidRDefault="00985302" w:rsidP="0095677C">
      <w:pPr>
        <w:pStyle w:val="Heading4"/>
      </w:pPr>
      <w:bookmarkStart w:id="22" w:name="_Toc42262232"/>
      <w:r w:rsidRPr="008E78BC">
        <w:t>Alcohol and other drugs</w:t>
      </w:r>
      <w:bookmarkEnd w:id="22"/>
      <w:r>
        <w:t xml:space="preserve"> (refer to section 3.4.2 for further discussion)</w:t>
      </w:r>
    </w:p>
    <w:p w14:paraId="20B1225D" w14:textId="510F205F" w:rsidR="00985302" w:rsidRPr="008E78BC" w:rsidRDefault="00985302" w:rsidP="00446725">
      <w:pPr>
        <w:rPr>
          <w:rFonts w:ascii="Arial" w:hAnsi="Arial" w:cs="Arial"/>
          <w:szCs w:val="20"/>
        </w:rPr>
      </w:pPr>
      <w:r w:rsidRPr="008E78BC">
        <w:rPr>
          <w:rFonts w:ascii="Arial" w:hAnsi="Arial" w:cs="Arial"/>
          <w:szCs w:val="20"/>
        </w:rPr>
        <w:t xml:space="preserve">Alcohol or other drugs may impair a </w:t>
      </w:r>
      <w:r>
        <w:rPr>
          <w:rFonts w:ascii="Arial" w:hAnsi="Arial" w:cs="Arial"/>
          <w:szCs w:val="20"/>
        </w:rPr>
        <w:t>driver’s</w:t>
      </w:r>
      <w:r w:rsidRPr="008E78BC">
        <w:rPr>
          <w:rFonts w:ascii="Arial" w:hAnsi="Arial" w:cs="Arial"/>
          <w:szCs w:val="20"/>
        </w:rPr>
        <w:t xml:space="preserve"> ability to operate or ensure the safety of a bus service.</w:t>
      </w:r>
      <w:r>
        <w:rPr>
          <w:rFonts w:ascii="Arial" w:hAnsi="Arial" w:cs="Arial"/>
          <w:szCs w:val="20"/>
        </w:rPr>
        <w:t xml:space="preserve"> There are already a range of regulatory interventions to reduce the risks associated with driving on the road while being impaired.</w:t>
      </w:r>
      <w:r w:rsidR="0073082C">
        <w:rPr>
          <w:rFonts w:ascii="Arial" w:hAnsi="Arial" w:cs="Arial"/>
          <w:szCs w:val="20"/>
        </w:rPr>
        <w:t xml:space="preserve"> However, without regulations bus drivers are unable to be tested immediately prior to the beginning of a shift.</w:t>
      </w:r>
      <w:r>
        <w:rPr>
          <w:rFonts w:ascii="Arial" w:hAnsi="Arial" w:cs="Arial"/>
          <w:szCs w:val="20"/>
        </w:rPr>
        <w:t xml:space="preserve"> </w:t>
      </w:r>
    </w:p>
    <w:p w14:paraId="468011B7" w14:textId="77777777" w:rsidR="00985302" w:rsidRPr="008E78BC" w:rsidRDefault="00985302" w:rsidP="0095677C">
      <w:pPr>
        <w:pStyle w:val="Heading4"/>
      </w:pPr>
      <w:bookmarkStart w:id="23" w:name="_Toc42262233"/>
      <w:r w:rsidRPr="008E78BC">
        <w:lastRenderedPageBreak/>
        <w:t>School buses</w:t>
      </w:r>
      <w:bookmarkEnd w:id="23"/>
      <w:r>
        <w:t xml:space="preserve"> (refer to section 3.4.3 for further discussion)</w:t>
      </w:r>
    </w:p>
    <w:p w14:paraId="3A3481B5" w14:textId="1B39EA80" w:rsidR="00985302" w:rsidRPr="008E78BC" w:rsidRDefault="00985302" w:rsidP="00985302">
      <w:pPr>
        <w:rPr>
          <w:rFonts w:ascii="Arial" w:hAnsi="Arial" w:cs="Arial"/>
          <w:szCs w:val="20"/>
        </w:rPr>
      </w:pPr>
      <w:r w:rsidRPr="008E78BC">
        <w:rPr>
          <w:rFonts w:ascii="Arial" w:hAnsi="Arial" w:cs="Arial"/>
          <w:szCs w:val="20"/>
        </w:rPr>
        <w:t>School buses carry a vulnerable cohort of passengers</w:t>
      </w:r>
      <w:r>
        <w:rPr>
          <w:rFonts w:ascii="Arial" w:hAnsi="Arial" w:cs="Arial"/>
          <w:szCs w:val="20"/>
        </w:rPr>
        <w:t xml:space="preserve"> (i.e. </w:t>
      </w:r>
      <w:r w:rsidRPr="008E78BC">
        <w:rPr>
          <w:rFonts w:ascii="Arial" w:hAnsi="Arial" w:cs="Arial"/>
          <w:szCs w:val="20"/>
        </w:rPr>
        <w:t>children</w:t>
      </w:r>
      <w:r>
        <w:rPr>
          <w:rFonts w:ascii="Arial" w:hAnsi="Arial" w:cs="Arial"/>
          <w:szCs w:val="20"/>
        </w:rPr>
        <w:t xml:space="preserve">) who may not </w:t>
      </w:r>
      <w:r w:rsidRPr="008E78BC">
        <w:rPr>
          <w:rFonts w:ascii="Arial" w:hAnsi="Arial" w:cs="Arial"/>
          <w:szCs w:val="20"/>
        </w:rPr>
        <w:t xml:space="preserve">take the same level of care around vehicles or the road as adults. This means that additional measures may be needed to ensure that children are protected around school buses. </w:t>
      </w:r>
    </w:p>
    <w:p w14:paraId="0B60C9A2" w14:textId="77777777" w:rsidR="00985302" w:rsidRPr="008E78BC" w:rsidRDefault="00985302" w:rsidP="00985302">
      <w:pPr>
        <w:pStyle w:val="Heading3"/>
      </w:pPr>
      <w:bookmarkStart w:id="24" w:name="_Toc42262234"/>
      <w:bookmarkStart w:id="25" w:name="_Toc44436851"/>
      <w:bookmarkStart w:id="26" w:name="_Toc45548643"/>
      <w:bookmarkStart w:id="27" w:name="_Toc45704291"/>
      <w:r w:rsidRPr="008E78BC">
        <w:t>Permission to operate a bus service</w:t>
      </w:r>
      <w:bookmarkEnd w:id="24"/>
      <w:r>
        <w:t xml:space="preserve"> (refer to section 3.5 for further discussion)</w:t>
      </w:r>
      <w:bookmarkEnd w:id="25"/>
      <w:bookmarkEnd w:id="26"/>
      <w:bookmarkEnd w:id="27"/>
    </w:p>
    <w:p w14:paraId="1B240D44" w14:textId="2AA7D5F3" w:rsidR="00985302" w:rsidRPr="008E78BC" w:rsidRDefault="00985302" w:rsidP="00985302">
      <w:pPr>
        <w:rPr>
          <w:rFonts w:ascii="Arial" w:hAnsi="Arial" w:cs="Arial"/>
          <w:szCs w:val="20"/>
        </w:rPr>
      </w:pPr>
      <w:r w:rsidRPr="008E78BC">
        <w:rPr>
          <w:rFonts w:ascii="Arial" w:hAnsi="Arial" w:cs="Arial"/>
          <w:szCs w:val="20"/>
        </w:rPr>
        <w:t xml:space="preserve">The Bus Safety Act provides for an accreditation and registration scheme for bus operators. Operators of a commercial bus service or local bus service must apply </w:t>
      </w:r>
      <w:r>
        <w:rPr>
          <w:rFonts w:ascii="Arial" w:hAnsi="Arial" w:cs="Arial"/>
          <w:szCs w:val="20"/>
        </w:rPr>
        <w:t>to</w:t>
      </w:r>
      <w:r w:rsidRPr="008E78BC">
        <w:rPr>
          <w:rFonts w:ascii="Arial" w:hAnsi="Arial" w:cs="Arial"/>
          <w:szCs w:val="20"/>
        </w:rPr>
        <w:t xml:space="preserve"> become accredited. All other bus service operators must apply and become registered. </w:t>
      </w:r>
      <w:r>
        <w:rPr>
          <w:rFonts w:ascii="Arial" w:hAnsi="Arial" w:cs="Arial"/>
          <w:szCs w:val="20"/>
        </w:rPr>
        <w:t>Operators can also apply</w:t>
      </w:r>
      <w:r w:rsidRPr="008E78BC">
        <w:rPr>
          <w:rFonts w:ascii="Arial" w:hAnsi="Arial" w:cs="Arial"/>
          <w:szCs w:val="20"/>
        </w:rPr>
        <w:t xml:space="preserve"> for an exemption from certain requirements of accreditation or registration. It is not practicable to have an operator accreditation or registration scheme without specifying procedural or information requirements </w:t>
      </w:r>
      <w:r w:rsidR="00953F99">
        <w:rPr>
          <w:rFonts w:ascii="Arial" w:hAnsi="Arial" w:cs="Arial"/>
          <w:szCs w:val="20"/>
        </w:rPr>
        <w:t xml:space="preserve">in regulations </w:t>
      </w:r>
      <w:r w:rsidRPr="008E78BC">
        <w:rPr>
          <w:rFonts w:ascii="Arial" w:hAnsi="Arial" w:cs="Arial"/>
          <w:szCs w:val="20"/>
        </w:rPr>
        <w:t>relevant to the application for that scheme</w:t>
      </w:r>
      <w:r w:rsidR="00786575">
        <w:rPr>
          <w:rFonts w:ascii="Arial" w:hAnsi="Arial" w:cs="Arial"/>
          <w:szCs w:val="20"/>
        </w:rPr>
        <w:t>.</w:t>
      </w:r>
      <w:r w:rsidRPr="008E78BC">
        <w:rPr>
          <w:rFonts w:ascii="Arial" w:hAnsi="Arial" w:cs="Arial"/>
          <w:szCs w:val="20"/>
        </w:rPr>
        <w:t xml:space="preserve"> </w:t>
      </w:r>
    </w:p>
    <w:p w14:paraId="511DB322" w14:textId="77777777" w:rsidR="00985302" w:rsidRPr="008E78BC" w:rsidRDefault="00985302" w:rsidP="00985302">
      <w:pPr>
        <w:pStyle w:val="Heading3"/>
      </w:pPr>
      <w:bookmarkStart w:id="28" w:name="_Toc42262235"/>
      <w:bookmarkStart w:id="29" w:name="_Toc44436852"/>
      <w:bookmarkStart w:id="30" w:name="_Toc45548644"/>
      <w:bookmarkStart w:id="31" w:name="_Toc45704292"/>
      <w:r w:rsidRPr="008E78BC">
        <w:t>Identification of services</w:t>
      </w:r>
      <w:bookmarkEnd w:id="28"/>
      <w:r w:rsidRPr="008E78BC">
        <w:t xml:space="preserve"> </w:t>
      </w:r>
      <w:r>
        <w:t>(refer to section 3.6 for further discussion)</w:t>
      </w:r>
      <w:bookmarkEnd w:id="29"/>
      <w:bookmarkEnd w:id="30"/>
      <w:bookmarkEnd w:id="31"/>
    </w:p>
    <w:p w14:paraId="7B6DF97D" w14:textId="69E634DF" w:rsidR="00985302" w:rsidRPr="008E78BC" w:rsidRDefault="00985302" w:rsidP="00985302">
      <w:pPr>
        <w:rPr>
          <w:rFonts w:ascii="Arial" w:hAnsi="Arial" w:cs="Arial"/>
          <w:szCs w:val="20"/>
        </w:rPr>
      </w:pPr>
      <w:r w:rsidRPr="008E78BC">
        <w:rPr>
          <w:rFonts w:ascii="Arial" w:hAnsi="Arial" w:cs="Arial"/>
          <w:szCs w:val="20"/>
        </w:rPr>
        <w:t xml:space="preserve">Enforcement of bus safety laws is reliant </w:t>
      </w:r>
      <w:r>
        <w:rPr>
          <w:rFonts w:ascii="Arial" w:hAnsi="Arial" w:cs="Arial"/>
          <w:szCs w:val="20"/>
        </w:rPr>
        <w:t xml:space="preserve">on </w:t>
      </w:r>
      <w:r w:rsidRPr="008E78BC">
        <w:rPr>
          <w:rFonts w:ascii="Arial" w:hAnsi="Arial" w:cs="Arial"/>
          <w:szCs w:val="20"/>
        </w:rPr>
        <w:t xml:space="preserve">ensuring </w:t>
      </w:r>
      <w:r>
        <w:rPr>
          <w:rFonts w:ascii="Arial" w:hAnsi="Arial" w:cs="Arial"/>
          <w:szCs w:val="20"/>
        </w:rPr>
        <w:t xml:space="preserve">the regulator has </w:t>
      </w:r>
      <w:r w:rsidRPr="008E78BC">
        <w:rPr>
          <w:rFonts w:ascii="Arial" w:hAnsi="Arial" w:cs="Arial"/>
          <w:szCs w:val="20"/>
        </w:rPr>
        <w:t>information related to the bus service and the bus operator responsible for the service</w:t>
      </w:r>
      <w:r w:rsidR="007C732E">
        <w:rPr>
          <w:rFonts w:ascii="Arial" w:hAnsi="Arial" w:cs="Arial"/>
          <w:szCs w:val="20"/>
        </w:rPr>
        <w:t>.</w:t>
      </w:r>
      <w:r w:rsidRPr="008E78BC">
        <w:rPr>
          <w:rFonts w:ascii="Arial" w:hAnsi="Arial" w:cs="Arial"/>
          <w:szCs w:val="20"/>
        </w:rPr>
        <w:t xml:space="preserve"> That information may need to be displayed on a vehicle. Identification information </w:t>
      </w:r>
      <w:r w:rsidR="007C732E">
        <w:rPr>
          <w:rFonts w:ascii="Arial" w:hAnsi="Arial" w:cs="Arial"/>
          <w:szCs w:val="20"/>
        </w:rPr>
        <w:t xml:space="preserve">may also </w:t>
      </w:r>
      <w:r w:rsidRPr="008E78BC">
        <w:rPr>
          <w:rFonts w:ascii="Arial" w:hAnsi="Arial" w:cs="Arial"/>
          <w:szCs w:val="20"/>
        </w:rPr>
        <w:t>help provid</w:t>
      </w:r>
      <w:r w:rsidR="007C732E">
        <w:rPr>
          <w:rFonts w:ascii="Arial" w:hAnsi="Arial" w:cs="Arial"/>
          <w:szCs w:val="20"/>
        </w:rPr>
        <w:t>e</w:t>
      </w:r>
      <w:r w:rsidRPr="008E78BC">
        <w:rPr>
          <w:rFonts w:ascii="Arial" w:hAnsi="Arial" w:cs="Arial"/>
          <w:szCs w:val="20"/>
        </w:rPr>
        <w:t xml:space="preserve"> information to the community relating to the bus service. </w:t>
      </w:r>
    </w:p>
    <w:p w14:paraId="669B621C" w14:textId="5F65D50E" w:rsidR="00985302" w:rsidRPr="008E78BC" w:rsidRDefault="007C732E" w:rsidP="00985302">
      <w:pPr>
        <w:rPr>
          <w:rFonts w:ascii="Arial" w:hAnsi="Arial" w:cs="Arial"/>
          <w:szCs w:val="20"/>
        </w:rPr>
      </w:pPr>
      <w:r>
        <w:rPr>
          <w:rFonts w:ascii="Arial" w:hAnsi="Arial" w:cs="Arial"/>
          <w:szCs w:val="20"/>
        </w:rPr>
        <w:t>Currently</w:t>
      </w:r>
      <w:r w:rsidR="00985302" w:rsidRPr="008E78BC">
        <w:rPr>
          <w:rFonts w:ascii="Arial" w:hAnsi="Arial" w:cs="Arial"/>
          <w:szCs w:val="20"/>
        </w:rPr>
        <w:t>, special issue number plates do not necessarily identify who is primarily responsible for the vehicle as a bus operator.</w:t>
      </w:r>
      <w:r w:rsidR="00985302">
        <w:rPr>
          <w:rFonts w:ascii="Arial" w:hAnsi="Arial" w:cs="Arial"/>
          <w:szCs w:val="20"/>
        </w:rPr>
        <w:t xml:space="preserve"> </w:t>
      </w:r>
      <w:r>
        <w:rPr>
          <w:rFonts w:ascii="Arial" w:hAnsi="Arial" w:cs="Arial"/>
          <w:szCs w:val="20"/>
        </w:rPr>
        <w:t>E</w:t>
      </w:r>
      <w:r w:rsidR="00985302" w:rsidRPr="008E78BC">
        <w:rPr>
          <w:rFonts w:ascii="Arial" w:hAnsi="Arial" w:cs="Arial"/>
          <w:szCs w:val="20"/>
        </w:rPr>
        <w:t>nforcement activity may be hindered where buses are used to provide bus services that are not directly owned by the bus operator or are leased to another operator.</w:t>
      </w:r>
    </w:p>
    <w:p w14:paraId="720FA7F5" w14:textId="77777777" w:rsidR="00985302" w:rsidRPr="00BE74E5" w:rsidRDefault="00985302" w:rsidP="00985302">
      <w:pPr>
        <w:pStyle w:val="Heading3"/>
      </w:pPr>
      <w:bookmarkStart w:id="32" w:name="_Toc42262236"/>
      <w:bookmarkStart w:id="33" w:name="_Toc44436853"/>
      <w:bookmarkStart w:id="34" w:name="_Toc45548645"/>
      <w:bookmarkStart w:id="35" w:name="_Toc45704293"/>
      <w:r w:rsidRPr="00BE74E5">
        <w:t>Cost recovery</w:t>
      </w:r>
      <w:bookmarkEnd w:id="32"/>
      <w:r w:rsidRPr="00BE74E5">
        <w:t xml:space="preserve"> (refer to section 3.7 for further discussion)</w:t>
      </w:r>
      <w:bookmarkEnd w:id="33"/>
      <w:bookmarkEnd w:id="34"/>
      <w:bookmarkEnd w:id="35"/>
    </w:p>
    <w:p w14:paraId="5DAB4F66" w14:textId="28DEEFD7" w:rsidR="00985302" w:rsidRDefault="00985302" w:rsidP="00985302">
      <w:pPr>
        <w:rPr>
          <w:rFonts w:ascii="Arial" w:hAnsi="Arial" w:cs="Arial"/>
          <w:szCs w:val="20"/>
        </w:rPr>
      </w:pPr>
      <w:r w:rsidRPr="00BE74E5">
        <w:rPr>
          <w:rFonts w:ascii="Arial" w:hAnsi="Arial" w:cs="Arial"/>
          <w:szCs w:val="20"/>
        </w:rPr>
        <w:t>The costs of administering and enforcing regulation are borne by the government and its agencies</w:t>
      </w:r>
      <w:r w:rsidRPr="00BE74E5">
        <w:t xml:space="preserve"> </w:t>
      </w:r>
      <w:r w:rsidRPr="00BE74E5">
        <w:rPr>
          <w:rFonts w:ascii="Arial" w:hAnsi="Arial" w:cs="Arial"/>
          <w:szCs w:val="20"/>
        </w:rPr>
        <w:t xml:space="preserve">The Bus Safety Branch of TSV conducts several activities in relation to bus safety regulation. </w:t>
      </w:r>
    </w:p>
    <w:p w14:paraId="1011DD64" w14:textId="77777777" w:rsidR="00985302" w:rsidRDefault="00985302" w:rsidP="00985302">
      <w:pPr>
        <w:rPr>
          <w:rFonts w:ascii="Arial" w:hAnsi="Arial" w:cs="Arial"/>
          <w:szCs w:val="20"/>
        </w:rPr>
      </w:pPr>
      <w:r w:rsidRPr="00BE74E5">
        <w:rPr>
          <w:rFonts w:ascii="Arial" w:hAnsi="Arial" w:cs="Arial"/>
          <w:szCs w:val="20"/>
        </w:rPr>
        <w:t>DoT has conducted an analysis of the operations of TSV to estimate the costs attributable to administering bus safety regulations in Victoria.</w:t>
      </w:r>
      <w:r>
        <w:rPr>
          <w:rFonts w:ascii="Arial" w:hAnsi="Arial" w:cs="Arial"/>
          <w:szCs w:val="20"/>
        </w:rPr>
        <w:t xml:space="preserve"> DoT estimates the cost of bus safety regulation to be $4.48 million, with $2.29 million in direct costs for the Bus Safety Branch of TSV and $2.19 million in indirect costs.</w:t>
      </w:r>
    </w:p>
    <w:p w14:paraId="1866F6EF" w14:textId="77777777" w:rsidR="00985302" w:rsidRPr="00BE74E5" w:rsidRDefault="00985302" w:rsidP="00985302">
      <w:pPr>
        <w:rPr>
          <w:rFonts w:ascii="Arial" w:hAnsi="Arial" w:cs="Arial"/>
          <w:szCs w:val="20"/>
        </w:rPr>
      </w:pPr>
      <w:r>
        <w:rPr>
          <w:rFonts w:ascii="Arial" w:hAnsi="Arial" w:cs="Arial"/>
          <w:szCs w:val="20"/>
        </w:rPr>
        <w:t>DoT has also undertaken some analysis to assess whether these costs are efficient. DoT has identified that the changing functions and scope of TSV (i.e. responsibility for rail safety regulation, and responsibility for the regulation of domestic commercial vessels) may lead to changes in the levels of indirect costs that may be needed in the future. Also, any future legislative reforms will impact on the costs of regulations. So, for this reason, DoT is recommending a delay to fully reviewing regulatory fees prescribed in regulations.</w:t>
      </w:r>
    </w:p>
    <w:p w14:paraId="411BEBBE" w14:textId="25DE304E" w:rsidR="00985302" w:rsidRPr="008E78BC" w:rsidRDefault="00985302" w:rsidP="00985302">
      <w:pPr>
        <w:pStyle w:val="Heading2"/>
      </w:pPr>
      <w:bookmarkStart w:id="36" w:name="_Toc42262240"/>
      <w:bookmarkStart w:id="37" w:name="_Toc44436854"/>
      <w:bookmarkStart w:id="38" w:name="_Toc45548646"/>
      <w:bookmarkStart w:id="39" w:name="_Toc45704294"/>
      <w:bookmarkEnd w:id="3"/>
      <w:r w:rsidRPr="008E78BC">
        <w:t>Objectives</w:t>
      </w:r>
      <w:bookmarkEnd w:id="36"/>
      <w:r>
        <w:t xml:space="preserve"> (</w:t>
      </w:r>
      <w:r w:rsidR="008D7AE1">
        <w:t xml:space="preserve">refer to </w:t>
      </w:r>
      <w:r w:rsidR="00BF0935">
        <w:t xml:space="preserve">Section </w:t>
      </w:r>
      <w:r>
        <w:t>4)</w:t>
      </w:r>
      <w:bookmarkEnd w:id="37"/>
      <w:bookmarkEnd w:id="38"/>
      <w:bookmarkEnd w:id="39"/>
    </w:p>
    <w:p w14:paraId="672FA559" w14:textId="77777777" w:rsidR="00985302" w:rsidRPr="00662C11" w:rsidRDefault="00985302" w:rsidP="00985302">
      <w:pPr>
        <w:rPr>
          <w:rFonts w:ascii="Arial" w:hAnsi="Arial" w:cs="Arial"/>
          <w:szCs w:val="20"/>
        </w:rPr>
      </w:pPr>
      <w:r w:rsidRPr="00662C11">
        <w:rPr>
          <w:rFonts w:ascii="Arial" w:hAnsi="Arial" w:cs="Arial"/>
          <w:szCs w:val="20"/>
        </w:rPr>
        <w:t xml:space="preserve">In making the proposed regulations, DoT’s overarching objective is to promote and improve the safety of bus services provided in Victoria while minimising regulatory and compliance costs to industry and enabling effective enforcement of bus safety laws. </w:t>
      </w:r>
    </w:p>
    <w:p w14:paraId="29E7328E" w14:textId="69A27312" w:rsidR="00985302" w:rsidRPr="008E78BC" w:rsidRDefault="00985302" w:rsidP="00985302">
      <w:pPr>
        <w:pStyle w:val="Heading2"/>
      </w:pPr>
      <w:bookmarkStart w:id="40" w:name="_Toc42262241"/>
      <w:bookmarkStart w:id="41" w:name="_Toc44436855"/>
      <w:bookmarkStart w:id="42" w:name="_Toc45548647"/>
      <w:bookmarkStart w:id="43" w:name="_Toc45704295"/>
      <w:r w:rsidRPr="008E78BC">
        <w:t>The base case</w:t>
      </w:r>
      <w:bookmarkEnd w:id="40"/>
      <w:r>
        <w:t xml:space="preserve"> (</w:t>
      </w:r>
      <w:r w:rsidR="008D7AE1">
        <w:t xml:space="preserve">refer to </w:t>
      </w:r>
      <w:r w:rsidR="00BF0935">
        <w:t xml:space="preserve">Section </w:t>
      </w:r>
      <w:r>
        <w:t>5)</w:t>
      </w:r>
      <w:bookmarkEnd w:id="41"/>
      <w:bookmarkEnd w:id="42"/>
      <w:bookmarkEnd w:id="43"/>
    </w:p>
    <w:p w14:paraId="258B48A8" w14:textId="77777777" w:rsidR="00985302" w:rsidRPr="008E78BC" w:rsidRDefault="00985302" w:rsidP="00985302">
      <w:pPr>
        <w:rPr>
          <w:rFonts w:ascii="Arial" w:hAnsi="Arial" w:cs="Arial"/>
          <w:szCs w:val="20"/>
        </w:rPr>
      </w:pPr>
      <w:r w:rsidRPr="008E78BC">
        <w:rPr>
          <w:rFonts w:ascii="Arial" w:hAnsi="Arial" w:cs="Arial"/>
          <w:szCs w:val="20"/>
        </w:rPr>
        <w:t>The Victorian Guide to Regulation requires that for new regulations or for regulations which are sunsetting, the RIS should assume “zero” or no regulations as being the base case against which the proposed regulations and feasible alternatives should be assessed.</w:t>
      </w:r>
    </w:p>
    <w:p w14:paraId="6B6F0B0D" w14:textId="77777777" w:rsidR="00985302" w:rsidRDefault="00985302" w:rsidP="00985302">
      <w:pPr>
        <w:rPr>
          <w:rFonts w:ascii="Arial" w:hAnsi="Arial" w:cs="Arial"/>
          <w:szCs w:val="20"/>
        </w:rPr>
      </w:pPr>
      <w:r w:rsidRPr="008E78BC">
        <w:rPr>
          <w:rFonts w:ascii="Arial" w:hAnsi="Arial" w:cs="Arial"/>
          <w:szCs w:val="20"/>
        </w:rPr>
        <w:t>The discussions on options are considered on the basis of several contributing factors to the safety of bus operators in Victoria</w:t>
      </w:r>
      <w:r>
        <w:rPr>
          <w:rFonts w:ascii="Arial" w:hAnsi="Arial" w:cs="Arial"/>
          <w:szCs w:val="20"/>
        </w:rPr>
        <w:t>:</w:t>
      </w:r>
    </w:p>
    <w:p w14:paraId="1E07F081" w14:textId="77777777" w:rsidR="00985302" w:rsidRPr="007365A5" w:rsidRDefault="00985302" w:rsidP="007365A5">
      <w:pPr>
        <w:pStyle w:val="ListParagraph"/>
        <w:numPr>
          <w:ilvl w:val="0"/>
          <w:numId w:val="11"/>
        </w:numPr>
        <w:rPr>
          <w:rFonts w:asciiTheme="minorHAnsi" w:eastAsiaTheme="minorHAnsi" w:hAnsiTheme="minorHAnsi" w:cstheme="minorBidi"/>
          <w:color w:val="000000" w:themeColor="text1"/>
          <w:sz w:val="20"/>
          <w:szCs w:val="18"/>
          <w:lang w:eastAsia="en-US"/>
        </w:rPr>
      </w:pPr>
      <w:r w:rsidRPr="00A36DC8">
        <w:rPr>
          <w:rFonts w:asciiTheme="minorHAnsi" w:eastAsiaTheme="minorHAnsi" w:hAnsiTheme="minorHAnsi" w:cstheme="minorBidi"/>
          <w:color w:val="000000" w:themeColor="text1"/>
          <w:sz w:val="20"/>
          <w:szCs w:val="18"/>
          <w:lang w:eastAsia="en-US"/>
        </w:rPr>
        <w:lastRenderedPageBreak/>
        <w:t xml:space="preserve">General duties under the Bus Safety Act – duty holders already have general safety obligations </w:t>
      </w:r>
      <w:r w:rsidRPr="007365A5">
        <w:rPr>
          <w:rFonts w:asciiTheme="minorHAnsi" w:eastAsiaTheme="minorHAnsi" w:hAnsiTheme="minorHAnsi" w:cstheme="minorBidi"/>
          <w:color w:val="000000" w:themeColor="text1"/>
          <w:sz w:val="20"/>
          <w:szCs w:val="18"/>
          <w:lang w:eastAsia="en-US"/>
        </w:rPr>
        <w:t>imposed on that duty holder</w:t>
      </w:r>
    </w:p>
    <w:p w14:paraId="31A2453A" w14:textId="77777777" w:rsidR="00985302" w:rsidRPr="007365A5" w:rsidRDefault="00985302" w:rsidP="007365A5">
      <w:pPr>
        <w:pStyle w:val="ListParagraph"/>
        <w:numPr>
          <w:ilvl w:val="0"/>
          <w:numId w:val="11"/>
        </w:numPr>
        <w:rPr>
          <w:rFonts w:asciiTheme="minorHAnsi" w:eastAsiaTheme="minorHAnsi" w:hAnsiTheme="minorHAnsi" w:cstheme="minorBidi"/>
          <w:color w:val="000000" w:themeColor="text1"/>
          <w:sz w:val="20"/>
          <w:szCs w:val="18"/>
          <w:lang w:eastAsia="en-US"/>
        </w:rPr>
      </w:pPr>
      <w:r w:rsidRPr="007365A5">
        <w:rPr>
          <w:rFonts w:asciiTheme="minorHAnsi" w:eastAsiaTheme="minorHAnsi" w:hAnsiTheme="minorHAnsi" w:cstheme="minorBidi"/>
          <w:color w:val="000000" w:themeColor="text1"/>
          <w:sz w:val="20"/>
          <w:szCs w:val="18"/>
          <w:lang w:eastAsia="en-US"/>
        </w:rPr>
        <w:t xml:space="preserve">Road safety legislation – road safety legislation already regulates the design of buses, driver standards and their conduct on the road </w:t>
      </w:r>
    </w:p>
    <w:p w14:paraId="39469D09" w14:textId="77777777" w:rsidR="00985302" w:rsidRPr="007365A5" w:rsidRDefault="00985302" w:rsidP="007365A5">
      <w:pPr>
        <w:pStyle w:val="ListParagraph"/>
        <w:numPr>
          <w:ilvl w:val="0"/>
          <w:numId w:val="11"/>
        </w:numPr>
        <w:rPr>
          <w:rFonts w:asciiTheme="minorHAnsi" w:eastAsiaTheme="minorHAnsi" w:hAnsiTheme="minorHAnsi" w:cstheme="minorBidi"/>
          <w:color w:val="000000" w:themeColor="text1"/>
          <w:sz w:val="20"/>
          <w:szCs w:val="18"/>
          <w:lang w:eastAsia="en-US"/>
        </w:rPr>
      </w:pPr>
      <w:r w:rsidRPr="007365A5">
        <w:rPr>
          <w:rFonts w:asciiTheme="minorHAnsi" w:eastAsiaTheme="minorHAnsi" w:hAnsiTheme="minorHAnsi" w:cstheme="minorBidi"/>
          <w:color w:val="000000" w:themeColor="text1"/>
          <w:sz w:val="20"/>
          <w:szCs w:val="18"/>
          <w:lang w:eastAsia="en-US"/>
        </w:rPr>
        <w:t>Market incentives – there are still market incentives for sound safety performance in many sectors of the bus industry</w:t>
      </w:r>
    </w:p>
    <w:p w14:paraId="65032960" w14:textId="77777777" w:rsidR="00985302" w:rsidRPr="007365A5" w:rsidRDefault="00985302" w:rsidP="007365A5">
      <w:pPr>
        <w:pStyle w:val="ListParagraph"/>
        <w:numPr>
          <w:ilvl w:val="0"/>
          <w:numId w:val="11"/>
        </w:numPr>
        <w:rPr>
          <w:rFonts w:asciiTheme="minorHAnsi" w:eastAsiaTheme="minorHAnsi" w:hAnsiTheme="minorHAnsi" w:cstheme="minorBidi"/>
          <w:color w:val="000000" w:themeColor="text1"/>
          <w:sz w:val="20"/>
          <w:szCs w:val="18"/>
          <w:lang w:eastAsia="en-US"/>
        </w:rPr>
      </w:pPr>
      <w:r w:rsidRPr="007365A5">
        <w:rPr>
          <w:rFonts w:asciiTheme="minorHAnsi" w:eastAsiaTheme="minorHAnsi" w:hAnsiTheme="minorHAnsi" w:cstheme="minorBidi"/>
          <w:color w:val="000000" w:themeColor="text1"/>
          <w:sz w:val="20"/>
          <w:szCs w:val="18"/>
          <w:lang w:eastAsia="en-US"/>
        </w:rPr>
        <w:t>Government service contracts – scheduled bus services are provided in Victoria subject to government contracts, in which there are already contractual arrangement between the government and scheduled route bus service to implement safety standards.</w:t>
      </w:r>
    </w:p>
    <w:p w14:paraId="4557302D" w14:textId="77777777" w:rsidR="00985302" w:rsidRPr="00147093" w:rsidRDefault="00985302" w:rsidP="00985302">
      <w:pPr>
        <w:rPr>
          <w:rFonts w:ascii="Arial" w:hAnsi="Arial" w:cs="Arial"/>
          <w:szCs w:val="20"/>
        </w:rPr>
      </w:pPr>
      <w:r>
        <w:rPr>
          <w:rFonts w:ascii="Arial" w:hAnsi="Arial" w:cs="Arial"/>
          <w:szCs w:val="20"/>
        </w:rPr>
        <w:t>D</w:t>
      </w:r>
      <w:r w:rsidRPr="008E78BC">
        <w:rPr>
          <w:rFonts w:ascii="Arial" w:hAnsi="Arial" w:cs="Arial"/>
          <w:szCs w:val="20"/>
        </w:rPr>
        <w:t>oT considers that any additional requirements should support the safety duties scheme under the Bus Safety Act, as well as covering any gaps that may exist in relation to existing regulatory schemes or private incentives relating to bus operations.</w:t>
      </w:r>
    </w:p>
    <w:p w14:paraId="3CE00231" w14:textId="4B6B35C8" w:rsidR="00985302" w:rsidRPr="008E78BC" w:rsidRDefault="00985302" w:rsidP="00985302">
      <w:pPr>
        <w:pStyle w:val="Heading2"/>
      </w:pPr>
      <w:bookmarkStart w:id="44" w:name="_Toc42262242"/>
      <w:bookmarkStart w:id="45" w:name="_Toc44436856"/>
      <w:bookmarkStart w:id="46" w:name="_Toc45548648"/>
      <w:bookmarkStart w:id="47" w:name="_Toc45704296"/>
      <w:r w:rsidRPr="008E78BC">
        <w:t>Identification of feasible options</w:t>
      </w:r>
      <w:bookmarkEnd w:id="44"/>
      <w:r w:rsidRPr="008E78BC">
        <w:t xml:space="preserve"> </w:t>
      </w:r>
      <w:r>
        <w:t>(</w:t>
      </w:r>
      <w:r w:rsidR="00613887">
        <w:t xml:space="preserve">refer to </w:t>
      </w:r>
      <w:r w:rsidR="00BF0935">
        <w:t xml:space="preserve">Section </w:t>
      </w:r>
      <w:r>
        <w:t>6)</w:t>
      </w:r>
      <w:bookmarkEnd w:id="45"/>
      <w:bookmarkEnd w:id="46"/>
      <w:bookmarkEnd w:id="47"/>
    </w:p>
    <w:p w14:paraId="78C0F574" w14:textId="77777777" w:rsidR="00985302" w:rsidRPr="008E78BC" w:rsidRDefault="00985302" w:rsidP="00985302">
      <w:pPr>
        <w:pStyle w:val="Heading3"/>
      </w:pPr>
      <w:bookmarkStart w:id="48" w:name="_Toc42262243"/>
      <w:bookmarkStart w:id="49" w:name="_Toc44436857"/>
      <w:bookmarkStart w:id="50" w:name="_Toc45548649"/>
      <w:bookmarkStart w:id="51" w:name="_Toc45704297"/>
      <w:r w:rsidRPr="008E78BC">
        <w:t>Vehicle safety</w:t>
      </w:r>
      <w:bookmarkEnd w:id="48"/>
      <w:r>
        <w:t xml:space="preserve"> (refer to Section 6.1 for further discussion)</w:t>
      </w:r>
      <w:bookmarkEnd w:id="49"/>
      <w:bookmarkEnd w:id="50"/>
      <w:bookmarkEnd w:id="51"/>
    </w:p>
    <w:p w14:paraId="1D955350" w14:textId="77777777" w:rsidR="00985302" w:rsidRPr="008E78BC" w:rsidRDefault="00985302" w:rsidP="00985302">
      <w:pPr>
        <w:rPr>
          <w:rFonts w:ascii="Arial" w:hAnsi="Arial" w:cs="Arial"/>
          <w:szCs w:val="20"/>
        </w:rPr>
      </w:pPr>
      <w:r>
        <w:rPr>
          <w:rFonts w:ascii="Arial" w:hAnsi="Arial" w:cs="Arial"/>
          <w:szCs w:val="20"/>
        </w:rPr>
        <w:t>DoT has looked at some options to improve vehicle safety. These are described below.</w:t>
      </w:r>
    </w:p>
    <w:p w14:paraId="04A9D465" w14:textId="77777777" w:rsidR="00985302" w:rsidRPr="008E78BC" w:rsidRDefault="00985302" w:rsidP="0095677C">
      <w:pPr>
        <w:pStyle w:val="Heading4"/>
      </w:pPr>
      <w:bookmarkStart w:id="52" w:name="_Toc42262244"/>
      <w:r w:rsidRPr="008E78BC">
        <w:t>Bus standards</w:t>
      </w:r>
      <w:bookmarkEnd w:id="52"/>
      <w:r>
        <w:t xml:space="preserve"> (refer to Section 6.1.1 for further discussion)</w:t>
      </w:r>
    </w:p>
    <w:p w14:paraId="0245E03E" w14:textId="124A7173" w:rsidR="00985302" w:rsidRPr="008E78BC" w:rsidRDefault="000A6FF4" w:rsidP="00985302">
      <w:pPr>
        <w:rPr>
          <w:rFonts w:ascii="Arial" w:hAnsi="Arial" w:cs="Arial"/>
          <w:szCs w:val="20"/>
        </w:rPr>
      </w:pPr>
      <w:r>
        <w:rPr>
          <w:rFonts w:ascii="Arial" w:hAnsi="Arial" w:cs="Arial"/>
          <w:szCs w:val="20"/>
        </w:rPr>
        <w:t>D</w:t>
      </w:r>
      <w:r w:rsidR="00985302" w:rsidRPr="008E78BC">
        <w:rPr>
          <w:rFonts w:ascii="Arial" w:hAnsi="Arial" w:cs="Arial"/>
          <w:szCs w:val="20"/>
        </w:rPr>
        <w:t>esign standards for consideration include ensuring all buses:</w:t>
      </w:r>
    </w:p>
    <w:p w14:paraId="4DB84AD1" w14:textId="77777777" w:rsidR="00985302" w:rsidRPr="00F140A1" w:rsidRDefault="00985302" w:rsidP="00F140A1">
      <w:pPr>
        <w:pStyle w:val="ListParagraph"/>
        <w:numPr>
          <w:ilvl w:val="0"/>
          <w:numId w:val="11"/>
        </w:numPr>
        <w:rPr>
          <w:rFonts w:asciiTheme="minorHAnsi" w:eastAsiaTheme="minorHAnsi" w:hAnsiTheme="minorHAnsi" w:cstheme="minorBidi"/>
          <w:color w:val="000000" w:themeColor="text1"/>
          <w:sz w:val="20"/>
          <w:szCs w:val="18"/>
          <w:lang w:eastAsia="en-US"/>
        </w:rPr>
      </w:pPr>
      <w:r w:rsidRPr="00F140A1">
        <w:rPr>
          <w:rFonts w:asciiTheme="minorHAnsi" w:eastAsiaTheme="minorHAnsi" w:hAnsiTheme="minorHAnsi" w:cstheme="minorBidi"/>
          <w:color w:val="000000" w:themeColor="text1"/>
          <w:sz w:val="20"/>
          <w:szCs w:val="18"/>
          <w:lang w:eastAsia="en-US"/>
        </w:rPr>
        <w:t xml:space="preserve">are stable </w:t>
      </w:r>
    </w:p>
    <w:p w14:paraId="321B18C8" w14:textId="77777777" w:rsidR="00985302" w:rsidRPr="00F140A1" w:rsidRDefault="00985302" w:rsidP="00F140A1">
      <w:pPr>
        <w:pStyle w:val="ListParagraph"/>
        <w:numPr>
          <w:ilvl w:val="0"/>
          <w:numId w:val="11"/>
        </w:numPr>
        <w:rPr>
          <w:rFonts w:asciiTheme="minorHAnsi" w:eastAsiaTheme="minorHAnsi" w:hAnsiTheme="minorHAnsi" w:cstheme="minorBidi"/>
          <w:color w:val="000000" w:themeColor="text1"/>
          <w:sz w:val="20"/>
          <w:szCs w:val="18"/>
          <w:lang w:eastAsia="en-US"/>
        </w:rPr>
      </w:pPr>
      <w:r w:rsidRPr="00F140A1">
        <w:rPr>
          <w:rFonts w:asciiTheme="minorHAnsi" w:eastAsiaTheme="minorHAnsi" w:hAnsiTheme="minorHAnsi" w:cstheme="minorBidi"/>
          <w:color w:val="000000" w:themeColor="text1"/>
          <w:sz w:val="20"/>
          <w:szCs w:val="18"/>
          <w:lang w:eastAsia="en-US"/>
        </w:rPr>
        <w:t xml:space="preserve">have a device or means to remove or prevent condensation on a windscreen for buses manufactured prior to 1 July 1988 </w:t>
      </w:r>
    </w:p>
    <w:p w14:paraId="54928DDE" w14:textId="77777777" w:rsidR="00985302" w:rsidRPr="00F140A1" w:rsidRDefault="00985302" w:rsidP="00F140A1">
      <w:pPr>
        <w:pStyle w:val="ListParagraph"/>
        <w:numPr>
          <w:ilvl w:val="0"/>
          <w:numId w:val="11"/>
        </w:numPr>
        <w:rPr>
          <w:rFonts w:asciiTheme="minorHAnsi" w:eastAsiaTheme="minorHAnsi" w:hAnsiTheme="minorHAnsi" w:cstheme="minorBidi"/>
          <w:color w:val="000000" w:themeColor="text1"/>
          <w:sz w:val="20"/>
          <w:szCs w:val="18"/>
          <w:lang w:eastAsia="en-US"/>
        </w:rPr>
      </w:pPr>
      <w:r w:rsidRPr="00F140A1">
        <w:rPr>
          <w:rFonts w:asciiTheme="minorHAnsi" w:eastAsiaTheme="minorHAnsi" w:hAnsiTheme="minorHAnsi" w:cstheme="minorBidi"/>
          <w:color w:val="000000" w:themeColor="text1"/>
          <w:sz w:val="20"/>
          <w:szCs w:val="18"/>
          <w:lang w:eastAsia="en-US"/>
        </w:rPr>
        <w:t xml:space="preserve">have restrictions on exposed bars </w:t>
      </w:r>
    </w:p>
    <w:p w14:paraId="155955FE" w14:textId="77777777" w:rsidR="00985302" w:rsidRPr="00F140A1" w:rsidRDefault="00985302" w:rsidP="00F140A1">
      <w:pPr>
        <w:pStyle w:val="ListParagraph"/>
        <w:numPr>
          <w:ilvl w:val="0"/>
          <w:numId w:val="11"/>
        </w:numPr>
        <w:rPr>
          <w:rFonts w:asciiTheme="minorHAnsi" w:eastAsiaTheme="minorHAnsi" w:hAnsiTheme="minorHAnsi" w:cstheme="minorBidi"/>
          <w:color w:val="000000" w:themeColor="text1"/>
          <w:sz w:val="20"/>
          <w:szCs w:val="18"/>
          <w:lang w:eastAsia="en-US"/>
        </w:rPr>
      </w:pPr>
      <w:r w:rsidRPr="00F140A1">
        <w:rPr>
          <w:rFonts w:asciiTheme="minorHAnsi" w:eastAsiaTheme="minorHAnsi" w:hAnsiTheme="minorHAnsi" w:cstheme="minorBidi"/>
          <w:color w:val="000000" w:themeColor="text1"/>
          <w:sz w:val="20"/>
          <w:szCs w:val="18"/>
          <w:lang w:eastAsia="en-US"/>
        </w:rPr>
        <w:t xml:space="preserve">are equipped to provide a driver with a view of all passengers in or on the bus </w:t>
      </w:r>
    </w:p>
    <w:p w14:paraId="1F44AAAC" w14:textId="77777777" w:rsidR="00985302" w:rsidRPr="00F140A1" w:rsidRDefault="00985302" w:rsidP="00F140A1">
      <w:pPr>
        <w:pStyle w:val="ListParagraph"/>
        <w:numPr>
          <w:ilvl w:val="0"/>
          <w:numId w:val="11"/>
        </w:numPr>
        <w:rPr>
          <w:rFonts w:asciiTheme="minorHAnsi" w:eastAsiaTheme="minorHAnsi" w:hAnsiTheme="minorHAnsi" w:cstheme="minorBidi"/>
          <w:color w:val="000000" w:themeColor="text1"/>
          <w:sz w:val="20"/>
          <w:szCs w:val="18"/>
          <w:lang w:eastAsia="en-US"/>
        </w:rPr>
      </w:pPr>
      <w:r w:rsidRPr="00F140A1">
        <w:rPr>
          <w:rFonts w:asciiTheme="minorHAnsi" w:eastAsiaTheme="minorHAnsi" w:hAnsiTheme="minorHAnsi" w:cstheme="minorBidi"/>
          <w:color w:val="000000" w:themeColor="text1"/>
          <w:sz w:val="20"/>
          <w:szCs w:val="18"/>
          <w:lang w:eastAsia="en-US"/>
        </w:rPr>
        <w:t>have safe luggage racks, where equipped</w:t>
      </w:r>
    </w:p>
    <w:p w14:paraId="28544135" w14:textId="77777777" w:rsidR="00985302" w:rsidRPr="00F140A1" w:rsidRDefault="00985302" w:rsidP="00F140A1">
      <w:pPr>
        <w:pStyle w:val="ListParagraph"/>
        <w:numPr>
          <w:ilvl w:val="0"/>
          <w:numId w:val="11"/>
        </w:numPr>
        <w:rPr>
          <w:rFonts w:asciiTheme="minorHAnsi" w:eastAsiaTheme="minorHAnsi" w:hAnsiTheme="minorHAnsi" w:cstheme="minorBidi"/>
          <w:color w:val="000000" w:themeColor="text1"/>
          <w:sz w:val="20"/>
          <w:szCs w:val="18"/>
          <w:lang w:eastAsia="en-US"/>
        </w:rPr>
      </w:pPr>
      <w:r w:rsidRPr="00F140A1">
        <w:rPr>
          <w:rFonts w:asciiTheme="minorHAnsi" w:eastAsiaTheme="minorHAnsi" w:hAnsiTheme="minorHAnsi" w:cstheme="minorBidi"/>
          <w:color w:val="000000" w:themeColor="text1"/>
          <w:sz w:val="20"/>
          <w:szCs w:val="18"/>
          <w:lang w:eastAsia="en-US"/>
        </w:rPr>
        <w:t>have a prescribed bulkhead behind the driver’s seat, where required by the Safety Director.</w:t>
      </w:r>
    </w:p>
    <w:p w14:paraId="435654FD" w14:textId="4CEF10EF" w:rsidR="00985302" w:rsidRPr="008E78BC" w:rsidRDefault="00985302" w:rsidP="00985302">
      <w:pPr>
        <w:rPr>
          <w:rFonts w:ascii="Arial" w:hAnsi="Arial" w:cs="Arial"/>
          <w:szCs w:val="20"/>
        </w:rPr>
      </w:pPr>
      <w:r w:rsidRPr="008E78BC">
        <w:rPr>
          <w:rFonts w:ascii="Arial" w:hAnsi="Arial" w:cs="Arial"/>
          <w:szCs w:val="20"/>
        </w:rPr>
        <w:t xml:space="preserve">In relation to addressing fire on buses, </w:t>
      </w:r>
      <w:r>
        <w:rPr>
          <w:rFonts w:ascii="Arial" w:hAnsi="Arial" w:cs="Arial"/>
          <w:szCs w:val="20"/>
        </w:rPr>
        <w:t xml:space="preserve">an </w:t>
      </w:r>
      <w:r w:rsidRPr="008E78BC">
        <w:rPr>
          <w:rFonts w:ascii="Arial" w:hAnsi="Arial" w:cs="Arial"/>
          <w:szCs w:val="20"/>
        </w:rPr>
        <w:t>option may be to require all buses to have fire extinguishers regardless of ADR requirements</w:t>
      </w:r>
      <w:r>
        <w:rPr>
          <w:rFonts w:ascii="Arial" w:hAnsi="Arial" w:cs="Arial"/>
          <w:szCs w:val="20"/>
        </w:rPr>
        <w:t xml:space="preserve"> or for regulations to be consistent with the ADRs</w:t>
      </w:r>
      <w:r w:rsidRPr="008E78BC">
        <w:rPr>
          <w:rFonts w:ascii="Arial" w:hAnsi="Arial" w:cs="Arial"/>
          <w:szCs w:val="20"/>
        </w:rPr>
        <w:t xml:space="preserve">. </w:t>
      </w:r>
    </w:p>
    <w:p w14:paraId="6207335E" w14:textId="77777777" w:rsidR="00985302" w:rsidRPr="008E78BC" w:rsidRDefault="00985302" w:rsidP="0095677C">
      <w:pPr>
        <w:pStyle w:val="Heading4"/>
      </w:pPr>
      <w:r w:rsidRPr="008E78BC">
        <w:t>Safety systems for vehicle safety</w:t>
      </w:r>
      <w:r>
        <w:t xml:space="preserve"> (refer to Section 6.1.2.1 further discussion)</w:t>
      </w:r>
    </w:p>
    <w:p w14:paraId="4AF4205D" w14:textId="7E460355" w:rsidR="00985302" w:rsidRDefault="00985302" w:rsidP="00985302">
      <w:pPr>
        <w:rPr>
          <w:rFonts w:ascii="Arial" w:hAnsi="Arial" w:cs="Arial"/>
          <w:szCs w:val="20"/>
        </w:rPr>
      </w:pPr>
      <w:r w:rsidRPr="008E78BC">
        <w:rPr>
          <w:rFonts w:ascii="Arial" w:hAnsi="Arial" w:cs="Arial"/>
          <w:szCs w:val="20"/>
        </w:rPr>
        <w:t xml:space="preserve">DoT considers that the contents of any system to manage vehicle safety ought to cover off on measures addressing the sources of risk to safety in relation to the vehicle. Any system </w:t>
      </w:r>
      <w:r>
        <w:rPr>
          <w:rFonts w:ascii="Arial" w:hAnsi="Arial" w:cs="Arial"/>
          <w:szCs w:val="20"/>
        </w:rPr>
        <w:t>could</w:t>
      </w:r>
      <w:r w:rsidRPr="008E78BC">
        <w:rPr>
          <w:rFonts w:ascii="Arial" w:hAnsi="Arial" w:cs="Arial"/>
          <w:szCs w:val="20"/>
        </w:rPr>
        <w:t xml:space="preserve"> also specify the frequency of how each of the activities are to be undertaken.</w:t>
      </w:r>
      <w:r>
        <w:rPr>
          <w:rFonts w:ascii="Arial" w:hAnsi="Arial" w:cs="Arial"/>
          <w:szCs w:val="20"/>
        </w:rPr>
        <w:t xml:space="preserve"> </w:t>
      </w:r>
      <w:r w:rsidRPr="008E78BC">
        <w:rPr>
          <w:rFonts w:ascii="Arial" w:hAnsi="Arial" w:cs="Arial"/>
          <w:szCs w:val="20"/>
        </w:rPr>
        <w:t xml:space="preserve">The set requirements in an MMS could be achieved </w:t>
      </w:r>
      <w:r>
        <w:rPr>
          <w:rFonts w:ascii="Arial" w:hAnsi="Arial" w:cs="Arial"/>
          <w:szCs w:val="20"/>
        </w:rPr>
        <w:t xml:space="preserve">via prescribing contents of MMS in regulations, </w:t>
      </w:r>
      <w:r w:rsidRPr="008E78BC">
        <w:rPr>
          <w:rFonts w:ascii="Arial" w:hAnsi="Arial" w:cs="Arial"/>
          <w:szCs w:val="20"/>
        </w:rPr>
        <w:t xml:space="preserve">delegating power to the Safety Director </w:t>
      </w:r>
      <w:r>
        <w:rPr>
          <w:rFonts w:ascii="Arial" w:hAnsi="Arial" w:cs="Arial"/>
          <w:szCs w:val="20"/>
        </w:rPr>
        <w:t xml:space="preserve">to set requirements via notice to an operator or via notice in </w:t>
      </w:r>
      <w:r w:rsidRPr="008E78BC">
        <w:rPr>
          <w:rFonts w:ascii="Arial" w:hAnsi="Arial" w:cs="Arial"/>
          <w:szCs w:val="20"/>
        </w:rPr>
        <w:t>Government Gazette.</w:t>
      </w:r>
    </w:p>
    <w:p w14:paraId="128A6B33" w14:textId="441B5E5E" w:rsidR="00985302" w:rsidRDefault="00985302" w:rsidP="00985302">
      <w:pPr>
        <w:rPr>
          <w:rFonts w:ascii="Arial" w:hAnsi="Arial" w:cs="Arial"/>
          <w:szCs w:val="20"/>
          <w:lang w:val="en-US"/>
        </w:rPr>
      </w:pPr>
      <w:r>
        <w:rPr>
          <w:rFonts w:ascii="Arial" w:hAnsi="Arial" w:cs="Arial"/>
          <w:szCs w:val="20"/>
        </w:rPr>
        <w:t xml:space="preserve">DoT </w:t>
      </w:r>
      <w:r w:rsidR="000A6FF4">
        <w:rPr>
          <w:rFonts w:ascii="Arial" w:hAnsi="Arial" w:cs="Arial"/>
          <w:szCs w:val="20"/>
        </w:rPr>
        <w:t xml:space="preserve">considers </w:t>
      </w:r>
      <w:r>
        <w:rPr>
          <w:rFonts w:ascii="Arial" w:hAnsi="Arial" w:cs="Arial"/>
          <w:szCs w:val="20"/>
        </w:rPr>
        <w:t xml:space="preserve">who should be required to implement such systems. </w:t>
      </w:r>
      <w:r>
        <w:rPr>
          <w:rFonts w:ascii="Arial" w:hAnsi="Arial" w:cs="Arial"/>
          <w:szCs w:val="20"/>
          <w:lang w:val="en-US"/>
        </w:rPr>
        <w:t>DoT considers it sufficient to only impose this requirement on accredited operators having regard to the nature of the safety risk faced by those operators and the complexity of their operations.</w:t>
      </w:r>
    </w:p>
    <w:p w14:paraId="633F4E14" w14:textId="7FF1B883" w:rsidR="00985302" w:rsidRPr="000874D6" w:rsidRDefault="00985302" w:rsidP="00985302">
      <w:pPr>
        <w:rPr>
          <w:rFonts w:ascii="Arial" w:hAnsi="Arial" w:cs="Arial"/>
          <w:szCs w:val="20"/>
        </w:rPr>
      </w:pPr>
      <w:r>
        <w:rPr>
          <w:rFonts w:ascii="Arial" w:hAnsi="Arial" w:cs="Arial"/>
          <w:szCs w:val="20"/>
        </w:rPr>
        <w:t>DoT also considered options for auditing or reviewing an MMS to ensure the system for managing vehicle safety is up-to-date</w:t>
      </w:r>
      <w:r w:rsidRPr="008E78BC">
        <w:rPr>
          <w:rFonts w:ascii="Arial" w:hAnsi="Arial" w:cs="Arial"/>
          <w:szCs w:val="20"/>
        </w:rPr>
        <w:t>.</w:t>
      </w:r>
      <w:r>
        <w:rPr>
          <w:rFonts w:ascii="Arial" w:hAnsi="Arial" w:cs="Arial"/>
          <w:szCs w:val="20"/>
        </w:rPr>
        <w:t xml:space="preserve"> Audits could be required </w:t>
      </w:r>
      <w:r w:rsidRPr="008E78BC">
        <w:rPr>
          <w:rFonts w:ascii="Arial" w:hAnsi="Arial" w:cs="Arial"/>
          <w:szCs w:val="20"/>
        </w:rPr>
        <w:t xml:space="preserve">at the Safety Director’s discretion, prescribed at periodic intervals or be required after the occurrence of a prescribed event. </w:t>
      </w:r>
      <w:r>
        <w:rPr>
          <w:rFonts w:ascii="Arial" w:hAnsi="Arial" w:cs="Arial"/>
          <w:szCs w:val="20"/>
        </w:rPr>
        <w:t>T</w:t>
      </w:r>
      <w:r w:rsidRPr="008E78BC">
        <w:rPr>
          <w:rFonts w:ascii="Arial" w:hAnsi="Arial" w:cs="Arial"/>
          <w:szCs w:val="20"/>
        </w:rPr>
        <w:t>here could</w:t>
      </w:r>
      <w:r>
        <w:rPr>
          <w:rFonts w:ascii="Arial" w:hAnsi="Arial" w:cs="Arial"/>
          <w:szCs w:val="20"/>
        </w:rPr>
        <w:t xml:space="preserve"> also be</w:t>
      </w:r>
      <w:r w:rsidRPr="008E78BC">
        <w:rPr>
          <w:rFonts w:ascii="Arial" w:hAnsi="Arial" w:cs="Arial"/>
          <w:szCs w:val="20"/>
        </w:rPr>
        <w:t xml:space="preserve"> </w:t>
      </w:r>
      <w:r>
        <w:rPr>
          <w:rFonts w:ascii="Arial" w:hAnsi="Arial" w:cs="Arial"/>
          <w:szCs w:val="20"/>
        </w:rPr>
        <w:t xml:space="preserve">non-periodic circumstances </w:t>
      </w:r>
      <w:r w:rsidRPr="008E78BC">
        <w:rPr>
          <w:rFonts w:ascii="Arial" w:hAnsi="Arial" w:cs="Arial"/>
          <w:szCs w:val="20"/>
        </w:rPr>
        <w:t>which would warrant a review of the MMS to ensure it continues to achieve the safety objectives of the bus service.</w:t>
      </w:r>
      <w:r>
        <w:rPr>
          <w:rFonts w:ascii="Arial" w:hAnsi="Arial" w:cs="Arial"/>
          <w:szCs w:val="20"/>
        </w:rPr>
        <w:t xml:space="preserve"> </w:t>
      </w:r>
    </w:p>
    <w:p w14:paraId="0EA34B35" w14:textId="77777777" w:rsidR="00985302" w:rsidRPr="008E78BC" w:rsidRDefault="00985302" w:rsidP="0095677C">
      <w:pPr>
        <w:pStyle w:val="Heading4"/>
      </w:pPr>
      <w:r w:rsidRPr="008E78BC">
        <w:t>Roadworthy inspections</w:t>
      </w:r>
      <w:r>
        <w:t xml:space="preserve"> (refer to 6.1.2.2 for further discussion)</w:t>
      </w:r>
    </w:p>
    <w:p w14:paraId="2988DFFC" w14:textId="4DADF5AD" w:rsidR="00985302" w:rsidRPr="008E78BC" w:rsidRDefault="00E53EEF" w:rsidP="00985302">
      <w:pPr>
        <w:overflowPunct w:val="0"/>
        <w:autoSpaceDE w:val="0"/>
        <w:autoSpaceDN w:val="0"/>
        <w:adjustRightInd w:val="0"/>
        <w:spacing w:before="120" w:after="120"/>
        <w:textAlignment w:val="baseline"/>
        <w:rPr>
          <w:rFonts w:ascii="Arial" w:hAnsi="Arial" w:cs="Arial"/>
          <w:szCs w:val="20"/>
          <w:lang w:val="en-US"/>
        </w:rPr>
      </w:pPr>
      <w:r>
        <w:rPr>
          <w:rFonts w:ascii="Arial" w:hAnsi="Arial" w:cs="Arial"/>
          <w:szCs w:val="20"/>
          <w:lang w:val="en-US"/>
        </w:rPr>
        <w:t>Under the Bus Safety Act, b</w:t>
      </w:r>
      <w:r w:rsidR="00985302">
        <w:rPr>
          <w:rFonts w:ascii="Arial" w:hAnsi="Arial" w:cs="Arial"/>
          <w:szCs w:val="20"/>
          <w:lang w:val="en-US"/>
        </w:rPr>
        <w:t>uses operated by accredited operators are required to undergo annual roadworthy inspections. However, there</w:t>
      </w:r>
      <w:r w:rsidR="00985302" w:rsidRPr="008E78BC">
        <w:rPr>
          <w:rFonts w:ascii="Arial" w:hAnsi="Arial" w:cs="Arial"/>
          <w:szCs w:val="20"/>
          <w:lang w:val="en-US"/>
        </w:rPr>
        <w:t xml:space="preserve"> is a capability to prescribe in regulation intervals that are not annual.</w:t>
      </w:r>
      <w:r w:rsidR="00985302">
        <w:rPr>
          <w:rFonts w:ascii="Arial" w:hAnsi="Arial" w:cs="Arial"/>
          <w:szCs w:val="20"/>
          <w:lang w:val="en-US"/>
        </w:rPr>
        <w:t xml:space="preserve"> </w:t>
      </w:r>
      <w:r w:rsidR="00985302">
        <w:rPr>
          <w:rFonts w:ascii="Arial" w:hAnsi="Arial" w:cs="Arial"/>
          <w:color w:val="auto"/>
          <w:szCs w:val="20"/>
          <w:lang w:val="en-US"/>
        </w:rPr>
        <w:t>There is no annual inspection requirement for buses operated by registered operators under the Bus Safety Act but there is a capability to prescribe such a requirement. It is therefore necessary to consider whether this should be prescribed and what</w:t>
      </w:r>
      <w:r w:rsidR="00985302" w:rsidRPr="008E78BC">
        <w:rPr>
          <w:rFonts w:ascii="Arial" w:hAnsi="Arial" w:cs="Arial"/>
          <w:color w:val="auto"/>
          <w:szCs w:val="20"/>
          <w:lang w:val="en-US"/>
        </w:rPr>
        <w:t xml:space="preserve"> an appropriate frequency for inspection </w:t>
      </w:r>
      <w:r w:rsidR="00985302">
        <w:rPr>
          <w:rFonts w:ascii="Arial" w:hAnsi="Arial" w:cs="Arial"/>
          <w:color w:val="auto"/>
          <w:szCs w:val="20"/>
          <w:lang w:val="en-US"/>
        </w:rPr>
        <w:t>w</w:t>
      </w:r>
      <w:r w:rsidR="00985302" w:rsidRPr="008E78BC">
        <w:rPr>
          <w:rFonts w:ascii="Arial" w:hAnsi="Arial" w:cs="Arial"/>
          <w:color w:val="auto"/>
          <w:szCs w:val="20"/>
          <w:lang w:val="en-US"/>
        </w:rPr>
        <w:t xml:space="preserve">ould </w:t>
      </w:r>
      <w:r w:rsidR="00985302" w:rsidRPr="008E78BC">
        <w:rPr>
          <w:rFonts w:ascii="Arial" w:hAnsi="Arial" w:cs="Arial"/>
          <w:color w:val="auto"/>
          <w:szCs w:val="20"/>
          <w:lang w:val="en-US"/>
        </w:rPr>
        <w:lastRenderedPageBreak/>
        <w:t>be</w:t>
      </w:r>
      <w:r w:rsidR="00985302">
        <w:rPr>
          <w:rFonts w:ascii="Arial" w:hAnsi="Arial" w:cs="Arial"/>
          <w:color w:val="auto"/>
          <w:szCs w:val="20"/>
          <w:lang w:val="en-US"/>
        </w:rPr>
        <w:t xml:space="preserve">. </w:t>
      </w:r>
      <w:r w:rsidR="00985302" w:rsidRPr="008E78BC">
        <w:rPr>
          <w:rFonts w:ascii="Arial" w:hAnsi="Arial" w:cs="Arial"/>
          <w:szCs w:val="20"/>
          <w:lang w:val="en-US"/>
        </w:rPr>
        <w:t>An alternative</w:t>
      </w:r>
      <w:r w:rsidR="00985302">
        <w:rPr>
          <w:rFonts w:ascii="Arial" w:hAnsi="Arial" w:cs="Arial"/>
          <w:szCs w:val="20"/>
          <w:lang w:val="en-US"/>
        </w:rPr>
        <w:t xml:space="preserve"> to prescribed intervals</w:t>
      </w:r>
      <w:r w:rsidR="00985302" w:rsidRPr="008E78BC">
        <w:rPr>
          <w:rFonts w:ascii="Arial" w:hAnsi="Arial" w:cs="Arial"/>
          <w:szCs w:val="20"/>
          <w:lang w:val="en-US"/>
        </w:rPr>
        <w:t xml:space="preserve"> could be risk-based inspections where the frequency at which buses are inspected changes with risk and other factors that may be relevant to the safety of a bus.</w:t>
      </w:r>
      <w:r w:rsidR="00985302">
        <w:rPr>
          <w:rFonts w:ascii="Arial" w:hAnsi="Arial" w:cs="Arial"/>
          <w:szCs w:val="20"/>
          <w:lang w:val="en-US"/>
        </w:rPr>
        <w:t xml:space="preserve"> </w:t>
      </w:r>
      <w:r w:rsidR="00985302" w:rsidRPr="008E78BC">
        <w:rPr>
          <w:rFonts w:ascii="Arial" w:hAnsi="Arial" w:cs="Arial"/>
          <w:szCs w:val="20"/>
          <w:lang w:val="en-US"/>
        </w:rPr>
        <w:t>DoT considers the merits of an inspections regime that is a combination of a default prescribed minimum interval of inspections and providing flexibility for risk-based inspections.</w:t>
      </w:r>
    </w:p>
    <w:p w14:paraId="03059513" w14:textId="384FCB76" w:rsidR="00985302" w:rsidRPr="008E78BC" w:rsidRDefault="00985302" w:rsidP="00985302">
      <w:pPr>
        <w:pStyle w:val="ListBullet"/>
        <w:numPr>
          <w:ilvl w:val="0"/>
          <w:numId w:val="0"/>
        </w:numPr>
        <w:rPr>
          <w:rFonts w:ascii="Arial" w:hAnsi="Arial" w:cs="Arial"/>
          <w:szCs w:val="20"/>
          <w:lang w:val="en-US"/>
        </w:rPr>
      </w:pPr>
      <w:r w:rsidRPr="008E78BC">
        <w:rPr>
          <w:rFonts w:ascii="Arial" w:hAnsi="Arial" w:cs="Arial"/>
          <w:szCs w:val="20"/>
        </w:rPr>
        <w:t>There are a range of parties that could be considered to be allowed to conduct vehicle inspections of buses. DoT considers that licensed</w:t>
      </w:r>
      <w:r w:rsidRPr="008E78BC">
        <w:rPr>
          <w:rFonts w:ascii="Arial" w:hAnsi="Arial" w:cs="Arial"/>
          <w:szCs w:val="20"/>
          <w:lang w:val="en-US"/>
        </w:rPr>
        <w:t xml:space="preserve"> bus testers, qualified mechanics, and TSV officers are best placed to be able to conduct inspections.</w:t>
      </w:r>
    </w:p>
    <w:p w14:paraId="0834BB2B" w14:textId="77777777" w:rsidR="00985302" w:rsidRPr="008E78BC" w:rsidRDefault="00985302" w:rsidP="00985302">
      <w:pPr>
        <w:pStyle w:val="Heading3"/>
      </w:pPr>
      <w:bookmarkStart w:id="53" w:name="_Toc42262247"/>
      <w:bookmarkStart w:id="54" w:name="_Toc44436858"/>
      <w:bookmarkStart w:id="55" w:name="_Toc45548650"/>
      <w:bookmarkStart w:id="56" w:name="_Toc45704298"/>
      <w:r w:rsidRPr="008E78BC">
        <w:t>Safety of bus operations</w:t>
      </w:r>
      <w:bookmarkEnd w:id="53"/>
      <w:r>
        <w:t xml:space="preserve"> (refer to Section 6.2 for further discussion)</w:t>
      </w:r>
      <w:bookmarkEnd w:id="54"/>
      <w:bookmarkEnd w:id="55"/>
      <w:bookmarkEnd w:id="56"/>
    </w:p>
    <w:p w14:paraId="69FD1C1D" w14:textId="77777777" w:rsidR="00985302" w:rsidRDefault="00985302" w:rsidP="0095677C">
      <w:pPr>
        <w:pStyle w:val="Heading4"/>
      </w:pPr>
      <w:r>
        <w:t>Safety systems for bus operations (refer to Section 6.2.1 for further discussion)</w:t>
      </w:r>
    </w:p>
    <w:p w14:paraId="7BE72816" w14:textId="7E99AA35" w:rsidR="00985302" w:rsidRDefault="00985302" w:rsidP="00985302">
      <w:pPr>
        <w:rPr>
          <w:rFonts w:ascii="Arial" w:hAnsi="Arial" w:cs="Arial"/>
          <w:szCs w:val="20"/>
        </w:rPr>
      </w:pPr>
      <w:r w:rsidRPr="008E78BC">
        <w:rPr>
          <w:rFonts w:ascii="Arial" w:hAnsi="Arial" w:cs="Arial"/>
          <w:szCs w:val="20"/>
        </w:rPr>
        <w:t xml:space="preserve">The contents of any </w:t>
      </w:r>
      <w:r w:rsidR="00D73AF9">
        <w:rPr>
          <w:rFonts w:ascii="Arial" w:hAnsi="Arial" w:cs="Arial"/>
          <w:szCs w:val="20"/>
        </w:rPr>
        <w:t xml:space="preserve">safety </w:t>
      </w:r>
      <w:r w:rsidRPr="008E78BC">
        <w:rPr>
          <w:rFonts w:ascii="Arial" w:hAnsi="Arial" w:cs="Arial"/>
          <w:szCs w:val="20"/>
        </w:rPr>
        <w:t xml:space="preserve">system </w:t>
      </w:r>
      <w:r w:rsidR="00D73AF9">
        <w:rPr>
          <w:rFonts w:ascii="Arial" w:hAnsi="Arial" w:cs="Arial"/>
          <w:szCs w:val="20"/>
        </w:rPr>
        <w:t xml:space="preserve">for bus operations </w:t>
      </w:r>
      <w:r w:rsidRPr="008E78BC">
        <w:rPr>
          <w:rFonts w:ascii="Arial" w:hAnsi="Arial" w:cs="Arial"/>
          <w:szCs w:val="20"/>
        </w:rPr>
        <w:t>should cover measures to address the sources of risk that may arise from the operational aspects of a bus service. The set requirements in an M</w:t>
      </w:r>
      <w:r>
        <w:rPr>
          <w:rFonts w:ascii="Arial" w:hAnsi="Arial" w:cs="Arial"/>
          <w:szCs w:val="20"/>
        </w:rPr>
        <w:t>I</w:t>
      </w:r>
      <w:r w:rsidRPr="008E78BC">
        <w:rPr>
          <w:rFonts w:ascii="Arial" w:hAnsi="Arial" w:cs="Arial"/>
          <w:szCs w:val="20"/>
        </w:rPr>
        <w:t xml:space="preserve">S could be achieved </w:t>
      </w:r>
      <w:r>
        <w:rPr>
          <w:rFonts w:ascii="Arial" w:hAnsi="Arial" w:cs="Arial"/>
          <w:szCs w:val="20"/>
        </w:rPr>
        <w:t xml:space="preserve">via prescribing contents of MIS in regulations, </w:t>
      </w:r>
      <w:r w:rsidRPr="008E78BC">
        <w:rPr>
          <w:rFonts w:ascii="Arial" w:hAnsi="Arial" w:cs="Arial"/>
          <w:szCs w:val="20"/>
        </w:rPr>
        <w:t xml:space="preserve">delegating power to the Safety Director </w:t>
      </w:r>
      <w:r>
        <w:rPr>
          <w:rFonts w:ascii="Arial" w:hAnsi="Arial" w:cs="Arial"/>
          <w:szCs w:val="20"/>
        </w:rPr>
        <w:t xml:space="preserve">to set requirements via notice to an operator or via notice in </w:t>
      </w:r>
      <w:r w:rsidRPr="008E78BC">
        <w:rPr>
          <w:rFonts w:ascii="Arial" w:hAnsi="Arial" w:cs="Arial"/>
          <w:szCs w:val="20"/>
        </w:rPr>
        <w:t>Government Gazette.</w:t>
      </w:r>
    </w:p>
    <w:p w14:paraId="6DF9C907" w14:textId="6823A4FE" w:rsidR="00985302" w:rsidRPr="008E78BC" w:rsidRDefault="00985302" w:rsidP="00985302">
      <w:pPr>
        <w:rPr>
          <w:rFonts w:ascii="Arial" w:hAnsi="Arial" w:cs="Arial"/>
          <w:szCs w:val="20"/>
        </w:rPr>
      </w:pPr>
      <w:r>
        <w:rPr>
          <w:rFonts w:ascii="Arial" w:hAnsi="Arial" w:cs="Arial"/>
          <w:szCs w:val="20"/>
        </w:rPr>
        <w:t>DoT considered which duty holder under the Bus Safety Act should be required to implement an MIS. DoT considers that accredited operators are the appropriate duty holder to be required to implement an MIS.</w:t>
      </w:r>
      <w:r w:rsidRPr="008E78BC">
        <w:rPr>
          <w:rFonts w:ascii="Arial" w:hAnsi="Arial" w:cs="Arial"/>
          <w:szCs w:val="20"/>
        </w:rPr>
        <w:t xml:space="preserve"> </w:t>
      </w:r>
    </w:p>
    <w:p w14:paraId="22A20742" w14:textId="054C538E" w:rsidR="00985302" w:rsidRPr="000874D6" w:rsidRDefault="00985302" w:rsidP="00985302">
      <w:pPr>
        <w:rPr>
          <w:rFonts w:ascii="Arial" w:hAnsi="Arial" w:cs="Arial"/>
          <w:szCs w:val="20"/>
        </w:rPr>
      </w:pPr>
      <w:bookmarkStart w:id="57" w:name="_Toc42262249"/>
      <w:r>
        <w:rPr>
          <w:rFonts w:ascii="Arial" w:hAnsi="Arial" w:cs="Arial"/>
          <w:szCs w:val="20"/>
        </w:rPr>
        <w:t>DoT also considered options for auditing or reviewing an MMS to ensure the safety system is for managing vehicle safety is up-to-date</w:t>
      </w:r>
      <w:r w:rsidRPr="008E78BC">
        <w:rPr>
          <w:rFonts w:ascii="Arial" w:hAnsi="Arial" w:cs="Arial"/>
          <w:szCs w:val="20"/>
        </w:rPr>
        <w:t>.</w:t>
      </w:r>
      <w:r>
        <w:rPr>
          <w:rFonts w:ascii="Arial" w:hAnsi="Arial" w:cs="Arial"/>
          <w:szCs w:val="20"/>
        </w:rPr>
        <w:t xml:space="preserve"> Audits could be required </w:t>
      </w:r>
      <w:r w:rsidRPr="008E78BC">
        <w:rPr>
          <w:rFonts w:ascii="Arial" w:hAnsi="Arial" w:cs="Arial"/>
          <w:szCs w:val="20"/>
        </w:rPr>
        <w:t xml:space="preserve">at the Safety Director’s discretion, prescribed at periodic intervals or be required after the occurrence of a prescribed event. </w:t>
      </w:r>
      <w:r>
        <w:rPr>
          <w:rFonts w:ascii="Arial" w:hAnsi="Arial" w:cs="Arial"/>
          <w:szCs w:val="20"/>
        </w:rPr>
        <w:t>T</w:t>
      </w:r>
      <w:r w:rsidRPr="008E78BC">
        <w:rPr>
          <w:rFonts w:ascii="Arial" w:hAnsi="Arial" w:cs="Arial"/>
          <w:szCs w:val="20"/>
        </w:rPr>
        <w:t xml:space="preserve">here could </w:t>
      </w:r>
      <w:r w:rsidR="006D4A99">
        <w:rPr>
          <w:rFonts w:ascii="Arial" w:hAnsi="Arial" w:cs="Arial"/>
          <w:szCs w:val="20"/>
        </w:rPr>
        <w:t xml:space="preserve">be </w:t>
      </w:r>
      <w:r>
        <w:rPr>
          <w:rFonts w:ascii="Arial" w:hAnsi="Arial" w:cs="Arial"/>
          <w:szCs w:val="20"/>
        </w:rPr>
        <w:t xml:space="preserve">non-periodic circumstances </w:t>
      </w:r>
      <w:r w:rsidRPr="008E78BC">
        <w:rPr>
          <w:rFonts w:ascii="Arial" w:hAnsi="Arial" w:cs="Arial"/>
          <w:szCs w:val="20"/>
        </w:rPr>
        <w:t>which would warrant a review of the M</w:t>
      </w:r>
      <w:r>
        <w:rPr>
          <w:rFonts w:ascii="Arial" w:hAnsi="Arial" w:cs="Arial"/>
          <w:szCs w:val="20"/>
        </w:rPr>
        <w:t>I</w:t>
      </w:r>
      <w:r w:rsidRPr="008E78BC">
        <w:rPr>
          <w:rFonts w:ascii="Arial" w:hAnsi="Arial" w:cs="Arial"/>
          <w:szCs w:val="20"/>
        </w:rPr>
        <w:t xml:space="preserve">S to ensure it continues to achieve the safety objectives of the bus service. </w:t>
      </w:r>
    </w:p>
    <w:p w14:paraId="3CFD303D" w14:textId="77777777" w:rsidR="00985302" w:rsidRPr="008E78BC" w:rsidRDefault="00985302" w:rsidP="0095677C">
      <w:pPr>
        <w:pStyle w:val="Heading4"/>
      </w:pPr>
      <w:r w:rsidRPr="008E78BC">
        <w:t>Maximum number of passengers</w:t>
      </w:r>
      <w:bookmarkEnd w:id="57"/>
      <w:r>
        <w:t xml:space="preserve"> (refer to Section 6.2.2 for further discussion)</w:t>
      </w:r>
    </w:p>
    <w:p w14:paraId="58307604" w14:textId="33131962" w:rsidR="00985302" w:rsidRPr="008E78BC" w:rsidRDefault="00985302" w:rsidP="00985302">
      <w:pPr>
        <w:rPr>
          <w:rFonts w:ascii="Arial" w:hAnsi="Arial" w:cs="Arial"/>
          <w:szCs w:val="20"/>
        </w:rPr>
      </w:pPr>
      <w:r w:rsidRPr="008E78BC">
        <w:rPr>
          <w:rFonts w:ascii="Arial" w:hAnsi="Arial" w:cs="Arial"/>
          <w:szCs w:val="20"/>
        </w:rPr>
        <w:t>DoT consider</w:t>
      </w:r>
      <w:r w:rsidR="00EB58E3">
        <w:rPr>
          <w:rFonts w:ascii="Arial" w:hAnsi="Arial" w:cs="Arial"/>
          <w:szCs w:val="20"/>
        </w:rPr>
        <w:t>ed an</w:t>
      </w:r>
      <w:r w:rsidRPr="008E78BC">
        <w:rPr>
          <w:rFonts w:ascii="Arial" w:hAnsi="Arial" w:cs="Arial"/>
          <w:szCs w:val="20"/>
        </w:rPr>
        <w:t xml:space="preserve"> option for bus drivers to be required to have records of the carrying capacity of every bus they </w:t>
      </w:r>
      <w:r>
        <w:rPr>
          <w:rFonts w:ascii="Arial" w:hAnsi="Arial" w:cs="Arial"/>
          <w:szCs w:val="20"/>
        </w:rPr>
        <w:t xml:space="preserve">are </w:t>
      </w:r>
      <w:r w:rsidRPr="008E78BC">
        <w:rPr>
          <w:rFonts w:ascii="Arial" w:hAnsi="Arial" w:cs="Arial"/>
          <w:szCs w:val="20"/>
        </w:rPr>
        <w:t>required to drive.</w:t>
      </w:r>
      <w:r>
        <w:rPr>
          <w:rFonts w:ascii="Arial" w:hAnsi="Arial" w:cs="Arial"/>
          <w:szCs w:val="20"/>
        </w:rPr>
        <w:t xml:space="preserve"> This is considered</w:t>
      </w:r>
      <w:r w:rsidRPr="008E78BC">
        <w:rPr>
          <w:rFonts w:ascii="Arial" w:hAnsi="Arial" w:cs="Arial"/>
          <w:szCs w:val="20"/>
        </w:rPr>
        <w:t xml:space="preserve"> impractical and unnecessary. Alternatively, bus operators could have similar obligations to provide this information to bus drivers.</w:t>
      </w:r>
      <w:r>
        <w:rPr>
          <w:rFonts w:ascii="Arial" w:hAnsi="Arial" w:cs="Arial"/>
          <w:szCs w:val="20"/>
        </w:rPr>
        <w:t xml:space="preserve"> A</w:t>
      </w:r>
      <w:r w:rsidRPr="008E78BC">
        <w:rPr>
          <w:rFonts w:ascii="Arial" w:hAnsi="Arial" w:cs="Arial"/>
          <w:szCs w:val="20"/>
        </w:rPr>
        <w:t xml:space="preserve">nother option is </w:t>
      </w:r>
      <w:r>
        <w:rPr>
          <w:rFonts w:ascii="Arial" w:hAnsi="Arial" w:cs="Arial"/>
          <w:szCs w:val="20"/>
        </w:rPr>
        <w:t xml:space="preserve">each bus to clearly display the </w:t>
      </w:r>
      <w:r w:rsidRPr="008E78BC">
        <w:rPr>
          <w:rFonts w:ascii="Arial" w:hAnsi="Arial" w:cs="Arial"/>
          <w:szCs w:val="20"/>
        </w:rPr>
        <w:t>maximum carrying capacity</w:t>
      </w:r>
      <w:r>
        <w:rPr>
          <w:rFonts w:ascii="Arial" w:hAnsi="Arial" w:cs="Arial"/>
          <w:szCs w:val="20"/>
        </w:rPr>
        <w:t xml:space="preserve"> to ensure </w:t>
      </w:r>
      <w:r w:rsidRPr="008E78BC">
        <w:rPr>
          <w:rFonts w:ascii="Arial" w:hAnsi="Arial" w:cs="Arial"/>
          <w:szCs w:val="20"/>
        </w:rPr>
        <w:t xml:space="preserve">drivers </w:t>
      </w:r>
      <w:r>
        <w:rPr>
          <w:rFonts w:ascii="Arial" w:hAnsi="Arial" w:cs="Arial"/>
          <w:szCs w:val="20"/>
        </w:rPr>
        <w:t xml:space="preserve">are </w:t>
      </w:r>
      <w:r w:rsidRPr="008E78BC">
        <w:rPr>
          <w:rFonts w:ascii="Arial" w:hAnsi="Arial" w:cs="Arial"/>
          <w:szCs w:val="20"/>
        </w:rPr>
        <w:t xml:space="preserve">aware of the maximum carrying capacity </w:t>
      </w:r>
      <w:r>
        <w:rPr>
          <w:rFonts w:ascii="Arial" w:hAnsi="Arial" w:cs="Arial"/>
          <w:szCs w:val="20"/>
        </w:rPr>
        <w:t>for the bus</w:t>
      </w:r>
      <w:r w:rsidRPr="008E78BC">
        <w:rPr>
          <w:rFonts w:ascii="Arial" w:hAnsi="Arial" w:cs="Arial"/>
          <w:szCs w:val="20"/>
        </w:rPr>
        <w:t xml:space="preserve">. </w:t>
      </w:r>
    </w:p>
    <w:p w14:paraId="562C59D5" w14:textId="3C68D427" w:rsidR="00985302" w:rsidRPr="008E78BC" w:rsidRDefault="00985302" w:rsidP="00985302">
      <w:pPr>
        <w:rPr>
          <w:rFonts w:ascii="Arial" w:hAnsi="Arial" w:cs="Arial"/>
          <w:szCs w:val="20"/>
        </w:rPr>
      </w:pPr>
      <w:r>
        <w:rPr>
          <w:rFonts w:ascii="Arial" w:hAnsi="Arial" w:cs="Arial"/>
          <w:szCs w:val="20"/>
        </w:rPr>
        <w:t>The p</w:t>
      </w:r>
      <w:r w:rsidRPr="008E78BC">
        <w:rPr>
          <w:rFonts w:ascii="Arial" w:hAnsi="Arial" w:cs="Arial"/>
          <w:szCs w:val="20"/>
        </w:rPr>
        <w:t xml:space="preserve">arties that </w:t>
      </w:r>
      <w:r>
        <w:rPr>
          <w:rFonts w:ascii="Arial" w:hAnsi="Arial" w:cs="Arial"/>
          <w:szCs w:val="20"/>
        </w:rPr>
        <w:t xml:space="preserve">could </w:t>
      </w:r>
      <w:r w:rsidRPr="008E78BC">
        <w:rPr>
          <w:rFonts w:ascii="Arial" w:hAnsi="Arial" w:cs="Arial"/>
          <w:szCs w:val="20"/>
        </w:rPr>
        <w:t>determine the safety maximum carrying capacity of a bus</w:t>
      </w:r>
      <w:r>
        <w:rPr>
          <w:rFonts w:ascii="Arial" w:hAnsi="Arial" w:cs="Arial"/>
          <w:szCs w:val="20"/>
        </w:rPr>
        <w:t xml:space="preserve"> include </w:t>
      </w:r>
      <w:r w:rsidRPr="008E78BC">
        <w:rPr>
          <w:rFonts w:ascii="Arial" w:hAnsi="Arial" w:cs="Arial"/>
          <w:color w:val="auto"/>
          <w:szCs w:val="20"/>
        </w:rPr>
        <w:t>manufacturers</w:t>
      </w:r>
      <w:r>
        <w:rPr>
          <w:rFonts w:ascii="Arial" w:hAnsi="Arial" w:cs="Arial"/>
          <w:color w:val="auto"/>
          <w:szCs w:val="20"/>
        </w:rPr>
        <w:t xml:space="preserve">, </w:t>
      </w:r>
      <w:r w:rsidRPr="008E78BC">
        <w:rPr>
          <w:rFonts w:ascii="Arial" w:hAnsi="Arial" w:cs="Arial"/>
          <w:color w:val="auto"/>
          <w:szCs w:val="20"/>
        </w:rPr>
        <w:t>licensed bus testers</w:t>
      </w:r>
      <w:r>
        <w:rPr>
          <w:rFonts w:ascii="Arial" w:hAnsi="Arial" w:cs="Arial"/>
          <w:color w:val="auto"/>
          <w:szCs w:val="20"/>
        </w:rPr>
        <w:t>, s</w:t>
      </w:r>
      <w:r w:rsidRPr="008E78BC">
        <w:rPr>
          <w:rFonts w:ascii="Arial" w:hAnsi="Arial" w:cs="Arial"/>
          <w:color w:val="auto"/>
          <w:szCs w:val="20"/>
        </w:rPr>
        <w:t>ignatories of the Vehicle Assessment Signatory Scheme (VASS)</w:t>
      </w:r>
      <w:r>
        <w:rPr>
          <w:rFonts w:ascii="Arial" w:hAnsi="Arial" w:cs="Arial"/>
          <w:color w:val="auto"/>
          <w:szCs w:val="20"/>
        </w:rPr>
        <w:t>, and o</w:t>
      </w:r>
      <w:r w:rsidRPr="008E78BC">
        <w:rPr>
          <w:rFonts w:ascii="Arial" w:hAnsi="Arial" w:cs="Arial"/>
          <w:color w:val="auto"/>
          <w:szCs w:val="20"/>
        </w:rPr>
        <w:t xml:space="preserve">perators </w:t>
      </w:r>
      <w:r>
        <w:rPr>
          <w:rFonts w:ascii="Arial" w:hAnsi="Arial" w:cs="Arial"/>
          <w:color w:val="auto"/>
          <w:szCs w:val="20"/>
        </w:rPr>
        <w:t>(</w:t>
      </w:r>
      <w:r w:rsidRPr="008E78BC">
        <w:rPr>
          <w:rFonts w:ascii="Arial" w:hAnsi="Arial" w:cs="Arial"/>
          <w:color w:val="auto"/>
          <w:szCs w:val="20"/>
        </w:rPr>
        <w:t>with the assistance of guidelines or standards</w:t>
      </w:r>
      <w:r>
        <w:rPr>
          <w:rFonts w:ascii="Arial" w:hAnsi="Arial" w:cs="Arial"/>
          <w:color w:val="auto"/>
          <w:szCs w:val="20"/>
        </w:rPr>
        <w:t>)</w:t>
      </w:r>
      <w:r w:rsidRPr="008E78BC">
        <w:rPr>
          <w:rFonts w:ascii="Arial" w:hAnsi="Arial" w:cs="Arial"/>
          <w:color w:val="auto"/>
          <w:szCs w:val="20"/>
        </w:rPr>
        <w:t>.</w:t>
      </w:r>
      <w:r w:rsidRPr="008E78BC">
        <w:rPr>
          <w:rFonts w:ascii="Arial" w:hAnsi="Arial" w:cs="Arial"/>
          <w:szCs w:val="20"/>
        </w:rPr>
        <w:t xml:space="preserve"> DoT proposes that manufacturers are best placed to determine the maximum carrying capacity. In cases where a vehicle is modified affecting the buses maximum carrying capacity, </w:t>
      </w:r>
      <w:r w:rsidRPr="005366D7">
        <w:rPr>
          <w:rFonts w:ascii="Arial" w:hAnsi="Arial" w:cs="Arial"/>
          <w:szCs w:val="20"/>
        </w:rPr>
        <w:t>licensed bus testers or VASS engineers may be appropriately qualified.</w:t>
      </w:r>
      <w:r w:rsidRPr="008E78BC">
        <w:rPr>
          <w:rFonts w:ascii="Arial" w:hAnsi="Arial" w:cs="Arial"/>
          <w:szCs w:val="20"/>
        </w:rPr>
        <w:t xml:space="preserve"> </w:t>
      </w:r>
    </w:p>
    <w:p w14:paraId="7E7F2D2C" w14:textId="0F6F46E7" w:rsidR="00985302" w:rsidRPr="008E78BC" w:rsidRDefault="00985302" w:rsidP="00985302">
      <w:pPr>
        <w:rPr>
          <w:rFonts w:ascii="Arial" w:hAnsi="Arial" w:cs="Arial"/>
          <w:szCs w:val="20"/>
        </w:rPr>
      </w:pPr>
      <w:r>
        <w:rPr>
          <w:rFonts w:ascii="Arial" w:hAnsi="Arial" w:cs="Arial"/>
          <w:szCs w:val="20"/>
        </w:rPr>
        <w:t xml:space="preserve">DoT considers buses with a </w:t>
      </w:r>
      <w:r w:rsidRPr="008E78BC">
        <w:rPr>
          <w:rFonts w:ascii="Arial" w:hAnsi="Arial" w:cs="Arial"/>
          <w:szCs w:val="20"/>
        </w:rPr>
        <w:t xml:space="preserve">seating capacity of 10 to 12 seats </w:t>
      </w:r>
      <w:r>
        <w:rPr>
          <w:rFonts w:ascii="Arial" w:hAnsi="Arial" w:cs="Arial"/>
          <w:szCs w:val="20"/>
        </w:rPr>
        <w:t>do not need to display a maximum carrying capacity sign</w:t>
      </w:r>
      <w:r w:rsidRPr="008E78BC">
        <w:rPr>
          <w:rFonts w:ascii="Arial" w:hAnsi="Arial" w:cs="Arial"/>
          <w:szCs w:val="20"/>
        </w:rPr>
        <w:t xml:space="preserve">. </w:t>
      </w:r>
      <w:r>
        <w:rPr>
          <w:rFonts w:ascii="Arial" w:hAnsi="Arial" w:cs="Arial"/>
          <w:szCs w:val="20"/>
        </w:rPr>
        <w:t>DoT considers l</w:t>
      </w:r>
      <w:r w:rsidRPr="008E78BC">
        <w:rPr>
          <w:rFonts w:ascii="Arial" w:hAnsi="Arial" w:cs="Arial"/>
          <w:szCs w:val="20"/>
        </w:rPr>
        <w:t xml:space="preserve">arger buses (seating capacity for 13 or more </w:t>
      </w:r>
      <w:r>
        <w:rPr>
          <w:rFonts w:ascii="Arial" w:hAnsi="Arial" w:cs="Arial"/>
          <w:szCs w:val="20"/>
        </w:rPr>
        <w:t>adult</w:t>
      </w:r>
      <w:r w:rsidRPr="008E78BC">
        <w:rPr>
          <w:rFonts w:ascii="Arial" w:hAnsi="Arial" w:cs="Arial"/>
          <w:szCs w:val="20"/>
        </w:rPr>
        <w:t>)</w:t>
      </w:r>
      <w:r>
        <w:rPr>
          <w:rFonts w:ascii="Arial" w:hAnsi="Arial" w:cs="Arial"/>
          <w:szCs w:val="20"/>
        </w:rPr>
        <w:t xml:space="preserve"> should be required to display a maximum carrying capacity sign.</w:t>
      </w:r>
      <w:r w:rsidRPr="008E78BC">
        <w:rPr>
          <w:rFonts w:ascii="Arial" w:hAnsi="Arial" w:cs="Arial"/>
          <w:szCs w:val="20"/>
        </w:rPr>
        <w:t xml:space="preserve"> </w:t>
      </w:r>
    </w:p>
    <w:p w14:paraId="6FF4E74B" w14:textId="77777777" w:rsidR="00985302" w:rsidRPr="008E78BC" w:rsidRDefault="00985302" w:rsidP="0095677C">
      <w:pPr>
        <w:pStyle w:val="Heading4"/>
      </w:pPr>
      <w:bookmarkStart w:id="58" w:name="_Toc42262250"/>
      <w:r w:rsidRPr="008E78BC">
        <w:t>Alcohol and other drugs</w:t>
      </w:r>
      <w:bookmarkEnd w:id="58"/>
      <w:r>
        <w:t xml:space="preserve"> (refer to Section 6.2.3 for further discussion)</w:t>
      </w:r>
    </w:p>
    <w:p w14:paraId="215A2142" w14:textId="324DAD7A" w:rsidR="00985302" w:rsidRPr="008E78BC" w:rsidRDefault="00985302" w:rsidP="00985302">
      <w:pPr>
        <w:rPr>
          <w:rFonts w:ascii="Arial" w:hAnsi="Arial" w:cs="Arial"/>
          <w:szCs w:val="20"/>
        </w:rPr>
      </w:pPr>
      <w:r w:rsidRPr="008E78BC">
        <w:rPr>
          <w:rFonts w:ascii="Arial" w:hAnsi="Arial" w:cs="Arial"/>
          <w:szCs w:val="20"/>
        </w:rPr>
        <w:t>DoT considers there is merit in requiring drivers to be subject to a zero alcohol and drug requirement</w:t>
      </w:r>
      <w:r w:rsidR="002D53AB">
        <w:rPr>
          <w:rFonts w:ascii="Arial" w:hAnsi="Arial" w:cs="Arial"/>
          <w:szCs w:val="20"/>
        </w:rPr>
        <w:t xml:space="preserve">, </w:t>
      </w:r>
      <w:r w:rsidRPr="008E78BC">
        <w:rPr>
          <w:rFonts w:ascii="Arial" w:hAnsi="Arial" w:cs="Arial"/>
          <w:szCs w:val="20"/>
        </w:rPr>
        <w:t>both immediately before and while driving a bus</w:t>
      </w:r>
      <w:r w:rsidR="00061E50">
        <w:rPr>
          <w:rFonts w:ascii="Arial" w:hAnsi="Arial" w:cs="Arial"/>
          <w:szCs w:val="20"/>
        </w:rPr>
        <w:t>.</w:t>
      </w:r>
      <w:r>
        <w:rPr>
          <w:rFonts w:ascii="Arial" w:hAnsi="Arial" w:cs="Arial"/>
          <w:szCs w:val="20"/>
        </w:rPr>
        <w:t xml:space="preserve"> </w:t>
      </w:r>
      <w:r w:rsidRPr="008E78BC">
        <w:rPr>
          <w:rFonts w:ascii="Arial" w:hAnsi="Arial" w:cs="Arial"/>
          <w:szCs w:val="20"/>
        </w:rPr>
        <w:t xml:space="preserve">DoT does not consider that all bus safety workers should be subject to the zero alcohol and drug requirements. </w:t>
      </w:r>
    </w:p>
    <w:p w14:paraId="19BAA1F1" w14:textId="77777777" w:rsidR="00985302" w:rsidRPr="008E78BC" w:rsidRDefault="00985302" w:rsidP="0095677C">
      <w:pPr>
        <w:pStyle w:val="Heading4"/>
      </w:pPr>
      <w:bookmarkStart w:id="59" w:name="_Toc42262251"/>
      <w:r w:rsidRPr="008E78BC">
        <w:t>School buses</w:t>
      </w:r>
      <w:bookmarkEnd w:id="59"/>
      <w:r>
        <w:t xml:space="preserve"> (refer to Section 6.2.4 for further discussion)</w:t>
      </w:r>
    </w:p>
    <w:p w14:paraId="27E36089" w14:textId="7CD642EC" w:rsidR="00985302" w:rsidRPr="008E78BC" w:rsidRDefault="00985302" w:rsidP="00985302">
      <w:pPr>
        <w:rPr>
          <w:rFonts w:ascii="Arial" w:hAnsi="Arial" w:cs="Arial"/>
          <w:szCs w:val="20"/>
        </w:rPr>
      </w:pPr>
      <w:r>
        <w:rPr>
          <w:rFonts w:ascii="Arial" w:hAnsi="Arial" w:cs="Arial"/>
          <w:szCs w:val="20"/>
        </w:rPr>
        <w:t>DoT has looked at o</w:t>
      </w:r>
      <w:r w:rsidRPr="008E78BC">
        <w:rPr>
          <w:rFonts w:ascii="Arial" w:hAnsi="Arial" w:cs="Arial"/>
          <w:szCs w:val="20"/>
        </w:rPr>
        <w:t xml:space="preserve">ptions </w:t>
      </w:r>
      <w:r w:rsidR="00900F2C">
        <w:rPr>
          <w:rFonts w:ascii="Arial" w:hAnsi="Arial" w:cs="Arial"/>
          <w:szCs w:val="20"/>
        </w:rPr>
        <w:t>to</w:t>
      </w:r>
      <w:r>
        <w:rPr>
          <w:rFonts w:ascii="Arial" w:hAnsi="Arial" w:cs="Arial"/>
          <w:szCs w:val="20"/>
        </w:rPr>
        <w:t xml:space="preserve"> </w:t>
      </w:r>
      <w:r w:rsidRPr="008E78BC">
        <w:rPr>
          <w:rFonts w:ascii="Arial" w:hAnsi="Arial" w:cs="Arial"/>
          <w:szCs w:val="20"/>
        </w:rPr>
        <w:t>fit</w:t>
      </w:r>
      <w:r>
        <w:rPr>
          <w:rFonts w:ascii="Arial" w:hAnsi="Arial" w:cs="Arial"/>
          <w:szCs w:val="20"/>
        </w:rPr>
        <w:t xml:space="preserve"> school buses with </w:t>
      </w:r>
      <w:r w:rsidRPr="008E78BC">
        <w:rPr>
          <w:rFonts w:ascii="Arial" w:hAnsi="Arial" w:cs="Arial"/>
          <w:szCs w:val="20"/>
        </w:rPr>
        <w:t>special lights, hazard warning devices, “school bus” signs or speed limit signs.</w:t>
      </w:r>
      <w:r>
        <w:rPr>
          <w:rFonts w:ascii="Arial" w:hAnsi="Arial" w:cs="Arial"/>
          <w:szCs w:val="20"/>
        </w:rPr>
        <w:t xml:space="preserve"> </w:t>
      </w:r>
      <w:r w:rsidRPr="008E78BC">
        <w:rPr>
          <w:rFonts w:ascii="Arial" w:hAnsi="Arial" w:cs="Arial"/>
          <w:szCs w:val="20"/>
        </w:rPr>
        <w:t xml:space="preserve">The Road Safety </w:t>
      </w:r>
      <w:r>
        <w:rPr>
          <w:rFonts w:ascii="Arial" w:hAnsi="Arial" w:cs="Arial"/>
          <w:szCs w:val="20"/>
        </w:rPr>
        <w:t>(</w:t>
      </w:r>
      <w:r w:rsidRPr="008E78BC">
        <w:rPr>
          <w:rFonts w:ascii="Arial" w:hAnsi="Arial" w:cs="Arial"/>
          <w:szCs w:val="20"/>
        </w:rPr>
        <w:t>Vehicles</w:t>
      </w:r>
      <w:r>
        <w:rPr>
          <w:rFonts w:ascii="Arial" w:hAnsi="Arial" w:cs="Arial"/>
          <w:szCs w:val="20"/>
        </w:rPr>
        <w:t>)</w:t>
      </w:r>
      <w:r w:rsidRPr="008E78BC">
        <w:rPr>
          <w:rFonts w:ascii="Arial" w:hAnsi="Arial" w:cs="Arial"/>
          <w:szCs w:val="20"/>
        </w:rPr>
        <w:t xml:space="preserve"> Regulations 2009</w:t>
      </w:r>
      <w:r w:rsidRPr="008E78BC">
        <w:rPr>
          <w:rStyle w:val="FootnoteReference"/>
          <w:rFonts w:ascii="Arial" w:hAnsi="Arial" w:cs="Arial"/>
          <w:szCs w:val="20"/>
        </w:rPr>
        <w:footnoteReference w:id="2"/>
      </w:r>
      <w:r w:rsidRPr="008E78BC">
        <w:rPr>
          <w:rFonts w:ascii="Arial" w:hAnsi="Arial" w:cs="Arial"/>
          <w:szCs w:val="20"/>
        </w:rPr>
        <w:t xml:space="preserve"> already specify the fitting and operation of warning lights and signs </w:t>
      </w:r>
      <w:r>
        <w:rPr>
          <w:rFonts w:ascii="Arial" w:hAnsi="Arial" w:cs="Arial"/>
          <w:szCs w:val="20"/>
        </w:rPr>
        <w:t xml:space="preserve">fitted to school buses after June 1999. An option could be </w:t>
      </w:r>
      <w:r>
        <w:rPr>
          <w:rFonts w:ascii="Arial" w:hAnsi="Arial" w:cs="Arial"/>
          <w:szCs w:val="20"/>
        </w:rPr>
        <w:lastRenderedPageBreak/>
        <w:t xml:space="preserve">for regulations to extend fittings to warning lights and signs to school buses fitted prior to </w:t>
      </w:r>
      <w:r w:rsidRPr="008E78BC">
        <w:rPr>
          <w:rFonts w:ascii="Arial" w:hAnsi="Arial" w:cs="Arial"/>
          <w:szCs w:val="20"/>
        </w:rPr>
        <w:t>1 July 1999</w:t>
      </w:r>
      <w:r>
        <w:rPr>
          <w:rFonts w:ascii="Arial" w:hAnsi="Arial" w:cs="Arial"/>
          <w:szCs w:val="20"/>
        </w:rPr>
        <w:t xml:space="preserve">. </w:t>
      </w:r>
      <w:r w:rsidRPr="008E78BC">
        <w:rPr>
          <w:rFonts w:ascii="Arial" w:hAnsi="Arial" w:cs="Arial"/>
          <w:szCs w:val="20"/>
        </w:rPr>
        <w:t>Another option is to adopt</w:t>
      </w:r>
      <w:r>
        <w:rPr>
          <w:rFonts w:ascii="Arial" w:hAnsi="Arial" w:cs="Arial"/>
          <w:szCs w:val="20"/>
        </w:rPr>
        <w:t xml:space="preserve"> the</w:t>
      </w:r>
      <w:r w:rsidRPr="008E78BC">
        <w:rPr>
          <w:rFonts w:ascii="Arial" w:hAnsi="Arial" w:cs="Arial"/>
          <w:szCs w:val="20"/>
        </w:rPr>
        <w:t xml:space="preserve"> standards required in NSW</w:t>
      </w:r>
      <w:r>
        <w:rPr>
          <w:rFonts w:ascii="Arial" w:hAnsi="Arial" w:cs="Arial"/>
          <w:szCs w:val="20"/>
        </w:rPr>
        <w:t xml:space="preserve">, which includes (in addition to a “school bus” sign and hazard warning lights) requiring a </w:t>
      </w:r>
      <w:r w:rsidRPr="008E78BC">
        <w:rPr>
          <w:rFonts w:ascii="Arial" w:hAnsi="Arial" w:cs="Arial"/>
          <w:szCs w:val="20"/>
        </w:rPr>
        <w:t>sign indicating “40km/h” and “when lights flash”</w:t>
      </w:r>
      <w:r>
        <w:rPr>
          <w:rFonts w:ascii="Arial" w:hAnsi="Arial" w:cs="Arial"/>
          <w:szCs w:val="20"/>
        </w:rPr>
        <w:t>.</w:t>
      </w:r>
      <w:r w:rsidRPr="008E78BC">
        <w:rPr>
          <w:rFonts w:ascii="Arial" w:hAnsi="Arial" w:cs="Arial"/>
          <w:szCs w:val="20"/>
        </w:rPr>
        <w:t xml:space="preserve"> </w:t>
      </w:r>
      <w:r>
        <w:rPr>
          <w:rFonts w:ascii="Arial" w:hAnsi="Arial" w:cs="Arial"/>
          <w:szCs w:val="20"/>
        </w:rPr>
        <w:t xml:space="preserve">Laws to </w:t>
      </w:r>
      <w:r w:rsidRPr="008E78BC">
        <w:rPr>
          <w:rFonts w:ascii="Arial" w:hAnsi="Arial" w:cs="Arial"/>
          <w:szCs w:val="20"/>
        </w:rPr>
        <w:t xml:space="preserve">require drivers of motor vehicles in the vicinity of a stopped school bus </w:t>
      </w:r>
      <w:r>
        <w:rPr>
          <w:rFonts w:ascii="Arial" w:hAnsi="Arial" w:cs="Arial"/>
          <w:szCs w:val="20"/>
        </w:rPr>
        <w:t>to</w:t>
      </w:r>
      <w:r w:rsidRPr="008E78BC">
        <w:rPr>
          <w:rFonts w:ascii="Arial" w:hAnsi="Arial" w:cs="Arial"/>
          <w:szCs w:val="20"/>
        </w:rPr>
        <w:t xml:space="preserve"> </w:t>
      </w:r>
      <w:r w:rsidR="00E83C78">
        <w:rPr>
          <w:rFonts w:ascii="Arial" w:hAnsi="Arial" w:cs="Arial"/>
          <w:szCs w:val="20"/>
        </w:rPr>
        <w:t xml:space="preserve">stop and </w:t>
      </w:r>
      <w:r w:rsidRPr="008E78BC">
        <w:rPr>
          <w:rFonts w:ascii="Arial" w:hAnsi="Arial" w:cs="Arial"/>
          <w:szCs w:val="20"/>
        </w:rPr>
        <w:t>wait for the stopped school bus to load or unload its passenger</w:t>
      </w:r>
      <w:r>
        <w:rPr>
          <w:rFonts w:ascii="Arial" w:hAnsi="Arial" w:cs="Arial"/>
          <w:szCs w:val="20"/>
        </w:rPr>
        <w:t xml:space="preserve"> is not considered further in the RIS.</w:t>
      </w:r>
    </w:p>
    <w:p w14:paraId="58FB3445" w14:textId="30AF2B4A" w:rsidR="00985302" w:rsidRPr="008E78BC" w:rsidRDefault="00985302" w:rsidP="00985302">
      <w:pPr>
        <w:rPr>
          <w:rFonts w:ascii="Arial" w:hAnsi="Arial" w:cs="Arial"/>
          <w:szCs w:val="20"/>
        </w:rPr>
      </w:pPr>
      <w:r w:rsidRPr="008E78BC">
        <w:rPr>
          <w:rFonts w:ascii="Arial" w:hAnsi="Arial" w:cs="Arial"/>
          <w:szCs w:val="20"/>
        </w:rPr>
        <w:t xml:space="preserve">DoT </w:t>
      </w:r>
      <w:r>
        <w:rPr>
          <w:rFonts w:ascii="Arial" w:hAnsi="Arial" w:cs="Arial"/>
          <w:szCs w:val="20"/>
        </w:rPr>
        <w:t xml:space="preserve">also </w:t>
      </w:r>
      <w:r w:rsidRPr="008E78BC">
        <w:rPr>
          <w:rFonts w:ascii="Arial" w:hAnsi="Arial" w:cs="Arial"/>
          <w:szCs w:val="20"/>
        </w:rPr>
        <w:t>considers regulations are needed to ensure that not only warning lights and signs are fitted to a school bus, but that they are operational at all times, within reason</w:t>
      </w:r>
      <w:r>
        <w:rPr>
          <w:rFonts w:ascii="Arial" w:hAnsi="Arial" w:cs="Arial"/>
          <w:szCs w:val="20"/>
        </w:rPr>
        <w:t>, particularly w</w:t>
      </w:r>
      <w:r w:rsidRPr="008E78BC">
        <w:rPr>
          <w:rFonts w:ascii="Arial" w:hAnsi="Arial" w:cs="Arial"/>
          <w:szCs w:val="20"/>
        </w:rPr>
        <w:t>hen a bus is stationary</w:t>
      </w:r>
      <w:r>
        <w:rPr>
          <w:rFonts w:ascii="Arial" w:hAnsi="Arial" w:cs="Arial"/>
          <w:szCs w:val="20"/>
        </w:rPr>
        <w:t>.</w:t>
      </w:r>
    </w:p>
    <w:p w14:paraId="74959B2C" w14:textId="77777777" w:rsidR="00E628B3" w:rsidRPr="008E78BC" w:rsidRDefault="00E628B3" w:rsidP="00E628B3">
      <w:pPr>
        <w:pStyle w:val="Heading3"/>
      </w:pPr>
      <w:bookmarkStart w:id="60" w:name="_Toc42262252"/>
      <w:bookmarkStart w:id="61" w:name="_Toc44436859"/>
      <w:bookmarkStart w:id="62" w:name="_Toc45548651"/>
      <w:bookmarkStart w:id="63" w:name="_Toc45704299"/>
      <w:r w:rsidRPr="008E78BC">
        <w:t>Notifiable incidents</w:t>
      </w:r>
      <w:bookmarkEnd w:id="60"/>
      <w:r>
        <w:t xml:space="preserve"> (refer to Section 6.3 for further discussion)</w:t>
      </w:r>
      <w:bookmarkEnd w:id="61"/>
      <w:bookmarkEnd w:id="62"/>
      <w:bookmarkEnd w:id="63"/>
    </w:p>
    <w:p w14:paraId="2A6ED8E1" w14:textId="4577FAB6" w:rsidR="00E628B3" w:rsidRPr="008E78BC" w:rsidRDefault="00E628B3" w:rsidP="00E628B3">
      <w:pPr>
        <w:overflowPunct w:val="0"/>
        <w:autoSpaceDE w:val="0"/>
        <w:autoSpaceDN w:val="0"/>
        <w:adjustRightInd w:val="0"/>
        <w:spacing w:before="120" w:after="120"/>
        <w:textAlignment w:val="baseline"/>
        <w:rPr>
          <w:rFonts w:ascii="Arial" w:hAnsi="Arial" w:cs="Arial"/>
          <w:szCs w:val="20"/>
          <w:lang w:val="en-US"/>
        </w:rPr>
      </w:pPr>
      <w:r>
        <w:rPr>
          <w:rFonts w:ascii="Arial" w:hAnsi="Arial" w:cs="Arial"/>
          <w:szCs w:val="20"/>
          <w:lang w:val="en-US"/>
        </w:rPr>
        <w:t>The</w:t>
      </w:r>
      <w:r w:rsidRPr="008E78BC">
        <w:rPr>
          <w:rFonts w:ascii="Arial" w:hAnsi="Arial" w:cs="Arial"/>
          <w:szCs w:val="20"/>
          <w:lang w:val="en-US"/>
        </w:rPr>
        <w:t xml:space="preserve"> Bus Safety Act requires </w:t>
      </w:r>
      <w:r>
        <w:rPr>
          <w:rFonts w:ascii="Arial" w:hAnsi="Arial" w:cs="Arial"/>
          <w:szCs w:val="20"/>
          <w:lang w:val="en-US"/>
        </w:rPr>
        <w:t>bus operators t</w:t>
      </w:r>
      <w:r w:rsidRPr="008E78BC">
        <w:rPr>
          <w:rFonts w:ascii="Arial" w:hAnsi="Arial" w:cs="Arial"/>
          <w:szCs w:val="20"/>
          <w:lang w:val="en-US"/>
        </w:rPr>
        <w:t>o notify the Safety Director of prescribed incidents in accordance with the regulations.</w:t>
      </w:r>
      <w:r>
        <w:rPr>
          <w:rFonts w:ascii="Arial" w:hAnsi="Arial" w:cs="Arial"/>
          <w:szCs w:val="20"/>
          <w:lang w:val="en-US"/>
        </w:rPr>
        <w:t xml:space="preserve"> D</w:t>
      </w:r>
      <w:r w:rsidRPr="008E78BC">
        <w:rPr>
          <w:rFonts w:ascii="Arial" w:hAnsi="Arial" w:cs="Arial"/>
          <w:szCs w:val="20"/>
          <w:lang w:val="en-US"/>
        </w:rPr>
        <w:t>oT considers that notifiable incidents should</w:t>
      </w:r>
      <w:r>
        <w:rPr>
          <w:rFonts w:ascii="Arial" w:hAnsi="Arial" w:cs="Arial"/>
          <w:szCs w:val="20"/>
          <w:lang w:val="en-US"/>
        </w:rPr>
        <w:t xml:space="preserve"> relate to the safety of the services and have a material consequence. The information provided in a notifiable incident can be used to </w:t>
      </w:r>
      <w:r w:rsidRPr="008E78BC">
        <w:rPr>
          <w:rFonts w:ascii="Arial" w:hAnsi="Arial" w:cs="Arial"/>
          <w:szCs w:val="20"/>
          <w:lang w:val="en-US"/>
        </w:rPr>
        <w:t>identify the causes of the incident</w:t>
      </w:r>
      <w:r>
        <w:rPr>
          <w:rFonts w:ascii="Arial" w:hAnsi="Arial" w:cs="Arial"/>
          <w:szCs w:val="20"/>
          <w:lang w:val="en-US"/>
        </w:rPr>
        <w:t xml:space="preserve">, </w:t>
      </w:r>
      <w:r w:rsidRPr="008E78BC">
        <w:rPr>
          <w:rFonts w:ascii="Arial" w:hAnsi="Arial" w:cs="Arial"/>
          <w:szCs w:val="20"/>
          <w:lang w:val="en-US"/>
        </w:rPr>
        <w:t xml:space="preserve">determine </w:t>
      </w:r>
      <w:r>
        <w:rPr>
          <w:rFonts w:ascii="Arial" w:hAnsi="Arial" w:cs="Arial"/>
          <w:szCs w:val="20"/>
          <w:lang w:val="en-US"/>
        </w:rPr>
        <w:t>whether there were any breaches with</w:t>
      </w:r>
      <w:r w:rsidRPr="008E78BC">
        <w:rPr>
          <w:rFonts w:ascii="Arial" w:hAnsi="Arial" w:cs="Arial"/>
          <w:szCs w:val="20"/>
          <w:lang w:val="en-US"/>
        </w:rPr>
        <w:t xml:space="preserve"> legislative or other requirements</w:t>
      </w:r>
      <w:r>
        <w:rPr>
          <w:rFonts w:ascii="Arial" w:hAnsi="Arial" w:cs="Arial"/>
          <w:szCs w:val="20"/>
          <w:lang w:val="en-US"/>
        </w:rPr>
        <w:t xml:space="preserve">, and as part of </w:t>
      </w:r>
      <w:r w:rsidRPr="008E78BC">
        <w:rPr>
          <w:rFonts w:ascii="Arial" w:hAnsi="Arial" w:cs="Arial"/>
          <w:szCs w:val="20"/>
          <w:lang w:val="en-US"/>
        </w:rPr>
        <w:t xml:space="preserve">a risk-based assessment </w:t>
      </w:r>
      <w:r>
        <w:rPr>
          <w:rFonts w:ascii="Arial" w:hAnsi="Arial" w:cs="Arial"/>
          <w:szCs w:val="20"/>
          <w:lang w:val="en-US"/>
        </w:rPr>
        <w:t>on areas the regulator should focus their resources for c</w:t>
      </w:r>
      <w:r w:rsidRPr="008E78BC">
        <w:rPr>
          <w:rFonts w:ascii="Arial" w:hAnsi="Arial" w:cs="Arial"/>
          <w:szCs w:val="20"/>
          <w:lang w:val="en-US"/>
        </w:rPr>
        <w:t>ompliance monitoring and enforcement</w:t>
      </w:r>
      <w:r>
        <w:rPr>
          <w:rFonts w:ascii="Arial" w:hAnsi="Arial" w:cs="Arial"/>
          <w:szCs w:val="20"/>
          <w:lang w:val="en-US"/>
        </w:rPr>
        <w:t>.</w:t>
      </w:r>
    </w:p>
    <w:p w14:paraId="7982E6CF" w14:textId="45739722" w:rsidR="00E628B3" w:rsidRDefault="00E628B3" w:rsidP="00E628B3">
      <w:pPr>
        <w:overflowPunct w:val="0"/>
        <w:autoSpaceDE w:val="0"/>
        <w:autoSpaceDN w:val="0"/>
        <w:adjustRightInd w:val="0"/>
        <w:spacing w:before="120" w:after="120"/>
        <w:textAlignment w:val="baseline"/>
        <w:rPr>
          <w:rFonts w:ascii="Arial" w:hAnsi="Arial" w:cs="Arial"/>
          <w:szCs w:val="20"/>
          <w:lang w:val="en-US"/>
        </w:rPr>
      </w:pPr>
      <w:r>
        <w:rPr>
          <w:rFonts w:ascii="Arial" w:hAnsi="Arial" w:cs="Arial"/>
          <w:szCs w:val="20"/>
          <w:lang w:val="en-US"/>
        </w:rPr>
        <w:t>In terms of when the operators should notify the Safety Director of an incident, there are several options to consider:</w:t>
      </w:r>
    </w:p>
    <w:p w14:paraId="2DDD8072" w14:textId="1F9C9B2D" w:rsidR="00E628B3" w:rsidRPr="00F140A1" w:rsidRDefault="00E628B3" w:rsidP="00F140A1">
      <w:pPr>
        <w:pStyle w:val="ListParagraph"/>
        <w:numPr>
          <w:ilvl w:val="0"/>
          <w:numId w:val="11"/>
        </w:numPr>
        <w:rPr>
          <w:rFonts w:asciiTheme="minorHAnsi" w:eastAsiaTheme="minorHAnsi" w:hAnsiTheme="minorHAnsi" w:cstheme="minorBidi"/>
          <w:color w:val="000000" w:themeColor="text1"/>
          <w:sz w:val="20"/>
          <w:szCs w:val="18"/>
          <w:lang w:eastAsia="en-US"/>
        </w:rPr>
      </w:pPr>
      <w:r w:rsidRPr="00F140A1">
        <w:rPr>
          <w:rFonts w:asciiTheme="minorHAnsi" w:eastAsiaTheme="minorHAnsi" w:hAnsiTheme="minorHAnsi" w:cstheme="minorBidi"/>
          <w:color w:val="000000" w:themeColor="text1"/>
          <w:sz w:val="20"/>
          <w:szCs w:val="18"/>
          <w:lang w:eastAsia="en-US"/>
        </w:rPr>
        <w:t>require oral notification for serious incidents as the bus operator is aware of the incident, with the oral notification followed up with a written notification of the bus incident within 72 hours</w:t>
      </w:r>
      <w:r w:rsidR="00524AEE" w:rsidRPr="00F140A1">
        <w:rPr>
          <w:rFonts w:asciiTheme="minorHAnsi" w:eastAsiaTheme="minorHAnsi" w:hAnsiTheme="minorHAnsi" w:cstheme="minorBidi"/>
          <w:color w:val="000000" w:themeColor="text1"/>
          <w:sz w:val="20"/>
          <w:szCs w:val="18"/>
          <w:lang w:eastAsia="en-US"/>
        </w:rPr>
        <w:t>.</w:t>
      </w:r>
      <w:r w:rsidRPr="00F140A1">
        <w:rPr>
          <w:rFonts w:asciiTheme="minorHAnsi" w:eastAsiaTheme="minorHAnsi" w:hAnsiTheme="minorHAnsi" w:cstheme="minorBidi"/>
          <w:color w:val="000000" w:themeColor="text1"/>
          <w:sz w:val="20"/>
          <w:szCs w:val="18"/>
          <w:lang w:eastAsia="en-US"/>
        </w:rPr>
        <w:t xml:space="preserve">  </w:t>
      </w:r>
    </w:p>
    <w:p w14:paraId="259568F6" w14:textId="26BDF29B" w:rsidR="00E628B3" w:rsidRPr="00F140A1" w:rsidRDefault="00E628B3" w:rsidP="00F140A1">
      <w:pPr>
        <w:pStyle w:val="ListParagraph"/>
        <w:numPr>
          <w:ilvl w:val="0"/>
          <w:numId w:val="11"/>
        </w:numPr>
        <w:rPr>
          <w:rFonts w:asciiTheme="minorHAnsi" w:eastAsiaTheme="minorHAnsi" w:hAnsiTheme="minorHAnsi" w:cstheme="minorBidi"/>
          <w:color w:val="000000" w:themeColor="text1"/>
          <w:sz w:val="20"/>
          <w:szCs w:val="18"/>
          <w:lang w:eastAsia="en-US"/>
        </w:rPr>
      </w:pPr>
      <w:r w:rsidRPr="00F140A1">
        <w:rPr>
          <w:rFonts w:asciiTheme="minorHAnsi" w:eastAsiaTheme="minorHAnsi" w:hAnsiTheme="minorHAnsi" w:cstheme="minorBidi"/>
          <w:color w:val="000000" w:themeColor="text1"/>
          <w:sz w:val="20"/>
          <w:szCs w:val="18"/>
          <w:lang w:eastAsia="en-US"/>
        </w:rPr>
        <w:t>require oral notification for serious incidents as above, but with the oral notification followed up with a written notification with</w:t>
      </w:r>
      <w:r w:rsidR="002E0265" w:rsidRPr="00F140A1">
        <w:rPr>
          <w:rFonts w:asciiTheme="minorHAnsi" w:eastAsiaTheme="minorHAnsi" w:hAnsiTheme="minorHAnsi" w:cstheme="minorBidi"/>
          <w:color w:val="000000" w:themeColor="text1"/>
          <w:sz w:val="20"/>
          <w:szCs w:val="18"/>
          <w:lang w:eastAsia="en-US"/>
        </w:rPr>
        <w:t>in</w:t>
      </w:r>
      <w:r w:rsidRPr="00F140A1">
        <w:rPr>
          <w:rFonts w:asciiTheme="minorHAnsi" w:eastAsiaTheme="minorHAnsi" w:hAnsiTheme="minorHAnsi" w:cstheme="minorBidi"/>
          <w:color w:val="000000" w:themeColor="text1"/>
          <w:sz w:val="20"/>
          <w:szCs w:val="18"/>
          <w:lang w:eastAsia="en-US"/>
        </w:rPr>
        <w:t xml:space="preserve"> one week</w:t>
      </w:r>
      <w:r w:rsidR="00C22860" w:rsidRPr="00F140A1">
        <w:rPr>
          <w:rFonts w:asciiTheme="minorHAnsi" w:eastAsiaTheme="minorHAnsi" w:hAnsiTheme="minorHAnsi" w:cstheme="minorBidi"/>
          <w:color w:val="000000" w:themeColor="text1"/>
          <w:sz w:val="20"/>
          <w:szCs w:val="18"/>
          <w:lang w:eastAsia="en-US"/>
        </w:rPr>
        <w:t>.</w:t>
      </w:r>
    </w:p>
    <w:p w14:paraId="6FE86D25" w14:textId="55F9D44E" w:rsidR="00E628B3" w:rsidRPr="00F140A1" w:rsidRDefault="00E628B3" w:rsidP="00F140A1">
      <w:pPr>
        <w:pStyle w:val="ListParagraph"/>
        <w:numPr>
          <w:ilvl w:val="0"/>
          <w:numId w:val="11"/>
        </w:numPr>
        <w:rPr>
          <w:rFonts w:asciiTheme="minorHAnsi" w:eastAsiaTheme="minorHAnsi" w:hAnsiTheme="minorHAnsi" w:cstheme="minorBidi"/>
          <w:color w:val="000000" w:themeColor="text1"/>
          <w:sz w:val="20"/>
          <w:szCs w:val="18"/>
          <w:lang w:eastAsia="en-US"/>
        </w:rPr>
      </w:pPr>
      <w:r w:rsidRPr="00F140A1">
        <w:rPr>
          <w:rFonts w:asciiTheme="minorHAnsi" w:eastAsiaTheme="minorHAnsi" w:hAnsiTheme="minorHAnsi" w:cstheme="minorBidi"/>
          <w:color w:val="000000" w:themeColor="text1"/>
          <w:sz w:val="20"/>
          <w:szCs w:val="18"/>
          <w:lang w:eastAsia="en-US"/>
        </w:rPr>
        <w:t>require less urgent notification for less serious incidents, to be provided only as a written notification within a short timeframe (e.g. within 72 hours) after the operator becomes aware of the safety incident.</w:t>
      </w:r>
    </w:p>
    <w:p w14:paraId="42B02518" w14:textId="31221A0B" w:rsidR="00E628B3" w:rsidRPr="00F140A1" w:rsidRDefault="00E628B3" w:rsidP="00F140A1">
      <w:pPr>
        <w:pStyle w:val="ListParagraph"/>
        <w:numPr>
          <w:ilvl w:val="0"/>
          <w:numId w:val="11"/>
        </w:numPr>
        <w:rPr>
          <w:rFonts w:asciiTheme="minorHAnsi" w:eastAsiaTheme="minorHAnsi" w:hAnsiTheme="minorHAnsi" w:cstheme="minorBidi"/>
          <w:color w:val="000000" w:themeColor="text1"/>
          <w:sz w:val="20"/>
          <w:szCs w:val="18"/>
          <w:lang w:eastAsia="en-US"/>
        </w:rPr>
      </w:pPr>
      <w:r w:rsidRPr="00F140A1">
        <w:rPr>
          <w:rFonts w:asciiTheme="minorHAnsi" w:eastAsiaTheme="minorHAnsi" w:hAnsiTheme="minorHAnsi" w:cstheme="minorBidi"/>
          <w:color w:val="000000" w:themeColor="text1"/>
          <w:sz w:val="20"/>
          <w:szCs w:val="18"/>
          <w:lang w:eastAsia="en-US"/>
        </w:rPr>
        <w:t xml:space="preserve">require group reporting for incidents that are relatively minor in nature and consequence and which may not need to be reported individually </w:t>
      </w:r>
      <w:r w:rsidR="002E0265" w:rsidRPr="00F140A1">
        <w:rPr>
          <w:rFonts w:asciiTheme="minorHAnsi" w:eastAsiaTheme="minorHAnsi" w:hAnsiTheme="minorHAnsi" w:cstheme="minorBidi"/>
          <w:color w:val="000000" w:themeColor="text1"/>
          <w:sz w:val="20"/>
          <w:szCs w:val="18"/>
          <w:lang w:eastAsia="en-US"/>
        </w:rPr>
        <w:t>with</w:t>
      </w:r>
      <w:r w:rsidRPr="00F140A1">
        <w:rPr>
          <w:rFonts w:asciiTheme="minorHAnsi" w:eastAsiaTheme="minorHAnsi" w:hAnsiTheme="minorHAnsi" w:cstheme="minorBidi"/>
          <w:color w:val="000000" w:themeColor="text1"/>
          <w:sz w:val="20"/>
          <w:szCs w:val="18"/>
          <w:lang w:eastAsia="en-US"/>
        </w:rPr>
        <w:t xml:space="preserve">in a short time frame (e.g. monthly reporting). </w:t>
      </w:r>
    </w:p>
    <w:p w14:paraId="7A8BDEE9" w14:textId="77777777" w:rsidR="00E628B3" w:rsidRPr="008E78BC" w:rsidRDefault="00E628B3" w:rsidP="00E628B3">
      <w:pPr>
        <w:overflowPunct w:val="0"/>
        <w:autoSpaceDE w:val="0"/>
        <w:autoSpaceDN w:val="0"/>
        <w:adjustRightInd w:val="0"/>
        <w:spacing w:before="120" w:after="120"/>
        <w:textAlignment w:val="baseline"/>
        <w:rPr>
          <w:rFonts w:ascii="Arial" w:hAnsi="Arial" w:cs="Arial"/>
          <w:szCs w:val="20"/>
        </w:rPr>
      </w:pPr>
      <w:r w:rsidRPr="008E78BC">
        <w:rPr>
          <w:rFonts w:ascii="Arial" w:hAnsi="Arial" w:cs="Arial"/>
          <w:szCs w:val="20"/>
          <w:lang w:val="en-US"/>
        </w:rPr>
        <w:t>A notification should contain enough information about the service (e.g. who the driver was, which vehicle was used to provide the service etc.) for the Safety Director to make an appropriate choice on what action to take, if required.</w:t>
      </w:r>
      <w:r>
        <w:rPr>
          <w:rFonts w:ascii="Arial" w:hAnsi="Arial" w:cs="Arial"/>
          <w:szCs w:val="20"/>
          <w:lang w:val="en-US"/>
        </w:rPr>
        <w:t xml:space="preserve"> The information required could be </w:t>
      </w:r>
      <w:r w:rsidRPr="008E78BC">
        <w:rPr>
          <w:rFonts w:ascii="Arial" w:hAnsi="Arial" w:cs="Arial"/>
          <w:szCs w:val="20"/>
          <w:lang w:val="en-US"/>
        </w:rPr>
        <w:t>prescribe</w:t>
      </w:r>
      <w:r>
        <w:rPr>
          <w:rFonts w:ascii="Arial" w:hAnsi="Arial" w:cs="Arial"/>
          <w:szCs w:val="20"/>
          <w:lang w:val="en-US"/>
        </w:rPr>
        <w:t xml:space="preserve">d in the regulations or in a </w:t>
      </w:r>
      <w:r w:rsidRPr="008E78BC">
        <w:rPr>
          <w:rFonts w:ascii="Arial" w:hAnsi="Arial" w:cs="Arial"/>
          <w:szCs w:val="20"/>
          <w:lang w:val="en-US"/>
        </w:rPr>
        <w:t>manner and form determined by the regulator.</w:t>
      </w:r>
    </w:p>
    <w:p w14:paraId="62F37EA3" w14:textId="77777777" w:rsidR="00E628B3" w:rsidRPr="008E78BC" w:rsidRDefault="00E628B3" w:rsidP="00E628B3">
      <w:pPr>
        <w:pStyle w:val="Heading3"/>
      </w:pPr>
      <w:bookmarkStart w:id="64" w:name="_Toc42262253"/>
      <w:bookmarkStart w:id="65" w:name="_Toc44436860"/>
      <w:bookmarkStart w:id="66" w:name="_Toc45548652"/>
      <w:bookmarkStart w:id="67" w:name="_Toc45704300"/>
      <w:r w:rsidRPr="008E78BC">
        <w:t>Bus incident investigation</w:t>
      </w:r>
      <w:bookmarkEnd w:id="64"/>
      <w:r>
        <w:t xml:space="preserve"> (refer to Section 6.4 for further discussion)</w:t>
      </w:r>
      <w:bookmarkEnd w:id="65"/>
      <w:bookmarkEnd w:id="66"/>
      <w:bookmarkEnd w:id="67"/>
    </w:p>
    <w:p w14:paraId="324E25EE" w14:textId="6C528EB2" w:rsidR="00E628B3" w:rsidRPr="008E78BC" w:rsidRDefault="00E628B3" w:rsidP="00E628B3">
      <w:pPr>
        <w:rPr>
          <w:rFonts w:ascii="Arial" w:hAnsi="Arial" w:cs="Arial"/>
          <w:szCs w:val="20"/>
        </w:rPr>
      </w:pPr>
      <w:r w:rsidRPr="008E78BC">
        <w:rPr>
          <w:rFonts w:ascii="Arial" w:hAnsi="Arial" w:cs="Arial"/>
          <w:szCs w:val="20"/>
        </w:rPr>
        <w:t xml:space="preserve">DoT considers that an investigation of the bus incident is the most appropriate response to an incident. </w:t>
      </w:r>
      <w:r>
        <w:rPr>
          <w:rFonts w:ascii="Arial" w:hAnsi="Arial" w:cs="Arial"/>
          <w:szCs w:val="20"/>
        </w:rPr>
        <w:t xml:space="preserve">Options include whether </w:t>
      </w:r>
      <w:r w:rsidRPr="008E78BC">
        <w:rPr>
          <w:rFonts w:ascii="Arial" w:hAnsi="Arial" w:cs="Arial"/>
          <w:szCs w:val="20"/>
        </w:rPr>
        <w:t xml:space="preserve">all bus incidents should be investigated, whether a prescribed subset of incidents should be investigated or whether the Safety Director should have the discretion to direct an operator to investigate any such incidents. </w:t>
      </w:r>
      <w:r>
        <w:rPr>
          <w:rFonts w:ascii="Arial" w:hAnsi="Arial" w:cs="Arial"/>
          <w:szCs w:val="20"/>
        </w:rPr>
        <w:t>G</w:t>
      </w:r>
      <w:r w:rsidRPr="008E78BC">
        <w:rPr>
          <w:rFonts w:ascii="Arial" w:hAnsi="Arial" w:cs="Arial"/>
          <w:szCs w:val="20"/>
        </w:rPr>
        <w:t xml:space="preserve">iven the variable nature and significance of incidents, </w:t>
      </w:r>
      <w:r>
        <w:rPr>
          <w:rFonts w:ascii="Arial" w:hAnsi="Arial" w:cs="Arial"/>
          <w:szCs w:val="20"/>
        </w:rPr>
        <w:t xml:space="preserve">the </w:t>
      </w:r>
      <w:r w:rsidRPr="008E78BC">
        <w:rPr>
          <w:rFonts w:ascii="Arial" w:hAnsi="Arial" w:cs="Arial"/>
          <w:szCs w:val="20"/>
        </w:rPr>
        <w:t>Safety Director could have the discretion to direct a bus operator to conduct a bus incident investigation.</w:t>
      </w:r>
      <w:r>
        <w:rPr>
          <w:rFonts w:ascii="Arial" w:hAnsi="Arial" w:cs="Arial"/>
          <w:szCs w:val="20"/>
        </w:rPr>
        <w:t xml:space="preserve"> </w:t>
      </w:r>
      <w:r w:rsidRPr="008E78BC">
        <w:rPr>
          <w:rFonts w:ascii="Arial" w:hAnsi="Arial" w:cs="Arial"/>
          <w:szCs w:val="20"/>
        </w:rPr>
        <w:t>DoT considers that the Safety Director should be empowered to require a more thorough investigation to be undertaken</w:t>
      </w:r>
      <w:r>
        <w:rPr>
          <w:rFonts w:ascii="Arial" w:hAnsi="Arial" w:cs="Arial"/>
          <w:szCs w:val="20"/>
        </w:rPr>
        <w:t xml:space="preserve">, </w:t>
      </w:r>
      <w:r w:rsidRPr="008E78BC">
        <w:rPr>
          <w:rFonts w:ascii="Arial" w:hAnsi="Arial" w:cs="Arial"/>
          <w:szCs w:val="20"/>
        </w:rPr>
        <w:t xml:space="preserve">further information to be </w:t>
      </w:r>
      <w:r>
        <w:rPr>
          <w:rFonts w:ascii="Arial" w:hAnsi="Arial" w:cs="Arial"/>
          <w:szCs w:val="20"/>
        </w:rPr>
        <w:t xml:space="preserve">required to be </w:t>
      </w:r>
      <w:r w:rsidRPr="008E78BC">
        <w:rPr>
          <w:rFonts w:ascii="Arial" w:hAnsi="Arial" w:cs="Arial"/>
          <w:szCs w:val="20"/>
        </w:rPr>
        <w:t>provided</w:t>
      </w:r>
      <w:r>
        <w:rPr>
          <w:rFonts w:ascii="Arial" w:hAnsi="Arial" w:cs="Arial"/>
          <w:szCs w:val="20"/>
        </w:rPr>
        <w:t>, or to c</w:t>
      </w:r>
      <w:r w:rsidRPr="008E78BC">
        <w:rPr>
          <w:rFonts w:ascii="Arial" w:hAnsi="Arial" w:cs="Arial"/>
          <w:szCs w:val="20"/>
        </w:rPr>
        <w:t>onduct his/her own investigation.</w:t>
      </w:r>
    </w:p>
    <w:p w14:paraId="7B11F8D1" w14:textId="77777777" w:rsidR="00E628B3" w:rsidRPr="008E78BC" w:rsidRDefault="00E628B3" w:rsidP="00E628B3">
      <w:pPr>
        <w:pStyle w:val="Heading3"/>
        <w:ind w:left="0" w:firstLine="0"/>
      </w:pPr>
      <w:bookmarkStart w:id="68" w:name="_Toc42262254"/>
      <w:bookmarkStart w:id="69" w:name="_Toc44436861"/>
      <w:bookmarkStart w:id="70" w:name="_Toc45548653"/>
      <w:bookmarkStart w:id="71" w:name="_Toc45704301"/>
      <w:r w:rsidRPr="008E78BC">
        <w:t>Requirements of accreditation and registration</w:t>
      </w:r>
      <w:bookmarkEnd w:id="68"/>
      <w:r>
        <w:t xml:space="preserve"> (refer to Section 6.5 for further discussion)</w:t>
      </w:r>
      <w:bookmarkEnd w:id="69"/>
      <w:bookmarkEnd w:id="70"/>
      <w:bookmarkEnd w:id="71"/>
    </w:p>
    <w:p w14:paraId="7B837690" w14:textId="550D3BC5" w:rsidR="00E628B3" w:rsidRPr="008E78BC" w:rsidRDefault="00E628B3" w:rsidP="00E628B3">
      <w:pPr>
        <w:rPr>
          <w:rFonts w:ascii="Arial" w:hAnsi="Arial" w:cs="Arial"/>
          <w:szCs w:val="20"/>
        </w:rPr>
      </w:pPr>
      <w:r w:rsidRPr="008E78BC">
        <w:rPr>
          <w:rFonts w:ascii="Arial" w:hAnsi="Arial" w:cs="Arial"/>
          <w:szCs w:val="20"/>
        </w:rPr>
        <w:t xml:space="preserve">DoT considers that regulations to enable the Safety Director to collect information and documents relating to an application for bus operator registration or accreditation is preferred compared to no regulations. </w:t>
      </w:r>
    </w:p>
    <w:p w14:paraId="7D687043" w14:textId="77777777" w:rsidR="00E628B3" w:rsidRDefault="00E628B3" w:rsidP="00E628B3">
      <w:pPr>
        <w:rPr>
          <w:rFonts w:ascii="Arial" w:hAnsi="Arial" w:cs="Arial"/>
          <w:szCs w:val="20"/>
        </w:rPr>
      </w:pPr>
      <w:r>
        <w:rPr>
          <w:rFonts w:ascii="Arial" w:hAnsi="Arial" w:cs="Arial"/>
          <w:szCs w:val="20"/>
        </w:rPr>
        <w:t>In relation to all operator applications, t</w:t>
      </w:r>
      <w:r w:rsidRPr="008E78BC">
        <w:rPr>
          <w:rFonts w:ascii="Arial" w:hAnsi="Arial" w:cs="Arial"/>
          <w:szCs w:val="20"/>
        </w:rPr>
        <w:t>he Safety Director will require basic identifying information about the applicant</w:t>
      </w:r>
      <w:r>
        <w:rPr>
          <w:rFonts w:ascii="Arial" w:hAnsi="Arial" w:cs="Arial"/>
          <w:szCs w:val="20"/>
        </w:rPr>
        <w:t>, including information</w:t>
      </w:r>
      <w:r w:rsidRPr="008E78BC">
        <w:rPr>
          <w:rFonts w:ascii="Arial" w:hAnsi="Arial" w:cs="Arial"/>
          <w:szCs w:val="20"/>
        </w:rPr>
        <w:t xml:space="preserve"> relating to the identity of relevant applicant, evidence of the safety of all vehicles used by the bus operator</w:t>
      </w:r>
      <w:r>
        <w:rPr>
          <w:rFonts w:ascii="Arial" w:hAnsi="Arial" w:cs="Arial"/>
          <w:szCs w:val="20"/>
        </w:rPr>
        <w:t xml:space="preserve"> (e.g. roadworthy certificate) and p</w:t>
      </w:r>
      <w:r w:rsidRPr="008E78BC">
        <w:rPr>
          <w:rFonts w:ascii="Arial" w:hAnsi="Arial" w:cs="Arial"/>
          <w:szCs w:val="20"/>
        </w:rPr>
        <w:t xml:space="preserve">revious accreditation and registration </w:t>
      </w:r>
      <w:r>
        <w:rPr>
          <w:rFonts w:ascii="Arial" w:hAnsi="Arial" w:cs="Arial"/>
          <w:szCs w:val="20"/>
        </w:rPr>
        <w:t>details</w:t>
      </w:r>
      <w:r w:rsidRPr="008E78BC">
        <w:rPr>
          <w:rFonts w:ascii="Arial" w:hAnsi="Arial" w:cs="Arial"/>
          <w:szCs w:val="20"/>
        </w:rPr>
        <w:t>.</w:t>
      </w:r>
    </w:p>
    <w:p w14:paraId="2AA7C795" w14:textId="22C2D098" w:rsidR="00E628B3" w:rsidRDefault="00E628B3" w:rsidP="00E628B3">
      <w:pPr>
        <w:rPr>
          <w:rFonts w:ascii="Arial" w:hAnsi="Arial" w:cs="Arial"/>
          <w:szCs w:val="20"/>
        </w:rPr>
      </w:pPr>
      <w:r>
        <w:rPr>
          <w:rFonts w:ascii="Arial" w:hAnsi="Arial" w:cs="Arial"/>
          <w:szCs w:val="20"/>
        </w:rPr>
        <w:lastRenderedPageBreak/>
        <w:t xml:space="preserve">In relation to applications for accreditation, the Safety Director will require information to be satisfied that the applicant has the </w:t>
      </w:r>
      <w:r w:rsidRPr="008E78BC">
        <w:rPr>
          <w:rFonts w:ascii="Arial" w:hAnsi="Arial" w:cs="Arial"/>
          <w:szCs w:val="20"/>
        </w:rPr>
        <w:t>competence and capacity to operate a bus service safel</w:t>
      </w:r>
      <w:r>
        <w:rPr>
          <w:rFonts w:ascii="Arial" w:hAnsi="Arial" w:cs="Arial"/>
          <w:szCs w:val="20"/>
        </w:rPr>
        <w:t xml:space="preserve">y and </w:t>
      </w:r>
      <w:r w:rsidRPr="008E78BC">
        <w:rPr>
          <w:rFonts w:ascii="Arial" w:hAnsi="Arial" w:cs="Arial"/>
          <w:szCs w:val="20"/>
        </w:rPr>
        <w:t xml:space="preserve">the </w:t>
      </w:r>
      <w:r>
        <w:rPr>
          <w:rFonts w:ascii="Arial" w:hAnsi="Arial" w:cs="Arial"/>
          <w:szCs w:val="20"/>
        </w:rPr>
        <w:t xml:space="preserve">applicant has </w:t>
      </w:r>
      <w:r w:rsidRPr="008E78BC">
        <w:rPr>
          <w:rFonts w:ascii="Arial" w:hAnsi="Arial" w:cs="Arial"/>
          <w:szCs w:val="20"/>
        </w:rPr>
        <w:t>not committed certain disqualifying offences as specified under the Bus Safety Act</w:t>
      </w:r>
      <w:r>
        <w:rPr>
          <w:rFonts w:ascii="Arial" w:hAnsi="Arial" w:cs="Arial"/>
          <w:szCs w:val="20"/>
        </w:rPr>
        <w:t xml:space="preserve">. </w:t>
      </w:r>
      <w:r w:rsidRPr="008E78BC">
        <w:rPr>
          <w:rFonts w:ascii="Arial" w:hAnsi="Arial" w:cs="Arial"/>
          <w:szCs w:val="20"/>
        </w:rPr>
        <w:t>Any proposed regulatory requirements could impose a set of conditions in which accredited operators are required to abide by in order to keep their accreditation.</w:t>
      </w:r>
    </w:p>
    <w:p w14:paraId="01A061BF" w14:textId="0C1ECFA6" w:rsidR="00E628B3" w:rsidRPr="008E78BC" w:rsidRDefault="00E628B3" w:rsidP="00E628B3">
      <w:pPr>
        <w:rPr>
          <w:rFonts w:ascii="Arial" w:hAnsi="Arial" w:cs="Arial"/>
          <w:szCs w:val="20"/>
        </w:rPr>
      </w:pPr>
      <w:r w:rsidRPr="008E78BC">
        <w:rPr>
          <w:rFonts w:ascii="Arial" w:hAnsi="Arial" w:cs="Arial"/>
          <w:szCs w:val="20"/>
        </w:rPr>
        <w:t xml:space="preserve">The Bus Safety Act allows the Safety Director to issue a certificate of registration to the registered bus operator. It may be necessary to include basic details on the certificate of registration. </w:t>
      </w:r>
    </w:p>
    <w:p w14:paraId="00D27BDC" w14:textId="77777777" w:rsidR="00E628B3" w:rsidRPr="008E78BC" w:rsidRDefault="00E628B3" w:rsidP="00E628B3">
      <w:pPr>
        <w:pStyle w:val="Heading3"/>
        <w:ind w:left="0" w:firstLine="0"/>
      </w:pPr>
      <w:bookmarkStart w:id="72" w:name="_Toc42262255"/>
      <w:bookmarkStart w:id="73" w:name="_Toc44436862"/>
      <w:bookmarkStart w:id="74" w:name="_Toc45548654"/>
      <w:bookmarkStart w:id="75" w:name="_Toc45704302"/>
      <w:r w:rsidRPr="008E78BC">
        <w:t>Identification</w:t>
      </w:r>
      <w:bookmarkEnd w:id="72"/>
      <w:r>
        <w:t xml:space="preserve"> (refer to Section 6.6 for further discussion)</w:t>
      </w:r>
      <w:bookmarkEnd w:id="73"/>
      <w:bookmarkEnd w:id="74"/>
      <w:bookmarkEnd w:id="75"/>
    </w:p>
    <w:p w14:paraId="25E6657D" w14:textId="5BC50D83" w:rsidR="00E628B3" w:rsidRDefault="00E628B3" w:rsidP="00E628B3">
      <w:pPr>
        <w:rPr>
          <w:rFonts w:ascii="Arial" w:hAnsi="Arial" w:cs="Arial"/>
          <w:szCs w:val="20"/>
        </w:rPr>
      </w:pPr>
      <w:r>
        <w:rPr>
          <w:rFonts w:ascii="Arial" w:hAnsi="Arial" w:cs="Arial"/>
          <w:szCs w:val="20"/>
        </w:rPr>
        <w:t>DoT considers</w:t>
      </w:r>
      <w:r w:rsidRPr="008E78BC">
        <w:rPr>
          <w:rFonts w:ascii="Arial" w:hAnsi="Arial" w:cs="Arial"/>
          <w:szCs w:val="20"/>
        </w:rPr>
        <w:t xml:space="preserve"> all the persons responsible for the accredited and registered bus service should be identified on the road-side for compliance monitoring and enforcement purposes.</w:t>
      </w:r>
    </w:p>
    <w:p w14:paraId="12D04517" w14:textId="2E34F7D3" w:rsidR="00E628B3" w:rsidRPr="008E78BC" w:rsidRDefault="00E628B3" w:rsidP="00E628B3">
      <w:pPr>
        <w:rPr>
          <w:rFonts w:ascii="Arial" w:hAnsi="Arial" w:cs="Arial"/>
          <w:szCs w:val="20"/>
        </w:rPr>
      </w:pPr>
      <w:r>
        <w:rPr>
          <w:rFonts w:ascii="Arial" w:hAnsi="Arial" w:cs="Arial"/>
          <w:szCs w:val="20"/>
        </w:rPr>
        <w:t>The display of identification information could include a</w:t>
      </w:r>
      <w:r w:rsidRPr="008E78BC">
        <w:rPr>
          <w:rFonts w:ascii="Arial" w:hAnsi="Arial" w:cs="Arial"/>
          <w:szCs w:val="20"/>
        </w:rPr>
        <w:t xml:space="preserve"> sign attached to the vehicle that can </w:t>
      </w:r>
      <w:r w:rsidR="004648C9">
        <w:rPr>
          <w:rFonts w:ascii="Arial" w:hAnsi="Arial" w:cs="Arial"/>
          <w:szCs w:val="20"/>
        </w:rPr>
        <w:t xml:space="preserve">be </w:t>
      </w:r>
      <w:r w:rsidRPr="008E78BC">
        <w:rPr>
          <w:rFonts w:ascii="Arial" w:hAnsi="Arial" w:cs="Arial"/>
          <w:szCs w:val="20"/>
        </w:rPr>
        <w:t xml:space="preserve">viewed from the outside, a requirement of each bus to have a copy of an accreditation or registration certificate, or a special number plate. DoT considers it may be appropriate that a removable sign or sticker be attached to the outside of the bus which identifies the responsible operator of the bus at the time. Information </w:t>
      </w:r>
      <w:r>
        <w:rPr>
          <w:rFonts w:ascii="Arial" w:hAnsi="Arial" w:cs="Arial"/>
          <w:szCs w:val="20"/>
        </w:rPr>
        <w:t xml:space="preserve">to be displayed </w:t>
      </w:r>
      <w:r w:rsidRPr="008E78BC">
        <w:rPr>
          <w:rFonts w:ascii="Arial" w:hAnsi="Arial" w:cs="Arial"/>
          <w:szCs w:val="20"/>
        </w:rPr>
        <w:t>may</w:t>
      </w:r>
      <w:r w:rsidR="004648C9">
        <w:rPr>
          <w:rFonts w:ascii="Arial" w:hAnsi="Arial" w:cs="Arial"/>
          <w:szCs w:val="20"/>
        </w:rPr>
        <w:t xml:space="preserve"> include</w:t>
      </w:r>
      <w:r w:rsidRPr="008E78BC">
        <w:rPr>
          <w:rFonts w:ascii="Arial" w:hAnsi="Arial" w:cs="Arial"/>
          <w:szCs w:val="20"/>
        </w:rPr>
        <w:t xml:space="preserve"> </w:t>
      </w:r>
      <w:r>
        <w:rPr>
          <w:rFonts w:ascii="Arial" w:hAnsi="Arial" w:cs="Arial"/>
          <w:szCs w:val="20"/>
        </w:rPr>
        <w:t xml:space="preserve">details of the person or operator responsible for the bus service, accreditation or registration number, contact details, details on type of service and bus driver identification details. </w:t>
      </w:r>
    </w:p>
    <w:p w14:paraId="5AF731EC" w14:textId="77777777" w:rsidR="00E628B3" w:rsidRPr="008E78BC" w:rsidRDefault="00E628B3" w:rsidP="00E628B3">
      <w:pPr>
        <w:pStyle w:val="Heading3"/>
        <w:ind w:left="0" w:firstLine="0"/>
      </w:pPr>
      <w:bookmarkStart w:id="76" w:name="_Toc42262256"/>
      <w:bookmarkStart w:id="77" w:name="_Toc44436863"/>
      <w:bookmarkStart w:id="78" w:name="_Toc45548655"/>
      <w:bookmarkStart w:id="79" w:name="_Toc45704303"/>
      <w:r w:rsidRPr="008E78BC">
        <w:t>Records</w:t>
      </w:r>
      <w:bookmarkEnd w:id="76"/>
      <w:r>
        <w:t xml:space="preserve"> (refer to Section 6.7 for further discussion)</w:t>
      </w:r>
      <w:bookmarkEnd w:id="77"/>
      <w:bookmarkEnd w:id="78"/>
      <w:bookmarkEnd w:id="79"/>
    </w:p>
    <w:p w14:paraId="58431385" w14:textId="4C9C3FB9" w:rsidR="00E628B3" w:rsidRPr="008E78BC" w:rsidRDefault="00E628B3" w:rsidP="00E628B3">
      <w:pPr>
        <w:rPr>
          <w:rFonts w:ascii="Arial" w:hAnsi="Arial" w:cs="Arial"/>
          <w:szCs w:val="20"/>
        </w:rPr>
      </w:pPr>
      <w:r w:rsidRPr="008E78BC">
        <w:rPr>
          <w:rFonts w:ascii="Arial" w:hAnsi="Arial" w:cs="Arial"/>
          <w:szCs w:val="20"/>
        </w:rPr>
        <w:t>Records and record keeping requirements</w:t>
      </w:r>
      <w:r>
        <w:rPr>
          <w:rFonts w:ascii="Arial" w:hAnsi="Arial" w:cs="Arial"/>
          <w:szCs w:val="20"/>
        </w:rPr>
        <w:t xml:space="preserve"> enable the</w:t>
      </w:r>
      <w:r w:rsidRPr="008E78BC">
        <w:rPr>
          <w:rFonts w:ascii="Arial" w:hAnsi="Arial" w:cs="Arial"/>
          <w:szCs w:val="20"/>
        </w:rPr>
        <w:t xml:space="preserve"> Safety Director to access evidence of compliance </w:t>
      </w:r>
      <w:r>
        <w:rPr>
          <w:rFonts w:ascii="Arial" w:hAnsi="Arial" w:cs="Arial"/>
          <w:szCs w:val="20"/>
        </w:rPr>
        <w:t xml:space="preserve">with the Bus Safety Act and its regulations. </w:t>
      </w:r>
      <w:r w:rsidRPr="008E78BC">
        <w:rPr>
          <w:rFonts w:ascii="Arial" w:hAnsi="Arial" w:cs="Arial"/>
          <w:szCs w:val="20"/>
        </w:rPr>
        <w:t>The type of records required is dependent on the specific information that is needed for bus operators to demonstrate compliance with requirements under the Bus Safety Act and the regulations.</w:t>
      </w:r>
    </w:p>
    <w:p w14:paraId="2D90FE88" w14:textId="30D705FB" w:rsidR="00407082" w:rsidRDefault="00C5453A" w:rsidP="00E628B3">
      <w:pPr>
        <w:rPr>
          <w:rFonts w:ascii="Arial" w:hAnsi="Arial" w:cs="Arial"/>
          <w:szCs w:val="20"/>
        </w:rPr>
      </w:pPr>
      <w:r>
        <w:rPr>
          <w:rFonts w:ascii="Arial" w:hAnsi="Arial" w:cs="Arial"/>
          <w:szCs w:val="20"/>
        </w:rPr>
        <w:t>T</w:t>
      </w:r>
      <w:r w:rsidR="00E628B3" w:rsidRPr="008E78BC">
        <w:rPr>
          <w:rFonts w:ascii="Arial" w:hAnsi="Arial" w:cs="Arial"/>
          <w:szCs w:val="20"/>
        </w:rPr>
        <w:t>here are two broad options relating to who should be required to keep prescribed records: accredited operators and registered operators.</w:t>
      </w:r>
      <w:r w:rsidR="00E628B3">
        <w:rPr>
          <w:rFonts w:ascii="Arial" w:hAnsi="Arial" w:cs="Arial"/>
          <w:szCs w:val="20"/>
        </w:rPr>
        <w:t xml:space="preserve"> </w:t>
      </w:r>
      <w:r w:rsidR="00E628B3" w:rsidRPr="008E78BC">
        <w:rPr>
          <w:rFonts w:ascii="Arial" w:hAnsi="Arial" w:cs="Arial"/>
          <w:szCs w:val="20"/>
        </w:rPr>
        <w:t>Given the greater responsibility and accountability expected of bus services operated by accredited operators, more evidence or records may need to be kept</w:t>
      </w:r>
      <w:r>
        <w:rPr>
          <w:rFonts w:ascii="Arial" w:hAnsi="Arial" w:cs="Arial"/>
          <w:szCs w:val="20"/>
        </w:rPr>
        <w:t xml:space="preserve"> by accredited operators</w:t>
      </w:r>
      <w:r w:rsidR="00E628B3" w:rsidRPr="008E78BC">
        <w:rPr>
          <w:rFonts w:ascii="Arial" w:hAnsi="Arial" w:cs="Arial"/>
          <w:szCs w:val="20"/>
        </w:rPr>
        <w:t xml:space="preserve">. </w:t>
      </w:r>
    </w:p>
    <w:p w14:paraId="2050C350" w14:textId="5DD0842E" w:rsidR="00E628B3" w:rsidRPr="008E78BC" w:rsidRDefault="00E628B3" w:rsidP="00E628B3">
      <w:pPr>
        <w:rPr>
          <w:rFonts w:ascii="Arial" w:hAnsi="Arial" w:cs="Arial"/>
          <w:szCs w:val="20"/>
        </w:rPr>
      </w:pPr>
      <w:r w:rsidRPr="008E78BC">
        <w:rPr>
          <w:rFonts w:ascii="Arial" w:hAnsi="Arial" w:cs="Arial"/>
          <w:szCs w:val="20"/>
        </w:rPr>
        <w:t xml:space="preserve">Given the importance of a safe vehicle for providing a safe bus service, </w:t>
      </w:r>
      <w:r>
        <w:rPr>
          <w:rFonts w:ascii="Arial" w:hAnsi="Arial" w:cs="Arial"/>
          <w:szCs w:val="20"/>
        </w:rPr>
        <w:t xml:space="preserve">all operators </w:t>
      </w:r>
      <w:r w:rsidR="00407082">
        <w:rPr>
          <w:rFonts w:ascii="Arial" w:hAnsi="Arial" w:cs="Arial"/>
          <w:szCs w:val="20"/>
        </w:rPr>
        <w:t xml:space="preserve">could be required </w:t>
      </w:r>
      <w:r>
        <w:rPr>
          <w:rFonts w:ascii="Arial" w:hAnsi="Arial" w:cs="Arial"/>
          <w:szCs w:val="20"/>
        </w:rPr>
        <w:t>to keep records r</w:t>
      </w:r>
      <w:r w:rsidRPr="008E78BC">
        <w:rPr>
          <w:rFonts w:ascii="Arial" w:hAnsi="Arial" w:cs="Arial"/>
          <w:szCs w:val="20"/>
        </w:rPr>
        <w:t xml:space="preserve">elating to inspections and evidence that any defects identified during bus safety inspections </w:t>
      </w:r>
      <w:r w:rsidR="00EB5B19">
        <w:rPr>
          <w:rFonts w:ascii="Arial" w:hAnsi="Arial" w:cs="Arial"/>
          <w:szCs w:val="20"/>
        </w:rPr>
        <w:t>have been</w:t>
      </w:r>
      <w:r w:rsidR="00EB5B19" w:rsidRPr="008E78BC">
        <w:rPr>
          <w:rFonts w:ascii="Arial" w:hAnsi="Arial" w:cs="Arial"/>
          <w:szCs w:val="20"/>
        </w:rPr>
        <w:t xml:space="preserve"> </w:t>
      </w:r>
      <w:r w:rsidRPr="008E78BC">
        <w:rPr>
          <w:rFonts w:ascii="Arial" w:hAnsi="Arial" w:cs="Arial"/>
          <w:szCs w:val="20"/>
        </w:rPr>
        <w:t>cleared</w:t>
      </w:r>
      <w:r>
        <w:rPr>
          <w:rFonts w:ascii="Arial" w:hAnsi="Arial" w:cs="Arial"/>
          <w:szCs w:val="20"/>
        </w:rPr>
        <w:t xml:space="preserve">. </w:t>
      </w:r>
      <w:r w:rsidRPr="008E78BC">
        <w:rPr>
          <w:rFonts w:ascii="Arial" w:hAnsi="Arial" w:cs="Arial"/>
          <w:szCs w:val="20"/>
        </w:rPr>
        <w:t xml:space="preserve">Alternatively, or in addition to operators keeping records, </w:t>
      </w:r>
      <w:r>
        <w:rPr>
          <w:rFonts w:ascii="Arial" w:hAnsi="Arial" w:cs="Arial"/>
          <w:szCs w:val="20"/>
        </w:rPr>
        <w:t>all</w:t>
      </w:r>
      <w:r w:rsidRPr="008E78BC">
        <w:rPr>
          <w:rFonts w:ascii="Arial" w:hAnsi="Arial" w:cs="Arial"/>
          <w:szCs w:val="20"/>
        </w:rPr>
        <w:t xml:space="preserve"> parties authorised to undertake bus inspections </w:t>
      </w:r>
      <w:r>
        <w:rPr>
          <w:rFonts w:ascii="Arial" w:hAnsi="Arial" w:cs="Arial"/>
          <w:szCs w:val="20"/>
        </w:rPr>
        <w:t xml:space="preserve">could </w:t>
      </w:r>
      <w:r w:rsidRPr="008E78BC">
        <w:rPr>
          <w:rFonts w:ascii="Arial" w:hAnsi="Arial" w:cs="Arial"/>
          <w:szCs w:val="20"/>
        </w:rPr>
        <w:t>provide information directly to the regulator on any bus inspections carried out by that party. Other records t</w:t>
      </w:r>
      <w:r w:rsidR="009D4553">
        <w:rPr>
          <w:rFonts w:ascii="Arial" w:hAnsi="Arial" w:cs="Arial"/>
          <w:szCs w:val="20"/>
        </w:rPr>
        <w:t>o</w:t>
      </w:r>
      <w:r w:rsidRPr="008E78BC">
        <w:rPr>
          <w:rFonts w:ascii="Arial" w:hAnsi="Arial" w:cs="Arial"/>
          <w:szCs w:val="20"/>
        </w:rPr>
        <w:t xml:space="preserve"> be maintained by both accredited and registered operators could include records of their bus fleet</w:t>
      </w:r>
      <w:r>
        <w:rPr>
          <w:rFonts w:ascii="Arial" w:hAnsi="Arial" w:cs="Arial"/>
          <w:szCs w:val="20"/>
        </w:rPr>
        <w:t>.</w:t>
      </w:r>
    </w:p>
    <w:p w14:paraId="5561A06A" w14:textId="00A65DEB" w:rsidR="00E628B3" w:rsidRPr="008E78BC" w:rsidRDefault="00E628B3" w:rsidP="00E628B3">
      <w:pPr>
        <w:rPr>
          <w:rFonts w:ascii="Arial" w:hAnsi="Arial" w:cs="Arial"/>
          <w:szCs w:val="20"/>
        </w:rPr>
      </w:pPr>
      <w:r w:rsidRPr="008E78BC">
        <w:rPr>
          <w:rFonts w:ascii="Arial" w:hAnsi="Arial" w:cs="Arial"/>
          <w:szCs w:val="20"/>
        </w:rPr>
        <w:t>To ensure effective compliance monitoring and enforcement, records could be required to be kept</w:t>
      </w:r>
      <w:r>
        <w:rPr>
          <w:rFonts w:ascii="Arial" w:hAnsi="Arial" w:cs="Arial"/>
          <w:szCs w:val="20"/>
        </w:rPr>
        <w:t xml:space="preserve"> </w:t>
      </w:r>
      <w:r w:rsidRPr="008E78BC">
        <w:rPr>
          <w:rFonts w:ascii="Arial" w:hAnsi="Arial" w:cs="Arial"/>
          <w:szCs w:val="20"/>
        </w:rPr>
        <w:t>for a minimum period of time</w:t>
      </w:r>
      <w:r>
        <w:rPr>
          <w:rFonts w:ascii="Arial" w:hAnsi="Arial" w:cs="Arial"/>
          <w:szCs w:val="20"/>
        </w:rPr>
        <w:t xml:space="preserve"> and in the English language.</w:t>
      </w:r>
      <w:r w:rsidRPr="008E78BC">
        <w:rPr>
          <w:rFonts w:ascii="Arial" w:hAnsi="Arial" w:cs="Arial"/>
          <w:szCs w:val="20"/>
        </w:rPr>
        <w:t xml:space="preserve"> </w:t>
      </w:r>
    </w:p>
    <w:p w14:paraId="1D53DFDF" w14:textId="77777777" w:rsidR="00E628B3" w:rsidRPr="008E78BC" w:rsidRDefault="00E628B3" w:rsidP="00E628B3">
      <w:pPr>
        <w:pStyle w:val="Heading3"/>
        <w:ind w:left="0" w:firstLine="0"/>
      </w:pPr>
      <w:bookmarkStart w:id="80" w:name="_Toc42262257"/>
      <w:bookmarkStart w:id="81" w:name="_Toc44436864"/>
      <w:bookmarkStart w:id="82" w:name="_Toc45548656"/>
      <w:bookmarkStart w:id="83" w:name="_Toc45704304"/>
      <w:r w:rsidRPr="008E78BC">
        <w:t>Exemptions</w:t>
      </w:r>
      <w:bookmarkEnd w:id="80"/>
      <w:r>
        <w:t xml:space="preserve"> (refer to Section 6.8 for further discussion)</w:t>
      </w:r>
      <w:bookmarkEnd w:id="81"/>
      <w:bookmarkEnd w:id="82"/>
      <w:bookmarkEnd w:id="83"/>
    </w:p>
    <w:p w14:paraId="35C02DED" w14:textId="776A2287" w:rsidR="00E628B3" w:rsidRPr="008E78BC" w:rsidRDefault="00E628B3" w:rsidP="00E628B3">
      <w:pPr>
        <w:rPr>
          <w:rFonts w:ascii="Arial" w:hAnsi="Arial" w:cs="Arial"/>
          <w:szCs w:val="20"/>
        </w:rPr>
      </w:pPr>
      <w:r w:rsidRPr="008E78BC">
        <w:rPr>
          <w:rFonts w:ascii="Arial" w:hAnsi="Arial" w:cs="Arial"/>
          <w:szCs w:val="20"/>
        </w:rPr>
        <w:t>The Bus Safety Act provides for making of regulations related to exemptions for persons from the requirement for registration or accreditation</w:t>
      </w:r>
      <w:r>
        <w:rPr>
          <w:rFonts w:ascii="Arial" w:hAnsi="Arial" w:cs="Arial"/>
          <w:szCs w:val="20"/>
        </w:rPr>
        <w:t xml:space="preserve">. </w:t>
      </w:r>
      <w:r w:rsidRPr="008E78BC">
        <w:rPr>
          <w:rFonts w:ascii="Arial" w:hAnsi="Arial" w:cs="Arial"/>
          <w:szCs w:val="20"/>
        </w:rPr>
        <w:t>Regulations are required to specify the procedural or information requirements relevant to an application for exemption. The purpose of the registration and accreditation scheme under the Bus Safety Act is to impose general safety duties on operators of bus services. DoT considers that any exemption should</w:t>
      </w:r>
      <w:r>
        <w:rPr>
          <w:rFonts w:ascii="Arial" w:hAnsi="Arial" w:cs="Arial"/>
          <w:szCs w:val="20"/>
        </w:rPr>
        <w:t xml:space="preserve"> not reduce the safety of the bus service or be in contradiction with the objectives of the Bus Safety Act.</w:t>
      </w:r>
    </w:p>
    <w:p w14:paraId="28AEB49E" w14:textId="77777777" w:rsidR="00E628B3" w:rsidRPr="008E78BC" w:rsidRDefault="00E628B3" w:rsidP="00E628B3">
      <w:pPr>
        <w:pStyle w:val="Heading3"/>
        <w:ind w:left="0" w:firstLine="0"/>
      </w:pPr>
      <w:bookmarkStart w:id="84" w:name="_Toc42262258"/>
      <w:bookmarkStart w:id="85" w:name="_Toc44436865"/>
      <w:bookmarkStart w:id="86" w:name="_Toc45548657"/>
      <w:bookmarkStart w:id="87" w:name="_Toc45704305"/>
      <w:r w:rsidRPr="00662C11">
        <w:t>Fees</w:t>
      </w:r>
      <w:bookmarkEnd w:id="84"/>
      <w:r w:rsidRPr="00662C11">
        <w:t xml:space="preserve"> (refer to Section 6.9 for further discussion)</w:t>
      </w:r>
      <w:bookmarkEnd w:id="85"/>
      <w:bookmarkEnd w:id="86"/>
      <w:bookmarkEnd w:id="87"/>
    </w:p>
    <w:p w14:paraId="5153CADE" w14:textId="3F1E7F60" w:rsidR="00E628B3" w:rsidRDefault="00E628B3" w:rsidP="00E628B3">
      <w:pPr>
        <w:rPr>
          <w:rFonts w:ascii="Arial" w:hAnsi="Arial" w:cs="Arial"/>
          <w:szCs w:val="20"/>
          <w:lang w:eastAsia="en-AU"/>
        </w:rPr>
      </w:pPr>
      <w:r>
        <w:rPr>
          <w:rFonts w:ascii="Arial" w:hAnsi="Arial" w:cs="Arial"/>
          <w:szCs w:val="20"/>
          <w:lang w:eastAsia="en-AU"/>
        </w:rPr>
        <w:t xml:space="preserve">DoT has considered a range of options for structuring fees for recovering the costs of bus safety regulation, including options in relation to the type of fees, the structure of those fees, and the level of cost recovery. DoT notes that current fees are levied in relation to the processing of application for accreditation and a general annual fee </w:t>
      </w:r>
      <w:r w:rsidR="00A16A86">
        <w:rPr>
          <w:rFonts w:ascii="Arial" w:hAnsi="Arial" w:cs="Arial"/>
          <w:szCs w:val="20"/>
          <w:lang w:eastAsia="en-AU"/>
        </w:rPr>
        <w:t xml:space="preserve">is </w:t>
      </w:r>
      <w:r>
        <w:rPr>
          <w:rFonts w:ascii="Arial" w:hAnsi="Arial" w:cs="Arial"/>
          <w:szCs w:val="20"/>
          <w:lang w:eastAsia="en-AU"/>
        </w:rPr>
        <w:t xml:space="preserve">imposed on accredited operators. There are no fees levied on registered operators. </w:t>
      </w:r>
    </w:p>
    <w:p w14:paraId="169A8CB4" w14:textId="77777777" w:rsidR="00E628B3" w:rsidRPr="00DB2062" w:rsidRDefault="00E628B3" w:rsidP="00E628B3">
      <w:pPr>
        <w:rPr>
          <w:rFonts w:ascii="Arial" w:hAnsi="Arial" w:cs="Arial"/>
          <w:szCs w:val="20"/>
          <w:lang w:eastAsia="en-AU"/>
        </w:rPr>
      </w:pPr>
      <w:r w:rsidRPr="00DB2062">
        <w:rPr>
          <w:rFonts w:ascii="Arial" w:hAnsi="Arial" w:cs="Arial"/>
          <w:szCs w:val="20"/>
          <w:lang w:eastAsia="en-AU"/>
        </w:rPr>
        <w:lastRenderedPageBreak/>
        <w:t xml:space="preserve">DoT </w:t>
      </w:r>
      <w:r>
        <w:rPr>
          <w:rFonts w:ascii="Arial" w:hAnsi="Arial" w:cs="Arial"/>
          <w:szCs w:val="20"/>
          <w:lang w:eastAsia="en-AU"/>
        </w:rPr>
        <w:t>assessed</w:t>
      </w:r>
      <w:r w:rsidRPr="00DB2062">
        <w:rPr>
          <w:rFonts w:ascii="Arial" w:hAnsi="Arial" w:cs="Arial"/>
          <w:szCs w:val="20"/>
          <w:lang w:eastAsia="en-AU"/>
        </w:rPr>
        <w:t xml:space="preserve"> three options for recovering the costs of processing applications and the general regulation for bus safety: </w:t>
      </w:r>
    </w:p>
    <w:p w14:paraId="42149801" w14:textId="77777777" w:rsidR="00E628B3" w:rsidRPr="00662C11" w:rsidRDefault="00E628B3" w:rsidP="00E628B3">
      <w:pPr>
        <w:pStyle w:val="ListParagraph"/>
        <w:numPr>
          <w:ilvl w:val="0"/>
          <w:numId w:val="44"/>
        </w:numPr>
        <w:rPr>
          <w:rFonts w:ascii="Arial" w:hAnsi="Arial" w:cs="Arial"/>
          <w:color w:val="auto"/>
          <w:sz w:val="20"/>
          <w:szCs w:val="20"/>
        </w:rPr>
      </w:pPr>
      <w:r w:rsidRPr="00662C11">
        <w:rPr>
          <w:rFonts w:ascii="Arial" w:hAnsi="Arial" w:cs="Arial"/>
          <w:color w:val="auto"/>
          <w:sz w:val="20"/>
          <w:szCs w:val="20"/>
        </w:rPr>
        <w:t>Option 1 reflects the current structure and level of fees that are imposed. That is, an application fee is applicable to accredited operators, with the fee set on a per operator basis. This would mean that fees would only partially recover costs.</w:t>
      </w:r>
    </w:p>
    <w:p w14:paraId="2B182433" w14:textId="77777777" w:rsidR="00E628B3" w:rsidRPr="00662C11" w:rsidRDefault="00E628B3" w:rsidP="00E628B3">
      <w:pPr>
        <w:pStyle w:val="ListParagraph"/>
        <w:numPr>
          <w:ilvl w:val="0"/>
          <w:numId w:val="44"/>
        </w:numPr>
        <w:rPr>
          <w:rFonts w:ascii="Arial" w:hAnsi="Arial" w:cs="Arial"/>
          <w:color w:val="auto"/>
          <w:sz w:val="20"/>
          <w:szCs w:val="20"/>
        </w:rPr>
      </w:pPr>
      <w:r w:rsidRPr="00662C11">
        <w:rPr>
          <w:rFonts w:ascii="Arial" w:hAnsi="Arial" w:cs="Arial"/>
          <w:color w:val="auto"/>
          <w:sz w:val="20"/>
          <w:szCs w:val="20"/>
        </w:rPr>
        <w:t xml:space="preserve">Option 2 would include the current structure and level of fees but also include a new fee to be levied annually on registered operators. Fees would be set such that there is partial cost recovery (fees less than the costs incurred by TSV in administering all applications for accreditation and registration). </w:t>
      </w:r>
    </w:p>
    <w:p w14:paraId="58317717" w14:textId="77777777" w:rsidR="00E628B3" w:rsidRPr="00662C11" w:rsidRDefault="00E628B3" w:rsidP="00E628B3">
      <w:pPr>
        <w:pStyle w:val="ListParagraph"/>
        <w:numPr>
          <w:ilvl w:val="0"/>
          <w:numId w:val="44"/>
        </w:numPr>
        <w:rPr>
          <w:rFonts w:ascii="Arial" w:hAnsi="Arial" w:cs="Arial"/>
          <w:color w:val="auto"/>
          <w:sz w:val="20"/>
          <w:szCs w:val="20"/>
        </w:rPr>
      </w:pPr>
      <w:r w:rsidRPr="00662C11">
        <w:rPr>
          <w:rFonts w:ascii="Arial" w:hAnsi="Arial" w:cs="Arial"/>
          <w:color w:val="auto"/>
          <w:sz w:val="20"/>
          <w:szCs w:val="20"/>
        </w:rPr>
        <w:t>Option 3 would set fees such that there is full cost recovery both through the application fee and an annual fee that is imposed on both accredited and registered operators.</w:t>
      </w:r>
    </w:p>
    <w:p w14:paraId="7CB2A0E4" w14:textId="6B0DB15A" w:rsidR="00E628B3" w:rsidRPr="008E78BC" w:rsidRDefault="00E628B3" w:rsidP="00E628B3">
      <w:pPr>
        <w:pStyle w:val="Heading2"/>
      </w:pPr>
      <w:bookmarkStart w:id="88" w:name="_Toc42262259"/>
      <w:bookmarkStart w:id="89" w:name="_Toc44436866"/>
      <w:bookmarkStart w:id="90" w:name="_Toc45548658"/>
      <w:bookmarkStart w:id="91" w:name="_Toc45704306"/>
      <w:r w:rsidRPr="008E78BC">
        <w:t>Impact Assessment</w:t>
      </w:r>
      <w:bookmarkEnd w:id="88"/>
      <w:r>
        <w:t xml:space="preserve"> (</w:t>
      </w:r>
      <w:r w:rsidR="008D7AE1">
        <w:t xml:space="preserve">refer to </w:t>
      </w:r>
      <w:r w:rsidR="00412F1A">
        <w:t xml:space="preserve">Section </w:t>
      </w:r>
      <w:r>
        <w:t>7)</w:t>
      </w:r>
      <w:bookmarkEnd w:id="89"/>
      <w:bookmarkEnd w:id="90"/>
      <w:bookmarkEnd w:id="91"/>
    </w:p>
    <w:p w14:paraId="6BD34E7A" w14:textId="77777777" w:rsidR="00E628B3" w:rsidRPr="008E78BC" w:rsidRDefault="00E628B3" w:rsidP="00E628B3">
      <w:pPr>
        <w:pStyle w:val="Heading3"/>
      </w:pPr>
      <w:bookmarkStart w:id="92" w:name="_Toc42262260"/>
      <w:bookmarkStart w:id="93" w:name="_Toc44436867"/>
      <w:bookmarkStart w:id="94" w:name="_Toc45548659"/>
      <w:bookmarkStart w:id="95" w:name="_Toc45704307"/>
      <w:r w:rsidRPr="008E78BC">
        <w:t>Vehicle safety</w:t>
      </w:r>
      <w:bookmarkEnd w:id="92"/>
      <w:bookmarkEnd w:id="93"/>
      <w:bookmarkEnd w:id="94"/>
      <w:bookmarkEnd w:id="95"/>
    </w:p>
    <w:p w14:paraId="24767DB5" w14:textId="77777777" w:rsidR="00E628B3" w:rsidRPr="008E78BC" w:rsidRDefault="00E628B3" w:rsidP="0095677C">
      <w:pPr>
        <w:pStyle w:val="Heading4"/>
      </w:pPr>
      <w:bookmarkStart w:id="96" w:name="_Toc42262261"/>
      <w:r w:rsidRPr="008E78BC">
        <w:t>Bus standards</w:t>
      </w:r>
      <w:bookmarkEnd w:id="96"/>
      <w:r>
        <w:t xml:space="preserve"> (refer to Section 7.1.1 for further discussion)</w:t>
      </w:r>
    </w:p>
    <w:p w14:paraId="70C14512" w14:textId="0D33CCE1" w:rsidR="00E628B3" w:rsidRPr="008E78BC" w:rsidRDefault="00E628B3" w:rsidP="00E628B3">
      <w:pPr>
        <w:rPr>
          <w:rFonts w:ascii="Arial" w:hAnsi="Arial" w:cs="Arial"/>
          <w:szCs w:val="20"/>
        </w:rPr>
      </w:pPr>
      <w:r>
        <w:rPr>
          <w:rFonts w:ascii="Arial" w:hAnsi="Arial" w:cs="Arial"/>
          <w:szCs w:val="20"/>
        </w:rPr>
        <w:t xml:space="preserve">While DoT has not quantified the expected costs and benefits of additional bus standards, </w:t>
      </w:r>
      <w:r w:rsidRPr="008E78BC">
        <w:rPr>
          <w:rFonts w:ascii="Arial" w:hAnsi="Arial" w:cs="Arial"/>
          <w:szCs w:val="20"/>
        </w:rPr>
        <w:t xml:space="preserve">DoT expects </w:t>
      </w:r>
      <w:r w:rsidRPr="008E78BC">
        <w:rPr>
          <w:rFonts w:ascii="Arial" w:hAnsi="Arial" w:cs="Arial"/>
          <w:color w:val="auto"/>
          <w:szCs w:val="20"/>
        </w:rPr>
        <w:t xml:space="preserve">the benefits </w:t>
      </w:r>
      <w:r>
        <w:rPr>
          <w:rFonts w:ascii="Arial" w:hAnsi="Arial" w:cs="Arial"/>
          <w:color w:val="auto"/>
          <w:szCs w:val="20"/>
        </w:rPr>
        <w:t xml:space="preserve">of requiring bus standards as proposed in the regulations </w:t>
      </w:r>
      <w:r w:rsidR="008A6AD8">
        <w:rPr>
          <w:rFonts w:ascii="Arial" w:hAnsi="Arial" w:cs="Arial"/>
          <w:color w:val="auto"/>
          <w:szCs w:val="20"/>
        </w:rPr>
        <w:t xml:space="preserve">to </w:t>
      </w:r>
      <w:r w:rsidRPr="008E78BC">
        <w:rPr>
          <w:rFonts w:ascii="Arial" w:hAnsi="Arial" w:cs="Arial"/>
          <w:color w:val="auto"/>
          <w:szCs w:val="20"/>
        </w:rPr>
        <w:t>outweigh the costs</w:t>
      </w:r>
      <w:r>
        <w:rPr>
          <w:rFonts w:ascii="Arial" w:hAnsi="Arial" w:cs="Arial"/>
          <w:color w:val="auto"/>
          <w:szCs w:val="20"/>
        </w:rPr>
        <w:t xml:space="preserve">. DoT’s assessment is that the </w:t>
      </w:r>
      <w:r w:rsidRPr="008E78BC">
        <w:rPr>
          <w:rFonts w:ascii="Arial" w:hAnsi="Arial" w:cs="Arial"/>
          <w:color w:val="auto"/>
          <w:szCs w:val="20"/>
        </w:rPr>
        <w:t>compliance costs associated with complying with the standards are minor</w:t>
      </w:r>
      <w:r>
        <w:rPr>
          <w:rFonts w:ascii="Arial" w:hAnsi="Arial" w:cs="Arial"/>
          <w:color w:val="auto"/>
          <w:szCs w:val="20"/>
        </w:rPr>
        <w:t xml:space="preserve"> and that the </w:t>
      </w:r>
      <w:r w:rsidRPr="008E78BC">
        <w:rPr>
          <w:rFonts w:ascii="Arial" w:hAnsi="Arial" w:cs="Arial"/>
          <w:color w:val="auto"/>
          <w:szCs w:val="20"/>
        </w:rPr>
        <w:t>regulations address potential safety risks in buses that are not otherwise covered by the Vehicle Standards under the Road Safety Act or the Heavy Vehicle National Law.</w:t>
      </w:r>
      <w:r>
        <w:rPr>
          <w:rFonts w:ascii="Arial" w:hAnsi="Arial" w:cs="Arial"/>
          <w:color w:val="auto"/>
          <w:szCs w:val="20"/>
        </w:rPr>
        <w:t xml:space="preserve"> </w:t>
      </w:r>
      <w:r w:rsidRPr="008E78BC">
        <w:rPr>
          <w:rFonts w:ascii="Arial" w:hAnsi="Arial" w:cs="Arial"/>
          <w:color w:val="auto"/>
          <w:szCs w:val="20"/>
        </w:rPr>
        <w:t xml:space="preserve">For these reasons, DoT proposes </w:t>
      </w:r>
      <w:r w:rsidRPr="008E78BC">
        <w:rPr>
          <w:rFonts w:ascii="Arial" w:hAnsi="Arial" w:cs="Arial"/>
          <w:szCs w:val="20"/>
        </w:rPr>
        <w:t>that the regulations for bus standards be made.</w:t>
      </w:r>
    </w:p>
    <w:p w14:paraId="4183A5D8" w14:textId="77777777" w:rsidR="00E628B3" w:rsidRPr="008E78BC" w:rsidRDefault="00E628B3" w:rsidP="0095677C">
      <w:pPr>
        <w:pStyle w:val="Heading4"/>
      </w:pPr>
      <w:bookmarkStart w:id="97" w:name="_Toc42262262"/>
      <w:r w:rsidRPr="008E78BC">
        <w:t>Requirements for maintaining vehicle safety</w:t>
      </w:r>
      <w:bookmarkEnd w:id="97"/>
      <w:r>
        <w:t xml:space="preserve"> (refer to Section 7.1.2 for further discussion)</w:t>
      </w:r>
    </w:p>
    <w:p w14:paraId="727E354B" w14:textId="77777777" w:rsidR="00E628B3" w:rsidRPr="008E78BC" w:rsidRDefault="00E628B3" w:rsidP="00E628B3">
      <w:pPr>
        <w:rPr>
          <w:rFonts w:ascii="Arial" w:hAnsi="Arial" w:cs="Arial"/>
          <w:color w:val="auto"/>
          <w:szCs w:val="20"/>
        </w:rPr>
      </w:pPr>
      <w:r w:rsidRPr="008E78BC">
        <w:rPr>
          <w:rFonts w:ascii="Arial" w:hAnsi="Arial" w:cs="Arial"/>
          <w:color w:val="auto"/>
          <w:szCs w:val="20"/>
        </w:rPr>
        <w:t>The costs associated with a regulatory requirement to develop and maintain safety systems for vehicle maintenance are $</w:t>
      </w:r>
      <w:r>
        <w:rPr>
          <w:rFonts w:ascii="Arial" w:hAnsi="Arial" w:cs="Arial"/>
          <w:color w:val="auto"/>
          <w:szCs w:val="20"/>
        </w:rPr>
        <w:t>2.06</w:t>
      </w:r>
      <w:r w:rsidRPr="008E78BC">
        <w:rPr>
          <w:rFonts w:ascii="Arial" w:hAnsi="Arial" w:cs="Arial"/>
          <w:color w:val="auto"/>
          <w:szCs w:val="20"/>
        </w:rPr>
        <w:t xml:space="preserve"> million</w:t>
      </w:r>
      <w:r>
        <w:rPr>
          <w:rFonts w:ascii="Arial" w:hAnsi="Arial" w:cs="Arial"/>
          <w:color w:val="auto"/>
          <w:szCs w:val="20"/>
        </w:rPr>
        <w:t xml:space="preserve"> </w:t>
      </w:r>
      <w:r w:rsidRPr="008E78BC">
        <w:rPr>
          <w:rFonts w:ascii="Arial" w:hAnsi="Arial" w:cs="Arial"/>
          <w:color w:val="auto"/>
          <w:szCs w:val="20"/>
        </w:rPr>
        <w:t>and the costs to comply with those systems are $</w:t>
      </w:r>
      <w:r>
        <w:rPr>
          <w:rFonts w:ascii="Arial" w:hAnsi="Arial" w:cs="Arial"/>
          <w:color w:val="auto"/>
          <w:szCs w:val="20"/>
        </w:rPr>
        <w:t>62.7</w:t>
      </w:r>
      <w:r w:rsidRPr="008E78BC">
        <w:rPr>
          <w:rFonts w:ascii="Arial" w:hAnsi="Arial" w:cs="Arial"/>
          <w:color w:val="auto"/>
          <w:szCs w:val="20"/>
        </w:rPr>
        <w:t xml:space="preserve"> million to $</w:t>
      </w:r>
      <w:r>
        <w:rPr>
          <w:rFonts w:ascii="Arial" w:hAnsi="Arial" w:cs="Arial"/>
          <w:color w:val="auto"/>
          <w:szCs w:val="20"/>
        </w:rPr>
        <w:t xml:space="preserve">317.1 </w:t>
      </w:r>
      <w:r w:rsidRPr="008E78BC">
        <w:rPr>
          <w:rFonts w:ascii="Arial" w:hAnsi="Arial" w:cs="Arial"/>
          <w:color w:val="auto"/>
          <w:szCs w:val="20"/>
        </w:rPr>
        <w:t xml:space="preserve">million over the life of the regulations (i.e. a 10-year period). DoT notes that many operators would have incurred these costs regardless of the proposed regulation, as it is good practice to regularly maintain vehicles. Therefore, the costs estimated presented here reflect the upper bound of costs imposed on the industry.  </w:t>
      </w:r>
    </w:p>
    <w:p w14:paraId="6ECF78AD" w14:textId="679F3080" w:rsidR="00E628B3" w:rsidRPr="008E78BC" w:rsidRDefault="00E628B3" w:rsidP="00E628B3">
      <w:pPr>
        <w:rPr>
          <w:rFonts w:ascii="Arial" w:hAnsi="Arial" w:cs="Arial"/>
          <w:color w:val="auto"/>
          <w:szCs w:val="20"/>
        </w:rPr>
      </w:pPr>
      <w:r>
        <w:rPr>
          <w:rFonts w:ascii="Arial" w:hAnsi="Arial" w:cs="Arial"/>
          <w:color w:val="auto"/>
          <w:szCs w:val="20"/>
        </w:rPr>
        <w:t>An</w:t>
      </w:r>
      <w:r w:rsidRPr="008E78BC">
        <w:rPr>
          <w:rFonts w:ascii="Arial" w:hAnsi="Arial" w:cs="Arial"/>
          <w:color w:val="auto"/>
          <w:szCs w:val="20"/>
        </w:rPr>
        <w:t xml:space="preserve"> annual roadworthy inspection regime </w:t>
      </w:r>
      <w:r>
        <w:rPr>
          <w:rFonts w:ascii="Arial" w:hAnsi="Arial" w:cs="Arial"/>
          <w:color w:val="auto"/>
          <w:szCs w:val="20"/>
        </w:rPr>
        <w:t xml:space="preserve">is estimated to impose </w:t>
      </w:r>
      <w:r w:rsidRPr="008E78BC">
        <w:rPr>
          <w:rFonts w:ascii="Arial" w:hAnsi="Arial" w:cs="Arial"/>
          <w:color w:val="auto"/>
          <w:szCs w:val="20"/>
        </w:rPr>
        <w:t>$</w:t>
      </w:r>
      <w:r>
        <w:rPr>
          <w:rFonts w:ascii="Arial" w:hAnsi="Arial" w:cs="Arial"/>
          <w:color w:val="auto"/>
          <w:szCs w:val="20"/>
        </w:rPr>
        <w:t>21</w:t>
      </w:r>
      <w:r w:rsidRPr="008E78BC">
        <w:rPr>
          <w:rFonts w:ascii="Arial" w:hAnsi="Arial" w:cs="Arial"/>
          <w:color w:val="auto"/>
          <w:szCs w:val="20"/>
        </w:rPr>
        <w:t xml:space="preserve"> million </w:t>
      </w:r>
      <w:r>
        <w:rPr>
          <w:rFonts w:ascii="Arial" w:hAnsi="Arial" w:cs="Arial"/>
          <w:color w:val="auto"/>
          <w:szCs w:val="20"/>
        </w:rPr>
        <w:t>i</w:t>
      </w:r>
      <w:r w:rsidRPr="008E78BC">
        <w:rPr>
          <w:rFonts w:ascii="Arial" w:hAnsi="Arial" w:cs="Arial"/>
          <w:color w:val="auto"/>
          <w:szCs w:val="20"/>
        </w:rPr>
        <w:t>n compliance costs on registered operators over the life of the regulations</w:t>
      </w:r>
      <w:r>
        <w:rPr>
          <w:rFonts w:ascii="Arial" w:hAnsi="Arial" w:cs="Arial"/>
          <w:color w:val="auto"/>
          <w:szCs w:val="20"/>
        </w:rPr>
        <w:t xml:space="preserve">, with approximately </w:t>
      </w:r>
      <w:r w:rsidRPr="008E78BC">
        <w:rPr>
          <w:rFonts w:ascii="Arial" w:hAnsi="Arial" w:cs="Arial"/>
          <w:color w:val="auto"/>
          <w:szCs w:val="20"/>
        </w:rPr>
        <w:t xml:space="preserve">6,000 buses </w:t>
      </w:r>
      <w:r>
        <w:rPr>
          <w:rFonts w:ascii="Arial" w:hAnsi="Arial" w:cs="Arial"/>
          <w:color w:val="auto"/>
          <w:szCs w:val="20"/>
        </w:rPr>
        <w:t xml:space="preserve">needed to be </w:t>
      </w:r>
      <w:r w:rsidRPr="008E78BC">
        <w:rPr>
          <w:rFonts w:ascii="Arial" w:hAnsi="Arial" w:cs="Arial"/>
          <w:color w:val="auto"/>
          <w:szCs w:val="20"/>
        </w:rPr>
        <w:t xml:space="preserve">inspected annually. DoT has also considered regulations which would permit the Safety Director to require additional roadworthy inspections of an operator if, based on an assessment of risk, such additional inspections are warranted. </w:t>
      </w:r>
      <w:r>
        <w:rPr>
          <w:rFonts w:ascii="Arial" w:hAnsi="Arial" w:cs="Arial"/>
          <w:color w:val="auto"/>
          <w:szCs w:val="20"/>
        </w:rPr>
        <w:t>While this cost has not been quantified, a</w:t>
      </w:r>
      <w:r w:rsidRPr="008E78BC">
        <w:rPr>
          <w:rFonts w:ascii="Arial" w:hAnsi="Arial" w:cs="Arial"/>
          <w:color w:val="auto"/>
          <w:szCs w:val="20"/>
        </w:rPr>
        <w:t>dditional costs are only incurred if the operator is identified as operating unsafely. If an operator adequately maintains and repair</w:t>
      </w:r>
      <w:r w:rsidR="006C38DE">
        <w:rPr>
          <w:rFonts w:ascii="Arial" w:hAnsi="Arial" w:cs="Arial"/>
          <w:color w:val="auto"/>
          <w:szCs w:val="20"/>
        </w:rPr>
        <w:t>s</w:t>
      </w:r>
      <w:r w:rsidRPr="008E78BC">
        <w:rPr>
          <w:rFonts w:ascii="Arial" w:hAnsi="Arial" w:cs="Arial"/>
          <w:color w:val="auto"/>
          <w:szCs w:val="20"/>
        </w:rPr>
        <w:t xml:space="preserve"> their vehicles, then no additional costs will be incurred.</w:t>
      </w:r>
      <w:r>
        <w:rPr>
          <w:rFonts w:ascii="Arial" w:hAnsi="Arial" w:cs="Arial"/>
          <w:color w:val="auto"/>
          <w:szCs w:val="20"/>
        </w:rPr>
        <w:t xml:space="preserve"> </w:t>
      </w:r>
      <w:r w:rsidR="008A6AD8">
        <w:rPr>
          <w:rFonts w:ascii="Arial" w:hAnsi="Arial" w:cs="Arial"/>
          <w:color w:val="auto"/>
          <w:szCs w:val="20"/>
        </w:rPr>
        <w:t>C</w:t>
      </w:r>
      <w:r>
        <w:rPr>
          <w:rFonts w:ascii="Arial" w:hAnsi="Arial" w:cs="Arial"/>
          <w:color w:val="auto"/>
          <w:szCs w:val="20"/>
        </w:rPr>
        <w:t xml:space="preserve">ost </w:t>
      </w:r>
      <w:r w:rsidR="008A6AD8">
        <w:rPr>
          <w:rFonts w:ascii="Arial" w:hAnsi="Arial" w:cs="Arial"/>
          <w:color w:val="auto"/>
          <w:szCs w:val="20"/>
        </w:rPr>
        <w:t xml:space="preserve">are expected to be in the order of </w:t>
      </w:r>
      <w:r>
        <w:rPr>
          <w:rFonts w:ascii="Arial" w:hAnsi="Arial" w:cs="Arial"/>
          <w:color w:val="auto"/>
          <w:szCs w:val="20"/>
        </w:rPr>
        <w:t xml:space="preserve">approximately $300 per inspection. </w:t>
      </w:r>
      <w:r w:rsidRPr="008E78BC">
        <w:rPr>
          <w:rFonts w:ascii="Arial" w:hAnsi="Arial" w:cs="Arial"/>
          <w:color w:val="auto"/>
          <w:szCs w:val="20"/>
        </w:rPr>
        <w:t xml:space="preserve"> </w:t>
      </w:r>
    </w:p>
    <w:p w14:paraId="28557D8F" w14:textId="5ED22157" w:rsidR="00E628B3" w:rsidRPr="002B6123" w:rsidRDefault="00E628B3" w:rsidP="002B6123">
      <w:pPr>
        <w:autoSpaceDE w:val="0"/>
        <w:autoSpaceDN w:val="0"/>
        <w:spacing w:before="40" w:after="40"/>
        <w:rPr>
          <w:color w:val="auto"/>
          <w:szCs w:val="22"/>
        </w:rPr>
      </w:pPr>
      <w:r>
        <w:rPr>
          <w:rFonts w:ascii="Arial" w:hAnsi="Arial" w:cs="Arial"/>
          <w:szCs w:val="20"/>
        </w:rPr>
        <w:t xml:space="preserve">DoT has conducted a ‘break-even analysis’ to assess </w:t>
      </w:r>
      <w:r w:rsidRPr="008E78BC">
        <w:rPr>
          <w:rFonts w:ascii="Arial" w:hAnsi="Arial" w:cs="Arial"/>
          <w:szCs w:val="20"/>
        </w:rPr>
        <w:t xml:space="preserve">how many fatalities and serious injuries would need to be avoided for the intervention to </w:t>
      </w:r>
      <w:r>
        <w:rPr>
          <w:rFonts w:ascii="Arial" w:hAnsi="Arial" w:cs="Arial"/>
          <w:szCs w:val="20"/>
        </w:rPr>
        <w:t>have a net-gain to society</w:t>
      </w:r>
      <w:r w:rsidRPr="008E78BC">
        <w:rPr>
          <w:rFonts w:ascii="Arial" w:hAnsi="Arial" w:cs="Arial"/>
          <w:szCs w:val="20"/>
        </w:rPr>
        <w:t xml:space="preserve">. In the case of the proposal to require to an MMS, there must be a reduction of between 1 to 5 fatalities per year or 21 to 105 serious injuries per year for the intervention to ‘break even’. </w:t>
      </w:r>
      <w:r w:rsidR="002B6123" w:rsidRPr="002B6123">
        <w:rPr>
          <w:rFonts w:ascii="Arial" w:hAnsi="Arial" w:cs="Arial"/>
          <w:szCs w:val="20"/>
        </w:rPr>
        <w:t>In calculating these estimates, DoT has assumed that under the upper bound of the estimates, there is a high utilisation rate of buses by accredited operators</w:t>
      </w:r>
      <w:r w:rsidR="0071336A">
        <w:rPr>
          <w:rFonts w:ascii="Arial" w:hAnsi="Arial" w:cs="Arial"/>
          <w:szCs w:val="20"/>
        </w:rPr>
        <w:t xml:space="preserve">. </w:t>
      </w:r>
      <w:r w:rsidRPr="008E78BC">
        <w:rPr>
          <w:rFonts w:ascii="Arial" w:hAnsi="Arial" w:cs="Arial"/>
          <w:szCs w:val="20"/>
        </w:rPr>
        <w:t xml:space="preserve">For the annual inspection regulations, there must be a reduction of up to 1 fatality per year or approximately </w:t>
      </w:r>
      <w:r>
        <w:rPr>
          <w:rFonts w:ascii="Arial" w:hAnsi="Arial" w:cs="Arial"/>
          <w:szCs w:val="20"/>
        </w:rPr>
        <w:t>7</w:t>
      </w:r>
      <w:r w:rsidRPr="008E78BC">
        <w:rPr>
          <w:rFonts w:ascii="Arial" w:hAnsi="Arial" w:cs="Arial"/>
          <w:szCs w:val="20"/>
        </w:rPr>
        <w:t xml:space="preserve"> serious injuries per year for that intervention to ‘break even’.</w:t>
      </w:r>
      <w:r w:rsidR="009E249C">
        <w:rPr>
          <w:rFonts w:ascii="Arial" w:hAnsi="Arial" w:cs="Arial"/>
          <w:szCs w:val="20"/>
        </w:rPr>
        <w:t xml:space="preserve"> </w:t>
      </w:r>
      <w:r w:rsidR="0071336A">
        <w:rPr>
          <w:rFonts w:ascii="Arial" w:hAnsi="Arial" w:cs="Arial"/>
          <w:szCs w:val="20"/>
        </w:rPr>
        <w:t xml:space="preserve">The costs incurred to avoid the fatalities or serious injuries may not be entirely </w:t>
      </w:r>
      <w:r w:rsidR="009E249C">
        <w:rPr>
          <w:rFonts w:ascii="Arial" w:hAnsi="Arial" w:cs="Arial"/>
          <w:szCs w:val="20"/>
        </w:rPr>
        <w:t>attributable to the regulations</w:t>
      </w:r>
      <w:r w:rsidR="008142AF">
        <w:rPr>
          <w:rFonts w:ascii="Arial" w:hAnsi="Arial" w:cs="Arial"/>
          <w:szCs w:val="20"/>
        </w:rPr>
        <w:t xml:space="preserve"> –</w:t>
      </w:r>
      <w:r w:rsidR="009E249C">
        <w:rPr>
          <w:rFonts w:ascii="Arial" w:hAnsi="Arial" w:cs="Arial"/>
          <w:szCs w:val="20"/>
        </w:rPr>
        <w:t xml:space="preserve"> some operators may</w:t>
      </w:r>
      <w:r w:rsidR="008142AF">
        <w:rPr>
          <w:rFonts w:ascii="Arial" w:hAnsi="Arial" w:cs="Arial"/>
          <w:szCs w:val="20"/>
        </w:rPr>
        <w:t xml:space="preserve"> </w:t>
      </w:r>
      <w:r w:rsidR="009E249C">
        <w:rPr>
          <w:rFonts w:ascii="Arial" w:hAnsi="Arial" w:cs="Arial"/>
          <w:szCs w:val="20"/>
        </w:rPr>
        <w:t xml:space="preserve">implement safety systems </w:t>
      </w:r>
      <w:r w:rsidR="008142AF">
        <w:rPr>
          <w:rFonts w:ascii="Arial" w:hAnsi="Arial" w:cs="Arial"/>
          <w:szCs w:val="20"/>
        </w:rPr>
        <w:t xml:space="preserve">irrespective of the regulations </w:t>
      </w:r>
      <w:r w:rsidR="009E249C">
        <w:rPr>
          <w:rFonts w:ascii="Arial" w:hAnsi="Arial" w:cs="Arial"/>
          <w:szCs w:val="20"/>
        </w:rPr>
        <w:t xml:space="preserve">as part of good practice </w:t>
      </w:r>
      <w:r w:rsidR="000F32DA">
        <w:rPr>
          <w:rFonts w:ascii="Arial" w:hAnsi="Arial" w:cs="Arial"/>
          <w:szCs w:val="20"/>
        </w:rPr>
        <w:t>to regularly maintain vehicles</w:t>
      </w:r>
      <w:r w:rsidR="009E249C">
        <w:rPr>
          <w:rFonts w:ascii="Arial" w:hAnsi="Arial" w:cs="Arial"/>
          <w:szCs w:val="20"/>
        </w:rPr>
        <w:t xml:space="preserve">. </w:t>
      </w:r>
      <w:r w:rsidRPr="008E78BC">
        <w:rPr>
          <w:rFonts w:ascii="Arial" w:hAnsi="Arial" w:cs="Arial"/>
          <w:szCs w:val="20"/>
        </w:rPr>
        <w:t xml:space="preserve"> </w:t>
      </w:r>
    </w:p>
    <w:p w14:paraId="72BEA266" w14:textId="77777777" w:rsidR="00E628B3" w:rsidRPr="008E78BC" w:rsidRDefault="00E628B3" w:rsidP="00E628B3">
      <w:pPr>
        <w:rPr>
          <w:rFonts w:ascii="Arial" w:hAnsi="Arial" w:cs="Arial"/>
          <w:szCs w:val="20"/>
        </w:rPr>
      </w:pPr>
      <w:r>
        <w:rPr>
          <w:rFonts w:ascii="Arial" w:hAnsi="Arial" w:cs="Arial"/>
          <w:szCs w:val="20"/>
        </w:rPr>
        <w:t>As there is still a</w:t>
      </w:r>
      <w:r w:rsidRPr="008E78BC">
        <w:rPr>
          <w:rFonts w:ascii="Arial" w:hAnsi="Arial" w:cs="Arial"/>
          <w:szCs w:val="20"/>
        </w:rPr>
        <w:t xml:space="preserve"> significant number of items failed when buses are presented for their annual roadworthy vehicle inspections</w:t>
      </w:r>
      <w:r>
        <w:rPr>
          <w:rFonts w:ascii="Arial" w:hAnsi="Arial" w:cs="Arial"/>
          <w:szCs w:val="20"/>
        </w:rPr>
        <w:t>, it suggests</w:t>
      </w:r>
      <w:r w:rsidRPr="008E78BC">
        <w:rPr>
          <w:rFonts w:ascii="Arial" w:hAnsi="Arial" w:cs="Arial"/>
          <w:szCs w:val="20"/>
        </w:rPr>
        <w:t xml:space="preserve"> that more could be done to improve safety in bus services. In particular, DoT recommends that</w:t>
      </w:r>
      <w:r>
        <w:rPr>
          <w:rFonts w:ascii="Arial" w:hAnsi="Arial" w:cs="Arial"/>
          <w:szCs w:val="20"/>
        </w:rPr>
        <w:t xml:space="preserve"> the current</w:t>
      </w:r>
      <w:r w:rsidRPr="008E78BC">
        <w:rPr>
          <w:rFonts w:ascii="Arial" w:hAnsi="Arial" w:cs="Arial"/>
          <w:szCs w:val="20"/>
        </w:rPr>
        <w:t xml:space="preserve"> measures </w:t>
      </w:r>
      <w:r>
        <w:rPr>
          <w:rFonts w:ascii="Arial" w:hAnsi="Arial" w:cs="Arial"/>
          <w:szCs w:val="20"/>
        </w:rPr>
        <w:t xml:space="preserve">of </w:t>
      </w:r>
      <w:r w:rsidRPr="008E78BC">
        <w:rPr>
          <w:rFonts w:ascii="Arial" w:hAnsi="Arial" w:cs="Arial"/>
          <w:szCs w:val="20"/>
        </w:rPr>
        <w:t xml:space="preserve">requiring roadworthy inspections and </w:t>
      </w:r>
      <w:r w:rsidRPr="008E78BC">
        <w:rPr>
          <w:rFonts w:ascii="Arial" w:hAnsi="Arial" w:cs="Arial"/>
          <w:szCs w:val="20"/>
        </w:rPr>
        <w:lastRenderedPageBreak/>
        <w:t>requiring accredited operators to implement systems for maintain</w:t>
      </w:r>
      <w:r>
        <w:rPr>
          <w:rFonts w:ascii="Arial" w:hAnsi="Arial" w:cs="Arial"/>
          <w:szCs w:val="20"/>
        </w:rPr>
        <w:t>ing</w:t>
      </w:r>
      <w:r w:rsidRPr="008E78BC">
        <w:rPr>
          <w:rFonts w:ascii="Arial" w:hAnsi="Arial" w:cs="Arial"/>
          <w:szCs w:val="20"/>
        </w:rPr>
        <w:t xml:space="preserve"> vehicles </w:t>
      </w:r>
      <w:r>
        <w:rPr>
          <w:rFonts w:ascii="Arial" w:hAnsi="Arial" w:cs="Arial"/>
          <w:szCs w:val="20"/>
        </w:rPr>
        <w:t>con</w:t>
      </w:r>
      <w:r w:rsidRPr="008E78BC">
        <w:rPr>
          <w:rFonts w:ascii="Arial" w:hAnsi="Arial" w:cs="Arial"/>
          <w:szCs w:val="20"/>
        </w:rPr>
        <w:t>tinue in the proposed regulations.</w:t>
      </w:r>
    </w:p>
    <w:p w14:paraId="16691FE3" w14:textId="77777777" w:rsidR="00E628B3" w:rsidRPr="008E78BC" w:rsidRDefault="00E628B3" w:rsidP="00E628B3">
      <w:pPr>
        <w:rPr>
          <w:rFonts w:ascii="Arial" w:hAnsi="Arial" w:cs="Arial"/>
          <w:szCs w:val="20"/>
        </w:rPr>
      </w:pPr>
      <w:r w:rsidRPr="008E78BC">
        <w:rPr>
          <w:rFonts w:ascii="Arial" w:hAnsi="Arial" w:cs="Arial"/>
          <w:szCs w:val="20"/>
        </w:rPr>
        <w:t xml:space="preserve">DoT recommends </w:t>
      </w:r>
      <w:r>
        <w:rPr>
          <w:rFonts w:ascii="Arial" w:hAnsi="Arial" w:cs="Arial"/>
          <w:szCs w:val="20"/>
        </w:rPr>
        <w:t xml:space="preserve">that the option to give the </w:t>
      </w:r>
      <w:r w:rsidRPr="008E78BC">
        <w:rPr>
          <w:rFonts w:ascii="Arial" w:hAnsi="Arial" w:cs="Arial"/>
          <w:color w:val="auto"/>
          <w:szCs w:val="20"/>
        </w:rPr>
        <w:t xml:space="preserve">Safety Director </w:t>
      </w:r>
      <w:r>
        <w:rPr>
          <w:rFonts w:ascii="Arial" w:hAnsi="Arial" w:cs="Arial"/>
          <w:color w:val="auto"/>
          <w:szCs w:val="20"/>
        </w:rPr>
        <w:t>power to</w:t>
      </w:r>
      <w:r w:rsidRPr="008E78BC">
        <w:rPr>
          <w:rFonts w:ascii="Arial" w:hAnsi="Arial" w:cs="Arial"/>
          <w:color w:val="auto"/>
          <w:szCs w:val="20"/>
        </w:rPr>
        <w:t xml:space="preserve"> require additional roadworthy inspections of an operator </w:t>
      </w:r>
      <w:r w:rsidRPr="008E78BC">
        <w:rPr>
          <w:rFonts w:ascii="Arial" w:hAnsi="Arial" w:cs="Arial"/>
          <w:szCs w:val="20"/>
        </w:rPr>
        <w:t xml:space="preserve">be adopted in the proposed regulations.  </w:t>
      </w:r>
    </w:p>
    <w:p w14:paraId="59F9129E" w14:textId="77777777" w:rsidR="00E628B3" w:rsidRDefault="00E628B3" w:rsidP="00E628B3">
      <w:pPr>
        <w:pStyle w:val="Heading3"/>
      </w:pPr>
      <w:bookmarkStart w:id="98" w:name="_Toc42262263"/>
      <w:bookmarkStart w:id="99" w:name="_Toc44436868"/>
      <w:bookmarkStart w:id="100" w:name="_Toc45548660"/>
      <w:bookmarkStart w:id="101" w:name="_Toc45704308"/>
      <w:r w:rsidRPr="008E78BC">
        <w:t>Safety of bus operations</w:t>
      </w:r>
      <w:bookmarkEnd w:id="98"/>
      <w:bookmarkEnd w:id="99"/>
      <w:bookmarkEnd w:id="100"/>
      <w:bookmarkEnd w:id="101"/>
    </w:p>
    <w:p w14:paraId="434C185B" w14:textId="77777777" w:rsidR="00E628B3" w:rsidRPr="008650B9" w:rsidRDefault="00E628B3" w:rsidP="0095677C">
      <w:pPr>
        <w:pStyle w:val="Heading4"/>
      </w:pPr>
      <w:bookmarkStart w:id="102" w:name="_Toc42262264"/>
      <w:r w:rsidRPr="008650B9">
        <w:t>Safety systems for bus operations</w:t>
      </w:r>
      <w:bookmarkEnd w:id="102"/>
      <w:r>
        <w:t xml:space="preserve"> (refer to Section 7.2.1 for further discussion)</w:t>
      </w:r>
    </w:p>
    <w:p w14:paraId="594F368B" w14:textId="2CE07BF3" w:rsidR="00E628B3" w:rsidRPr="008E78BC" w:rsidRDefault="00E628B3" w:rsidP="00E628B3">
      <w:pPr>
        <w:rPr>
          <w:rFonts w:ascii="Arial" w:hAnsi="Arial" w:cs="Arial"/>
          <w:szCs w:val="20"/>
        </w:rPr>
      </w:pPr>
      <w:r w:rsidRPr="008E78BC">
        <w:rPr>
          <w:rFonts w:ascii="Arial" w:hAnsi="Arial" w:cs="Arial"/>
          <w:szCs w:val="20"/>
        </w:rPr>
        <w:t>Documenting and following systems</w:t>
      </w:r>
      <w:r w:rsidR="000717C3">
        <w:rPr>
          <w:rFonts w:ascii="Arial" w:hAnsi="Arial" w:cs="Arial"/>
          <w:szCs w:val="20"/>
        </w:rPr>
        <w:t xml:space="preserve"> </w:t>
      </w:r>
      <w:r w:rsidR="006F5BE9">
        <w:rPr>
          <w:rFonts w:ascii="Arial" w:hAnsi="Arial" w:cs="Arial"/>
          <w:szCs w:val="20"/>
        </w:rPr>
        <w:t xml:space="preserve">for </w:t>
      </w:r>
      <w:r w:rsidR="007F13B1">
        <w:rPr>
          <w:rFonts w:ascii="Arial" w:hAnsi="Arial" w:cs="Arial"/>
          <w:szCs w:val="20"/>
        </w:rPr>
        <w:t xml:space="preserve">the </w:t>
      </w:r>
      <w:r w:rsidR="006F5BE9">
        <w:rPr>
          <w:rFonts w:ascii="Arial" w:hAnsi="Arial" w:cs="Arial"/>
          <w:szCs w:val="20"/>
        </w:rPr>
        <w:t>safe</w:t>
      </w:r>
      <w:r w:rsidR="00CA72FA">
        <w:rPr>
          <w:rFonts w:ascii="Arial" w:hAnsi="Arial" w:cs="Arial"/>
          <w:szCs w:val="20"/>
        </w:rPr>
        <w:t>ty of bus operation</w:t>
      </w:r>
      <w:r w:rsidRPr="008E78BC">
        <w:rPr>
          <w:rFonts w:ascii="Arial" w:hAnsi="Arial" w:cs="Arial"/>
          <w:szCs w:val="20"/>
        </w:rPr>
        <w:t xml:space="preserve"> is expected to lead to better risk management practices by bus operators. DoT estimates the compliance costs associated with the systems are approximately $</w:t>
      </w:r>
      <w:r>
        <w:rPr>
          <w:rFonts w:ascii="Arial" w:hAnsi="Arial" w:cs="Arial"/>
          <w:szCs w:val="20"/>
        </w:rPr>
        <w:t>5.14</w:t>
      </w:r>
      <w:r w:rsidRPr="008E78BC">
        <w:rPr>
          <w:rFonts w:ascii="Arial" w:hAnsi="Arial" w:cs="Arial"/>
          <w:szCs w:val="20"/>
        </w:rPr>
        <w:t xml:space="preserve"> million over the life of the regulations. DoT considers that these are reasonable costs in the context of improving bus safety and recommends that the regulations be made.</w:t>
      </w:r>
    </w:p>
    <w:p w14:paraId="4EEC6A61" w14:textId="77777777" w:rsidR="00E628B3" w:rsidRPr="008E78BC" w:rsidRDefault="00E628B3" w:rsidP="00E628B3">
      <w:pPr>
        <w:rPr>
          <w:rFonts w:ascii="Arial" w:hAnsi="Arial" w:cs="Arial"/>
          <w:szCs w:val="20"/>
        </w:rPr>
      </w:pPr>
      <w:r>
        <w:rPr>
          <w:rFonts w:ascii="Arial" w:hAnsi="Arial" w:cs="Arial"/>
          <w:szCs w:val="20"/>
        </w:rPr>
        <w:t>DoT has n</w:t>
      </w:r>
      <w:r w:rsidRPr="008E78BC">
        <w:rPr>
          <w:rFonts w:ascii="Arial" w:hAnsi="Arial" w:cs="Arial"/>
          <w:szCs w:val="20"/>
        </w:rPr>
        <w:t>ote</w:t>
      </w:r>
      <w:r>
        <w:rPr>
          <w:rFonts w:ascii="Arial" w:hAnsi="Arial" w:cs="Arial"/>
          <w:szCs w:val="20"/>
        </w:rPr>
        <w:t>d</w:t>
      </w:r>
      <w:r w:rsidRPr="008E78BC">
        <w:rPr>
          <w:rFonts w:ascii="Arial" w:hAnsi="Arial" w:cs="Arial"/>
          <w:szCs w:val="20"/>
        </w:rPr>
        <w:t xml:space="preserve"> that some of the costs estimated to implement systems to ensure the safety of bus operations could be attributed to the obligations under the Bus Safety Act, rather than wholly attributable to the proposed regulations. As such, the estimated compliance costs attributed to the regulations may be lower than the estimated $</w:t>
      </w:r>
      <w:r>
        <w:rPr>
          <w:rFonts w:ascii="Arial" w:hAnsi="Arial" w:cs="Arial"/>
          <w:szCs w:val="20"/>
        </w:rPr>
        <w:t>5.14</w:t>
      </w:r>
      <w:r w:rsidRPr="008E78BC">
        <w:rPr>
          <w:rFonts w:ascii="Arial" w:hAnsi="Arial" w:cs="Arial"/>
          <w:szCs w:val="20"/>
        </w:rPr>
        <w:t xml:space="preserve"> million over the life of the regulations. The extent to which costs may be attributable to the Bus Safety Act (in the absence of supporting regulations) are not able to the quantified, although DoT expects it to be substantial.</w:t>
      </w:r>
    </w:p>
    <w:p w14:paraId="5EB9FD0E" w14:textId="77777777" w:rsidR="00E628B3" w:rsidRPr="008E78BC" w:rsidRDefault="00E628B3" w:rsidP="0095677C">
      <w:pPr>
        <w:pStyle w:val="Heading4"/>
      </w:pPr>
      <w:bookmarkStart w:id="103" w:name="_Toc42262265"/>
      <w:r w:rsidRPr="008E78BC">
        <w:t>Maximum number of passengers</w:t>
      </w:r>
      <w:bookmarkEnd w:id="103"/>
      <w:r>
        <w:t xml:space="preserve"> (refer to Section 7.2.2 for further discussion)</w:t>
      </w:r>
    </w:p>
    <w:p w14:paraId="202DD88E" w14:textId="040E0664" w:rsidR="00E628B3" w:rsidRPr="008E78BC" w:rsidRDefault="00E628B3" w:rsidP="00E628B3">
      <w:pPr>
        <w:rPr>
          <w:rFonts w:ascii="Arial" w:hAnsi="Arial" w:cs="Arial"/>
          <w:szCs w:val="20"/>
        </w:rPr>
      </w:pPr>
      <w:r w:rsidRPr="008E78BC">
        <w:rPr>
          <w:rFonts w:ascii="Arial" w:hAnsi="Arial" w:cs="Arial"/>
          <w:szCs w:val="20"/>
        </w:rPr>
        <w:t xml:space="preserve">DoT recommends that the regulations continue to prescribe requirements for operators to determine the maximum carrying capacity of buses they operate and install signs </w:t>
      </w:r>
      <w:r w:rsidR="0088224D">
        <w:rPr>
          <w:rFonts w:ascii="Arial" w:hAnsi="Arial" w:cs="Arial"/>
          <w:szCs w:val="20"/>
        </w:rPr>
        <w:t xml:space="preserve">to advise of </w:t>
      </w:r>
      <w:r w:rsidRPr="008E78BC">
        <w:rPr>
          <w:rFonts w:ascii="Arial" w:hAnsi="Arial" w:cs="Arial"/>
          <w:szCs w:val="20"/>
        </w:rPr>
        <w:t xml:space="preserve">that capacity. This will provide better information to drivers. DoT estimates that the compliance costs of this regulation for </w:t>
      </w:r>
      <w:r>
        <w:rPr>
          <w:rFonts w:ascii="Arial" w:hAnsi="Arial" w:cs="Arial"/>
          <w:szCs w:val="20"/>
        </w:rPr>
        <w:t xml:space="preserve">new </w:t>
      </w:r>
      <w:r w:rsidRPr="008E78BC">
        <w:rPr>
          <w:rFonts w:ascii="Arial" w:hAnsi="Arial" w:cs="Arial"/>
          <w:szCs w:val="20"/>
        </w:rPr>
        <w:t>bus</w:t>
      </w:r>
      <w:r>
        <w:rPr>
          <w:rFonts w:ascii="Arial" w:hAnsi="Arial" w:cs="Arial"/>
          <w:szCs w:val="20"/>
        </w:rPr>
        <w:t>es</w:t>
      </w:r>
      <w:r w:rsidRPr="008E78BC">
        <w:rPr>
          <w:rFonts w:ascii="Arial" w:hAnsi="Arial" w:cs="Arial"/>
          <w:szCs w:val="20"/>
        </w:rPr>
        <w:t xml:space="preserve"> introduced into the fleet amount</w:t>
      </w:r>
      <w:r>
        <w:rPr>
          <w:rFonts w:ascii="Arial" w:hAnsi="Arial" w:cs="Arial"/>
          <w:szCs w:val="20"/>
        </w:rPr>
        <w:t>s</w:t>
      </w:r>
      <w:r w:rsidRPr="008E78BC">
        <w:rPr>
          <w:rFonts w:ascii="Arial" w:hAnsi="Arial" w:cs="Arial"/>
          <w:szCs w:val="20"/>
        </w:rPr>
        <w:t xml:space="preserve"> to $0.4</w:t>
      </w:r>
      <w:r>
        <w:rPr>
          <w:rFonts w:ascii="Arial" w:hAnsi="Arial" w:cs="Arial"/>
          <w:szCs w:val="20"/>
        </w:rPr>
        <w:t>4</w:t>
      </w:r>
      <w:r w:rsidRPr="008E78BC">
        <w:rPr>
          <w:rFonts w:ascii="Arial" w:hAnsi="Arial" w:cs="Arial"/>
          <w:szCs w:val="20"/>
        </w:rPr>
        <w:t xml:space="preserve"> million over the life of the regulations.</w:t>
      </w:r>
    </w:p>
    <w:p w14:paraId="19D98A98" w14:textId="77777777" w:rsidR="00E628B3" w:rsidRPr="008E78BC" w:rsidRDefault="00E628B3" w:rsidP="0095677C">
      <w:pPr>
        <w:pStyle w:val="Heading4"/>
      </w:pPr>
      <w:bookmarkStart w:id="104" w:name="_Toc42262266"/>
      <w:r w:rsidRPr="008E78BC">
        <w:t>Alcohol and other drugs</w:t>
      </w:r>
      <w:bookmarkEnd w:id="104"/>
      <w:r>
        <w:t xml:space="preserve"> (refer to Section 7.2.3 for further discussion)</w:t>
      </w:r>
    </w:p>
    <w:p w14:paraId="49A695E0" w14:textId="5C09E68C" w:rsidR="00E628B3" w:rsidRPr="008E78BC" w:rsidRDefault="00E628B3" w:rsidP="00E628B3">
      <w:pPr>
        <w:rPr>
          <w:rFonts w:ascii="Arial" w:hAnsi="Arial" w:cs="Arial"/>
          <w:szCs w:val="20"/>
        </w:rPr>
      </w:pPr>
      <w:r w:rsidRPr="008E78BC">
        <w:rPr>
          <w:rFonts w:ascii="Arial" w:hAnsi="Arial" w:cs="Arial"/>
          <w:szCs w:val="20"/>
        </w:rPr>
        <w:t>DoT recommends that the proposed regulations regulate the use of alcohol and drugs of drivers as this regulation will assist with compliance monitoring and enforcement by the regulator and Victoria Police.</w:t>
      </w:r>
      <w:r>
        <w:rPr>
          <w:rFonts w:ascii="Arial" w:hAnsi="Arial" w:cs="Arial"/>
          <w:szCs w:val="20"/>
        </w:rPr>
        <w:t xml:space="preserve"> </w:t>
      </w:r>
      <w:r w:rsidRPr="008E78BC">
        <w:rPr>
          <w:rFonts w:ascii="Arial" w:hAnsi="Arial" w:cs="Arial"/>
          <w:szCs w:val="20"/>
        </w:rPr>
        <w:t>DoT does not expect there to be significant compliance costs associated with the proposed regulatio</w:t>
      </w:r>
      <w:r>
        <w:rPr>
          <w:rFonts w:ascii="Arial" w:hAnsi="Arial" w:cs="Arial"/>
          <w:szCs w:val="20"/>
        </w:rPr>
        <w:t xml:space="preserve">n </w:t>
      </w:r>
      <w:r w:rsidRPr="00273BED">
        <w:rPr>
          <w:rFonts w:ascii="Arial" w:hAnsi="Arial" w:cs="Arial"/>
          <w:szCs w:val="20"/>
        </w:rPr>
        <w:t xml:space="preserve">beyond the status quo (i.e. above what is already required in relation to alcohol and other drugs under </w:t>
      </w:r>
      <w:r>
        <w:rPr>
          <w:rFonts w:ascii="Arial" w:hAnsi="Arial" w:cs="Arial"/>
          <w:szCs w:val="20"/>
        </w:rPr>
        <w:t>Road Safety Act and the Bus Safety Act</w:t>
      </w:r>
      <w:r w:rsidRPr="00273BED">
        <w:rPr>
          <w:rFonts w:ascii="Arial" w:hAnsi="Arial" w:cs="Arial"/>
          <w:szCs w:val="20"/>
        </w:rPr>
        <w:t>) are expected to be minimal</w:t>
      </w:r>
      <w:r>
        <w:rPr>
          <w:rFonts w:ascii="Arial" w:hAnsi="Arial" w:cs="Arial"/>
          <w:szCs w:val="20"/>
        </w:rPr>
        <w:t xml:space="preserve">. </w:t>
      </w:r>
    </w:p>
    <w:p w14:paraId="16D0961B" w14:textId="77777777" w:rsidR="00E628B3" w:rsidRPr="008E78BC" w:rsidRDefault="00E628B3" w:rsidP="0095677C">
      <w:pPr>
        <w:pStyle w:val="Heading4"/>
      </w:pPr>
      <w:bookmarkStart w:id="105" w:name="_Toc42262267"/>
      <w:r w:rsidRPr="008E78BC">
        <w:t>School buses</w:t>
      </w:r>
      <w:bookmarkEnd w:id="105"/>
      <w:r>
        <w:t xml:space="preserve"> (refer to Section 7.2.4 for further discussion)</w:t>
      </w:r>
    </w:p>
    <w:p w14:paraId="5B1B5A94" w14:textId="77777777" w:rsidR="00E628B3" w:rsidRDefault="00E628B3" w:rsidP="00E628B3">
      <w:pPr>
        <w:rPr>
          <w:rFonts w:ascii="Arial" w:hAnsi="Arial" w:cs="Arial"/>
          <w:szCs w:val="20"/>
        </w:rPr>
      </w:pPr>
      <w:r w:rsidRPr="008E78BC">
        <w:rPr>
          <w:rFonts w:ascii="Arial" w:hAnsi="Arial" w:cs="Arial"/>
          <w:szCs w:val="20"/>
        </w:rPr>
        <w:t xml:space="preserve">DoT expects that requiring specific lights and signs to be displayed on a bus when transporting children will reduce the incidence of crashes involving children around buses. </w:t>
      </w:r>
      <w:r>
        <w:rPr>
          <w:rFonts w:ascii="Arial" w:hAnsi="Arial" w:cs="Arial"/>
          <w:szCs w:val="20"/>
        </w:rPr>
        <w:t>The option to adopt the New South Wales’ (NSW) standards for</w:t>
      </w:r>
      <w:r w:rsidRPr="008E78BC">
        <w:rPr>
          <w:rFonts w:ascii="Arial" w:hAnsi="Arial" w:cs="Arial"/>
          <w:szCs w:val="20"/>
        </w:rPr>
        <w:t xml:space="preserve"> lights and signs</w:t>
      </w:r>
      <w:r>
        <w:rPr>
          <w:rFonts w:ascii="Arial" w:hAnsi="Arial" w:cs="Arial"/>
          <w:szCs w:val="20"/>
        </w:rPr>
        <w:t xml:space="preserve"> would place</w:t>
      </w:r>
      <w:r w:rsidRPr="008E78BC">
        <w:rPr>
          <w:rFonts w:ascii="Arial" w:hAnsi="Arial" w:cs="Arial"/>
          <w:szCs w:val="20"/>
        </w:rPr>
        <w:t xml:space="preserve"> an additional burden on operators in installing new lights and signs in the order of $0.26 million </w:t>
      </w:r>
      <w:r>
        <w:rPr>
          <w:rFonts w:ascii="Arial" w:hAnsi="Arial" w:cs="Arial"/>
          <w:szCs w:val="20"/>
        </w:rPr>
        <w:t xml:space="preserve">to $0.3 million </w:t>
      </w:r>
      <w:r w:rsidRPr="008E78BC">
        <w:rPr>
          <w:rFonts w:ascii="Arial" w:hAnsi="Arial" w:cs="Arial"/>
          <w:szCs w:val="20"/>
        </w:rPr>
        <w:t xml:space="preserve">over the life of the regulations. DoT does not have data to establish whether the NSW standard for lights and signs will achieve further reductions in fatalities or serious injuries involving children around buses </w:t>
      </w:r>
      <w:r>
        <w:rPr>
          <w:rFonts w:ascii="Arial" w:hAnsi="Arial" w:cs="Arial"/>
          <w:szCs w:val="20"/>
        </w:rPr>
        <w:t>compared to the current standards</w:t>
      </w:r>
      <w:r w:rsidRPr="008E78BC">
        <w:rPr>
          <w:rFonts w:ascii="Arial" w:hAnsi="Arial" w:cs="Arial"/>
          <w:szCs w:val="20"/>
        </w:rPr>
        <w:t xml:space="preserve">. </w:t>
      </w:r>
    </w:p>
    <w:p w14:paraId="436ED8A0" w14:textId="77777777" w:rsidR="00E628B3" w:rsidRPr="00082475" w:rsidRDefault="00E628B3" w:rsidP="00E628B3">
      <w:pPr>
        <w:pBdr>
          <w:top w:val="single" w:sz="4" w:space="1" w:color="auto"/>
          <w:left w:val="single" w:sz="4" w:space="4" w:color="auto"/>
          <w:bottom w:val="single" w:sz="4" w:space="1" w:color="auto"/>
          <w:right w:val="single" w:sz="4" w:space="4" w:color="auto"/>
        </w:pBdr>
        <w:shd w:val="clear" w:color="auto" w:fill="16A3A7"/>
        <w:rPr>
          <w:rFonts w:cstheme="minorHAnsi"/>
          <w:b/>
          <w:color w:val="FFFFFF" w:themeColor="background1"/>
          <w:sz w:val="22"/>
        </w:rPr>
      </w:pPr>
      <w:r w:rsidRPr="00082475">
        <w:rPr>
          <w:rFonts w:cstheme="minorHAnsi"/>
          <w:b/>
          <w:color w:val="FFFFFF" w:themeColor="background1"/>
          <w:sz w:val="22"/>
        </w:rPr>
        <w:t>Stakeholder question:</w:t>
      </w:r>
    </w:p>
    <w:p w14:paraId="0E794B71" w14:textId="77777777" w:rsidR="00E628B3" w:rsidRPr="00662C11" w:rsidRDefault="00E628B3" w:rsidP="00E628B3">
      <w:pPr>
        <w:pStyle w:val="ListParagraph"/>
        <w:numPr>
          <w:ilvl w:val="0"/>
          <w:numId w:val="43"/>
        </w:numPr>
        <w:pBdr>
          <w:top w:val="single" w:sz="4" w:space="1" w:color="auto"/>
          <w:left w:val="single" w:sz="4" w:space="4" w:color="auto"/>
          <w:bottom w:val="single" w:sz="4" w:space="1" w:color="auto"/>
          <w:right w:val="single" w:sz="4" w:space="4" w:color="auto"/>
        </w:pBdr>
        <w:shd w:val="clear" w:color="auto" w:fill="16A3A7"/>
        <w:spacing w:after="160" w:line="259" w:lineRule="auto"/>
        <w:ind w:left="426" w:hanging="426"/>
        <w:rPr>
          <w:rFonts w:asciiTheme="minorHAnsi" w:hAnsiTheme="minorHAnsi" w:cstheme="minorHAnsi"/>
          <w:color w:val="FFFFFF" w:themeColor="background1"/>
        </w:rPr>
      </w:pPr>
      <w:r>
        <w:rPr>
          <w:rFonts w:asciiTheme="minorHAnsi" w:hAnsiTheme="minorHAnsi" w:cstheme="minorHAnsi"/>
          <w:b/>
          <w:i/>
          <w:color w:val="FFFFFF" w:themeColor="background1"/>
          <w:sz w:val="22"/>
        </w:rPr>
        <w:t>Is there merit in adopting the NSW standard for school bus lights and signs in Victoria? Why or why not?</w:t>
      </w:r>
    </w:p>
    <w:p w14:paraId="5E4FF54E" w14:textId="77777777" w:rsidR="00E628B3" w:rsidRPr="00082475" w:rsidRDefault="00E628B3" w:rsidP="00E628B3">
      <w:pPr>
        <w:pStyle w:val="ListParagraph"/>
        <w:numPr>
          <w:ilvl w:val="0"/>
          <w:numId w:val="43"/>
        </w:numPr>
        <w:pBdr>
          <w:top w:val="single" w:sz="4" w:space="1" w:color="auto"/>
          <w:left w:val="single" w:sz="4" w:space="4" w:color="auto"/>
          <w:bottom w:val="single" w:sz="4" w:space="1" w:color="auto"/>
          <w:right w:val="single" w:sz="4" w:space="4" w:color="auto"/>
        </w:pBdr>
        <w:shd w:val="clear" w:color="auto" w:fill="16A3A7"/>
        <w:spacing w:after="160" w:line="259" w:lineRule="auto"/>
        <w:ind w:left="426" w:hanging="426"/>
        <w:rPr>
          <w:rFonts w:asciiTheme="minorHAnsi" w:hAnsiTheme="minorHAnsi" w:cstheme="minorHAnsi"/>
          <w:color w:val="FFFFFF" w:themeColor="background1"/>
        </w:rPr>
      </w:pPr>
      <w:r>
        <w:rPr>
          <w:rFonts w:asciiTheme="minorHAnsi" w:hAnsiTheme="minorHAnsi" w:cstheme="minorHAnsi"/>
          <w:b/>
          <w:i/>
          <w:color w:val="FFFFFF" w:themeColor="background1"/>
          <w:sz w:val="22"/>
        </w:rPr>
        <w:t>Would you support adopting the NSW standard for school bus lights and signs on Victorian buses?</w:t>
      </w:r>
    </w:p>
    <w:p w14:paraId="3C82A793" w14:textId="77777777" w:rsidR="00E628B3" w:rsidRPr="008E78BC" w:rsidRDefault="00E628B3" w:rsidP="00E628B3">
      <w:pPr>
        <w:rPr>
          <w:rFonts w:ascii="Arial" w:hAnsi="Arial" w:cs="Arial"/>
          <w:szCs w:val="20"/>
        </w:rPr>
      </w:pPr>
      <w:r w:rsidRPr="008E78BC">
        <w:rPr>
          <w:rFonts w:ascii="Arial" w:hAnsi="Arial" w:cs="Arial"/>
          <w:szCs w:val="20"/>
        </w:rPr>
        <w:t xml:space="preserve">DoT notes that </w:t>
      </w:r>
      <w:r>
        <w:rPr>
          <w:rFonts w:ascii="Arial" w:hAnsi="Arial" w:cs="Arial"/>
          <w:szCs w:val="20"/>
        </w:rPr>
        <w:t xml:space="preserve">continuing the current standards </w:t>
      </w:r>
      <w:r w:rsidRPr="008E78BC">
        <w:rPr>
          <w:rFonts w:ascii="Arial" w:hAnsi="Arial" w:cs="Arial"/>
          <w:szCs w:val="20"/>
        </w:rPr>
        <w:t>imposes relatively less compliance burden on existing operators.</w:t>
      </w:r>
      <w:r>
        <w:rPr>
          <w:rFonts w:ascii="Arial" w:hAnsi="Arial" w:cs="Arial"/>
          <w:szCs w:val="20"/>
        </w:rPr>
        <w:t xml:space="preserve"> </w:t>
      </w:r>
      <w:r w:rsidRPr="008E78BC">
        <w:rPr>
          <w:rFonts w:ascii="Arial" w:hAnsi="Arial" w:cs="Arial"/>
          <w:szCs w:val="20"/>
        </w:rPr>
        <w:t>DoT recommends continu</w:t>
      </w:r>
      <w:r>
        <w:rPr>
          <w:rFonts w:ascii="Arial" w:hAnsi="Arial" w:cs="Arial"/>
          <w:szCs w:val="20"/>
        </w:rPr>
        <w:t>ing</w:t>
      </w:r>
      <w:r w:rsidRPr="008E78BC">
        <w:rPr>
          <w:rFonts w:ascii="Arial" w:hAnsi="Arial" w:cs="Arial"/>
          <w:szCs w:val="20"/>
        </w:rPr>
        <w:t xml:space="preserve"> with the current standard for lights and signs for school buses.</w:t>
      </w:r>
    </w:p>
    <w:p w14:paraId="7B637E00" w14:textId="77777777" w:rsidR="00E628B3" w:rsidRPr="008E78BC" w:rsidRDefault="00E628B3" w:rsidP="00E628B3">
      <w:pPr>
        <w:pStyle w:val="Heading3"/>
      </w:pPr>
      <w:bookmarkStart w:id="106" w:name="_Toc42262268"/>
      <w:bookmarkStart w:id="107" w:name="_Toc44436869"/>
      <w:bookmarkStart w:id="108" w:name="_Toc45548661"/>
      <w:bookmarkStart w:id="109" w:name="_Toc45704309"/>
      <w:r w:rsidRPr="008E78BC">
        <w:lastRenderedPageBreak/>
        <w:t>Notifiable incidents</w:t>
      </w:r>
      <w:bookmarkEnd w:id="106"/>
      <w:r>
        <w:t xml:space="preserve"> (refer to Section 7.3 for further discussion)</w:t>
      </w:r>
      <w:bookmarkEnd w:id="107"/>
      <w:bookmarkEnd w:id="108"/>
      <w:bookmarkEnd w:id="109"/>
    </w:p>
    <w:p w14:paraId="32E5D0C5" w14:textId="77777777" w:rsidR="00E628B3" w:rsidRPr="008E78BC" w:rsidRDefault="00E628B3" w:rsidP="00E628B3">
      <w:pPr>
        <w:rPr>
          <w:rFonts w:ascii="Arial" w:hAnsi="Arial" w:cs="Arial"/>
          <w:szCs w:val="20"/>
        </w:rPr>
      </w:pPr>
      <w:r w:rsidRPr="008E78BC">
        <w:rPr>
          <w:rFonts w:ascii="Arial" w:hAnsi="Arial" w:cs="Arial"/>
          <w:szCs w:val="20"/>
        </w:rPr>
        <w:t>Incident notifications are intended to improve the level of information available to the regulator in order for it to undertake its functions. DoT estimates that the compliance costs associated with incident reporting is in the range of $0.06</w:t>
      </w:r>
      <w:r>
        <w:rPr>
          <w:rFonts w:ascii="Arial" w:hAnsi="Arial" w:cs="Arial"/>
          <w:szCs w:val="20"/>
        </w:rPr>
        <w:t>5</w:t>
      </w:r>
      <w:r w:rsidRPr="008E78BC">
        <w:rPr>
          <w:rFonts w:ascii="Arial" w:hAnsi="Arial" w:cs="Arial"/>
          <w:szCs w:val="20"/>
        </w:rPr>
        <w:t xml:space="preserve"> million to $0.1</w:t>
      </w:r>
      <w:r>
        <w:rPr>
          <w:rFonts w:ascii="Arial" w:hAnsi="Arial" w:cs="Arial"/>
          <w:szCs w:val="20"/>
        </w:rPr>
        <w:t>3</w:t>
      </w:r>
      <w:r w:rsidRPr="008E78BC">
        <w:rPr>
          <w:rFonts w:ascii="Arial" w:hAnsi="Arial" w:cs="Arial"/>
          <w:szCs w:val="20"/>
        </w:rPr>
        <w:t xml:space="preserve"> million</w:t>
      </w:r>
      <w:r>
        <w:rPr>
          <w:rFonts w:ascii="Arial" w:hAnsi="Arial" w:cs="Arial"/>
          <w:szCs w:val="20"/>
        </w:rPr>
        <w:t xml:space="preserve"> over the life of the regulations</w:t>
      </w:r>
      <w:r w:rsidRPr="008E78BC">
        <w:rPr>
          <w:rFonts w:ascii="Arial" w:hAnsi="Arial" w:cs="Arial"/>
          <w:szCs w:val="20"/>
        </w:rPr>
        <w:t>. Since the compliance costs are relatively low, DoT is recommending that the proposed regulations be made.</w:t>
      </w:r>
    </w:p>
    <w:p w14:paraId="3586D854" w14:textId="77777777" w:rsidR="00E628B3" w:rsidRPr="008E78BC" w:rsidRDefault="00E628B3" w:rsidP="00E628B3">
      <w:pPr>
        <w:pStyle w:val="Heading3"/>
      </w:pPr>
      <w:bookmarkStart w:id="110" w:name="_Toc42262269"/>
      <w:bookmarkStart w:id="111" w:name="_Toc44436870"/>
      <w:bookmarkStart w:id="112" w:name="_Toc45548662"/>
      <w:bookmarkStart w:id="113" w:name="_Toc45704310"/>
      <w:r w:rsidRPr="008E78BC">
        <w:t>Bus incident investigation</w:t>
      </w:r>
      <w:bookmarkEnd w:id="110"/>
      <w:r>
        <w:t xml:space="preserve"> (refer to Section 7.4 for further discussion)</w:t>
      </w:r>
      <w:bookmarkEnd w:id="111"/>
      <w:bookmarkEnd w:id="112"/>
      <w:bookmarkEnd w:id="113"/>
    </w:p>
    <w:p w14:paraId="1125E24A" w14:textId="0FE7BAF5" w:rsidR="00E628B3" w:rsidRPr="008E78BC" w:rsidRDefault="00E628B3" w:rsidP="00E628B3">
      <w:pPr>
        <w:rPr>
          <w:rFonts w:ascii="Arial" w:hAnsi="Arial" w:cs="Arial"/>
          <w:szCs w:val="20"/>
        </w:rPr>
      </w:pPr>
      <w:r w:rsidRPr="008E78BC">
        <w:rPr>
          <w:rFonts w:ascii="Arial" w:hAnsi="Arial" w:cs="Arial"/>
          <w:szCs w:val="20"/>
        </w:rPr>
        <w:t>DoT notes that it is difficult to appropriately quantify the costs associated with this regulation, despite the availability of information relating to the number and type of investigations that may occur during any given year. TSV has advised that investigations are not overly onerous, particularly for registered operators. It should also be noted that a bus safety investigation acts as a means to address potential safety issues and minimise safety risk in the operations of bus services. Therefore, DoT considers the burden imposed cannot be absolutely attributed to the regulations alone – investigations inform a considerable part of the general bus safety duties under the Bus Safety Act in ensuring that bus services are safe.</w:t>
      </w:r>
      <w:r>
        <w:rPr>
          <w:rFonts w:ascii="Arial" w:hAnsi="Arial" w:cs="Arial"/>
          <w:szCs w:val="20"/>
        </w:rPr>
        <w:t xml:space="preserve"> </w:t>
      </w:r>
      <w:r w:rsidRPr="008E78BC">
        <w:rPr>
          <w:rFonts w:ascii="Arial" w:hAnsi="Arial" w:cs="Arial"/>
          <w:szCs w:val="20"/>
        </w:rPr>
        <w:t xml:space="preserve">Notwithstanding the uncertainty as to the compliance costs attributable to the regulations, DoT is recommending that the </w:t>
      </w:r>
      <w:r w:rsidR="0047364B">
        <w:rPr>
          <w:rFonts w:ascii="Arial" w:hAnsi="Arial" w:cs="Arial"/>
          <w:szCs w:val="20"/>
        </w:rPr>
        <w:t xml:space="preserve">proposed </w:t>
      </w:r>
      <w:r w:rsidRPr="008E78BC">
        <w:rPr>
          <w:rFonts w:ascii="Arial" w:hAnsi="Arial" w:cs="Arial"/>
          <w:szCs w:val="20"/>
        </w:rPr>
        <w:t>regulations be made.</w:t>
      </w:r>
    </w:p>
    <w:p w14:paraId="7566E734" w14:textId="77777777" w:rsidR="00E628B3" w:rsidRPr="008E78BC" w:rsidRDefault="00E628B3" w:rsidP="00E628B3">
      <w:pPr>
        <w:pStyle w:val="Heading3"/>
        <w:ind w:left="0" w:firstLine="0"/>
      </w:pPr>
      <w:bookmarkStart w:id="114" w:name="_Toc42262270"/>
      <w:bookmarkStart w:id="115" w:name="_Toc44436871"/>
      <w:bookmarkStart w:id="116" w:name="_Toc45548663"/>
      <w:bookmarkStart w:id="117" w:name="_Toc45704311"/>
      <w:r w:rsidRPr="008E78BC">
        <w:t>Requirements for accreditation and registration</w:t>
      </w:r>
      <w:bookmarkEnd w:id="114"/>
      <w:r>
        <w:t xml:space="preserve"> (refer to Section 7.5 for further discussion)</w:t>
      </w:r>
      <w:bookmarkEnd w:id="115"/>
      <w:bookmarkEnd w:id="116"/>
      <w:bookmarkEnd w:id="117"/>
    </w:p>
    <w:p w14:paraId="07C0AA2F" w14:textId="2917D903" w:rsidR="00E628B3" w:rsidRPr="008E78BC" w:rsidRDefault="00E628B3" w:rsidP="00E628B3">
      <w:pPr>
        <w:rPr>
          <w:rFonts w:ascii="Arial" w:hAnsi="Arial" w:cs="Arial"/>
          <w:szCs w:val="20"/>
        </w:rPr>
      </w:pPr>
      <w:r w:rsidRPr="008E78BC">
        <w:rPr>
          <w:rFonts w:ascii="Arial" w:hAnsi="Arial" w:cs="Arial"/>
          <w:szCs w:val="20"/>
        </w:rPr>
        <w:t xml:space="preserve">Regulations are needed to prescribe what must be included in applications for both accreditation and registration. DoT estimates that the compliance costs of collecting this information totals $0.3 million over the life of the regulations. Since this information is need by the Safety Director in order to </w:t>
      </w:r>
      <w:r>
        <w:rPr>
          <w:rFonts w:ascii="Arial" w:hAnsi="Arial" w:cs="Arial"/>
          <w:szCs w:val="20"/>
        </w:rPr>
        <w:t>make a decision</w:t>
      </w:r>
      <w:r w:rsidRPr="008E78BC">
        <w:rPr>
          <w:rFonts w:ascii="Arial" w:hAnsi="Arial" w:cs="Arial"/>
          <w:szCs w:val="20"/>
        </w:rPr>
        <w:t xml:space="preserve"> on applications, DoT is recommending </w:t>
      </w:r>
      <w:r w:rsidR="00077770">
        <w:rPr>
          <w:rFonts w:ascii="Arial" w:hAnsi="Arial" w:cs="Arial"/>
          <w:szCs w:val="20"/>
        </w:rPr>
        <w:t xml:space="preserve">that </w:t>
      </w:r>
      <w:r w:rsidRPr="008E78BC">
        <w:rPr>
          <w:rFonts w:ascii="Arial" w:hAnsi="Arial" w:cs="Arial"/>
          <w:szCs w:val="20"/>
        </w:rPr>
        <w:t xml:space="preserve">the </w:t>
      </w:r>
      <w:r w:rsidR="0047364B">
        <w:rPr>
          <w:rFonts w:ascii="Arial" w:hAnsi="Arial" w:cs="Arial"/>
          <w:szCs w:val="20"/>
        </w:rPr>
        <w:t xml:space="preserve">proposed </w:t>
      </w:r>
      <w:r w:rsidRPr="008E78BC">
        <w:rPr>
          <w:rFonts w:ascii="Arial" w:hAnsi="Arial" w:cs="Arial"/>
          <w:szCs w:val="20"/>
        </w:rPr>
        <w:t>regulations</w:t>
      </w:r>
      <w:r w:rsidR="00077770">
        <w:rPr>
          <w:rFonts w:ascii="Arial" w:hAnsi="Arial" w:cs="Arial"/>
          <w:szCs w:val="20"/>
        </w:rPr>
        <w:t xml:space="preserve"> be made</w:t>
      </w:r>
      <w:r w:rsidRPr="008E78BC">
        <w:rPr>
          <w:rFonts w:ascii="Arial" w:hAnsi="Arial" w:cs="Arial"/>
          <w:szCs w:val="20"/>
        </w:rPr>
        <w:t>.</w:t>
      </w:r>
    </w:p>
    <w:p w14:paraId="054D7CF5" w14:textId="77777777" w:rsidR="00E628B3" w:rsidRPr="008E78BC" w:rsidRDefault="00E628B3" w:rsidP="00E628B3">
      <w:pPr>
        <w:pStyle w:val="Heading3"/>
      </w:pPr>
      <w:bookmarkStart w:id="118" w:name="_Toc42262271"/>
      <w:bookmarkStart w:id="119" w:name="_Toc44436872"/>
      <w:bookmarkStart w:id="120" w:name="_Toc45548664"/>
      <w:bookmarkStart w:id="121" w:name="_Toc45704312"/>
      <w:r w:rsidRPr="008E78BC">
        <w:t>Identification</w:t>
      </w:r>
      <w:bookmarkEnd w:id="118"/>
      <w:r>
        <w:t xml:space="preserve"> (refer to Section 7.6 for further discussion)</w:t>
      </w:r>
      <w:bookmarkEnd w:id="119"/>
      <w:bookmarkEnd w:id="120"/>
      <w:bookmarkEnd w:id="121"/>
    </w:p>
    <w:p w14:paraId="08BF791B" w14:textId="77777777" w:rsidR="00E628B3" w:rsidRPr="00C02B5A" w:rsidRDefault="00E628B3" w:rsidP="00E628B3">
      <w:pPr>
        <w:rPr>
          <w:rFonts w:ascii="Arial" w:hAnsi="Arial" w:cs="Arial"/>
          <w:szCs w:val="20"/>
        </w:rPr>
      </w:pPr>
      <w:r w:rsidRPr="008E78BC">
        <w:rPr>
          <w:rFonts w:ascii="Arial" w:hAnsi="Arial" w:cs="Arial"/>
          <w:szCs w:val="20"/>
        </w:rPr>
        <w:t>DoT is recommending that all bus operators be required to display a sign identifying the operator of the bus while the bus is in service.</w:t>
      </w:r>
      <w:r w:rsidRPr="00C02B5A">
        <w:rPr>
          <w:rFonts w:ascii="Arial" w:hAnsi="Arial" w:cs="Arial"/>
          <w:szCs w:val="20"/>
        </w:rPr>
        <w:t xml:space="preserve"> The </w:t>
      </w:r>
      <w:r>
        <w:rPr>
          <w:rFonts w:ascii="Arial" w:hAnsi="Arial" w:cs="Arial"/>
          <w:szCs w:val="20"/>
        </w:rPr>
        <w:t>costs o</w:t>
      </w:r>
      <w:r w:rsidRPr="00C02B5A">
        <w:rPr>
          <w:rFonts w:ascii="Arial" w:hAnsi="Arial" w:cs="Arial"/>
          <w:szCs w:val="20"/>
        </w:rPr>
        <w:t>f the proposed regulations relating to identification</w:t>
      </w:r>
      <w:r>
        <w:rPr>
          <w:rFonts w:ascii="Arial" w:hAnsi="Arial" w:cs="Arial"/>
          <w:szCs w:val="20"/>
        </w:rPr>
        <w:t xml:space="preserve"> </w:t>
      </w:r>
      <w:r w:rsidRPr="00C02B5A">
        <w:rPr>
          <w:rFonts w:ascii="Arial" w:hAnsi="Arial" w:cs="Arial"/>
          <w:szCs w:val="20"/>
        </w:rPr>
        <w:t>is estimated to be approximately $0.74 million</w:t>
      </w:r>
      <w:r>
        <w:rPr>
          <w:rFonts w:ascii="Arial" w:hAnsi="Arial" w:cs="Arial"/>
          <w:szCs w:val="20"/>
        </w:rPr>
        <w:t xml:space="preserve"> over the life of the regulations</w:t>
      </w:r>
      <w:r w:rsidRPr="00C02B5A">
        <w:rPr>
          <w:rFonts w:ascii="Arial" w:hAnsi="Arial" w:cs="Arial"/>
          <w:szCs w:val="20"/>
        </w:rPr>
        <w:t xml:space="preserve">. </w:t>
      </w:r>
      <w:r w:rsidRPr="008E78BC">
        <w:rPr>
          <w:rFonts w:ascii="Arial" w:hAnsi="Arial" w:cs="Arial"/>
          <w:szCs w:val="20"/>
        </w:rPr>
        <w:t>DoT expects that the benefits, which will improve enforcement efficiency, outweighs the costs of implementing the regulatory requirement.</w:t>
      </w:r>
      <w:r>
        <w:rPr>
          <w:rFonts w:ascii="Arial" w:hAnsi="Arial" w:cs="Arial"/>
          <w:szCs w:val="20"/>
        </w:rPr>
        <w:t xml:space="preserve"> </w:t>
      </w:r>
    </w:p>
    <w:p w14:paraId="3495B9D4" w14:textId="77777777" w:rsidR="00E628B3" w:rsidRDefault="00E628B3" w:rsidP="00E628B3">
      <w:pPr>
        <w:rPr>
          <w:rFonts w:ascii="Arial" w:hAnsi="Arial" w:cs="Arial"/>
          <w:szCs w:val="20"/>
        </w:rPr>
      </w:pPr>
      <w:r w:rsidRPr="008E78BC">
        <w:rPr>
          <w:rFonts w:ascii="Arial" w:hAnsi="Arial" w:cs="Arial"/>
          <w:szCs w:val="20"/>
        </w:rPr>
        <w:t xml:space="preserve">In the case of bus specific number plates, DoT notes that if there is identifying information displayed on the vehicle, then bus specific number plates are unlikely to further assist TSV officers in compliance monitoring and enforcement. DoT recognises that there may be some benefit to the community in the form of increased public confidence in the safety of bus services provided in Victoria. DoT has not included this requirement in the draft regulations for consultation. However, DoT seeks the community’s views on the merits of requiring number plates to be displayed. </w:t>
      </w:r>
    </w:p>
    <w:p w14:paraId="6F06DC9E" w14:textId="77777777" w:rsidR="00E628B3" w:rsidRDefault="00E628B3" w:rsidP="00E628B3">
      <w:pPr>
        <w:pBdr>
          <w:top w:val="single" w:sz="4" w:space="1" w:color="auto"/>
          <w:left w:val="single" w:sz="4" w:space="4" w:color="auto"/>
          <w:bottom w:val="single" w:sz="4" w:space="1" w:color="auto"/>
          <w:right w:val="single" w:sz="4" w:space="4" w:color="auto"/>
        </w:pBdr>
        <w:shd w:val="clear" w:color="auto" w:fill="16A3A7"/>
        <w:rPr>
          <w:rFonts w:cstheme="minorHAnsi"/>
          <w:b/>
          <w:color w:val="FFFFFF" w:themeColor="background1"/>
          <w:sz w:val="22"/>
        </w:rPr>
      </w:pPr>
      <w:r w:rsidRPr="00082475">
        <w:rPr>
          <w:rFonts w:cstheme="minorHAnsi"/>
          <w:b/>
          <w:color w:val="FFFFFF" w:themeColor="background1"/>
          <w:sz w:val="22"/>
        </w:rPr>
        <w:t>Stakeholder question:</w:t>
      </w:r>
    </w:p>
    <w:p w14:paraId="754A9B19" w14:textId="77777777" w:rsidR="00E628B3" w:rsidRPr="00662C11" w:rsidRDefault="00E628B3" w:rsidP="00E628B3">
      <w:pPr>
        <w:pStyle w:val="ListParagraph"/>
        <w:numPr>
          <w:ilvl w:val="0"/>
          <w:numId w:val="43"/>
        </w:numPr>
        <w:pBdr>
          <w:top w:val="single" w:sz="4" w:space="1" w:color="auto"/>
          <w:left w:val="single" w:sz="4" w:space="4" w:color="auto"/>
          <w:bottom w:val="single" w:sz="4" w:space="1" w:color="auto"/>
          <w:right w:val="single" w:sz="4" w:space="4" w:color="auto"/>
        </w:pBdr>
        <w:shd w:val="clear" w:color="auto" w:fill="16A3A7"/>
        <w:spacing w:after="160" w:line="259" w:lineRule="auto"/>
        <w:ind w:left="426" w:hanging="426"/>
        <w:rPr>
          <w:rFonts w:asciiTheme="minorHAnsi" w:hAnsiTheme="minorHAnsi" w:cstheme="minorHAnsi"/>
          <w:b/>
          <w:i/>
          <w:color w:val="FFFFFF" w:themeColor="background1"/>
          <w:sz w:val="22"/>
        </w:rPr>
      </w:pPr>
      <w:r w:rsidRPr="00662C11">
        <w:rPr>
          <w:rFonts w:asciiTheme="minorHAnsi" w:hAnsiTheme="minorHAnsi" w:cstheme="minorHAnsi"/>
          <w:b/>
          <w:i/>
          <w:color w:val="FFFFFF" w:themeColor="background1"/>
          <w:sz w:val="22"/>
        </w:rPr>
        <w:t xml:space="preserve">Do you support </w:t>
      </w:r>
      <w:r>
        <w:rPr>
          <w:rFonts w:asciiTheme="minorHAnsi" w:hAnsiTheme="minorHAnsi" w:cstheme="minorHAnsi"/>
          <w:b/>
          <w:i/>
          <w:color w:val="FFFFFF" w:themeColor="background1"/>
          <w:sz w:val="22"/>
        </w:rPr>
        <w:t>the removal of the requirement to display specific accredited bus number plates? Why or why not?</w:t>
      </w:r>
    </w:p>
    <w:p w14:paraId="4A2CF81B" w14:textId="77777777" w:rsidR="00E628B3" w:rsidRPr="008E78BC" w:rsidRDefault="00E628B3" w:rsidP="00E628B3">
      <w:pPr>
        <w:pStyle w:val="Heading3"/>
      </w:pPr>
      <w:bookmarkStart w:id="122" w:name="_Toc42262272"/>
      <w:bookmarkStart w:id="123" w:name="_Toc44436873"/>
      <w:bookmarkStart w:id="124" w:name="_Toc45548665"/>
      <w:bookmarkStart w:id="125" w:name="_Toc45704313"/>
      <w:r w:rsidRPr="008E78BC">
        <w:t>Records</w:t>
      </w:r>
      <w:bookmarkEnd w:id="122"/>
      <w:r>
        <w:t xml:space="preserve"> (refer to Section 7.7 for further discussion)</w:t>
      </w:r>
      <w:bookmarkEnd w:id="123"/>
      <w:bookmarkEnd w:id="124"/>
      <w:bookmarkEnd w:id="125"/>
    </w:p>
    <w:p w14:paraId="3A36FE8C" w14:textId="77777777" w:rsidR="00E628B3" w:rsidRPr="008E78BC" w:rsidRDefault="00E628B3" w:rsidP="00E628B3">
      <w:pPr>
        <w:rPr>
          <w:rFonts w:ascii="Arial" w:hAnsi="Arial" w:cs="Arial"/>
          <w:szCs w:val="20"/>
        </w:rPr>
      </w:pPr>
      <w:r>
        <w:rPr>
          <w:rFonts w:ascii="Arial" w:hAnsi="Arial" w:cs="Arial"/>
          <w:szCs w:val="20"/>
        </w:rPr>
        <w:t xml:space="preserve">DoT recommends that </w:t>
      </w:r>
      <w:r w:rsidRPr="008E78BC">
        <w:rPr>
          <w:rFonts w:ascii="Arial" w:hAnsi="Arial" w:cs="Arial"/>
          <w:szCs w:val="20"/>
        </w:rPr>
        <w:t xml:space="preserve">accredited bus operators be required to keep the full set of records and registered bus operators be required to keep a limited set of records. </w:t>
      </w:r>
      <w:r>
        <w:rPr>
          <w:rFonts w:ascii="Arial" w:hAnsi="Arial" w:cs="Arial"/>
          <w:szCs w:val="20"/>
        </w:rPr>
        <w:t>This will impose a 10-year cost of $4.5 million to accredited operators and $2.0 million to $4.1 million to registered operators. This</w:t>
      </w:r>
      <w:r w:rsidRPr="008E78BC">
        <w:rPr>
          <w:rFonts w:ascii="Arial" w:hAnsi="Arial" w:cs="Arial"/>
          <w:szCs w:val="20"/>
        </w:rPr>
        <w:t xml:space="preserve"> </w:t>
      </w:r>
      <w:r>
        <w:rPr>
          <w:rFonts w:ascii="Arial" w:hAnsi="Arial" w:cs="Arial"/>
          <w:szCs w:val="20"/>
        </w:rPr>
        <w:t xml:space="preserve">achieves </w:t>
      </w:r>
      <w:r w:rsidRPr="008E78BC">
        <w:rPr>
          <w:rFonts w:ascii="Arial" w:hAnsi="Arial" w:cs="Arial"/>
          <w:szCs w:val="20"/>
        </w:rPr>
        <w:t>objectives of improved compliance outcomes and minimises compliance costs on the industry.</w:t>
      </w:r>
    </w:p>
    <w:p w14:paraId="6AD0196C" w14:textId="77777777" w:rsidR="00E628B3" w:rsidRPr="008E78BC" w:rsidRDefault="00E628B3" w:rsidP="00E628B3">
      <w:pPr>
        <w:pStyle w:val="Heading3"/>
      </w:pPr>
      <w:bookmarkStart w:id="126" w:name="_Toc42262273"/>
      <w:bookmarkStart w:id="127" w:name="_Toc44436874"/>
      <w:bookmarkStart w:id="128" w:name="_Toc45548666"/>
      <w:bookmarkStart w:id="129" w:name="_Toc45704314"/>
      <w:r w:rsidRPr="008E78BC">
        <w:lastRenderedPageBreak/>
        <w:t>Exemptions</w:t>
      </w:r>
      <w:bookmarkEnd w:id="126"/>
      <w:r>
        <w:t xml:space="preserve"> (refer to Section 7.8 for further discussion)</w:t>
      </w:r>
      <w:bookmarkEnd w:id="127"/>
      <w:bookmarkEnd w:id="128"/>
      <w:bookmarkEnd w:id="129"/>
    </w:p>
    <w:p w14:paraId="4C6C38E6" w14:textId="49E599D4" w:rsidR="00E628B3" w:rsidRDefault="00E628B3" w:rsidP="00E628B3">
      <w:pPr>
        <w:rPr>
          <w:rFonts w:ascii="Arial" w:hAnsi="Arial" w:cs="Arial"/>
          <w:szCs w:val="20"/>
        </w:rPr>
      </w:pPr>
      <w:r w:rsidRPr="008E78BC">
        <w:rPr>
          <w:rFonts w:ascii="Arial" w:hAnsi="Arial" w:cs="Arial"/>
          <w:color w:val="auto"/>
          <w:szCs w:val="20"/>
        </w:rPr>
        <w:t>Overall, operators will assess the merits of the exemption when considering applying for an exemption. In cases where the reduction in compliance costs outweighs the regulatory burden of making an application, a bus operator has an incentive to apply for an exemption. Otherwise, the operator will continue to be subject to the usual requirements under the Bus Safety Act and the regulations. Given th</w:t>
      </w:r>
      <w:r w:rsidR="000C23C9">
        <w:rPr>
          <w:rFonts w:ascii="Arial" w:hAnsi="Arial" w:cs="Arial"/>
          <w:color w:val="auto"/>
          <w:szCs w:val="20"/>
        </w:rPr>
        <w:t>is represents</w:t>
      </w:r>
      <w:r w:rsidRPr="008E78BC">
        <w:rPr>
          <w:rFonts w:ascii="Arial" w:hAnsi="Arial" w:cs="Arial"/>
          <w:color w:val="auto"/>
          <w:szCs w:val="20"/>
        </w:rPr>
        <w:t xml:space="preserve"> a reduction in regulatory burden</w:t>
      </w:r>
      <w:r w:rsidR="000C23C9">
        <w:rPr>
          <w:rFonts w:ascii="Arial" w:hAnsi="Arial" w:cs="Arial"/>
          <w:color w:val="auto"/>
          <w:szCs w:val="20"/>
        </w:rPr>
        <w:t xml:space="preserve"> and no decrease in safety,</w:t>
      </w:r>
      <w:r w:rsidRPr="008E78BC">
        <w:rPr>
          <w:rFonts w:ascii="Arial" w:hAnsi="Arial" w:cs="Arial"/>
          <w:color w:val="auto"/>
          <w:szCs w:val="20"/>
        </w:rPr>
        <w:t xml:space="preserve"> DoT considers there will be a net benefit to the industry associated with having exemptions requirements in regulations</w:t>
      </w:r>
      <w:r w:rsidRPr="008E78BC">
        <w:rPr>
          <w:rFonts w:ascii="Arial" w:hAnsi="Arial" w:cs="Arial"/>
          <w:szCs w:val="20"/>
        </w:rPr>
        <w:t xml:space="preserve">. </w:t>
      </w:r>
    </w:p>
    <w:p w14:paraId="6ECFA259" w14:textId="77777777" w:rsidR="00E628B3" w:rsidRPr="008E78BC" w:rsidRDefault="00E628B3" w:rsidP="00E628B3">
      <w:pPr>
        <w:pStyle w:val="Heading3"/>
      </w:pPr>
      <w:bookmarkStart w:id="130" w:name="_Toc44436875"/>
      <w:bookmarkStart w:id="131" w:name="_Toc45548667"/>
      <w:bookmarkStart w:id="132" w:name="_Toc45704315"/>
      <w:r>
        <w:t>Fee</w:t>
      </w:r>
      <w:r w:rsidRPr="008E78BC">
        <w:t>s</w:t>
      </w:r>
      <w:r>
        <w:t xml:space="preserve"> (refer to Section 7.9 for further discussion)</w:t>
      </w:r>
      <w:bookmarkEnd w:id="130"/>
      <w:bookmarkEnd w:id="131"/>
      <w:bookmarkEnd w:id="132"/>
    </w:p>
    <w:p w14:paraId="2E942585" w14:textId="430A2FAC" w:rsidR="00E628B3" w:rsidRPr="008E78BC" w:rsidRDefault="00E628B3" w:rsidP="00E628B3">
      <w:pPr>
        <w:rPr>
          <w:rFonts w:ascii="Arial" w:hAnsi="Arial" w:cs="Arial"/>
          <w:szCs w:val="20"/>
        </w:rPr>
      </w:pPr>
      <w:r w:rsidRPr="00662C11">
        <w:rPr>
          <w:rFonts w:ascii="Arial" w:hAnsi="Arial" w:cs="Arial"/>
          <w:szCs w:val="20"/>
        </w:rPr>
        <w:t>DoT undertook a multi-criteria analysis to assess the merits</w:t>
      </w:r>
      <w:r>
        <w:rPr>
          <w:rFonts w:ascii="Arial" w:hAnsi="Arial" w:cs="Arial"/>
          <w:szCs w:val="20"/>
        </w:rPr>
        <w:t xml:space="preserve"> of the three options for recovering bus safety costs. In undertaking this analysis, DoT has had regard to three objectives: efficiency, equity and the effect of the fee on compliance. DoT notes that the option which seeks to fully recover costs (i.e. </w:t>
      </w:r>
      <w:r w:rsidR="0009033A">
        <w:rPr>
          <w:rFonts w:ascii="Arial" w:hAnsi="Arial" w:cs="Arial"/>
          <w:szCs w:val="20"/>
        </w:rPr>
        <w:t>O</w:t>
      </w:r>
      <w:r>
        <w:rPr>
          <w:rFonts w:ascii="Arial" w:hAnsi="Arial" w:cs="Arial"/>
          <w:szCs w:val="20"/>
        </w:rPr>
        <w:t>ption 3) from the industry best meets these three objectives. However, due to the uncertainty in relation to the regulatory cost base and possible future regulatory reforms, DoT is not recommending any change to fees at this point in time. DoT is committed to undertaking a full review of regulatory fees within three to five years, as the Department will be able to better analyse costs at that point in time.</w:t>
      </w:r>
    </w:p>
    <w:p w14:paraId="04703C75" w14:textId="12ED01CA" w:rsidR="00E628B3" w:rsidRPr="00C914FB" w:rsidRDefault="00E628B3" w:rsidP="00E628B3">
      <w:pPr>
        <w:pStyle w:val="Heading2"/>
      </w:pPr>
      <w:bookmarkStart w:id="133" w:name="_Toc42262274"/>
      <w:bookmarkStart w:id="134" w:name="_Toc44436876"/>
      <w:bookmarkStart w:id="135" w:name="_Toc45548668"/>
      <w:bookmarkStart w:id="136" w:name="_Toc42262291"/>
      <w:bookmarkStart w:id="137" w:name="_Toc42262300"/>
      <w:bookmarkStart w:id="138" w:name="_Toc45704316"/>
      <w:r w:rsidRPr="00310D39">
        <w:t>Preferred option</w:t>
      </w:r>
      <w:bookmarkEnd w:id="133"/>
      <w:r>
        <w:t xml:space="preserve"> (refer to </w:t>
      </w:r>
      <w:r w:rsidR="00412F1A">
        <w:t xml:space="preserve">Section </w:t>
      </w:r>
      <w:r>
        <w:t>8)</w:t>
      </w:r>
      <w:bookmarkEnd w:id="134"/>
      <w:bookmarkEnd w:id="135"/>
      <w:bookmarkEnd w:id="138"/>
    </w:p>
    <w:p w14:paraId="60CBFF83" w14:textId="296A509E" w:rsidR="00E628B3" w:rsidRDefault="00E628B3" w:rsidP="00E628B3">
      <w:pPr>
        <w:rPr>
          <w:rFonts w:ascii="Arial" w:hAnsi="Arial" w:cs="Arial"/>
          <w:szCs w:val="20"/>
        </w:rPr>
      </w:pPr>
      <w:r w:rsidRPr="0019272D">
        <w:rPr>
          <w:rFonts w:ascii="Arial" w:hAnsi="Arial" w:cs="Arial"/>
          <w:szCs w:val="20"/>
        </w:rPr>
        <w:t>DoT</w:t>
      </w:r>
      <w:r>
        <w:rPr>
          <w:rFonts w:ascii="Arial" w:hAnsi="Arial" w:cs="Arial"/>
          <w:szCs w:val="20"/>
        </w:rPr>
        <w:t xml:space="preserve"> is proposing to remake the Bus Safety Regulations. These draft regulations are available for public comment and the public is invited to make a written submission to provide DoT with feedback. The proposed </w:t>
      </w:r>
      <w:r w:rsidR="009C3DCF">
        <w:rPr>
          <w:rFonts w:ascii="Arial" w:hAnsi="Arial" w:cs="Arial"/>
          <w:szCs w:val="20"/>
        </w:rPr>
        <w:t>r</w:t>
      </w:r>
      <w:r>
        <w:rPr>
          <w:rFonts w:ascii="Arial" w:hAnsi="Arial" w:cs="Arial"/>
          <w:szCs w:val="20"/>
        </w:rPr>
        <w:t>egulations include requirements in relation to applications for accreditation and registration, bus standards, vehicle equipment requirements, Management Maintenance Systems</w:t>
      </w:r>
      <w:r w:rsidR="00F424ED">
        <w:rPr>
          <w:rFonts w:ascii="Arial" w:hAnsi="Arial" w:cs="Arial"/>
          <w:szCs w:val="20"/>
        </w:rPr>
        <w:t xml:space="preserve"> (MMS)</w:t>
      </w:r>
      <w:r>
        <w:rPr>
          <w:rFonts w:ascii="Arial" w:hAnsi="Arial" w:cs="Arial"/>
          <w:szCs w:val="20"/>
        </w:rPr>
        <w:t xml:space="preserve"> and Management Information Systems</w:t>
      </w:r>
      <w:r w:rsidR="00F424ED">
        <w:rPr>
          <w:rFonts w:ascii="Arial" w:hAnsi="Arial" w:cs="Arial"/>
          <w:szCs w:val="20"/>
        </w:rPr>
        <w:t xml:space="preserve"> (MIS</w:t>
      </w:r>
      <w:r w:rsidR="0052752C">
        <w:rPr>
          <w:rFonts w:ascii="Arial" w:hAnsi="Arial" w:cs="Arial"/>
          <w:szCs w:val="20"/>
        </w:rPr>
        <w:t>)</w:t>
      </w:r>
      <w:r>
        <w:rPr>
          <w:rFonts w:ascii="Arial" w:hAnsi="Arial" w:cs="Arial"/>
          <w:szCs w:val="20"/>
        </w:rPr>
        <w:t>, annual inspections, record keeping requirements, fees and exemptions.</w:t>
      </w:r>
    </w:p>
    <w:p w14:paraId="0DEDCD0C" w14:textId="3599243C" w:rsidR="006B2CA2" w:rsidRDefault="00CA0BE6" w:rsidP="008C7070">
      <w:r>
        <w:t xml:space="preserve">The following sections </w:t>
      </w:r>
      <w:r w:rsidR="006B2CA2">
        <w:t xml:space="preserve">outline the key changes in the proposed regulations from the current Regulations. </w:t>
      </w:r>
    </w:p>
    <w:p w14:paraId="1C7DB417" w14:textId="64B261F5" w:rsidR="00EC336B" w:rsidRDefault="00213C5F" w:rsidP="00786575">
      <w:pPr>
        <w:pStyle w:val="Heading3"/>
        <w:numPr>
          <w:ilvl w:val="0"/>
          <w:numId w:val="0"/>
        </w:numPr>
      </w:pPr>
      <w:bookmarkStart w:id="139" w:name="_Toc44436877"/>
      <w:bookmarkStart w:id="140" w:name="_Toc45548669"/>
      <w:bookmarkStart w:id="141" w:name="_Toc45704317"/>
      <w:r>
        <w:t>Bus safety duties</w:t>
      </w:r>
      <w:bookmarkEnd w:id="139"/>
      <w:bookmarkEnd w:id="140"/>
      <w:bookmarkEnd w:id="141"/>
    </w:p>
    <w:p w14:paraId="01CD4DAF" w14:textId="0F986E44" w:rsidR="00EC336B" w:rsidRDefault="00F16784" w:rsidP="00EC336B">
      <w:pPr>
        <w:rPr>
          <w:rFonts w:ascii="Arial" w:eastAsia="Arial" w:hAnsi="Arial" w:cs="Times New Roman"/>
          <w:color w:val="000000"/>
        </w:rPr>
      </w:pPr>
      <w:r>
        <w:rPr>
          <w:rFonts w:ascii="Arial" w:eastAsia="Arial" w:hAnsi="Arial" w:cs="Times New Roman"/>
          <w:color w:val="000000"/>
        </w:rPr>
        <w:t xml:space="preserve">The proposed regulations </w:t>
      </w:r>
      <w:r w:rsidR="00D830C1">
        <w:rPr>
          <w:rFonts w:ascii="Arial" w:eastAsia="Arial" w:hAnsi="Arial" w:cs="Times New Roman"/>
          <w:color w:val="000000"/>
        </w:rPr>
        <w:t xml:space="preserve">require all bus operators </w:t>
      </w:r>
      <w:r w:rsidR="00EC336B" w:rsidRPr="00027147">
        <w:rPr>
          <w:rFonts w:ascii="Arial" w:eastAsia="Arial" w:hAnsi="Arial" w:cs="Times New Roman"/>
          <w:color w:val="000000"/>
        </w:rPr>
        <w:t>to display their accreditation or registration number on each bus operated by the bus operator.</w:t>
      </w:r>
      <w:r w:rsidR="005B1D17">
        <w:rPr>
          <w:rFonts w:ascii="Arial" w:eastAsia="Arial" w:hAnsi="Arial" w:cs="Times New Roman"/>
          <w:color w:val="000000"/>
        </w:rPr>
        <w:t xml:space="preserve"> </w:t>
      </w:r>
      <w:r w:rsidR="00EC336B">
        <w:rPr>
          <w:rFonts w:ascii="Arial" w:eastAsia="Arial" w:hAnsi="Arial" w:cs="Times New Roman"/>
          <w:color w:val="000000"/>
        </w:rPr>
        <w:t>DoT is</w:t>
      </w:r>
      <w:r w:rsidR="005B1D17">
        <w:rPr>
          <w:rFonts w:ascii="Arial" w:eastAsia="Arial" w:hAnsi="Arial" w:cs="Times New Roman"/>
          <w:color w:val="000000"/>
        </w:rPr>
        <w:t xml:space="preserve"> also</w:t>
      </w:r>
      <w:r w:rsidR="00EC336B">
        <w:rPr>
          <w:rFonts w:ascii="Arial" w:eastAsia="Arial" w:hAnsi="Arial" w:cs="Times New Roman"/>
          <w:color w:val="000000"/>
        </w:rPr>
        <w:t xml:space="preserve"> recommending that the special number plates for bus operated by accredited bus operators not be mandatory. </w:t>
      </w:r>
    </w:p>
    <w:p w14:paraId="74D0EBD6" w14:textId="6EFC3CD4" w:rsidR="006B2CA2" w:rsidRDefault="006B2CA2" w:rsidP="00786575">
      <w:pPr>
        <w:pStyle w:val="Heading3"/>
        <w:numPr>
          <w:ilvl w:val="0"/>
          <w:numId w:val="0"/>
        </w:numPr>
      </w:pPr>
      <w:bookmarkStart w:id="142" w:name="_Toc44436878"/>
      <w:bookmarkStart w:id="143" w:name="_Toc45548670"/>
      <w:bookmarkStart w:id="144" w:name="_Toc45704318"/>
      <w:r>
        <w:t>Record keeping</w:t>
      </w:r>
      <w:r w:rsidR="00AD6380">
        <w:t xml:space="preserve"> for bus operators</w:t>
      </w:r>
      <w:bookmarkEnd w:id="142"/>
      <w:bookmarkEnd w:id="143"/>
      <w:bookmarkEnd w:id="144"/>
    </w:p>
    <w:p w14:paraId="5DA5C0EE" w14:textId="3CD66BAC" w:rsidR="00570551" w:rsidRDefault="00570551" w:rsidP="00570551">
      <w:pPr>
        <w:rPr>
          <w:rFonts w:ascii="Arial" w:eastAsia="Arial" w:hAnsi="Arial" w:cs="Times New Roman"/>
          <w:color w:val="000000"/>
        </w:rPr>
      </w:pPr>
      <w:r>
        <w:rPr>
          <w:rFonts w:ascii="Arial" w:eastAsia="Arial" w:hAnsi="Arial" w:cs="Times New Roman"/>
          <w:color w:val="000000"/>
        </w:rPr>
        <w:t xml:space="preserve">Accredited bus operators are currently required to keep a range of records. The </w:t>
      </w:r>
      <w:r w:rsidR="00342C58">
        <w:rPr>
          <w:rFonts w:ascii="Arial" w:eastAsia="Arial" w:hAnsi="Arial" w:cs="Times New Roman"/>
          <w:color w:val="000000"/>
        </w:rPr>
        <w:t>proposed</w:t>
      </w:r>
      <w:r>
        <w:rPr>
          <w:rFonts w:ascii="Arial" w:eastAsia="Arial" w:hAnsi="Arial" w:cs="Times New Roman"/>
          <w:color w:val="000000"/>
        </w:rPr>
        <w:t xml:space="preserve"> </w:t>
      </w:r>
      <w:r w:rsidR="00342C58">
        <w:rPr>
          <w:rFonts w:ascii="Arial" w:eastAsia="Arial" w:hAnsi="Arial" w:cs="Times New Roman"/>
          <w:color w:val="000000"/>
        </w:rPr>
        <w:t>r</w:t>
      </w:r>
      <w:r>
        <w:rPr>
          <w:rFonts w:ascii="Arial" w:eastAsia="Arial" w:hAnsi="Arial" w:cs="Times New Roman"/>
          <w:color w:val="000000"/>
        </w:rPr>
        <w:t>egulations require accredited operators to also keep records of each bus used in the operator’s fleet. This is not currently a formal record keeping requirement in the regulations.</w:t>
      </w:r>
    </w:p>
    <w:p w14:paraId="3AE75935" w14:textId="3E18216E" w:rsidR="00570551" w:rsidRDefault="00570551" w:rsidP="00570551">
      <w:pPr>
        <w:rPr>
          <w:rFonts w:ascii="Arial" w:eastAsia="Arial" w:hAnsi="Arial" w:cs="Times New Roman"/>
          <w:color w:val="000000"/>
        </w:rPr>
      </w:pPr>
      <w:r>
        <w:rPr>
          <w:rFonts w:ascii="Arial" w:eastAsia="Arial" w:hAnsi="Arial" w:cs="Times New Roman"/>
          <w:color w:val="000000"/>
        </w:rPr>
        <w:t>Registered operators are not currently required to keep any records.</w:t>
      </w:r>
      <w:r w:rsidR="00620E96">
        <w:rPr>
          <w:rFonts w:ascii="Arial" w:eastAsia="Arial" w:hAnsi="Arial" w:cs="Times New Roman"/>
          <w:color w:val="000000"/>
        </w:rPr>
        <w:t xml:space="preserve"> The proposed regulations required th</w:t>
      </w:r>
      <w:r>
        <w:rPr>
          <w:rFonts w:ascii="Arial" w:eastAsia="Arial" w:hAnsi="Arial" w:cs="Times New Roman"/>
          <w:color w:val="000000"/>
        </w:rPr>
        <w:t>at registered operators keep some records</w:t>
      </w:r>
      <w:r w:rsidR="0070693C">
        <w:rPr>
          <w:rFonts w:ascii="Arial" w:eastAsia="Arial" w:hAnsi="Arial" w:cs="Times New Roman"/>
          <w:color w:val="000000"/>
        </w:rPr>
        <w:t xml:space="preserve"> in relation to the </w:t>
      </w:r>
      <w:r w:rsidR="008C7070">
        <w:rPr>
          <w:rFonts w:ascii="Arial" w:eastAsia="Arial" w:hAnsi="Arial" w:cs="Times New Roman"/>
          <w:color w:val="000000"/>
        </w:rPr>
        <w:t>operator’s</w:t>
      </w:r>
      <w:r w:rsidR="0070693C">
        <w:rPr>
          <w:rFonts w:ascii="Arial" w:eastAsia="Arial" w:hAnsi="Arial" w:cs="Times New Roman"/>
          <w:color w:val="000000"/>
        </w:rPr>
        <w:t xml:space="preserve"> fleet and annual inspection of buses</w:t>
      </w:r>
      <w:r w:rsidR="008A6F8B">
        <w:rPr>
          <w:rFonts w:ascii="Arial" w:eastAsia="Arial" w:hAnsi="Arial" w:cs="Times New Roman"/>
          <w:color w:val="000000"/>
        </w:rPr>
        <w:t>.</w:t>
      </w:r>
      <w:r>
        <w:rPr>
          <w:rFonts w:ascii="Arial" w:eastAsia="Arial" w:hAnsi="Arial" w:cs="Times New Roman"/>
          <w:color w:val="000000"/>
        </w:rPr>
        <w:t xml:space="preserve"> </w:t>
      </w:r>
    </w:p>
    <w:p w14:paraId="5ADC3EAE" w14:textId="598752BA" w:rsidR="006B2CA2" w:rsidRPr="00786575" w:rsidRDefault="00037418" w:rsidP="00786575">
      <w:pPr>
        <w:pStyle w:val="Heading3"/>
        <w:numPr>
          <w:ilvl w:val="0"/>
          <w:numId w:val="0"/>
        </w:numPr>
      </w:pPr>
      <w:bookmarkStart w:id="145" w:name="_Toc44436879"/>
      <w:bookmarkStart w:id="146" w:name="_Toc45548671"/>
      <w:bookmarkStart w:id="147" w:name="_Toc45704319"/>
      <w:r w:rsidRPr="00F93E9D">
        <w:t>Bus</w:t>
      </w:r>
      <w:r w:rsidRPr="00786575">
        <w:t xml:space="preserve"> </w:t>
      </w:r>
      <w:r w:rsidRPr="00F93E9D">
        <w:t>inspections</w:t>
      </w:r>
      <w:bookmarkEnd w:id="145"/>
      <w:bookmarkEnd w:id="146"/>
      <w:bookmarkEnd w:id="147"/>
    </w:p>
    <w:p w14:paraId="640B9617" w14:textId="65F79405" w:rsidR="00570551" w:rsidRDefault="00570551" w:rsidP="00570551">
      <w:pPr>
        <w:rPr>
          <w:rFonts w:ascii="Arial" w:eastAsia="Arial" w:hAnsi="Arial" w:cs="Times New Roman"/>
          <w:color w:val="000000"/>
        </w:rPr>
      </w:pPr>
      <w:r w:rsidRPr="00027147">
        <w:rPr>
          <w:rFonts w:ascii="Arial" w:eastAsia="Arial" w:hAnsi="Arial" w:cs="Times New Roman"/>
          <w:color w:val="000000"/>
        </w:rPr>
        <w:t>The proposed regulations</w:t>
      </w:r>
      <w:r>
        <w:rPr>
          <w:rFonts w:ascii="Arial" w:eastAsia="Arial" w:hAnsi="Arial" w:cs="Times New Roman"/>
          <w:color w:val="000000"/>
        </w:rPr>
        <w:t xml:space="preserve"> would</w:t>
      </w:r>
      <w:r w:rsidRPr="00027147">
        <w:rPr>
          <w:rFonts w:ascii="Arial" w:eastAsia="Arial" w:hAnsi="Arial" w:cs="Times New Roman"/>
          <w:color w:val="000000"/>
        </w:rPr>
        <w:t xml:space="preserve"> provide </w:t>
      </w:r>
      <w:r w:rsidR="007B0287">
        <w:rPr>
          <w:rFonts w:ascii="Arial" w:eastAsia="Arial" w:hAnsi="Arial" w:cs="Times New Roman"/>
          <w:color w:val="000000"/>
        </w:rPr>
        <w:t>the Safety Director with</w:t>
      </w:r>
      <w:r w:rsidRPr="00027147">
        <w:rPr>
          <w:rFonts w:ascii="Arial" w:eastAsia="Arial" w:hAnsi="Arial" w:cs="Times New Roman"/>
          <w:color w:val="000000"/>
        </w:rPr>
        <w:t xml:space="preserve"> power to require any operator to conduct additional </w:t>
      </w:r>
      <w:r>
        <w:rPr>
          <w:rFonts w:ascii="Arial" w:eastAsia="Arial" w:hAnsi="Arial" w:cs="Times New Roman"/>
          <w:color w:val="000000"/>
        </w:rPr>
        <w:t xml:space="preserve">or more frequent </w:t>
      </w:r>
      <w:r w:rsidRPr="00027147">
        <w:rPr>
          <w:rFonts w:ascii="Arial" w:eastAsia="Arial" w:hAnsi="Arial" w:cs="Times New Roman"/>
          <w:color w:val="000000"/>
        </w:rPr>
        <w:t xml:space="preserve">inspections if </w:t>
      </w:r>
      <w:r w:rsidR="00013BB2">
        <w:rPr>
          <w:rFonts w:ascii="Arial" w:eastAsia="Arial" w:hAnsi="Arial" w:cs="Times New Roman"/>
          <w:color w:val="000000"/>
        </w:rPr>
        <w:t>the Safety Director</w:t>
      </w:r>
      <w:r w:rsidRPr="00027147">
        <w:rPr>
          <w:rFonts w:ascii="Arial" w:eastAsia="Arial" w:hAnsi="Arial" w:cs="Times New Roman"/>
          <w:color w:val="000000"/>
        </w:rPr>
        <w:t xml:space="preserve"> considers it appropriate to do so based on a </w:t>
      </w:r>
      <w:r>
        <w:rPr>
          <w:rFonts w:ascii="Arial" w:eastAsia="Arial" w:hAnsi="Arial" w:cs="Times New Roman"/>
          <w:color w:val="000000"/>
        </w:rPr>
        <w:t xml:space="preserve">safety </w:t>
      </w:r>
      <w:r w:rsidRPr="00027147">
        <w:rPr>
          <w:rFonts w:ascii="Arial" w:eastAsia="Arial" w:hAnsi="Arial" w:cs="Times New Roman"/>
          <w:color w:val="000000"/>
        </w:rPr>
        <w:t>risk assessment of that operator.</w:t>
      </w:r>
    </w:p>
    <w:p w14:paraId="49C02F01" w14:textId="26B83803" w:rsidR="00954983" w:rsidRDefault="00954983" w:rsidP="00786575">
      <w:pPr>
        <w:pStyle w:val="Heading3"/>
        <w:numPr>
          <w:ilvl w:val="0"/>
          <w:numId w:val="0"/>
        </w:numPr>
      </w:pPr>
      <w:bookmarkStart w:id="148" w:name="_Toc44436880"/>
      <w:bookmarkStart w:id="149" w:name="_Toc45548672"/>
      <w:bookmarkStart w:id="150" w:name="_Toc45704320"/>
      <w:r>
        <w:lastRenderedPageBreak/>
        <w:t xml:space="preserve">Reporting </w:t>
      </w:r>
      <w:r w:rsidR="00451566">
        <w:t xml:space="preserve">and </w:t>
      </w:r>
      <w:r w:rsidR="00E338A7">
        <w:t>investigation</w:t>
      </w:r>
      <w:r w:rsidR="00451566">
        <w:t xml:space="preserve"> </w:t>
      </w:r>
      <w:r w:rsidRPr="00786575">
        <w:t>of</w:t>
      </w:r>
      <w:r>
        <w:t xml:space="preserve"> bus incidents</w:t>
      </w:r>
      <w:bookmarkEnd w:id="148"/>
      <w:bookmarkEnd w:id="149"/>
      <w:bookmarkEnd w:id="150"/>
    </w:p>
    <w:p w14:paraId="75DCB8AB" w14:textId="07A37C02" w:rsidR="00C42751" w:rsidRDefault="00F134CF" w:rsidP="00F16784">
      <w:pPr>
        <w:rPr>
          <w:rFonts w:ascii="Arial" w:eastAsia="Arial" w:hAnsi="Arial" w:cs="Times New Roman"/>
          <w:color w:val="000000"/>
        </w:rPr>
      </w:pPr>
      <w:r>
        <w:rPr>
          <w:rFonts w:ascii="Arial" w:eastAsia="Arial" w:hAnsi="Arial" w:cs="Times New Roman"/>
          <w:color w:val="000000"/>
        </w:rPr>
        <w:t xml:space="preserve">Operators will continue to be required to notify TSV of incidents, however the form of notification would be different. </w:t>
      </w:r>
      <w:r w:rsidR="00F16784" w:rsidRPr="00027147">
        <w:rPr>
          <w:rFonts w:ascii="Arial" w:eastAsia="Arial" w:hAnsi="Arial" w:cs="Times New Roman"/>
          <w:color w:val="000000"/>
        </w:rPr>
        <w:t>The</w:t>
      </w:r>
      <w:r w:rsidR="00F16784">
        <w:rPr>
          <w:rFonts w:ascii="Arial" w:eastAsia="Arial" w:hAnsi="Arial" w:cs="Times New Roman"/>
          <w:color w:val="000000"/>
        </w:rPr>
        <w:t xml:space="preserve"> proposed regulations prescribe </w:t>
      </w:r>
      <w:r w:rsidR="00F16784" w:rsidRPr="00027147">
        <w:rPr>
          <w:rFonts w:ascii="Arial" w:eastAsia="Arial" w:hAnsi="Arial" w:cs="Times New Roman"/>
          <w:color w:val="000000"/>
        </w:rPr>
        <w:t>three categories of incidents</w:t>
      </w:r>
      <w:r w:rsidR="00F16784">
        <w:rPr>
          <w:rFonts w:ascii="Arial" w:eastAsia="Arial" w:hAnsi="Arial" w:cs="Times New Roman"/>
          <w:color w:val="000000"/>
        </w:rPr>
        <w:t>, each having different reporting obligations.</w:t>
      </w:r>
      <w:r w:rsidR="00C42751">
        <w:rPr>
          <w:rFonts w:ascii="Arial" w:eastAsia="Arial" w:hAnsi="Arial" w:cs="Times New Roman"/>
          <w:color w:val="000000"/>
        </w:rPr>
        <w:t xml:space="preserve"> </w:t>
      </w:r>
      <w:r w:rsidR="0032257D">
        <w:rPr>
          <w:rFonts w:ascii="Arial" w:eastAsia="Arial" w:hAnsi="Arial" w:cs="Times New Roman"/>
          <w:color w:val="000000"/>
        </w:rPr>
        <w:t xml:space="preserve">The </w:t>
      </w:r>
      <w:r w:rsidR="00C42751">
        <w:rPr>
          <w:rFonts w:ascii="Arial" w:eastAsia="Arial" w:hAnsi="Arial" w:cs="Times New Roman"/>
          <w:color w:val="000000"/>
        </w:rPr>
        <w:t xml:space="preserve">Safety Director must be notified </w:t>
      </w:r>
      <w:r w:rsidR="000351B2">
        <w:rPr>
          <w:rFonts w:ascii="Arial" w:eastAsia="Arial" w:hAnsi="Arial" w:cs="Times New Roman"/>
          <w:color w:val="000000"/>
        </w:rPr>
        <w:t xml:space="preserve">of an incident </w:t>
      </w:r>
      <w:r w:rsidR="00CA2781">
        <w:rPr>
          <w:rFonts w:ascii="Arial" w:eastAsia="Arial" w:hAnsi="Arial" w:cs="Times New Roman"/>
          <w:color w:val="000000"/>
        </w:rPr>
        <w:t>as follows:</w:t>
      </w:r>
    </w:p>
    <w:p w14:paraId="09B54239" w14:textId="77777777" w:rsidR="00CA2781" w:rsidRPr="00F140A1" w:rsidRDefault="00CA2781" w:rsidP="00F140A1">
      <w:pPr>
        <w:pStyle w:val="ListParagraph"/>
        <w:numPr>
          <w:ilvl w:val="0"/>
          <w:numId w:val="11"/>
        </w:numPr>
        <w:rPr>
          <w:rFonts w:asciiTheme="minorHAnsi" w:eastAsiaTheme="minorHAnsi" w:hAnsiTheme="minorHAnsi" w:cstheme="minorBidi"/>
          <w:color w:val="000000" w:themeColor="text1"/>
          <w:sz w:val="20"/>
          <w:szCs w:val="18"/>
          <w:lang w:eastAsia="en-US"/>
        </w:rPr>
      </w:pPr>
      <w:r w:rsidRPr="00F140A1">
        <w:rPr>
          <w:rFonts w:asciiTheme="minorHAnsi" w:eastAsiaTheme="minorHAnsi" w:hAnsiTheme="minorHAnsi" w:cstheme="minorBidi"/>
          <w:color w:val="000000" w:themeColor="text1"/>
          <w:sz w:val="20"/>
          <w:szCs w:val="18"/>
          <w:lang w:eastAsia="en-US"/>
        </w:rPr>
        <w:t>category 1 incident – orally as soon as possible after the operator becomes aware that an incident has occurred, followed by in writing within 72 hours after the occurrence of the incident</w:t>
      </w:r>
    </w:p>
    <w:p w14:paraId="09BA4AEB" w14:textId="77777777" w:rsidR="00CA2781" w:rsidRPr="00F140A1" w:rsidRDefault="00CA2781" w:rsidP="00F140A1">
      <w:pPr>
        <w:pStyle w:val="ListParagraph"/>
        <w:numPr>
          <w:ilvl w:val="0"/>
          <w:numId w:val="11"/>
        </w:numPr>
        <w:rPr>
          <w:rFonts w:asciiTheme="minorHAnsi" w:eastAsiaTheme="minorHAnsi" w:hAnsiTheme="minorHAnsi" w:cstheme="minorBidi"/>
          <w:color w:val="000000" w:themeColor="text1"/>
          <w:sz w:val="20"/>
          <w:szCs w:val="18"/>
          <w:lang w:eastAsia="en-US"/>
        </w:rPr>
      </w:pPr>
      <w:r w:rsidRPr="00F140A1">
        <w:rPr>
          <w:rFonts w:asciiTheme="minorHAnsi" w:eastAsiaTheme="minorHAnsi" w:hAnsiTheme="minorHAnsi" w:cstheme="minorBidi"/>
          <w:color w:val="000000" w:themeColor="text1"/>
          <w:sz w:val="20"/>
          <w:szCs w:val="18"/>
          <w:lang w:eastAsia="en-US"/>
        </w:rPr>
        <w:t xml:space="preserve">category 2 incident – in writing within 72 hours after the occurrence of the incident </w:t>
      </w:r>
    </w:p>
    <w:p w14:paraId="4AD8D46A" w14:textId="7B59C570" w:rsidR="00CA2781" w:rsidRPr="00F140A1" w:rsidRDefault="00CA2781" w:rsidP="00F140A1">
      <w:pPr>
        <w:pStyle w:val="ListParagraph"/>
        <w:numPr>
          <w:ilvl w:val="0"/>
          <w:numId w:val="11"/>
        </w:numPr>
        <w:rPr>
          <w:rFonts w:asciiTheme="minorHAnsi" w:eastAsiaTheme="minorHAnsi" w:hAnsiTheme="minorHAnsi" w:cstheme="minorBidi"/>
          <w:color w:val="000000" w:themeColor="text1"/>
          <w:sz w:val="20"/>
          <w:szCs w:val="18"/>
          <w:lang w:eastAsia="en-US"/>
        </w:rPr>
      </w:pPr>
      <w:r w:rsidRPr="00F140A1">
        <w:rPr>
          <w:rFonts w:asciiTheme="minorHAnsi" w:eastAsiaTheme="minorHAnsi" w:hAnsiTheme="minorHAnsi" w:cstheme="minorBidi"/>
          <w:color w:val="000000" w:themeColor="text1"/>
          <w:sz w:val="20"/>
          <w:szCs w:val="18"/>
          <w:lang w:eastAsia="en-US"/>
        </w:rPr>
        <w:t xml:space="preserve">category 3 incident – in a written report provided monthly within 5 days of the last day of each calendar month. </w:t>
      </w:r>
    </w:p>
    <w:p w14:paraId="0D162879" w14:textId="2D3570BF" w:rsidR="00E628B3" w:rsidRDefault="00E628B3" w:rsidP="00E628B3">
      <w:pPr>
        <w:pStyle w:val="Heading2"/>
      </w:pPr>
      <w:bookmarkStart w:id="151" w:name="_Toc44436881"/>
      <w:bookmarkStart w:id="152" w:name="_Toc45548673"/>
      <w:bookmarkStart w:id="153" w:name="_Toc45704321"/>
      <w:r>
        <w:t>Implementation</w:t>
      </w:r>
      <w:bookmarkEnd w:id="136"/>
      <w:r>
        <w:t>, Evaluation and Consultation (</w:t>
      </w:r>
      <w:r w:rsidR="008D7AE1">
        <w:t xml:space="preserve">refer to </w:t>
      </w:r>
      <w:r w:rsidR="00412F1A">
        <w:t xml:space="preserve">Sections </w:t>
      </w:r>
      <w:r>
        <w:t>9, 10 and 11)</w:t>
      </w:r>
      <w:bookmarkEnd w:id="151"/>
      <w:bookmarkEnd w:id="152"/>
      <w:bookmarkEnd w:id="153"/>
    </w:p>
    <w:p w14:paraId="261B624E" w14:textId="77777777" w:rsidR="00E628B3" w:rsidRDefault="00E628B3" w:rsidP="00E628B3">
      <w:pPr>
        <w:rPr>
          <w:rFonts w:ascii="Arial" w:hAnsi="Arial" w:cs="Arial"/>
          <w:color w:val="auto"/>
          <w:szCs w:val="20"/>
        </w:rPr>
      </w:pPr>
      <w:r w:rsidRPr="003E0004">
        <w:rPr>
          <w:rFonts w:ascii="Arial" w:hAnsi="Arial" w:cs="Arial"/>
          <w:color w:val="auto"/>
          <w:szCs w:val="20"/>
        </w:rPr>
        <w:t xml:space="preserve">Following </w:t>
      </w:r>
      <w:r>
        <w:rPr>
          <w:rFonts w:ascii="Arial" w:hAnsi="Arial" w:cs="Arial"/>
          <w:color w:val="auto"/>
          <w:szCs w:val="20"/>
        </w:rPr>
        <w:t xml:space="preserve">the formal public consultation period, </w:t>
      </w:r>
      <w:r w:rsidRPr="003E0004">
        <w:rPr>
          <w:rFonts w:ascii="Arial" w:hAnsi="Arial" w:cs="Arial"/>
          <w:color w:val="auto"/>
          <w:szCs w:val="20"/>
        </w:rPr>
        <w:t xml:space="preserve">DoT will consider all submissions </w:t>
      </w:r>
      <w:r>
        <w:rPr>
          <w:rFonts w:ascii="Arial" w:hAnsi="Arial" w:cs="Arial"/>
          <w:color w:val="auto"/>
          <w:szCs w:val="20"/>
        </w:rPr>
        <w:t xml:space="preserve">and submit </w:t>
      </w:r>
      <w:r w:rsidRPr="003E0004">
        <w:rPr>
          <w:rFonts w:ascii="Arial" w:hAnsi="Arial" w:cs="Arial"/>
          <w:color w:val="auto"/>
          <w:szCs w:val="20"/>
        </w:rPr>
        <w:t>its final recommendations to the Minister for Public Transport for approval. The Minister for Public Transport will publish a notice of decision in the Government Gazette and in newspapers which will outline the changes from the exposure draft of the proposed Regulations</w:t>
      </w:r>
      <w:r>
        <w:rPr>
          <w:rFonts w:ascii="Arial" w:hAnsi="Arial" w:cs="Arial"/>
          <w:color w:val="auto"/>
          <w:szCs w:val="20"/>
        </w:rPr>
        <w:t>.</w:t>
      </w:r>
      <w:r w:rsidRPr="003E0004">
        <w:rPr>
          <w:rFonts w:ascii="Arial" w:hAnsi="Arial" w:cs="Arial"/>
          <w:color w:val="auto"/>
          <w:szCs w:val="20"/>
        </w:rPr>
        <w:t xml:space="preserve"> DoT expects the regulations to be made </w:t>
      </w:r>
      <w:r>
        <w:rPr>
          <w:rFonts w:ascii="Arial" w:hAnsi="Arial" w:cs="Arial"/>
          <w:color w:val="auto"/>
          <w:szCs w:val="20"/>
        </w:rPr>
        <w:t xml:space="preserve">and commence </w:t>
      </w:r>
      <w:r w:rsidRPr="003E0004">
        <w:rPr>
          <w:rFonts w:ascii="Arial" w:hAnsi="Arial" w:cs="Arial"/>
          <w:color w:val="auto"/>
          <w:szCs w:val="20"/>
        </w:rPr>
        <w:t xml:space="preserve">before the current regulations expire </w:t>
      </w:r>
      <w:r>
        <w:rPr>
          <w:rFonts w:ascii="Arial" w:hAnsi="Arial" w:cs="Arial"/>
          <w:color w:val="auto"/>
          <w:szCs w:val="20"/>
        </w:rPr>
        <w:t>on 12</w:t>
      </w:r>
      <w:r w:rsidRPr="003E0004">
        <w:rPr>
          <w:rFonts w:ascii="Arial" w:hAnsi="Arial" w:cs="Arial"/>
          <w:color w:val="auto"/>
          <w:szCs w:val="20"/>
        </w:rPr>
        <w:t xml:space="preserve"> October 2020.</w:t>
      </w:r>
      <w:r>
        <w:rPr>
          <w:rFonts w:ascii="Arial" w:hAnsi="Arial" w:cs="Arial"/>
          <w:color w:val="auto"/>
          <w:szCs w:val="20"/>
        </w:rPr>
        <w:t xml:space="preserve"> </w:t>
      </w:r>
    </w:p>
    <w:p w14:paraId="03971498" w14:textId="37155A1B" w:rsidR="00E628B3" w:rsidRDefault="00E628B3" w:rsidP="00E628B3">
      <w:pPr>
        <w:rPr>
          <w:rFonts w:ascii="Arial" w:hAnsi="Arial" w:cs="Arial"/>
          <w:color w:val="auto"/>
          <w:szCs w:val="20"/>
        </w:rPr>
      </w:pPr>
      <w:r w:rsidRPr="00E70183">
        <w:rPr>
          <w:rFonts w:ascii="Arial" w:hAnsi="Arial" w:cs="Arial"/>
          <w:color w:val="auto"/>
          <w:szCs w:val="20"/>
        </w:rPr>
        <w:t xml:space="preserve">DoT and TSV will communicate with the industry regarding the commencement of the new regulations, and the approach to compliance monitoring and enforcement before the new regulations commence. </w:t>
      </w:r>
      <w:r w:rsidRPr="003E0004">
        <w:rPr>
          <w:rFonts w:ascii="Arial" w:hAnsi="Arial" w:cs="Arial"/>
          <w:color w:val="auto"/>
          <w:szCs w:val="20"/>
        </w:rPr>
        <w:t xml:space="preserve">TSV </w:t>
      </w:r>
      <w:r>
        <w:rPr>
          <w:rFonts w:ascii="Arial" w:hAnsi="Arial" w:cs="Arial"/>
          <w:color w:val="auto"/>
          <w:szCs w:val="20"/>
        </w:rPr>
        <w:t>is</w:t>
      </w:r>
      <w:r w:rsidRPr="003E0004">
        <w:rPr>
          <w:rFonts w:ascii="Arial" w:hAnsi="Arial" w:cs="Arial"/>
          <w:color w:val="auto"/>
          <w:szCs w:val="20"/>
        </w:rPr>
        <w:t xml:space="preserve"> the primary regulatory agency to implement the proposed regulations</w:t>
      </w:r>
      <w:r>
        <w:rPr>
          <w:rFonts w:ascii="Arial" w:hAnsi="Arial" w:cs="Arial"/>
          <w:color w:val="auto"/>
          <w:szCs w:val="20"/>
        </w:rPr>
        <w:t xml:space="preserve"> reflecting their role as the sector regulator</w:t>
      </w:r>
      <w:r w:rsidRPr="003E0004">
        <w:rPr>
          <w:rFonts w:ascii="Arial" w:hAnsi="Arial" w:cs="Arial"/>
          <w:color w:val="auto"/>
          <w:szCs w:val="20"/>
        </w:rPr>
        <w:t xml:space="preserve">. </w:t>
      </w:r>
      <w:r>
        <w:rPr>
          <w:rFonts w:ascii="Arial" w:hAnsi="Arial" w:cs="Arial"/>
          <w:color w:val="auto"/>
          <w:szCs w:val="20"/>
        </w:rPr>
        <w:t xml:space="preserve"> </w:t>
      </w:r>
      <w:r w:rsidRPr="003E0004">
        <w:rPr>
          <w:rFonts w:ascii="Arial" w:hAnsi="Arial" w:cs="Arial"/>
          <w:color w:val="auto"/>
          <w:szCs w:val="20"/>
        </w:rPr>
        <w:t>TSV may be required to change processes and provide guidance to accredited and registered operators on the incremental changes under the proposed regulations, including the introduction of record keeping for registered operators, new incident reporting scheme and categories,</w:t>
      </w:r>
      <w:r>
        <w:rPr>
          <w:rFonts w:ascii="Arial" w:hAnsi="Arial" w:cs="Arial"/>
          <w:color w:val="auto"/>
          <w:szCs w:val="20"/>
        </w:rPr>
        <w:t xml:space="preserve"> and</w:t>
      </w:r>
      <w:r w:rsidRPr="003E0004">
        <w:rPr>
          <w:rFonts w:ascii="Arial" w:hAnsi="Arial" w:cs="Arial"/>
          <w:color w:val="auto"/>
          <w:szCs w:val="20"/>
        </w:rPr>
        <w:t xml:space="preserve"> new signage requirements. </w:t>
      </w:r>
      <w:r>
        <w:rPr>
          <w:rFonts w:ascii="Arial" w:hAnsi="Arial" w:cs="Arial"/>
          <w:color w:val="auto"/>
          <w:szCs w:val="20"/>
        </w:rPr>
        <w:t xml:space="preserve">Any changes or guidance provided will be made after the proposed regulations are approved </w:t>
      </w:r>
      <w:r w:rsidR="000C23C9">
        <w:rPr>
          <w:rFonts w:ascii="Arial" w:hAnsi="Arial" w:cs="Arial"/>
          <w:color w:val="auto"/>
          <w:szCs w:val="20"/>
        </w:rPr>
        <w:t>and</w:t>
      </w:r>
      <w:r>
        <w:rPr>
          <w:rFonts w:ascii="Arial" w:hAnsi="Arial" w:cs="Arial"/>
          <w:color w:val="auto"/>
          <w:szCs w:val="20"/>
        </w:rPr>
        <w:t xml:space="preserve"> prior to commencement of the proposed regulations. </w:t>
      </w:r>
    </w:p>
    <w:bookmarkEnd w:id="137"/>
    <w:p w14:paraId="55FDBEEB" w14:textId="77777777" w:rsidR="00E628B3" w:rsidRPr="000B31F2" w:rsidRDefault="00E628B3" w:rsidP="00E628B3">
      <w:pPr>
        <w:rPr>
          <w:rFonts w:ascii="Arial" w:hAnsi="Arial" w:cs="Arial"/>
          <w:color w:val="auto"/>
          <w:szCs w:val="20"/>
        </w:rPr>
      </w:pPr>
      <w:r>
        <w:rPr>
          <w:rFonts w:ascii="Arial" w:hAnsi="Arial" w:cs="Arial"/>
          <w:color w:val="auto"/>
          <w:szCs w:val="20"/>
        </w:rPr>
        <w:t>A</w:t>
      </w:r>
      <w:r w:rsidRPr="000B31F2">
        <w:rPr>
          <w:rFonts w:ascii="Arial" w:hAnsi="Arial" w:cs="Arial"/>
          <w:color w:val="auto"/>
          <w:szCs w:val="20"/>
        </w:rPr>
        <w:t xml:space="preserve">n evaluation of the proposed regulations will </w:t>
      </w:r>
      <w:r>
        <w:rPr>
          <w:rFonts w:ascii="Arial" w:hAnsi="Arial" w:cs="Arial"/>
          <w:color w:val="auto"/>
          <w:szCs w:val="20"/>
        </w:rPr>
        <w:t>assess whether</w:t>
      </w:r>
      <w:r w:rsidRPr="00505EF0">
        <w:rPr>
          <w:rFonts w:ascii="Arial" w:hAnsi="Arial" w:cs="Arial"/>
          <w:color w:val="auto"/>
          <w:szCs w:val="20"/>
        </w:rPr>
        <w:t xml:space="preserve"> the proposed regulations are the appropriate intervention to meet their identified objectives</w:t>
      </w:r>
      <w:r>
        <w:rPr>
          <w:rFonts w:ascii="Arial" w:hAnsi="Arial" w:cs="Arial"/>
          <w:color w:val="auto"/>
          <w:szCs w:val="20"/>
        </w:rPr>
        <w:t xml:space="preserve">. </w:t>
      </w:r>
      <w:r w:rsidRPr="00E74270">
        <w:rPr>
          <w:rFonts w:ascii="Arial" w:hAnsi="Arial" w:cs="Arial"/>
          <w:color w:val="auto"/>
          <w:szCs w:val="20"/>
        </w:rPr>
        <w:t>The evaluation of the proposed regulations will be assessed against the objectives of the Bus Safety Act</w:t>
      </w:r>
      <w:r>
        <w:rPr>
          <w:rFonts w:ascii="Arial" w:hAnsi="Arial" w:cs="Arial"/>
          <w:color w:val="auto"/>
          <w:szCs w:val="20"/>
        </w:rPr>
        <w:t xml:space="preserve"> and</w:t>
      </w:r>
      <w:r w:rsidRPr="00E74270">
        <w:rPr>
          <w:rFonts w:ascii="Arial" w:hAnsi="Arial" w:cs="Arial"/>
          <w:color w:val="auto"/>
          <w:szCs w:val="20"/>
        </w:rPr>
        <w:t xml:space="preserve"> </w:t>
      </w:r>
      <w:r>
        <w:rPr>
          <w:rFonts w:ascii="Arial" w:hAnsi="Arial" w:cs="Arial"/>
          <w:color w:val="auto"/>
          <w:szCs w:val="20"/>
        </w:rPr>
        <w:t xml:space="preserve">will need to consider the </w:t>
      </w:r>
      <w:r w:rsidRPr="000B31F2">
        <w:rPr>
          <w:rFonts w:ascii="Arial" w:hAnsi="Arial" w:cs="Arial"/>
          <w:color w:val="auto"/>
          <w:szCs w:val="20"/>
        </w:rPr>
        <w:t xml:space="preserve">performance </w:t>
      </w:r>
      <w:r>
        <w:rPr>
          <w:rFonts w:ascii="Arial" w:hAnsi="Arial" w:cs="Arial"/>
          <w:color w:val="auto"/>
          <w:szCs w:val="20"/>
        </w:rPr>
        <w:t xml:space="preserve">of the </w:t>
      </w:r>
      <w:r w:rsidRPr="000B31F2">
        <w:rPr>
          <w:rFonts w:ascii="Arial" w:hAnsi="Arial" w:cs="Arial"/>
          <w:color w:val="auto"/>
          <w:szCs w:val="20"/>
        </w:rPr>
        <w:t xml:space="preserve">bus services industry, including bus operators, bus drivers, passengers and the broader community generally. </w:t>
      </w:r>
    </w:p>
    <w:p w14:paraId="029223F4" w14:textId="38A0CB94" w:rsidR="00E628B3" w:rsidRDefault="00E628B3" w:rsidP="00E628B3">
      <w:pPr>
        <w:rPr>
          <w:rFonts w:ascii="Arial" w:hAnsi="Arial" w:cs="Arial"/>
          <w:color w:val="auto"/>
          <w:szCs w:val="20"/>
        </w:rPr>
      </w:pPr>
      <w:r>
        <w:rPr>
          <w:rFonts w:ascii="Arial" w:hAnsi="Arial" w:cs="Arial"/>
          <w:color w:val="auto"/>
          <w:szCs w:val="20"/>
        </w:rPr>
        <w:t>The evaluation will be informed by current data available in relation to data on safety outcomes in the bus industry, bus safety incidence and other compliance, investigative and enforcement activities conducted by the regulator. TSV is able to collect information and data through safety audits, vehicles in</w:t>
      </w:r>
      <w:r w:rsidR="000C23C9">
        <w:rPr>
          <w:rFonts w:ascii="Arial" w:hAnsi="Arial" w:cs="Arial"/>
          <w:color w:val="auto"/>
          <w:szCs w:val="20"/>
        </w:rPr>
        <w:t>s</w:t>
      </w:r>
      <w:r>
        <w:rPr>
          <w:rFonts w:ascii="Arial" w:hAnsi="Arial" w:cs="Arial"/>
          <w:color w:val="auto"/>
          <w:szCs w:val="20"/>
        </w:rPr>
        <w:t>p</w:t>
      </w:r>
      <w:r w:rsidR="000C23C9">
        <w:rPr>
          <w:rFonts w:ascii="Arial" w:hAnsi="Arial" w:cs="Arial"/>
          <w:color w:val="auto"/>
          <w:szCs w:val="20"/>
        </w:rPr>
        <w:t>ec</w:t>
      </w:r>
      <w:r>
        <w:rPr>
          <w:rFonts w:ascii="Arial" w:hAnsi="Arial" w:cs="Arial"/>
          <w:color w:val="auto"/>
          <w:szCs w:val="20"/>
        </w:rPr>
        <w:t>tions and investigation</w:t>
      </w:r>
      <w:r w:rsidR="000C23C9">
        <w:rPr>
          <w:rFonts w:ascii="Arial" w:hAnsi="Arial" w:cs="Arial"/>
          <w:color w:val="auto"/>
          <w:szCs w:val="20"/>
        </w:rPr>
        <w:t>s</w:t>
      </w:r>
      <w:r>
        <w:rPr>
          <w:rFonts w:ascii="Arial" w:hAnsi="Arial" w:cs="Arial"/>
          <w:color w:val="auto"/>
          <w:szCs w:val="20"/>
        </w:rPr>
        <w:t xml:space="preserve"> arising from incident</w:t>
      </w:r>
      <w:r w:rsidR="000C23C9">
        <w:rPr>
          <w:rFonts w:ascii="Arial" w:hAnsi="Arial" w:cs="Arial"/>
          <w:color w:val="auto"/>
          <w:szCs w:val="20"/>
        </w:rPr>
        <w:t>s</w:t>
      </w:r>
      <w:r>
        <w:rPr>
          <w:rFonts w:ascii="Arial" w:hAnsi="Arial" w:cs="Arial"/>
          <w:color w:val="auto"/>
          <w:szCs w:val="20"/>
        </w:rPr>
        <w:t xml:space="preserve"> notified to the regulator. </w:t>
      </w:r>
      <w:r w:rsidR="0030689D">
        <w:rPr>
          <w:rFonts w:ascii="Arial" w:hAnsi="Arial" w:cs="Arial"/>
          <w:color w:val="auto"/>
          <w:szCs w:val="20"/>
        </w:rPr>
        <w:t xml:space="preserve">However, </w:t>
      </w:r>
      <w:r>
        <w:rPr>
          <w:rFonts w:ascii="Arial" w:hAnsi="Arial" w:cs="Arial"/>
          <w:color w:val="auto"/>
          <w:szCs w:val="20"/>
        </w:rPr>
        <w:t>DoT</w:t>
      </w:r>
      <w:r w:rsidR="0030689D">
        <w:rPr>
          <w:rFonts w:ascii="Arial" w:hAnsi="Arial" w:cs="Arial"/>
          <w:color w:val="auto"/>
          <w:szCs w:val="20"/>
        </w:rPr>
        <w:t xml:space="preserve"> </w:t>
      </w:r>
      <w:r>
        <w:rPr>
          <w:rFonts w:ascii="Arial" w:hAnsi="Arial" w:cs="Arial"/>
          <w:color w:val="auto"/>
          <w:szCs w:val="20"/>
        </w:rPr>
        <w:t xml:space="preserve">notes that in the development of the proposed Regulations and this RIS, there have been some difficulties with accessing and gaining insight from the data for the purposes of this RIS. </w:t>
      </w:r>
      <w:r w:rsidRPr="000F4CE8">
        <w:rPr>
          <w:rFonts w:ascii="Arial" w:hAnsi="Arial" w:cs="Arial"/>
          <w:color w:val="auto"/>
          <w:szCs w:val="20"/>
        </w:rPr>
        <w:t>DoT will consider investigating opportunities to ensure that these limitations are addressed</w:t>
      </w:r>
      <w:r>
        <w:rPr>
          <w:rFonts w:ascii="Arial" w:hAnsi="Arial" w:cs="Arial"/>
          <w:color w:val="auto"/>
          <w:szCs w:val="20"/>
        </w:rPr>
        <w:t xml:space="preserve"> for future regulatory reviews.</w:t>
      </w:r>
    </w:p>
    <w:p w14:paraId="3B79EE4E" w14:textId="0BAED1D9" w:rsidR="00E628B3" w:rsidRDefault="00E628B3" w:rsidP="00E628B3">
      <w:pPr>
        <w:rPr>
          <w:rFonts w:ascii="Arial" w:hAnsi="Arial" w:cs="Arial"/>
          <w:color w:val="auto"/>
          <w:szCs w:val="20"/>
        </w:rPr>
      </w:pPr>
      <w:r>
        <w:rPr>
          <w:rFonts w:ascii="Arial" w:hAnsi="Arial" w:cs="Arial"/>
          <w:color w:val="auto"/>
          <w:szCs w:val="20"/>
        </w:rPr>
        <w:t>Key performance indicators for the evaluation strategy will include the trends in bus</w:t>
      </w:r>
      <w:r w:rsidR="005A62BB">
        <w:rPr>
          <w:rFonts w:ascii="Arial" w:hAnsi="Arial" w:cs="Arial"/>
          <w:color w:val="auto"/>
          <w:szCs w:val="20"/>
        </w:rPr>
        <w:t>-</w:t>
      </w:r>
      <w:r>
        <w:rPr>
          <w:rFonts w:ascii="Arial" w:hAnsi="Arial" w:cs="Arial"/>
          <w:color w:val="auto"/>
          <w:szCs w:val="20"/>
        </w:rPr>
        <w:t xml:space="preserve">related death, injuries and incidents from bus operations. </w:t>
      </w:r>
      <w:bookmarkStart w:id="154" w:name="_Toc42262304"/>
      <w:r>
        <w:rPr>
          <w:rFonts w:ascii="Arial" w:hAnsi="Arial" w:cs="Arial"/>
          <w:color w:val="auto"/>
          <w:szCs w:val="20"/>
        </w:rPr>
        <w:t xml:space="preserve">The evaluation should also consider industry innovation in managing bus safety risks and the interplay of various intervention available to government, such as code of practice and education campaigns.  </w:t>
      </w:r>
    </w:p>
    <w:p w14:paraId="4FB7F5B0" w14:textId="77777777" w:rsidR="00E628B3" w:rsidRPr="000B31F2" w:rsidRDefault="00E628B3" w:rsidP="00E628B3">
      <w:pPr>
        <w:rPr>
          <w:rFonts w:ascii="Arial" w:hAnsi="Arial" w:cs="Arial"/>
          <w:color w:val="auto"/>
          <w:szCs w:val="20"/>
        </w:rPr>
      </w:pPr>
      <w:r>
        <w:rPr>
          <w:rFonts w:ascii="Arial" w:hAnsi="Arial" w:cs="Arial"/>
          <w:color w:val="auto"/>
          <w:szCs w:val="20"/>
        </w:rPr>
        <w:t>DoT</w:t>
      </w:r>
      <w:r w:rsidRPr="000B31F2">
        <w:rPr>
          <w:rFonts w:ascii="Arial" w:hAnsi="Arial" w:cs="Arial"/>
          <w:color w:val="auto"/>
          <w:szCs w:val="20"/>
        </w:rPr>
        <w:t xml:space="preserve"> will </w:t>
      </w:r>
      <w:r>
        <w:rPr>
          <w:rFonts w:ascii="Arial" w:hAnsi="Arial" w:cs="Arial"/>
          <w:color w:val="auto"/>
          <w:szCs w:val="20"/>
        </w:rPr>
        <w:t>evaluate</w:t>
      </w:r>
      <w:r w:rsidRPr="000B31F2">
        <w:rPr>
          <w:rFonts w:ascii="Arial" w:hAnsi="Arial" w:cs="Arial"/>
          <w:color w:val="auto"/>
          <w:szCs w:val="20"/>
        </w:rPr>
        <w:t xml:space="preserve"> the effectiveness and the operation of the proposed regulations before the sunset date of the proposed regulations (i.e. ten years from the date of making). This would commence approximately 12 to 18 months before the expiry of the proposed Regulations in 2030. </w:t>
      </w:r>
    </w:p>
    <w:p w14:paraId="5F593920" w14:textId="77777777" w:rsidR="00E628B3" w:rsidRDefault="00E628B3" w:rsidP="00E628B3">
      <w:pPr>
        <w:rPr>
          <w:rFonts w:ascii="Arial" w:hAnsi="Arial" w:cs="Arial"/>
          <w:color w:val="auto"/>
          <w:szCs w:val="20"/>
        </w:rPr>
      </w:pPr>
      <w:r>
        <w:rPr>
          <w:rFonts w:ascii="Arial" w:hAnsi="Arial" w:cs="Arial"/>
          <w:color w:val="auto"/>
          <w:szCs w:val="20"/>
        </w:rPr>
        <w:t>Having identified several factors that may affect the cost of bus safety regulation</w:t>
      </w:r>
      <w:r w:rsidRPr="000B31F2">
        <w:rPr>
          <w:rFonts w:ascii="Arial" w:hAnsi="Arial" w:cs="Arial"/>
          <w:color w:val="auto"/>
          <w:szCs w:val="20"/>
        </w:rPr>
        <w:t>, DoT is committing to undertaking a full review of</w:t>
      </w:r>
      <w:r>
        <w:rPr>
          <w:rFonts w:ascii="Arial" w:hAnsi="Arial" w:cs="Arial"/>
          <w:color w:val="auto"/>
          <w:szCs w:val="20"/>
        </w:rPr>
        <w:t xml:space="preserve"> regulatory</w:t>
      </w:r>
      <w:r w:rsidRPr="000B31F2">
        <w:rPr>
          <w:rFonts w:ascii="Arial" w:hAnsi="Arial" w:cs="Arial"/>
          <w:color w:val="auto"/>
          <w:szCs w:val="20"/>
        </w:rPr>
        <w:t xml:space="preserve"> fees within three</w:t>
      </w:r>
      <w:r>
        <w:rPr>
          <w:rFonts w:ascii="Arial" w:hAnsi="Arial" w:cs="Arial"/>
          <w:color w:val="auto"/>
          <w:szCs w:val="20"/>
        </w:rPr>
        <w:t xml:space="preserve"> to five</w:t>
      </w:r>
      <w:r w:rsidRPr="000B31F2">
        <w:rPr>
          <w:rFonts w:ascii="Arial" w:hAnsi="Arial" w:cs="Arial"/>
          <w:color w:val="auto"/>
          <w:szCs w:val="20"/>
        </w:rPr>
        <w:t xml:space="preserve"> years of the commencement of the proposed Regulations. </w:t>
      </w:r>
    </w:p>
    <w:bookmarkEnd w:id="154"/>
    <w:p w14:paraId="2DC394FE" w14:textId="4CB52695" w:rsidR="0015211E" w:rsidRDefault="00E628B3" w:rsidP="00495B7D">
      <w:pPr>
        <w:rPr>
          <w:rFonts w:asciiTheme="majorHAnsi" w:eastAsiaTheme="majorEastAsia" w:hAnsiTheme="majorHAnsi" w:cstheme="majorBidi"/>
          <w:color w:val="16A3A7"/>
          <w:sz w:val="40"/>
          <w:szCs w:val="32"/>
        </w:rPr>
      </w:pPr>
      <w:r>
        <w:rPr>
          <w:rFonts w:ascii="Arial" w:hAnsi="Arial" w:cs="Arial"/>
          <w:color w:val="auto"/>
          <w:szCs w:val="20"/>
        </w:rPr>
        <w:t xml:space="preserve">In the preparation of this RIS and draft proposed regulations, </w:t>
      </w:r>
      <w:r w:rsidRPr="00D66561">
        <w:rPr>
          <w:rFonts w:ascii="Arial" w:hAnsi="Arial" w:cs="Arial"/>
          <w:color w:val="auto"/>
          <w:szCs w:val="20"/>
        </w:rPr>
        <w:t xml:space="preserve">DoT consulted with </w:t>
      </w:r>
      <w:r>
        <w:rPr>
          <w:rFonts w:ascii="Arial" w:hAnsi="Arial" w:cs="Arial"/>
          <w:color w:val="auto"/>
          <w:szCs w:val="20"/>
        </w:rPr>
        <w:t xml:space="preserve">several </w:t>
      </w:r>
      <w:r w:rsidRPr="00D66561">
        <w:rPr>
          <w:rFonts w:ascii="Arial" w:hAnsi="Arial" w:cs="Arial"/>
          <w:color w:val="auto"/>
          <w:szCs w:val="20"/>
        </w:rPr>
        <w:t>stakeholders</w:t>
      </w:r>
      <w:r>
        <w:rPr>
          <w:rFonts w:ascii="Arial" w:hAnsi="Arial" w:cs="Arial"/>
          <w:color w:val="auto"/>
          <w:szCs w:val="20"/>
        </w:rPr>
        <w:t xml:space="preserve">, including </w:t>
      </w:r>
      <w:r w:rsidR="003A05A6">
        <w:rPr>
          <w:rFonts w:ascii="Arial" w:hAnsi="Arial" w:cs="Arial"/>
          <w:color w:val="auto"/>
          <w:szCs w:val="20"/>
        </w:rPr>
        <w:t>TSV</w:t>
      </w:r>
      <w:r>
        <w:rPr>
          <w:rFonts w:ascii="Arial" w:hAnsi="Arial" w:cs="Arial"/>
          <w:color w:val="auto"/>
          <w:szCs w:val="20"/>
        </w:rPr>
        <w:t xml:space="preserve">, as the sector regulator, </w:t>
      </w:r>
      <w:r w:rsidRPr="00011904">
        <w:rPr>
          <w:rFonts w:ascii="Arial" w:hAnsi="Arial" w:cs="Arial"/>
          <w:color w:val="auto"/>
          <w:szCs w:val="20"/>
        </w:rPr>
        <w:t>Road Safety Victoria</w:t>
      </w:r>
      <w:r>
        <w:rPr>
          <w:rFonts w:ascii="Arial" w:hAnsi="Arial" w:cs="Arial"/>
          <w:color w:val="auto"/>
          <w:szCs w:val="20"/>
        </w:rPr>
        <w:t xml:space="preserve">, in relation to vehicle </w:t>
      </w:r>
      <w:r>
        <w:rPr>
          <w:rFonts w:ascii="Arial" w:hAnsi="Arial" w:cs="Arial"/>
          <w:color w:val="auto"/>
          <w:szCs w:val="20"/>
        </w:rPr>
        <w:lastRenderedPageBreak/>
        <w:t xml:space="preserve">standards and the requirements of the Road Safety Act, the Bus Association Victoria, as a representative of the industry and bus operators. </w:t>
      </w:r>
    </w:p>
    <w:p w14:paraId="0EF97219" w14:textId="77777777" w:rsidR="00495B7D" w:rsidRDefault="00495B7D">
      <w:pPr>
        <w:spacing w:before="0" w:after="0"/>
        <w:rPr>
          <w:rFonts w:asciiTheme="majorHAnsi" w:eastAsiaTheme="majorEastAsia" w:hAnsiTheme="majorHAnsi" w:cstheme="majorBidi"/>
          <w:color w:val="16A3A7"/>
          <w:sz w:val="40"/>
          <w:szCs w:val="32"/>
        </w:rPr>
      </w:pPr>
      <w:bookmarkStart w:id="155" w:name="_Toc32909768"/>
      <w:r>
        <w:br w:type="page"/>
      </w:r>
    </w:p>
    <w:p w14:paraId="125133E7" w14:textId="13A3D39A" w:rsidR="00AC668B" w:rsidRPr="00121A3F" w:rsidRDefault="0046269B" w:rsidP="00193A82">
      <w:pPr>
        <w:pStyle w:val="Heading1"/>
      </w:pPr>
      <w:bookmarkStart w:id="156" w:name="_Toc45704322"/>
      <w:r>
        <w:lastRenderedPageBreak/>
        <w:t>Background</w:t>
      </w:r>
      <w:bookmarkEnd w:id="155"/>
      <w:bookmarkEnd w:id="156"/>
    </w:p>
    <w:p w14:paraId="4071F4E4" w14:textId="00D7E2AF" w:rsidR="008F6B7D" w:rsidRPr="004E6414" w:rsidRDefault="0046269B" w:rsidP="00AF1E95">
      <w:pPr>
        <w:pStyle w:val="Heading2"/>
      </w:pPr>
      <w:bookmarkStart w:id="157" w:name="_Toc32909769"/>
      <w:bookmarkStart w:id="158" w:name="_Toc45704323"/>
      <w:r>
        <w:t>Introduction</w:t>
      </w:r>
      <w:bookmarkEnd w:id="157"/>
      <w:bookmarkEnd w:id="158"/>
    </w:p>
    <w:p w14:paraId="23B45407" w14:textId="05EE3066" w:rsidR="0046269B" w:rsidRDefault="0046269B" w:rsidP="0046269B">
      <w:r>
        <w:t xml:space="preserve">The </w:t>
      </w:r>
      <w:r w:rsidRPr="00675BE0">
        <w:rPr>
          <w:i/>
        </w:rPr>
        <w:t>Bus Safety Act 2009</w:t>
      </w:r>
      <w:r>
        <w:t xml:space="preserve"> commenced December 2010 and brought together a range of regulatory provisions in relation to bus safety into a single dedicated </w:t>
      </w:r>
      <w:r w:rsidR="00AC309C">
        <w:t>Act</w:t>
      </w:r>
      <w:r>
        <w:t>.</w:t>
      </w:r>
      <w:r w:rsidR="00E51384">
        <w:t xml:space="preserve"> The </w:t>
      </w:r>
      <w:r w:rsidR="00803EBD">
        <w:t>Bus Safety Act</w:t>
      </w:r>
      <w:r w:rsidR="00F209A8">
        <w:t xml:space="preserve"> </w:t>
      </w:r>
      <w:r w:rsidR="00E51384">
        <w:t xml:space="preserve">is the prime </w:t>
      </w:r>
      <w:r w:rsidR="00B92F22">
        <w:t>statu</w:t>
      </w:r>
      <w:r w:rsidR="00FC5EA1">
        <w:t>t</w:t>
      </w:r>
      <w:r w:rsidR="00B92F22">
        <w:t>e</w:t>
      </w:r>
      <w:r w:rsidR="00E51384">
        <w:t xml:space="preserve"> </w:t>
      </w:r>
      <w:r w:rsidR="00B92F22">
        <w:t>regulating</w:t>
      </w:r>
      <w:r w:rsidR="00E51384">
        <w:t xml:space="preserve"> the safety of bus operations across the State.</w:t>
      </w:r>
      <w:r w:rsidR="003E1250">
        <w:t xml:space="preserve"> The purpose of the </w:t>
      </w:r>
      <w:r w:rsidR="00803EBD">
        <w:t xml:space="preserve">Bus Safety Act </w:t>
      </w:r>
      <w:r w:rsidR="00C839B7">
        <w:t>is</w:t>
      </w:r>
      <w:r w:rsidR="003E1250">
        <w:t xml:space="preserve"> to </w:t>
      </w:r>
      <w:r w:rsidR="00F22D0E">
        <w:t>prevent</w:t>
      </w:r>
      <w:r w:rsidR="003E1250">
        <w:t xml:space="preserve"> deaths and injuries arising from bus operations and servic</w:t>
      </w:r>
      <w:r w:rsidR="00E82DD8">
        <w:t>es</w:t>
      </w:r>
      <w:r w:rsidR="003E1250">
        <w:t xml:space="preserve"> by facilitating better hazard identification and better risk management. </w:t>
      </w:r>
    </w:p>
    <w:p w14:paraId="0D743468" w14:textId="596A6A3C" w:rsidR="008E0259" w:rsidRDefault="00F22D0E" w:rsidP="008E0259">
      <w:pPr>
        <w:spacing w:after="0" w:line="240" w:lineRule="atLeast"/>
        <w:jc w:val="both"/>
      </w:pPr>
      <w:r>
        <w:t xml:space="preserve">The </w:t>
      </w:r>
      <w:r w:rsidR="003A2F6F">
        <w:t>Bus Safety Act</w:t>
      </w:r>
      <w:r>
        <w:t xml:space="preserve"> </w:t>
      </w:r>
      <w:r w:rsidR="00C564B1">
        <w:t>is</w:t>
      </w:r>
      <w:r>
        <w:t xml:space="preserve"> part of a </w:t>
      </w:r>
      <w:r w:rsidR="00EE2068">
        <w:t>broader</w:t>
      </w:r>
      <w:r>
        <w:t xml:space="preserve"> transport legislation reform program</w:t>
      </w:r>
      <w:r w:rsidR="00945754">
        <w:t xml:space="preserve">. The </w:t>
      </w:r>
      <w:r w:rsidR="00945754" w:rsidRPr="00675BE0">
        <w:rPr>
          <w:i/>
        </w:rPr>
        <w:t>Transport Integration Act 2010</w:t>
      </w:r>
      <w:r w:rsidR="00945754">
        <w:t xml:space="preserve"> provides the overarching policy </w:t>
      </w:r>
      <w:r w:rsidR="00EE2068">
        <w:t>framework</w:t>
      </w:r>
      <w:r w:rsidR="00945754">
        <w:t xml:space="preserve"> for the program </w:t>
      </w:r>
      <w:r w:rsidR="00821554">
        <w:t>aimed a</w:t>
      </w:r>
      <w:r w:rsidR="00945754">
        <w:t xml:space="preserve">t </w:t>
      </w:r>
      <w:r w:rsidR="00EE2068">
        <w:t>modernising</w:t>
      </w:r>
      <w:r w:rsidR="00945754">
        <w:t xml:space="preserve"> transport safety regulation. </w:t>
      </w:r>
    </w:p>
    <w:p w14:paraId="1051EFBB" w14:textId="141D7597" w:rsidR="008E0259" w:rsidRPr="008E0259" w:rsidRDefault="008E0259" w:rsidP="008E0259">
      <w:pPr>
        <w:spacing w:after="0" w:line="240" w:lineRule="atLeast"/>
        <w:jc w:val="both"/>
      </w:pPr>
      <w:r w:rsidRPr="008E0259">
        <w:t xml:space="preserve">Before the </w:t>
      </w:r>
      <w:r w:rsidR="003A2F6F">
        <w:t>Bus Safety Act</w:t>
      </w:r>
      <w:r w:rsidRPr="008E0259">
        <w:t xml:space="preserve">, bus safety in Victoria was regulated by an operator </w:t>
      </w:r>
      <w:hyperlink r:id="rId17" w:tooltip="Accreditation" w:history="1">
        <w:r w:rsidRPr="008E0259">
          <w:t>accreditation</w:t>
        </w:r>
      </w:hyperlink>
      <w:r w:rsidRPr="008E0259">
        <w:t xml:space="preserve"> scheme in the former </w:t>
      </w:r>
      <w:r w:rsidRPr="00706E1C">
        <w:rPr>
          <w:i/>
        </w:rPr>
        <w:t>Public Transport Competition Act 1995</w:t>
      </w:r>
      <w:r w:rsidR="00706E1C">
        <w:t xml:space="preserve"> and</w:t>
      </w:r>
      <w:r w:rsidRPr="008E0259">
        <w:t xml:space="preserve"> by miscellaneous prescriptive offences in the</w:t>
      </w:r>
      <w:r w:rsidR="007C3BBB">
        <w:t xml:space="preserve"> former</w:t>
      </w:r>
      <w:r w:rsidRPr="008E0259">
        <w:t xml:space="preserve"> Transport (Passenger Vehicles) Regulations 2005.</w:t>
      </w:r>
      <w:r w:rsidR="00FE241F">
        <w:t xml:space="preserve"> T</w:t>
      </w:r>
      <w:r w:rsidRPr="008E0259">
        <w:t xml:space="preserve">he </w:t>
      </w:r>
      <w:r w:rsidR="00803EBD">
        <w:t>Bus Safety Act</w:t>
      </w:r>
      <w:r w:rsidRPr="008E0259">
        <w:t xml:space="preserve"> was developed to replace an outmoded and inadequate bus safety regulatory regime, to address a perceived increase in safety risks associated with expanding bus operations and to cover sectors of the industry (such as mini-bus services) that were not yet regulated for safety.  </w:t>
      </w:r>
    </w:p>
    <w:p w14:paraId="326681D8" w14:textId="0DB4AF5A" w:rsidR="008E0259" w:rsidRPr="008E0259" w:rsidRDefault="008E0259" w:rsidP="008E0259">
      <w:pPr>
        <w:spacing w:after="0" w:line="240" w:lineRule="atLeast"/>
        <w:jc w:val="both"/>
      </w:pPr>
      <w:r w:rsidRPr="008E0259">
        <w:t xml:space="preserve">The </w:t>
      </w:r>
      <w:r w:rsidR="003A2F6F">
        <w:t>Bus Safety Act</w:t>
      </w:r>
      <w:r w:rsidRPr="008E0259">
        <w:t xml:space="preserve"> establishe</w:t>
      </w:r>
      <w:r w:rsidR="00104957">
        <w:t>s</w:t>
      </w:r>
      <w:r w:rsidRPr="008E0259">
        <w:t xml:space="preserve"> a regulatory scheme containing policy principles relating to shared responsibility for safety, accountability for managing safety risks, </w:t>
      </w:r>
      <w:hyperlink r:id="rId18" w:tooltip="Enforcement" w:history="1">
        <w:r w:rsidRPr="008E0259">
          <w:t>enforcement</w:t>
        </w:r>
      </w:hyperlink>
      <w:r w:rsidRPr="008E0259">
        <w:t xml:space="preserve"> and </w:t>
      </w:r>
      <w:hyperlink r:id="rId19" w:tooltip="Stakeholder engagement" w:history="1">
        <w:r w:rsidRPr="008E0259">
          <w:t>stakeholder involvement</w:t>
        </w:r>
      </w:hyperlink>
      <w:r w:rsidRPr="008E0259">
        <w:t xml:space="preserve">.  </w:t>
      </w:r>
    </w:p>
    <w:p w14:paraId="21901C0E" w14:textId="67B7CC63" w:rsidR="008E0259" w:rsidRDefault="003E1F59" w:rsidP="008E0259">
      <w:pPr>
        <w:spacing w:after="0" w:line="240" w:lineRule="atLeast"/>
        <w:jc w:val="both"/>
      </w:pPr>
      <w:r>
        <w:t xml:space="preserve">Under the </w:t>
      </w:r>
      <w:r w:rsidR="003A2F6F">
        <w:t>Bus Safety Act</w:t>
      </w:r>
      <w:r>
        <w:t>, b</w:t>
      </w:r>
      <w:r w:rsidR="008E0259" w:rsidRPr="008E0259">
        <w:t>road</w:t>
      </w:r>
      <w:r w:rsidR="00456D94">
        <w:t>-</w:t>
      </w:r>
      <w:r w:rsidR="008E0259" w:rsidRPr="008E0259">
        <w:t xml:space="preserve">based safety duties </w:t>
      </w:r>
      <w:r>
        <w:t xml:space="preserve">apply to all </w:t>
      </w:r>
      <w:r w:rsidR="008E0259" w:rsidRPr="008E0259">
        <w:t xml:space="preserve">bus operators and other parties who have a significant role in providing both commercial and non-commercial bus services. </w:t>
      </w:r>
      <w:r w:rsidR="00AD3669">
        <w:t xml:space="preserve">Regulatory </w:t>
      </w:r>
      <w:r w:rsidR="008E0259" w:rsidRPr="008E0259">
        <w:t xml:space="preserve">control over the operation of large buses </w:t>
      </w:r>
      <w:r w:rsidR="00120E50">
        <w:t xml:space="preserve">has been continued through a more </w:t>
      </w:r>
      <w:r w:rsidR="008E0259" w:rsidRPr="008E0259">
        <w:t xml:space="preserve">streamlined accreditation scheme and safety standards were introduced through a registration scheme for the small, or </w:t>
      </w:r>
      <w:hyperlink r:id="rId20" w:tooltip="Mini-bus" w:history="1">
        <w:r w:rsidR="008E0259" w:rsidRPr="008E0259">
          <w:t>mini-bus</w:t>
        </w:r>
      </w:hyperlink>
      <w:r w:rsidR="008E0259" w:rsidRPr="008E0259">
        <w:t>, sector</w:t>
      </w:r>
      <w:r w:rsidR="00911736">
        <w:t>.</w:t>
      </w:r>
    </w:p>
    <w:p w14:paraId="7F145BCC" w14:textId="7162CEC8" w:rsidR="00D91342" w:rsidRPr="008F6844" w:rsidRDefault="00D91342" w:rsidP="00C27B31">
      <w:pPr>
        <w:spacing w:after="0" w:line="240" w:lineRule="atLeast"/>
        <w:jc w:val="both"/>
      </w:pPr>
      <w:r w:rsidRPr="008F6844">
        <w:t>Bus Safety Victoria (BSV) is the bus safety branch of Transport Safety Victoria (TSV) whose role as</w:t>
      </w:r>
      <w:r w:rsidR="004A30C2">
        <w:t xml:space="preserve"> the</w:t>
      </w:r>
      <w:r w:rsidRPr="008F6844">
        <w:t xml:space="preserve"> regulator derives from the powers and functions of the Safety Director described in </w:t>
      </w:r>
      <w:bookmarkStart w:id="159" w:name="_Toc479080478"/>
      <w:r w:rsidRPr="008F6844">
        <w:t xml:space="preserve">Part 7, </w:t>
      </w:r>
      <w:bookmarkStart w:id="160" w:name="_Toc479080479"/>
      <w:bookmarkEnd w:id="159"/>
      <w:r w:rsidRPr="008F6844">
        <w:t>Division 1</w:t>
      </w:r>
      <w:bookmarkEnd w:id="160"/>
      <w:r w:rsidRPr="008F6844">
        <w:t xml:space="preserve"> of the </w:t>
      </w:r>
      <w:r w:rsidRPr="006B052E">
        <w:rPr>
          <w:i/>
        </w:rPr>
        <w:t>Transport Integration Act 2010</w:t>
      </w:r>
      <w:r w:rsidRPr="008F6844">
        <w:t xml:space="preserve">.  </w:t>
      </w:r>
    </w:p>
    <w:p w14:paraId="77D1E376" w14:textId="2FA680EB" w:rsidR="008F6844" w:rsidRPr="003C26FE" w:rsidRDefault="00C645F1" w:rsidP="003C26FE">
      <w:pPr>
        <w:spacing w:after="0" w:line="240" w:lineRule="atLeast"/>
        <w:jc w:val="both"/>
      </w:pPr>
      <w:r>
        <w:t>The Department of Transport</w:t>
      </w:r>
      <w:r w:rsidR="00575C1D">
        <w:t xml:space="preserve"> (DoT)</w:t>
      </w:r>
      <w:r w:rsidR="008F6844" w:rsidRPr="003C26FE">
        <w:t xml:space="preserve"> has no safety regulatory role</w:t>
      </w:r>
      <w:r w:rsidR="002160A4" w:rsidRPr="003C26FE">
        <w:t xml:space="preserve"> </w:t>
      </w:r>
      <w:r w:rsidR="00995754">
        <w:t xml:space="preserve">with respect to bus services </w:t>
      </w:r>
      <w:r w:rsidR="002160A4" w:rsidRPr="003C26FE">
        <w:t>however it</w:t>
      </w:r>
      <w:r w:rsidR="008F6844" w:rsidRPr="003C26FE">
        <w:t xml:space="preserve"> </w:t>
      </w:r>
      <w:r>
        <w:t>does have a role in</w:t>
      </w:r>
      <w:r w:rsidR="005C7221">
        <w:t xml:space="preserve"> </w:t>
      </w:r>
      <w:r>
        <w:t xml:space="preserve">managing </w:t>
      </w:r>
      <w:r w:rsidR="00DA44BD">
        <w:t>the delivery of bus services through contracts with a large number of bus companies</w:t>
      </w:r>
      <w:r w:rsidR="00B3716E">
        <w:t xml:space="preserve">. </w:t>
      </w:r>
      <w:r>
        <w:t>The Department</w:t>
      </w:r>
      <w:r w:rsidRPr="003C26FE">
        <w:t xml:space="preserve"> </w:t>
      </w:r>
      <w:r w:rsidR="008F6844" w:rsidRPr="003C26FE">
        <w:t>monitors the contracted passenger services in metropolitan and regional areas through a program of random audits to ensure that they comply with performance targets and service standards.</w:t>
      </w:r>
      <w:r>
        <w:t xml:space="preserve"> The Department also has a role in providing strategic and legislative policy advice to the Minister for Public Transport.</w:t>
      </w:r>
    </w:p>
    <w:p w14:paraId="2C67FFAB" w14:textId="35AFD080" w:rsidR="00CF2193" w:rsidRDefault="00CF2193" w:rsidP="00CF2193">
      <w:pPr>
        <w:pStyle w:val="Heading3"/>
      </w:pPr>
      <w:bookmarkStart w:id="161" w:name="_Toc32909770"/>
      <w:bookmarkStart w:id="162" w:name="_Toc45704324"/>
      <w:r>
        <w:t xml:space="preserve">Bus </w:t>
      </w:r>
      <w:r w:rsidR="0006029D">
        <w:t>s</w:t>
      </w:r>
      <w:r>
        <w:t xml:space="preserve">afety </w:t>
      </w:r>
      <w:r w:rsidR="0006029D">
        <w:t>r</w:t>
      </w:r>
      <w:r>
        <w:t>egulations</w:t>
      </w:r>
      <w:bookmarkEnd w:id="161"/>
      <w:bookmarkEnd w:id="162"/>
    </w:p>
    <w:p w14:paraId="28E04FA4" w14:textId="3BAB27F4" w:rsidR="000215D9" w:rsidRDefault="0046269B" w:rsidP="004E6414">
      <w:r>
        <w:t xml:space="preserve">The Bus Safety Regulations 2010 (the Regulations) commenced at the same time as the </w:t>
      </w:r>
      <w:r w:rsidR="00803EBD">
        <w:t>Bus Safety Act</w:t>
      </w:r>
      <w:r w:rsidR="005A3871">
        <w:t>.</w:t>
      </w:r>
      <w:r w:rsidR="00661C37">
        <w:t xml:space="preserve"> </w:t>
      </w:r>
      <w:r>
        <w:t xml:space="preserve">The objective of the Regulations </w:t>
      </w:r>
      <w:r w:rsidR="00FF045E">
        <w:t xml:space="preserve">is </w:t>
      </w:r>
      <w:r>
        <w:t xml:space="preserve">to provide </w:t>
      </w:r>
      <w:r w:rsidR="00FF045E">
        <w:t>for the sa</w:t>
      </w:r>
      <w:r w:rsidR="007271AA">
        <w:t xml:space="preserve">fety of bus services </w:t>
      </w:r>
      <w:r>
        <w:t xml:space="preserve">in Victoria by giving effect to the key provisions of the </w:t>
      </w:r>
      <w:r w:rsidR="00803EBD">
        <w:t>Bus Safety Act</w:t>
      </w:r>
      <w:r w:rsidR="007271AA">
        <w:t>, including in relation t</w:t>
      </w:r>
      <w:r w:rsidR="000215D9">
        <w:t>o:</w:t>
      </w:r>
    </w:p>
    <w:p w14:paraId="12F08A63" w14:textId="77777777" w:rsidR="000215D9" w:rsidRPr="00024932" w:rsidRDefault="000215D9" w:rsidP="00024932">
      <w:pPr>
        <w:pStyle w:val="ListParagraph"/>
        <w:numPr>
          <w:ilvl w:val="0"/>
          <w:numId w:val="11"/>
        </w:numPr>
        <w:rPr>
          <w:rFonts w:asciiTheme="minorHAnsi" w:eastAsiaTheme="minorHAnsi" w:hAnsiTheme="minorHAnsi" w:cstheme="minorBidi"/>
          <w:color w:val="000000" w:themeColor="text1"/>
          <w:sz w:val="20"/>
          <w:szCs w:val="18"/>
          <w:lang w:eastAsia="en-US"/>
        </w:rPr>
      </w:pPr>
      <w:r w:rsidRPr="00024932">
        <w:rPr>
          <w:rFonts w:asciiTheme="minorHAnsi" w:eastAsiaTheme="minorHAnsi" w:hAnsiTheme="minorHAnsi" w:cstheme="minorBidi"/>
          <w:color w:val="000000" w:themeColor="text1"/>
          <w:sz w:val="20"/>
          <w:szCs w:val="18"/>
          <w:lang w:eastAsia="en-US"/>
        </w:rPr>
        <w:t>bus operations and vehicle requirements</w:t>
      </w:r>
    </w:p>
    <w:p w14:paraId="3234FD96" w14:textId="01AAA700" w:rsidR="000215D9" w:rsidRPr="00024932" w:rsidRDefault="000215D9" w:rsidP="00024932">
      <w:pPr>
        <w:pStyle w:val="ListParagraph"/>
        <w:numPr>
          <w:ilvl w:val="0"/>
          <w:numId w:val="11"/>
        </w:numPr>
        <w:rPr>
          <w:rFonts w:asciiTheme="minorHAnsi" w:eastAsiaTheme="minorHAnsi" w:hAnsiTheme="minorHAnsi" w:cstheme="minorBidi"/>
          <w:color w:val="000000" w:themeColor="text1"/>
          <w:sz w:val="20"/>
          <w:szCs w:val="18"/>
          <w:lang w:eastAsia="en-US"/>
        </w:rPr>
      </w:pPr>
      <w:r w:rsidRPr="00024932">
        <w:rPr>
          <w:rFonts w:asciiTheme="minorHAnsi" w:eastAsiaTheme="minorHAnsi" w:hAnsiTheme="minorHAnsi" w:cstheme="minorBidi"/>
          <w:color w:val="000000" w:themeColor="text1"/>
          <w:sz w:val="20"/>
          <w:szCs w:val="18"/>
          <w:lang w:eastAsia="en-US"/>
        </w:rPr>
        <w:t xml:space="preserve">the accreditation and </w:t>
      </w:r>
      <w:r w:rsidR="009965AF" w:rsidRPr="00024932">
        <w:rPr>
          <w:rFonts w:asciiTheme="minorHAnsi" w:eastAsiaTheme="minorHAnsi" w:hAnsiTheme="minorHAnsi" w:cstheme="minorBidi"/>
          <w:color w:val="000000" w:themeColor="text1"/>
          <w:sz w:val="20"/>
          <w:szCs w:val="18"/>
          <w:lang w:eastAsia="en-US"/>
        </w:rPr>
        <w:t>registration</w:t>
      </w:r>
      <w:r w:rsidRPr="00024932">
        <w:rPr>
          <w:rFonts w:asciiTheme="minorHAnsi" w:eastAsiaTheme="minorHAnsi" w:hAnsiTheme="minorHAnsi" w:cstheme="minorBidi"/>
          <w:color w:val="000000" w:themeColor="text1"/>
          <w:sz w:val="20"/>
          <w:szCs w:val="18"/>
          <w:lang w:eastAsia="en-US"/>
        </w:rPr>
        <w:t xml:space="preserve"> of bus operators</w:t>
      </w:r>
    </w:p>
    <w:p w14:paraId="44997F22" w14:textId="287F2174" w:rsidR="000215D9" w:rsidRPr="00024932" w:rsidRDefault="009965AF" w:rsidP="00024932">
      <w:pPr>
        <w:pStyle w:val="ListParagraph"/>
        <w:numPr>
          <w:ilvl w:val="0"/>
          <w:numId w:val="11"/>
        </w:numPr>
        <w:rPr>
          <w:rFonts w:asciiTheme="minorHAnsi" w:eastAsiaTheme="minorHAnsi" w:hAnsiTheme="minorHAnsi" w:cstheme="minorBidi"/>
          <w:color w:val="000000" w:themeColor="text1"/>
          <w:sz w:val="20"/>
          <w:szCs w:val="18"/>
          <w:lang w:eastAsia="en-US"/>
        </w:rPr>
      </w:pPr>
      <w:r w:rsidRPr="00024932">
        <w:rPr>
          <w:rFonts w:asciiTheme="minorHAnsi" w:eastAsiaTheme="minorHAnsi" w:hAnsiTheme="minorHAnsi" w:cstheme="minorBidi"/>
          <w:color w:val="000000" w:themeColor="text1"/>
          <w:sz w:val="20"/>
          <w:szCs w:val="18"/>
          <w:lang w:eastAsia="en-US"/>
        </w:rPr>
        <w:t>exemptions</w:t>
      </w:r>
      <w:r w:rsidR="000215D9" w:rsidRPr="00024932">
        <w:rPr>
          <w:rFonts w:asciiTheme="minorHAnsi" w:eastAsiaTheme="minorHAnsi" w:hAnsiTheme="minorHAnsi" w:cstheme="minorBidi"/>
          <w:color w:val="000000" w:themeColor="text1"/>
          <w:sz w:val="20"/>
          <w:szCs w:val="18"/>
          <w:lang w:eastAsia="en-US"/>
        </w:rPr>
        <w:t xml:space="preserve"> from designated provisions</w:t>
      </w:r>
    </w:p>
    <w:p w14:paraId="5AF7C0DD" w14:textId="139303D1" w:rsidR="000215D9" w:rsidRPr="00024932" w:rsidRDefault="009965AF" w:rsidP="00024932">
      <w:pPr>
        <w:pStyle w:val="ListParagraph"/>
        <w:numPr>
          <w:ilvl w:val="0"/>
          <w:numId w:val="11"/>
        </w:numPr>
        <w:rPr>
          <w:rFonts w:asciiTheme="minorHAnsi" w:eastAsiaTheme="minorHAnsi" w:hAnsiTheme="minorHAnsi" w:cstheme="minorBidi"/>
          <w:color w:val="000000" w:themeColor="text1"/>
          <w:sz w:val="20"/>
          <w:szCs w:val="18"/>
          <w:lang w:eastAsia="en-US"/>
        </w:rPr>
      </w:pPr>
      <w:r w:rsidRPr="00024932">
        <w:rPr>
          <w:rFonts w:asciiTheme="minorHAnsi" w:eastAsiaTheme="minorHAnsi" w:hAnsiTheme="minorHAnsi" w:cstheme="minorBidi"/>
          <w:color w:val="000000" w:themeColor="text1"/>
          <w:sz w:val="20"/>
          <w:szCs w:val="18"/>
          <w:lang w:eastAsia="en-US"/>
        </w:rPr>
        <w:t>inspections</w:t>
      </w:r>
      <w:r w:rsidR="000215D9" w:rsidRPr="00024932">
        <w:rPr>
          <w:rFonts w:asciiTheme="minorHAnsi" w:eastAsiaTheme="minorHAnsi" w:hAnsiTheme="minorHAnsi" w:cstheme="minorBidi"/>
          <w:color w:val="000000" w:themeColor="text1"/>
          <w:sz w:val="20"/>
          <w:szCs w:val="18"/>
          <w:lang w:eastAsia="en-US"/>
        </w:rPr>
        <w:t xml:space="preserve"> and audits of bus operators</w:t>
      </w:r>
    </w:p>
    <w:p w14:paraId="74B4DD38" w14:textId="4051D998" w:rsidR="009965AF" w:rsidRPr="00024932" w:rsidRDefault="000215D9" w:rsidP="00024932">
      <w:pPr>
        <w:pStyle w:val="ListParagraph"/>
        <w:numPr>
          <w:ilvl w:val="0"/>
          <w:numId w:val="11"/>
        </w:numPr>
        <w:rPr>
          <w:rFonts w:asciiTheme="minorHAnsi" w:eastAsiaTheme="minorHAnsi" w:hAnsiTheme="minorHAnsi" w:cstheme="minorBidi"/>
          <w:color w:val="000000" w:themeColor="text1"/>
          <w:sz w:val="20"/>
          <w:szCs w:val="18"/>
          <w:lang w:eastAsia="en-US"/>
        </w:rPr>
      </w:pPr>
      <w:r w:rsidRPr="00024932">
        <w:rPr>
          <w:rFonts w:asciiTheme="minorHAnsi" w:eastAsiaTheme="minorHAnsi" w:hAnsiTheme="minorHAnsi" w:cstheme="minorBidi"/>
          <w:color w:val="000000" w:themeColor="text1"/>
          <w:sz w:val="20"/>
          <w:szCs w:val="18"/>
          <w:lang w:eastAsia="en-US"/>
        </w:rPr>
        <w:t xml:space="preserve">the </w:t>
      </w:r>
      <w:r w:rsidR="009965AF" w:rsidRPr="00024932">
        <w:rPr>
          <w:rFonts w:asciiTheme="minorHAnsi" w:eastAsiaTheme="minorHAnsi" w:hAnsiTheme="minorHAnsi" w:cstheme="minorBidi"/>
          <w:color w:val="000000" w:themeColor="text1"/>
          <w:sz w:val="20"/>
          <w:szCs w:val="18"/>
          <w:lang w:eastAsia="en-US"/>
        </w:rPr>
        <w:t>investigation</w:t>
      </w:r>
      <w:r w:rsidRPr="00024932">
        <w:rPr>
          <w:rFonts w:asciiTheme="minorHAnsi" w:eastAsiaTheme="minorHAnsi" w:hAnsiTheme="minorHAnsi" w:cstheme="minorBidi"/>
          <w:color w:val="000000" w:themeColor="text1"/>
          <w:sz w:val="20"/>
          <w:szCs w:val="18"/>
          <w:lang w:eastAsia="en-US"/>
        </w:rPr>
        <w:t xml:space="preserve"> of bus incidents.</w:t>
      </w:r>
    </w:p>
    <w:p w14:paraId="67E57B0C" w14:textId="30288DC3" w:rsidR="00FF045E" w:rsidRDefault="00FF045E" w:rsidP="00FE57F6">
      <w:r>
        <w:t>The Regulations are authorised under section</w:t>
      </w:r>
      <w:r w:rsidR="007C0FDC">
        <w:t>s</w:t>
      </w:r>
      <w:r>
        <w:t xml:space="preserve"> 72 to 7</w:t>
      </w:r>
      <w:r w:rsidR="005914BA">
        <w:t>7</w:t>
      </w:r>
      <w:r>
        <w:t xml:space="preserve"> of the </w:t>
      </w:r>
      <w:r w:rsidR="00803EBD">
        <w:t>Bus Safety Act</w:t>
      </w:r>
      <w:r>
        <w:t xml:space="preserve">. </w:t>
      </w:r>
    </w:p>
    <w:p w14:paraId="7CC64D40" w14:textId="77777777" w:rsidR="00125624" w:rsidRDefault="00125624" w:rsidP="00AF1E95">
      <w:pPr>
        <w:pStyle w:val="Heading2"/>
      </w:pPr>
      <w:bookmarkStart w:id="163" w:name="_Toc32909771"/>
      <w:bookmarkStart w:id="164" w:name="_Toc45704325"/>
      <w:r>
        <w:lastRenderedPageBreak/>
        <w:t>Industry profile</w:t>
      </w:r>
      <w:bookmarkEnd w:id="163"/>
      <w:bookmarkEnd w:id="164"/>
    </w:p>
    <w:p w14:paraId="5E8E8476" w14:textId="77777777" w:rsidR="00125624" w:rsidRPr="00CD6E41" w:rsidRDefault="00125624" w:rsidP="00422DF3">
      <w:pPr>
        <w:pStyle w:val="Heading3"/>
      </w:pPr>
      <w:bookmarkStart w:id="165" w:name="_Toc32909772"/>
      <w:bookmarkStart w:id="166" w:name="_Ref41590996"/>
      <w:bookmarkStart w:id="167" w:name="_Toc45704326"/>
      <w:r w:rsidRPr="00CD6E41">
        <w:t>Bus operator types</w:t>
      </w:r>
      <w:bookmarkEnd w:id="165"/>
      <w:bookmarkEnd w:id="166"/>
      <w:bookmarkEnd w:id="167"/>
    </w:p>
    <w:p w14:paraId="1C7C9895" w14:textId="1ED34EAE" w:rsidR="00125624" w:rsidRDefault="00125624" w:rsidP="00125624">
      <w:r w:rsidRPr="00293CBB">
        <w:t>The bus industry in Victoria consists of operators who are required to be accredited or registered</w:t>
      </w:r>
      <w:r>
        <w:t xml:space="preserve"> under the </w:t>
      </w:r>
      <w:r w:rsidR="00803EBD">
        <w:t>Bus Safety Act</w:t>
      </w:r>
      <w:r>
        <w:t>.</w:t>
      </w:r>
    </w:p>
    <w:p w14:paraId="72F64D50" w14:textId="77777777" w:rsidR="00125624" w:rsidRPr="00293CBB" w:rsidRDefault="00125624" w:rsidP="00125624">
      <w:r w:rsidRPr="00293CBB">
        <w:t>Operators who must be accredited by TSV are those providing services for profit using buses built with seating for 13 or more adult passengers (including the driver). These include commercial bus services, such as:</w:t>
      </w:r>
    </w:p>
    <w:p w14:paraId="6E00F750" w14:textId="536B0C9A" w:rsidR="00125624" w:rsidRPr="00024932" w:rsidRDefault="00125624" w:rsidP="00024932">
      <w:pPr>
        <w:pStyle w:val="ListParagraph"/>
        <w:numPr>
          <w:ilvl w:val="0"/>
          <w:numId w:val="11"/>
        </w:numPr>
        <w:rPr>
          <w:rFonts w:asciiTheme="minorHAnsi" w:eastAsiaTheme="minorHAnsi" w:hAnsiTheme="minorHAnsi" w:cstheme="minorBidi"/>
          <w:color w:val="000000" w:themeColor="text1"/>
          <w:sz w:val="20"/>
          <w:szCs w:val="18"/>
          <w:lang w:eastAsia="en-US"/>
        </w:rPr>
      </w:pPr>
      <w:r w:rsidRPr="00024932">
        <w:rPr>
          <w:rFonts w:asciiTheme="minorHAnsi" w:eastAsiaTheme="minorHAnsi" w:hAnsiTheme="minorHAnsi" w:cstheme="minorBidi"/>
          <w:color w:val="000000" w:themeColor="text1"/>
          <w:sz w:val="20"/>
          <w:szCs w:val="18"/>
          <w:lang w:eastAsia="en-US"/>
        </w:rPr>
        <w:t>route bus services</w:t>
      </w:r>
    </w:p>
    <w:p w14:paraId="361C9EA4" w14:textId="77777777" w:rsidR="00125624" w:rsidRPr="00024932" w:rsidRDefault="00125624" w:rsidP="00024932">
      <w:pPr>
        <w:pStyle w:val="ListParagraph"/>
        <w:numPr>
          <w:ilvl w:val="0"/>
          <w:numId w:val="11"/>
        </w:numPr>
        <w:rPr>
          <w:rFonts w:asciiTheme="minorHAnsi" w:eastAsiaTheme="minorHAnsi" w:hAnsiTheme="minorHAnsi" w:cstheme="minorBidi"/>
          <w:color w:val="000000" w:themeColor="text1"/>
          <w:sz w:val="20"/>
          <w:szCs w:val="18"/>
          <w:lang w:eastAsia="en-US"/>
        </w:rPr>
      </w:pPr>
      <w:r w:rsidRPr="00024932">
        <w:rPr>
          <w:rFonts w:asciiTheme="minorHAnsi" w:eastAsiaTheme="minorHAnsi" w:hAnsiTheme="minorHAnsi" w:cstheme="minorBidi"/>
          <w:color w:val="000000" w:themeColor="text1"/>
          <w:sz w:val="20"/>
          <w:szCs w:val="18"/>
          <w:lang w:eastAsia="en-US"/>
        </w:rPr>
        <w:t>demand responsive bus services</w:t>
      </w:r>
    </w:p>
    <w:p w14:paraId="02FEC6AF" w14:textId="77777777" w:rsidR="00125624" w:rsidRPr="00024932" w:rsidRDefault="00125624" w:rsidP="00024932">
      <w:pPr>
        <w:pStyle w:val="ListParagraph"/>
        <w:numPr>
          <w:ilvl w:val="0"/>
          <w:numId w:val="11"/>
        </w:numPr>
        <w:rPr>
          <w:rFonts w:asciiTheme="minorHAnsi" w:eastAsiaTheme="minorHAnsi" w:hAnsiTheme="minorHAnsi" w:cstheme="minorBidi"/>
          <w:color w:val="000000" w:themeColor="text1"/>
          <w:sz w:val="20"/>
          <w:szCs w:val="18"/>
          <w:lang w:eastAsia="en-US"/>
        </w:rPr>
      </w:pPr>
      <w:r w:rsidRPr="00024932">
        <w:rPr>
          <w:rFonts w:asciiTheme="minorHAnsi" w:eastAsiaTheme="minorHAnsi" w:hAnsiTheme="minorHAnsi" w:cstheme="minorBidi"/>
          <w:color w:val="000000" w:themeColor="text1"/>
          <w:sz w:val="20"/>
          <w:szCs w:val="18"/>
          <w:lang w:eastAsia="en-US"/>
        </w:rPr>
        <w:t>tour and charter bus service</w:t>
      </w:r>
    </w:p>
    <w:p w14:paraId="0318D788" w14:textId="77777777" w:rsidR="00125624" w:rsidRPr="00024932" w:rsidRDefault="00125624" w:rsidP="00024932">
      <w:pPr>
        <w:pStyle w:val="ListParagraph"/>
        <w:numPr>
          <w:ilvl w:val="0"/>
          <w:numId w:val="11"/>
        </w:numPr>
        <w:rPr>
          <w:rFonts w:asciiTheme="minorHAnsi" w:eastAsiaTheme="minorHAnsi" w:hAnsiTheme="minorHAnsi" w:cstheme="minorBidi"/>
          <w:color w:val="000000" w:themeColor="text1"/>
          <w:sz w:val="20"/>
          <w:szCs w:val="18"/>
          <w:lang w:eastAsia="en-US"/>
        </w:rPr>
      </w:pPr>
      <w:r w:rsidRPr="00024932">
        <w:rPr>
          <w:rFonts w:asciiTheme="minorHAnsi" w:eastAsiaTheme="minorHAnsi" w:hAnsiTheme="minorHAnsi" w:cstheme="minorBidi"/>
          <w:color w:val="000000" w:themeColor="text1"/>
          <w:sz w:val="20"/>
          <w:szCs w:val="18"/>
          <w:lang w:eastAsia="en-US"/>
        </w:rPr>
        <w:t>courtesy bus services (other than non-commercial courtesy bus service)</w:t>
      </w:r>
    </w:p>
    <w:p w14:paraId="6B113979" w14:textId="77777777" w:rsidR="00125624" w:rsidRPr="00024932" w:rsidRDefault="00125624" w:rsidP="00024932">
      <w:pPr>
        <w:pStyle w:val="ListParagraph"/>
        <w:numPr>
          <w:ilvl w:val="0"/>
          <w:numId w:val="11"/>
        </w:numPr>
        <w:rPr>
          <w:rFonts w:asciiTheme="minorHAnsi" w:eastAsiaTheme="minorHAnsi" w:hAnsiTheme="minorHAnsi" w:cstheme="minorBidi"/>
          <w:color w:val="000000" w:themeColor="text1"/>
          <w:sz w:val="20"/>
          <w:szCs w:val="18"/>
          <w:lang w:eastAsia="en-US"/>
        </w:rPr>
      </w:pPr>
      <w:r w:rsidRPr="00024932">
        <w:rPr>
          <w:rFonts w:asciiTheme="minorHAnsi" w:eastAsiaTheme="minorHAnsi" w:hAnsiTheme="minorHAnsi" w:cstheme="minorBidi"/>
          <w:color w:val="000000" w:themeColor="text1"/>
          <w:sz w:val="20"/>
          <w:szCs w:val="18"/>
          <w:lang w:eastAsia="en-US"/>
        </w:rPr>
        <w:t>local bus services that are operated on a regular basis or subject to demand and are available to the general public at no extra cost.</w:t>
      </w:r>
    </w:p>
    <w:p w14:paraId="0ED6C939" w14:textId="433CA0E1" w:rsidR="00125624" w:rsidRPr="0062325D" w:rsidRDefault="00125624" w:rsidP="00125624">
      <w:r w:rsidRPr="0062325D">
        <w:t xml:space="preserve">The second category is bus operators who are required only to be registered by TSV. These operators deliver either: </w:t>
      </w:r>
    </w:p>
    <w:p w14:paraId="60F23BB0" w14:textId="35881DF5" w:rsidR="00125624" w:rsidRPr="00024932" w:rsidRDefault="00125624" w:rsidP="00024932">
      <w:pPr>
        <w:pStyle w:val="ListParagraph"/>
        <w:numPr>
          <w:ilvl w:val="0"/>
          <w:numId w:val="11"/>
        </w:numPr>
        <w:rPr>
          <w:rFonts w:asciiTheme="minorHAnsi" w:eastAsiaTheme="minorHAnsi" w:hAnsiTheme="minorHAnsi" w:cstheme="minorBidi"/>
          <w:color w:val="000000" w:themeColor="text1"/>
          <w:sz w:val="20"/>
          <w:szCs w:val="18"/>
          <w:lang w:eastAsia="en-US"/>
        </w:rPr>
      </w:pPr>
      <w:r w:rsidRPr="00024932">
        <w:rPr>
          <w:rFonts w:asciiTheme="minorHAnsi" w:eastAsiaTheme="minorHAnsi" w:hAnsiTheme="minorHAnsi" w:cstheme="minorBidi"/>
          <w:color w:val="000000" w:themeColor="text1"/>
          <w:sz w:val="20"/>
          <w:szCs w:val="18"/>
          <w:lang w:eastAsia="en-US"/>
        </w:rPr>
        <w:t xml:space="preserve">commercial mini-bus services wherein the bus operator only uses 10, 11 or 12 seat buses to provide a route bus service. </w:t>
      </w:r>
      <w:r w:rsidR="00737047" w:rsidRPr="00024932">
        <w:rPr>
          <w:rFonts w:asciiTheme="minorHAnsi" w:eastAsiaTheme="minorHAnsi" w:hAnsiTheme="minorHAnsi" w:cstheme="minorBidi"/>
          <w:color w:val="000000" w:themeColor="text1"/>
          <w:sz w:val="20"/>
          <w:szCs w:val="18"/>
          <w:lang w:eastAsia="en-US"/>
        </w:rPr>
        <w:t xml:space="preserve">This </w:t>
      </w:r>
      <w:r w:rsidR="00804F5C" w:rsidRPr="00024932">
        <w:rPr>
          <w:rFonts w:asciiTheme="minorHAnsi" w:eastAsiaTheme="minorHAnsi" w:hAnsiTheme="minorHAnsi" w:cstheme="minorBidi"/>
          <w:color w:val="000000" w:themeColor="text1"/>
          <w:sz w:val="20"/>
          <w:szCs w:val="18"/>
          <w:lang w:eastAsia="en-US"/>
        </w:rPr>
        <w:t>i</w:t>
      </w:r>
      <w:r w:rsidRPr="00024932">
        <w:rPr>
          <w:rFonts w:asciiTheme="minorHAnsi" w:eastAsiaTheme="minorHAnsi" w:hAnsiTheme="minorHAnsi" w:cstheme="minorBidi"/>
          <w:color w:val="000000" w:themeColor="text1"/>
          <w:sz w:val="20"/>
          <w:szCs w:val="18"/>
          <w:lang w:eastAsia="en-US"/>
        </w:rPr>
        <w:t>ncludes:</w:t>
      </w:r>
    </w:p>
    <w:p w14:paraId="47E8C0AE" w14:textId="77777777" w:rsidR="00125624" w:rsidRPr="0029173D" w:rsidRDefault="00125624" w:rsidP="0029173D">
      <w:pPr>
        <w:pStyle w:val="ListBullet"/>
        <w:numPr>
          <w:ilvl w:val="1"/>
          <w:numId w:val="18"/>
        </w:numPr>
        <w:rPr>
          <w:lang w:val="en-US"/>
        </w:rPr>
      </w:pPr>
      <w:r w:rsidRPr="0029173D">
        <w:rPr>
          <w:lang w:val="en-US"/>
        </w:rPr>
        <w:t>route bus services</w:t>
      </w:r>
    </w:p>
    <w:p w14:paraId="4734A2B6" w14:textId="77777777" w:rsidR="00125624" w:rsidRPr="0029173D" w:rsidRDefault="00125624" w:rsidP="0029173D">
      <w:pPr>
        <w:pStyle w:val="ListBullet"/>
        <w:numPr>
          <w:ilvl w:val="1"/>
          <w:numId w:val="18"/>
        </w:numPr>
        <w:rPr>
          <w:lang w:val="en-US"/>
        </w:rPr>
      </w:pPr>
      <w:r w:rsidRPr="0029173D">
        <w:rPr>
          <w:lang w:val="en-US"/>
        </w:rPr>
        <w:t>demand responsive bus services</w:t>
      </w:r>
    </w:p>
    <w:p w14:paraId="4952EF3E" w14:textId="77777777" w:rsidR="00125624" w:rsidRPr="0029173D" w:rsidRDefault="00125624" w:rsidP="0029173D">
      <w:pPr>
        <w:pStyle w:val="ListBullet"/>
        <w:numPr>
          <w:ilvl w:val="1"/>
          <w:numId w:val="18"/>
        </w:numPr>
        <w:rPr>
          <w:lang w:val="en-US"/>
        </w:rPr>
      </w:pPr>
      <w:r w:rsidRPr="0029173D">
        <w:rPr>
          <w:lang w:val="en-US"/>
        </w:rPr>
        <w:t>tour and charter bus services</w:t>
      </w:r>
    </w:p>
    <w:p w14:paraId="0DB0F02C" w14:textId="5C95F72C" w:rsidR="00125624" w:rsidRPr="00024932" w:rsidRDefault="00125624" w:rsidP="00024932">
      <w:pPr>
        <w:pStyle w:val="ListParagraph"/>
        <w:numPr>
          <w:ilvl w:val="0"/>
          <w:numId w:val="11"/>
        </w:numPr>
        <w:rPr>
          <w:rFonts w:asciiTheme="minorHAnsi" w:eastAsiaTheme="minorHAnsi" w:hAnsiTheme="minorHAnsi" w:cstheme="minorBidi"/>
          <w:color w:val="000000" w:themeColor="text1"/>
          <w:sz w:val="20"/>
          <w:szCs w:val="18"/>
          <w:lang w:eastAsia="en-US"/>
        </w:rPr>
      </w:pPr>
      <w:r w:rsidRPr="00024932">
        <w:rPr>
          <w:rFonts w:asciiTheme="minorHAnsi" w:eastAsiaTheme="minorHAnsi" w:hAnsiTheme="minorHAnsi" w:cstheme="minorBidi"/>
          <w:color w:val="000000" w:themeColor="text1"/>
          <w:sz w:val="20"/>
          <w:szCs w:val="18"/>
          <w:lang w:eastAsia="en-US"/>
        </w:rPr>
        <w:t xml:space="preserve">non-commercial </w:t>
      </w:r>
      <w:r w:rsidR="00251EBC" w:rsidRPr="00024932">
        <w:rPr>
          <w:rFonts w:asciiTheme="minorHAnsi" w:eastAsiaTheme="minorHAnsi" w:hAnsiTheme="minorHAnsi" w:cstheme="minorBidi"/>
          <w:color w:val="000000" w:themeColor="text1"/>
          <w:sz w:val="20"/>
          <w:szCs w:val="18"/>
          <w:lang w:eastAsia="en-US"/>
        </w:rPr>
        <w:t xml:space="preserve">services </w:t>
      </w:r>
      <w:r w:rsidRPr="00024932">
        <w:rPr>
          <w:rFonts w:asciiTheme="minorHAnsi" w:eastAsiaTheme="minorHAnsi" w:hAnsiTheme="minorHAnsi" w:cstheme="minorBidi"/>
          <w:color w:val="000000" w:themeColor="text1"/>
          <w:sz w:val="20"/>
          <w:szCs w:val="18"/>
          <w:lang w:eastAsia="en-US"/>
        </w:rPr>
        <w:t>with a vehicle that has 10 or more seat</w:t>
      </w:r>
      <w:r w:rsidR="00251EBC" w:rsidRPr="00024932">
        <w:rPr>
          <w:rFonts w:asciiTheme="minorHAnsi" w:eastAsiaTheme="minorHAnsi" w:hAnsiTheme="minorHAnsi" w:cstheme="minorBidi"/>
          <w:color w:val="000000" w:themeColor="text1"/>
          <w:sz w:val="20"/>
          <w:szCs w:val="18"/>
          <w:lang w:eastAsia="en-US"/>
        </w:rPr>
        <w:t>s</w:t>
      </w:r>
      <w:r w:rsidRPr="00024932">
        <w:rPr>
          <w:rFonts w:asciiTheme="minorHAnsi" w:eastAsiaTheme="minorHAnsi" w:hAnsiTheme="minorHAnsi" w:cstheme="minorBidi"/>
          <w:color w:val="000000" w:themeColor="text1"/>
          <w:sz w:val="20"/>
          <w:szCs w:val="18"/>
          <w:lang w:eastAsia="en-US"/>
        </w:rPr>
        <w:t xml:space="preserve"> (including the driver).</w:t>
      </w:r>
      <w:r w:rsidR="00F00CD9" w:rsidRPr="00024932">
        <w:rPr>
          <w:rFonts w:asciiTheme="minorHAnsi" w:eastAsiaTheme="minorHAnsi" w:hAnsiTheme="minorHAnsi" w:cstheme="minorBidi"/>
          <w:color w:val="000000" w:themeColor="text1"/>
          <w:sz w:val="20"/>
          <w:szCs w:val="18"/>
          <w:lang w:eastAsia="en-US"/>
        </w:rPr>
        <w:t xml:space="preserve"> This i</w:t>
      </w:r>
      <w:r w:rsidRPr="00024932">
        <w:rPr>
          <w:rFonts w:asciiTheme="minorHAnsi" w:eastAsiaTheme="minorHAnsi" w:hAnsiTheme="minorHAnsi" w:cstheme="minorBidi"/>
          <w:color w:val="000000" w:themeColor="text1"/>
          <w:sz w:val="20"/>
          <w:szCs w:val="18"/>
          <w:lang w:eastAsia="en-US"/>
        </w:rPr>
        <w:t>ncludes:</w:t>
      </w:r>
    </w:p>
    <w:p w14:paraId="57FA88DF" w14:textId="77777777" w:rsidR="00125624" w:rsidRPr="0029173D" w:rsidRDefault="00125624" w:rsidP="0029173D">
      <w:pPr>
        <w:pStyle w:val="ListBullet"/>
        <w:numPr>
          <w:ilvl w:val="1"/>
          <w:numId w:val="18"/>
        </w:numPr>
        <w:rPr>
          <w:lang w:val="en-US"/>
        </w:rPr>
      </w:pPr>
      <w:r w:rsidRPr="0029173D">
        <w:rPr>
          <w:lang w:val="en-US"/>
        </w:rPr>
        <w:t>community and private bus services on a not-for-profit basis in connection with the activities of religious, educational, health, welfare, philanthropic, sporting or social bodies</w:t>
      </w:r>
    </w:p>
    <w:p w14:paraId="4161B864" w14:textId="77777777" w:rsidR="00125624" w:rsidRPr="0029173D" w:rsidRDefault="00125624" w:rsidP="0029173D">
      <w:pPr>
        <w:pStyle w:val="ListBullet"/>
        <w:numPr>
          <w:ilvl w:val="1"/>
          <w:numId w:val="18"/>
        </w:numPr>
        <w:rPr>
          <w:lang w:val="en-US"/>
        </w:rPr>
      </w:pPr>
      <w:r w:rsidRPr="0029173D">
        <w:rPr>
          <w:lang w:val="en-US"/>
        </w:rPr>
        <w:t>non-commercial courtesy bus services (e.g. where an employer transports their employees or contractors by bus between work sites)</w:t>
      </w:r>
    </w:p>
    <w:p w14:paraId="5CEBA4F3" w14:textId="3A212131" w:rsidR="00125624" w:rsidRPr="0029173D" w:rsidRDefault="00125624" w:rsidP="0029173D">
      <w:pPr>
        <w:pStyle w:val="ListBullet"/>
        <w:numPr>
          <w:ilvl w:val="1"/>
          <w:numId w:val="18"/>
        </w:numPr>
        <w:rPr>
          <w:lang w:val="en-US"/>
        </w:rPr>
      </w:pPr>
      <w:r w:rsidRPr="0029173D">
        <w:rPr>
          <w:lang w:val="en-US"/>
        </w:rPr>
        <w:t>hire and drive bus services where a bus is hired by a third person</w:t>
      </w:r>
      <w:r w:rsidR="003F63CB" w:rsidRPr="0029173D">
        <w:rPr>
          <w:lang w:val="en-US"/>
        </w:rPr>
        <w:t>.</w:t>
      </w:r>
    </w:p>
    <w:p w14:paraId="1B93FB12" w14:textId="6BD375E5" w:rsidR="00D02005" w:rsidRDefault="00D02005" w:rsidP="00D02005">
      <w:r>
        <w:t>Regardless of the scale of operations, a bus operator must be accredited (or registered, as the case may be) if they are responsible for providing a bus service under the relevant category of bus service – even if the operator only operate</w:t>
      </w:r>
      <w:r w:rsidR="00251EBC">
        <w:t>s</w:t>
      </w:r>
      <w:r>
        <w:t xml:space="preserve"> one bus service of those defined above. </w:t>
      </w:r>
    </w:p>
    <w:p w14:paraId="119AE4A3" w14:textId="69F21A92" w:rsidR="008F6B7D" w:rsidRPr="000B7E60" w:rsidRDefault="004D2F99" w:rsidP="00AF1E95">
      <w:pPr>
        <w:pStyle w:val="Heading2"/>
      </w:pPr>
      <w:bookmarkStart w:id="168" w:name="_Toc32909775"/>
      <w:bookmarkStart w:id="169" w:name="_Toc45704327"/>
      <w:r>
        <w:t>Requirements of the Subordinate Legislation Act 1994</w:t>
      </w:r>
      <w:bookmarkEnd w:id="168"/>
      <w:bookmarkEnd w:id="169"/>
      <w:r>
        <w:t xml:space="preserve"> </w:t>
      </w:r>
    </w:p>
    <w:p w14:paraId="08E4FB35" w14:textId="09E4128E" w:rsidR="006F4A80" w:rsidRDefault="008907C5" w:rsidP="00A91593">
      <w:r>
        <w:t>The</w:t>
      </w:r>
      <w:r w:rsidR="004D1BFE">
        <w:t xml:space="preserve"> regulatory impact statement</w:t>
      </w:r>
      <w:r>
        <w:t xml:space="preserve"> </w:t>
      </w:r>
      <w:r w:rsidR="005F3FC5">
        <w:t>(</w:t>
      </w:r>
      <w:r>
        <w:t>RIS</w:t>
      </w:r>
      <w:r w:rsidR="005F3FC5">
        <w:t>)</w:t>
      </w:r>
      <w:r>
        <w:t xml:space="preserve"> has been prepared in accordance with requirements of </w:t>
      </w:r>
      <w:r w:rsidR="00A91593" w:rsidRPr="00596982">
        <w:t xml:space="preserve">the </w:t>
      </w:r>
      <w:r w:rsidR="00A91593" w:rsidRPr="00A91593">
        <w:rPr>
          <w:i/>
        </w:rPr>
        <w:t>Subordinate Legislation Act 1994</w:t>
      </w:r>
      <w:r w:rsidR="00A91593">
        <w:t xml:space="preserve"> (</w:t>
      </w:r>
      <w:r w:rsidR="00575A9B">
        <w:t xml:space="preserve">the </w:t>
      </w:r>
      <w:r w:rsidR="00A91593">
        <w:t>SLA</w:t>
      </w:r>
      <w:r>
        <w:t xml:space="preserve">) and the </w:t>
      </w:r>
      <w:r w:rsidRPr="00E47162">
        <w:rPr>
          <w:i/>
        </w:rPr>
        <w:t>Victorian Guide to Regulation</w:t>
      </w:r>
      <w:r w:rsidR="009C65EE">
        <w:t xml:space="preserve"> (the Guide). </w:t>
      </w:r>
    </w:p>
    <w:p w14:paraId="2C19FCAC" w14:textId="05AA7296" w:rsidR="00A91593" w:rsidRPr="00A91593" w:rsidRDefault="00500FBD" w:rsidP="00A91593">
      <w:r>
        <w:t xml:space="preserve">The Commissioner for </w:t>
      </w:r>
      <w:r w:rsidR="00102A3D">
        <w:t xml:space="preserve">Better Regulation </w:t>
      </w:r>
      <w:r w:rsidR="002A25EE">
        <w:t xml:space="preserve">is responsible for </w:t>
      </w:r>
      <w:r w:rsidR="00A91593" w:rsidRPr="00596982">
        <w:t xml:space="preserve">reviewing the adequacy of RIS and providing independent advice. </w:t>
      </w:r>
      <w:r w:rsidR="00103613">
        <w:t>Better Regulation Victoria (BRV) supports</w:t>
      </w:r>
      <w:r w:rsidR="00C02102">
        <w:t xml:space="preserve"> the Commissioner for Better Regulation and makes </w:t>
      </w:r>
      <w:r w:rsidR="00A91593" w:rsidRPr="00596982">
        <w:t xml:space="preserve">its assessment of adequacy relative to the </w:t>
      </w:r>
      <w:r w:rsidR="00E93E6C">
        <w:t>G</w:t>
      </w:r>
      <w:r w:rsidR="00A91593" w:rsidRPr="00596982">
        <w:t>uide.</w:t>
      </w:r>
    </w:p>
    <w:p w14:paraId="711DC4BA" w14:textId="566AA35B" w:rsidR="002A30E1" w:rsidRPr="000B7E60" w:rsidRDefault="002A30E1" w:rsidP="00AF1E95">
      <w:pPr>
        <w:pStyle w:val="Heading2"/>
      </w:pPr>
      <w:bookmarkStart w:id="170" w:name="_Toc32909776"/>
      <w:bookmarkStart w:id="171" w:name="_Toc45704328"/>
      <w:r>
        <w:t>Structure of the RIS</w:t>
      </w:r>
      <w:bookmarkEnd w:id="170"/>
      <w:bookmarkEnd w:id="171"/>
      <w:r>
        <w:t xml:space="preserve"> </w:t>
      </w:r>
    </w:p>
    <w:p w14:paraId="42755F19" w14:textId="77777777" w:rsidR="00C71CF2" w:rsidRDefault="00C71CF2" w:rsidP="00C71CF2">
      <w:pPr>
        <w:ind w:left="1440" w:hanging="1440"/>
      </w:pPr>
      <w:r>
        <w:t>Section 3</w:t>
      </w:r>
      <w:r>
        <w:tab/>
        <w:t>provides an analysis of the nature and extent of problems that the proposed regulations are aiming to address</w:t>
      </w:r>
    </w:p>
    <w:p w14:paraId="2BCE201E" w14:textId="77777777" w:rsidR="00C71CF2" w:rsidRDefault="00C71CF2" w:rsidP="00C71CF2">
      <w:r>
        <w:t>Section 4</w:t>
      </w:r>
      <w:r>
        <w:tab/>
        <w:t>states the objectives of the proposed regulations</w:t>
      </w:r>
    </w:p>
    <w:p w14:paraId="6B7F45D4" w14:textId="2845504A" w:rsidR="00213DCD" w:rsidRDefault="00C71CF2" w:rsidP="00C71CF2">
      <w:r>
        <w:t>Section 5</w:t>
      </w:r>
      <w:r>
        <w:tab/>
      </w:r>
      <w:r w:rsidR="008C2555">
        <w:t>details the base case</w:t>
      </w:r>
    </w:p>
    <w:p w14:paraId="1DB2F72B" w14:textId="685DF493" w:rsidR="00C71CF2" w:rsidRDefault="008C2555" w:rsidP="008C2555">
      <w:r>
        <w:t>Section 6</w:t>
      </w:r>
      <w:r>
        <w:tab/>
      </w:r>
      <w:r w:rsidR="00C71CF2">
        <w:t>identifies the various options available to address problems</w:t>
      </w:r>
    </w:p>
    <w:p w14:paraId="75C0DF0B" w14:textId="07F8AE1F" w:rsidR="00C71CF2" w:rsidRDefault="00C71CF2" w:rsidP="00C71CF2">
      <w:r>
        <w:t xml:space="preserve">Section </w:t>
      </w:r>
      <w:r w:rsidR="000D3579">
        <w:t>7</w:t>
      </w:r>
      <w:r>
        <w:tab/>
        <w:t xml:space="preserve">assesses the </w:t>
      </w:r>
      <w:r w:rsidR="00290E5C">
        <w:t xml:space="preserve">benefits and costs </w:t>
      </w:r>
      <w:r>
        <w:t>of short-listed options</w:t>
      </w:r>
    </w:p>
    <w:p w14:paraId="0339B292" w14:textId="2EDE0A1C" w:rsidR="00C71CF2" w:rsidRDefault="00C71CF2" w:rsidP="00C71CF2">
      <w:pPr>
        <w:ind w:left="1440" w:hanging="1440"/>
      </w:pPr>
      <w:r>
        <w:lastRenderedPageBreak/>
        <w:t xml:space="preserve">Section </w:t>
      </w:r>
      <w:r w:rsidR="00290E5C">
        <w:t>8</w:t>
      </w:r>
      <w:r>
        <w:tab/>
        <w:t>details the preferred option, including the impact of the proposed regulation on competition and small business</w:t>
      </w:r>
    </w:p>
    <w:p w14:paraId="57842B08" w14:textId="620FE56E" w:rsidR="00C71CF2" w:rsidRDefault="00C71CF2" w:rsidP="00C71CF2">
      <w:r>
        <w:t xml:space="preserve">Section </w:t>
      </w:r>
      <w:r w:rsidR="00C4228C">
        <w:t>9</w:t>
      </w:r>
      <w:r>
        <w:tab/>
        <w:t>explains the proposed approach to implementation and enforcement strategy</w:t>
      </w:r>
    </w:p>
    <w:p w14:paraId="0473C142" w14:textId="6D266C88" w:rsidR="00C71CF2" w:rsidRDefault="00C71CF2" w:rsidP="00C71CF2">
      <w:r>
        <w:t xml:space="preserve">Section </w:t>
      </w:r>
      <w:r w:rsidR="00C4228C">
        <w:t>10</w:t>
      </w:r>
      <w:r>
        <w:tab/>
        <w:t xml:space="preserve">specifies the evaluation strategy </w:t>
      </w:r>
    </w:p>
    <w:p w14:paraId="0F0181E3" w14:textId="0425C21D" w:rsidR="00C4228C" w:rsidRDefault="00C4228C" w:rsidP="00C71CF2">
      <w:r>
        <w:t>Section 11</w:t>
      </w:r>
      <w:r>
        <w:tab/>
      </w:r>
      <w:r w:rsidR="00241991">
        <w:t>details the</w:t>
      </w:r>
      <w:r w:rsidR="006C7EE0">
        <w:t xml:space="preserve"> consultation undertaken for the RIS</w:t>
      </w:r>
    </w:p>
    <w:p w14:paraId="67C9A1F1" w14:textId="77777777" w:rsidR="00C71CF2" w:rsidRDefault="00C71CF2" w:rsidP="00AF1E95">
      <w:pPr>
        <w:pStyle w:val="Heading2"/>
      </w:pPr>
      <w:bookmarkStart w:id="172" w:name="_Toc413079651"/>
      <w:bookmarkStart w:id="173" w:name="_Toc415591900"/>
      <w:bookmarkStart w:id="174" w:name="_Ref415651985"/>
      <w:bookmarkStart w:id="175" w:name="_Toc416349317"/>
      <w:bookmarkStart w:id="176" w:name="_Toc32909777"/>
      <w:bookmarkStart w:id="177" w:name="_Toc45704329"/>
      <w:r>
        <w:t xml:space="preserve">How you can </w:t>
      </w:r>
      <w:r w:rsidRPr="00340A45">
        <w:t>have</w:t>
      </w:r>
      <w:r>
        <w:t xml:space="preserve"> your say</w:t>
      </w:r>
      <w:bookmarkEnd w:id="172"/>
      <w:bookmarkEnd w:id="173"/>
      <w:bookmarkEnd w:id="174"/>
      <w:bookmarkEnd w:id="175"/>
      <w:bookmarkEnd w:id="176"/>
      <w:bookmarkEnd w:id="177"/>
    </w:p>
    <w:p w14:paraId="3D5697C2" w14:textId="77777777" w:rsidR="00C71CF2" w:rsidRDefault="00C71CF2" w:rsidP="00C71CF2">
      <w:r>
        <w:t>You are invited to make comments on the RIS and the proposed regulations.</w:t>
      </w:r>
    </w:p>
    <w:p w14:paraId="3E08B4F5" w14:textId="77777777" w:rsidR="00C71CF2" w:rsidRDefault="00C71CF2" w:rsidP="00C71CF2">
      <w:r>
        <w:t xml:space="preserve">Submissions may present analysis of alternative options and recommend changes to the proposed regulations.  </w:t>
      </w:r>
    </w:p>
    <w:p w14:paraId="6F12FFC8" w14:textId="1128D0C1" w:rsidR="00C71CF2" w:rsidRDefault="00C71CF2" w:rsidP="00C71CF2">
      <w:r>
        <w:t xml:space="preserve">Submissions are required to be made in writing and </w:t>
      </w:r>
      <w:r w:rsidR="00E628B3">
        <w:rPr>
          <w:u w:val="single"/>
        </w:rPr>
        <w:t xml:space="preserve">submitted on the Department’s consultation website, </w:t>
      </w:r>
      <w:hyperlink r:id="rId21" w:history="1">
        <w:r w:rsidR="00E628B3" w:rsidRPr="005B2B91">
          <w:rPr>
            <w:rStyle w:val="Hyperlink"/>
          </w:rPr>
          <w:t>Get Involved</w:t>
        </w:r>
      </w:hyperlink>
      <w:r w:rsidR="00E628B3">
        <w:rPr>
          <w:u w:val="single"/>
        </w:rPr>
        <w:t>.</w:t>
      </w:r>
    </w:p>
    <w:p w14:paraId="73A00EE6" w14:textId="4E7359F2" w:rsidR="00C71CF2" w:rsidRPr="00DC3C67" w:rsidRDefault="00C71CF2" w:rsidP="005B75E9">
      <w:r w:rsidRPr="00DC3C67">
        <w:t xml:space="preserve">Submissions must be provided to the Department on or before </w:t>
      </w:r>
      <w:r w:rsidR="00814A09" w:rsidRPr="00814A09">
        <w:t>13</w:t>
      </w:r>
      <w:r w:rsidR="002A139E" w:rsidRPr="00814A09">
        <w:t xml:space="preserve"> August </w:t>
      </w:r>
      <w:r w:rsidRPr="00814A09">
        <w:t>20</w:t>
      </w:r>
      <w:r w:rsidR="00C73010" w:rsidRPr="00814A09">
        <w:t>20</w:t>
      </w:r>
      <w:r w:rsidRPr="00DC3C67">
        <w:t xml:space="preserve">.  </w:t>
      </w:r>
    </w:p>
    <w:p w14:paraId="5E687F4B" w14:textId="77777777" w:rsidR="00C71CF2" w:rsidRDefault="00C71CF2" w:rsidP="005B75E9">
      <w:r>
        <w:t>Please note that all submissions will be treated as public information unless you request otherwise.</w:t>
      </w:r>
    </w:p>
    <w:p w14:paraId="2BE1ED0A" w14:textId="77777777" w:rsidR="00C71CF2" w:rsidRPr="00DA68C1" w:rsidRDefault="00C71CF2" w:rsidP="005B75E9">
      <w:r>
        <w:t xml:space="preserve">You should be aware that all submissions are subject to the </w:t>
      </w:r>
      <w:r w:rsidRPr="005B75E9">
        <w:rPr>
          <w:i/>
        </w:rPr>
        <w:t>Freedom of Information Act 1982</w:t>
      </w:r>
      <w:r>
        <w:t>.</w:t>
      </w:r>
    </w:p>
    <w:p w14:paraId="52C0E329" w14:textId="49F16247" w:rsidR="00DE149B" w:rsidRDefault="00C71CF2" w:rsidP="004E6414">
      <w:r>
        <w:t>Personal information may be used to contact you regarding your submission and the outcomes of the consultation. Please clearly state in your submission if you do not wish for this to occur.</w:t>
      </w:r>
    </w:p>
    <w:p w14:paraId="0C887685" w14:textId="77777777" w:rsidR="002F785A" w:rsidRDefault="002F785A">
      <w:pPr>
        <w:spacing w:before="0" w:after="0"/>
        <w:rPr>
          <w:rFonts w:asciiTheme="majorHAnsi" w:eastAsiaTheme="majorEastAsia" w:hAnsiTheme="majorHAnsi" w:cstheme="majorBidi"/>
          <w:color w:val="16A3A7"/>
          <w:sz w:val="40"/>
          <w:szCs w:val="32"/>
        </w:rPr>
      </w:pPr>
      <w:bookmarkStart w:id="178" w:name="_Ref26878388"/>
      <w:r>
        <w:br w:type="page"/>
      </w:r>
    </w:p>
    <w:p w14:paraId="6E1C77BF" w14:textId="49B07047" w:rsidR="0046135A" w:rsidRPr="00121A3F" w:rsidRDefault="0046135A" w:rsidP="0046135A">
      <w:pPr>
        <w:pStyle w:val="Heading1"/>
      </w:pPr>
      <w:bookmarkStart w:id="179" w:name="_Toc32909778"/>
      <w:bookmarkStart w:id="180" w:name="_Ref33083071"/>
      <w:bookmarkStart w:id="181" w:name="_Toc45704330"/>
      <w:r>
        <w:lastRenderedPageBreak/>
        <w:t xml:space="preserve">Nature and </w:t>
      </w:r>
      <w:r w:rsidR="00C402B0">
        <w:t>e</w:t>
      </w:r>
      <w:r>
        <w:t xml:space="preserve">xtent of the </w:t>
      </w:r>
      <w:r w:rsidR="00C402B0">
        <w:t>p</w:t>
      </w:r>
      <w:r>
        <w:t>roblem</w:t>
      </w:r>
      <w:bookmarkEnd w:id="178"/>
      <w:bookmarkEnd w:id="179"/>
      <w:bookmarkEnd w:id="180"/>
      <w:bookmarkEnd w:id="181"/>
    </w:p>
    <w:p w14:paraId="3861E2AA" w14:textId="090630BF" w:rsidR="00E27899" w:rsidRPr="00E27899" w:rsidRDefault="00EC7C7A" w:rsidP="00E27899">
      <w:pPr>
        <w:pStyle w:val="Heading2"/>
      </w:pPr>
      <w:bookmarkStart w:id="182" w:name="_Toc32909779"/>
      <w:bookmarkStart w:id="183" w:name="_Toc492390305"/>
      <w:bookmarkStart w:id="184" w:name="_Toc511123906"/>
      <w:bookmarkStart w:id="185" w:name="_Ref25235850"/>
      <w:bookmarkStart w:id="186" w:name="_Toc45704331"/>
      <w:r>
        <w:t>Overview</w:t>
      </w:r>
      <w:bookmarkEnd w:id="182"/>
      <w:bookmarkEnd w:id="186"/>
    </w:p>
    <w:p w14:paraId="51963C55" w14:textId="793EC292" w:rsidR="00997253" w:rsidRPr="00997253" w:rsidRDefault="002E4F1B" w:rsidP="00997253">
      <w:r>
        <w:t>A range of different bus s</w:t>
      </w:r>
      <w:r w:rsidR="002427E4">
        <w:t>ervice</w:t>
      </w:r>
      <w:r w:rsidR="00407661">
        <w:t>s</w:t>
      </w:r>
      <w:r w:rsidR="002427E4">
        <w:t xml:space="preserve"> are provided in Victoria. </w:t>
      </w:r>
      <w:r w:rsidR="00C351D8">
        <w:t xml:space="preserve">This spans from </w:t>
      </w:r>
      <w:r w:rsidR="006B003C">
        <w:t xml:space="preserve">public transport </w:t>
      </w:r>
      <w:r w:rsidR="00DD594C">
        <w:t>bus</w:t>
      </w:r>
      <w:r w:rsidR="006B003C">
        <w:t xml:space="preserve"> services such as fixed route bus services</w:t>
      </w:r>
      <w:r w:rsidR="00B737BA">
        <w:t xml:space="preserve">, </w:t>
      </w:r>
      <w:r w:rsidR="0095085B">
        <w:t xml:space="preserve">courtesy bus services </w:t>
      </w:r>
      <w:r w:rsidR="000D233B">
        <w:t xml:space="preserve">run by councils to privately </w:t>
      </w:r>
      <w:r w:rsidR="000D17F5">
        <w:t>chartered</w:t>
      </w:r>
      <w:r w:rsidR="00A875A0">
        <w:t xml:space="preserve"> services</w:t>
      </w:r>
      <w:r w:rsidR="006F3F2C">
        <w:t>.</w:t>
      </w:r>
      <w:r w:rsidR="00A875A0">
        <w:t xml:space="preserve"> </w:t>
      </w:r>
    </w:p>
    <w:p w14:paraId="575F3281" w14:textId="164E0206" w:rsidR="00E13F3B" w:rsidRDefault="006B47C6" w:rsidP="004A3973">
      <w:r w:rsidRPr="001573D9">
        <w:t>Bus services operate on the public roads and regularly interact with other road users.</w:t>
      </w:r>
      <w:r>
        <w:t xml:space="preserve"> </w:t>
      </w:r>
      <w:r w:rsidR="00B233AA">
        <w:t xml:space="preserve">Accidents and incidents </w:t>
      </w:r>
      <w:r w:rsidR="00016E48">
        <w:t xml:space="preserve">may occur during the delivery of </w:t>
      </w:r>
      <w:r w:rsidR="00FD2B87">
        <w:t>bus</w:t>
      </w:r>
      <w:r w:rsidR="00016E48">
        <w:t xml:space="preserve"> services. </w:t>
      </w:r>
      <w:r w:rsidR="00E828C7">
        <w:t xml:space="preserve">The consequences </w:t>
      </w:r>
      <w:r w:rsidR="00F00FBE">
        <w:t xml:space="preserve">of an accident or incident could have an impact on the drivers of buses used to provide services, </w:t>
      </w:r>
      <w:r w:rsidR="00DB5031">
        <w:t xml:space="preserve">the passengers in a bus </w:t>
      </w:r>
      <w:r w:rsidR="003F3E3C">
        <w:t>or other road users, including the occupants of other vehicles on the road, cyclis</w:t>
      </w:r>
      <w:r w:rsidR="00EF0B5E">
        <w:t xml:space="preserve">ts, </w:t>
      </w:r>
      <w:r w:rsidR="00672EE9">
        <w:t>and</w:t>
      </w:r>
      <w:r w:rsidR="00EF0B5E">
        <w:t xml:space="preserve"> pedestrians.</w:t>
      </w:r>
      <w:r w:rsidR="00016E48">
        <w:t xml:space="preserve"> </w:t>
      </w:r>
    </w:p>
    <w:p w14:paraId="0433AFA4" w14:textId="79DE11D6" w:rsidR="00852342" w:rsidRDefault="005D6E72" w:rsidP="004A3973">
      <w:r>
        <w:t xml:space="preserve">The actions taken </w:t>
      </w:r>
      <w:r w:rsidR="00A34075">
        <w:t xml:space="preserve">or failed to be taken </w:t>
      </w:r>
      <w:r w:rsidR="00343521">
        <w:t>by a person responsible</w:t>
      </w:r>
      <w:r w:rsidR="00CA2788">
        <w:t xml:space="preserve"> (or </w:t>
      </w:r>
      <w:r w:rsidR="007B3064">
        <w:t>a bus operator)</w:t>
      </w:r>
      <w:r w:rsidR="00343521">
        <w:t xml:space="preserve"> for the provision of a bus service </w:t>
      </w:r>
      <w:r w:rsidR="006E1E0F">
        <w:t>will affect the safety of services provided</w:t>
      </w:r>
      <w:r w:rsidR="00A35D57">
        <w:t xml:space="preserve"> and therefore the </w:t>
      </w:r>
      <w:r w:rsidR="005D6A66">
        <w:t xml:space="preserve">consequences </w:t>
      </w:r>
      <w:r w:rsidR="009A31CE">
        <w:t xml:space="preserve">experienced by a </w:t>
      </w:r>
      <w:r w:rsidR="00F2732F">
        <w:t>person involved in an incident</w:t>
      </w:r>
      <w:r w:rsidR="006E1E0F">
        <w:t xml:space="preserve">. </w:t>
      </w:r>
      <w:r w:rsidR="005D546E">
        <w:t>Incentives</w:t>
      </w:r>
      <w:r w:rsidR="003D0796">
        <w:t xml:space="preserve"> and risks</w:t>
      </w:r>
      <w:r w:rsidR="001F7F84">
        <w:t xml:space="preserve"> </w:t>
      </w:r>
      <w:r w:rsidR="00A03AFF">
        <w:t xml:space="preserve">influence whether </w:t>
      </w:r>
      <w:r w:rsidR="009B20D8">
        <w:t xml:space="preserve">bus operators </w:t>
      </w:r>
      <w:r w:rsidR="00424F7C">
        <w:t>take action to reduce risks to safety</w:t>
      </w:r>
      <w:r w:rsidR="00BD47F6">
        <w:t>.</w:t>
      </w:r>
      <w:r w:rsidR="00424F7C">
        <w:t xml:space="preserve"> </w:t>
      </w:r>
      <w:r w:rsidR="00852342">
        <w:t xml:space="preserve">An externality is </w:t>
      </w:r>
      <w:r w:rsidR="00F20966" w:rsidRPr="001573D9">
        <w:t>where some of the economic costs or benefits of an activity affects a party not directly involved in the activity. Not factoring these costs and benefits into the decision-making process will result in a higher or lower quantity of the activity undertaken.</w:t>
      </w:r>
    </w:p>
    <w:p w14:paraId="45B71C62" w14:textId="702CF466" w:rsidR="00E44FE9" w:rsidRDefault="00E44FE9" w:rsidP="004A3973">
      <w:r w:rsidRPr="001573D9">
        <w:t xml:space="preserve">The size of </w:t>
      </w:r>
      <w:r w:rsidR="00F20966">
        <w:t>an</w:t>
      </w:r>
      <w:r w:rsidRPr="001573D9">
        <w:t xml:space="preserve"> externalit</w:t>
      </w:r>
      <w:r w:rsidR="00F20966">
        <w:t>y</w:t>
      </w:r>
      <w:r w:rsidRPr="001573D9">
        <w:t>, from a bus safety perspective, may be substantial. The costs may be significant to an individual such as where there is a loss of life, or a serious injury that may require hospitalisation or result in a diminished quality of life from the injury. Alternatively, the costs may be widespread and be borne by many because bus services carry many passengers</w:t>
      </w:r>
      <w:r w:rsidR="008D7D9B">
        <w:t xml:space="preserve"> and interact with many other road-users such as other motorists and pedestrians</w:t>
      </w:r>
      <w:r w:rsidRPr="001573D9">
        <w:t>, all of whom may experience delay costs as a result of the same incident caused by a breach in safety</w:t>
      </w:r>
      <w:r w:rsidR="00AC4CE4">
        <w:t>.</w:t>
      </w:r>
      <w:r w:rsidR="009B0E02">
        <w:t xml:space="preserve"> </w:t>
      </w:r>
      <w:r w:rsidR="009B0E02" w:rsidRPr="001573D9">
        <w:t>Section</w:t>
      </w:r>
      <w:r w:rsidR="009B0E02">
        <w:t xml:space="preserve"> </w:t>
      </w:r>
      <w:r w:rsidR="009B0E02">
        <w:fldChar w:fldCharType="begin"/>
      </w:r>
      <w:r w:rsidR="009B0E02">
        <w:instrText xml:space="preserve"> REF _Ref26880898 \r \h </w:instrText>
      </w:r>
      <w:r w:rsidR="009B0E02">
        <w:fldChar w:fldCharType="separate"/>
      </w:r>
      <w:r w:rsidR="00277F6E">
        <w:t>3.2</w:t>
      </w:r>
      <w:r w:rsidR="009B0E02">
        <w:fldChar w:fldCharType="end"/>
      </w:r>
      <w:r w:rsidR="009B0E02" w:rsidRPr="009B0E02">
        <w:t xml:space="preserve"> </w:t>
      </w:r>
      <w:r w:rsidR="009B0E02">
        <w:t>analyses d</w:t>
      </w:r>
      <w:r w:rsidR="009B0E02" w:rsidRPr="001573D9">
        <w:t>ata relating to the impacts of bus safety incidents on other roads users</w:t>
      </w:r>
      <w:r w:rsidR="007073A7">
        <w:t>.</w:t>
      </w:r>
    </w:p>
    <w:p w14:paraId="224B8271" w14:textId="615C28AC" w:rsidR="00EE698E" w:rsidRDefault="00A2356F" w:rsidP="004A3973">
      <w:r>
        <w:t xml:space="preserve">Consumers of bus services may exercise choice in relation to </w:t>
      </w:r>
      <w:r w:rsidR="003F5022">
        <w:t xml:space="preserve">whether to use a bus service or not or to choose alternative service providers. </w:t>
      </w:r>
      <w:r w:rsidR="003F5022" w:rsidRPr="001573D9">
        <w:t xml:space="preserve">Consumers </w:t>
      </w:r>
      <w:r w:rsidR="003F5022">
        <w:t>may not be</w:t>
      </w:r>
      <w:r w:rsidR="003F5022" w:rsidRPr="001573D9">
        <w:t xml:space="preserve"> best placed to determine</w:t>
      </w:r>
      <w:r w:rsidR="00D6616B">
        <w:t xml:space="preserve"> </w:t>
      </w:r>
      <w:r w:rsidR="00C4378D">
        <w:t>whether aspects of the services are suitable to their needs.</w:t>
      </w:r>
      <w:r w:rsidR="00B63176">
        <w:t xml:space="preserve"> For example, in respect of the safety aspects of the service,</w:t>
      </w:r>
      <w:r w:rsidR="003F5022" w:rsidRPr="001573D9">
        <w:t xml:space="preserve"> </w:t>
      </w:r>
      <w:r w:rsidR="00B63176">
        <w:t xml:space="preserve">it may be difficult to determine </w:t>
      </w:r>
      <w:r w:rsidR="003F5022" w:rsidRPr="001573D9">
        <w:t>the skills and fitness of the bus driver or assess the quality and maintenance history of the vehicle.</w:t>
      </w:r>
      <w:r w:rsidR="0083551F">
        <w:t xml:space="preserve"> An information asymmetry may arise if there is some hidden information that may not be accessible to the consumer of the service.</w:t>
      </w:r>
      <w:r w:rsidR="00AB1FA9">
        <w:t xml:space="preserve"> To improve outcomes, government could intervene to ensure that </w:t>
      </w:r>
      <w:r w:rsidR="00A84EB7">
        <w:t xml:space="preserve">consumers are fully informed to make choices about </w:t>
      </w:r>
      <w:r w:rsidR="00DE2861">
        <w:t>which service to use.</w:t>
      </w:r>
    </w:p>
    <w:p w14:paraId="4F7AEB3C" w14:textId="4EEA9CA2" w:rsidR="00580DB7" w:rsidRDefault="00580DB7" w:rsidP="00580DB7">
      <w:r w:rsidRPr="001573D9">
        <w:t xml:space="preserve">The level of information asymmetry </w:t>
      </w:r>
      <w:r w:rsidR="00DE2861">
        <w:t xml:space="preserve">could </w:t>
      </w:r>
      <w:r w:rsidRPr="001573D9">
        <w:t>differ depending</w:t>
      </w:r>
      <w:r w:rsidR="00DE2861">
        <w:t xml:space="preserve"> on</w:t>
      </w:r>
      <w:r w:rsidRPr="001573D9">
        <w:t xml:space="preserve"> the different types of bus services, and this can influence the level of intervention, if any, that may be required to </w:t>
      </w:r>
      <w:r w:rsidR="00DE2861">
        <w:t>address problems</w:t>
      </w:r>
      <w:r w:rsidRPr="001573D9">
        <w:t xml:space="preserve">. </w:t>
      </w:r>
      <w:r>
        <w:t xml:space="preserve">For example, a person using a route bus service </w:t>
      </w:r>
      <w:r w:rsidR="00374588">
        <w:t xml:space="preserve">is </w:t>
      </w:r>
      <w:r>
        <w:t>not in a position to make a choice on which bus operator</w:t>
      </w:r>
      <w:r w:rsidR="006D6982">
        <w:t xml:space="preserve"> to use (as there may only be a single operator available </w:t>
      </w:r>
      <w:r w:rsidR="00AA7B86">
        <w:t xml:space="preserve">providing that service </w:t>
      </w:r>
      <w:r w:rsidR="0008152F">
        <w:t xml:space="preserve">in a </w:t>
      </w:r>
      <w:r w:rsidR="005F3FC5">
        <w:t xml:space="preserve">particular </w:t>
      </w:r>
      <w:r w:rsidR="0008152F">
        <w:t>location)</w:t>
      </w:r>
      <w:r>
        <w:t>. However, route b</w:t>
      </w:r>
      <w:r w:rsidRPr="001573D9">
        <w:t>us services</w:t>
      </w:r>
      <w:r>
        <w:t xml:space="preserve"> </w:t>
      </w:r>
      <w:r w:rsidRPr="001573D9">
        <w:t xml:space="preserve">are contracted by government, and therefore the government is in a position to vet the operators of these services on behalf of consumers, since all such services must be provided pursuant to service contracts between the operator and the government. </w:t>
      </w:r>
      <w:r>
        <w:t>In this case, the g</w:t>
      </w:r>
      <w:r w:rsidRPr="001573D9">
        <w:t xml:space="preserve">overnment is substantially better placed than individual consumers to inform itself as to the safety performance of competing suppliers of bus services. Thus, the information asymmetry issue is somewhat </w:t>
      </w:r>
      <w:r w:rsidR="002E1059">
        <w:t>mitigated</w:t>
      </w:r>
      <w:r w:rsidR="002E1059" w:rsidRPr="001573D9">
        <w:t xml:space="preserve"> </w:t>
      </w:r>
      <w:r w:rsidRPr="001573D9">
        <w:t>in this context.</w:t>
      </w:r>
    </w:p>
    <w:p w14:paraId="399F3477" w14:textId="6917D60E" w:rsidR="00580DB7" w:rsidRPr="001573D9" w:rsidRDefault="00580DB7" w:rsidP="00580DB7">
      <w:r>
        <w:t>On the other hand,</w:t>
      </w:r>
      <w:r w:rsidRPr="001573D9">
        <w:t xml:space="preserve"> a person </w:t>
      </w:r>
      <w:r>
        <w:t>hiring a tour and charter</w:t>
      </w:r>
      <w:r w:rsidRPr="001573D9">
        <w:t xml:space="preserve"> bus service</w:t>
      </w:r>
      <w:r w:rsidR="00CC6410">
        <w:t xml:space="preserve"> may</w:t>
      </w:r>
      <w:r w:rsidRPr="001573D9">
        <w:t xml:space="preserve"> have the opportunity to choose between different providers and will usually have the time to inform themselves of the </w:t>
      </w:r>
      <w:r w:rsidR="008679F6">
        <w:t xml:space="preserve">aspect </w:t>
      </w:r>
      <w:r w:rsidRPr="001573D9">
        <w:t>of these operators</w:t>
      </w:r>
      <w:r w:rsidR="008679F6">
        <w:t xml:space="preserve"> that is important to the consumer (including safety performance of the operator)</w:t>
      </w:r>
      <w:r w:rsidRPr="001573D9">
        <w:t xml:space="preserve"> in advance of hiring these services. </w:t>
      </w:r>
    </w:p>
    <w:p w14:paraId="07559DD2" w14:textId="3A3E1526" w:rsidR="00AC4CE4" w:rsidRDefault="00D725FA" w:rsidP="004A3973">
      <w:r>
        <w:t>To</w:t>
      </w:r>
      <w:r w:rsidR="007E6366">
        <w:t xml:space="preserve"> promote</w:t>
      </w:r>
      <w:r w:rsidR="00461CE0">
        <w:t xml:space="preserve"> the safety </w:t>
      </w:r>
      <w:r w:rsidR="002F2E4C">
        <w:t xml:space="preserve">of bus services, the government regulates </w:t>
      </w:r>
      <w:r w:rsidR="00875971">
        <w:t>bus operators</w:t>
      </w:r>
      <w:r w:rsidR="00911369">
        <w:t>.</w:t>
      </w:r>
      <w:r>
        <w:t xml:space="preserve"> </w:t>
      </w:r>
      <w:r w:rsidR="007312C0">
        <w:t xml:space="preserve">Under the </w:t>
      </w:r>
      <w:r w:rsidR="00803EBD">
        <w:t>Bus Safety Act</w:t>
      </w:r>
      <w:r w:rsidR="007312C0">
        <w:t xml:space="preserve">, safety is regulated through a principle-based safety duties scheme which is </w:t>
      </w:r>
      <w:r w:rsidR="00C43CD8">
        <w:t xml:space="preserve">comprehensive in its coverage. That is, all </w:t>
      </w:r>
      <w:r w:rsidR="001049A2">
        <w:t>p</w:t>
      </w:r>
      <w:r w:rsidR="00314676">
        <w:t xml:space="preserve">ersons who </w:t>
      </w:r>
      <w:r w:rsidR="00FD12A6">
        <w:t xml:space="preserve">may </w:t>
      </w:r>
      <w:r w:rsidR="0085283B">
        <w:t xml:space="preserve">influence the safety of bus services have obligations </w:t>
      </w:r>
      <w:r w:rsidR="00A27E99">
        <w:t>to ensure safety, so far as is reasonably practicable,</w:t>
      </w:r>
      <w:r w:rsidR="000E26BC">
        <w:t xml:space="preserve"> and </w:t>
      </w:r>
      <w:r w:rsidR="003044CB">
        <w:t>safety duty holders are required</w:t>
      </w:r>
      <w:r w:rsidR="003C2E2B">
        <w:t xml:space="preserve"> to assess all relevant </w:t>
      </w:r>
      <w:r w:rsidR="005F12C1">
        <w:t xml:space="preserve">risks to </w:t>
      </w:r>
      <w:r w:rsidR="00C92E66">
        <w:t xml:space="preserve">the safety of bus operations </w:t>
      </w:r>
      <w:r w:rsidR="00AE0028">
        <w:t xml:space="preserve">and consider </w:t>
      </w:r>
      <w:r w:rsidR="00B23433">
        <w:t xml:space="preserve">and implement </w:t>
      </w:r>
      <w:r w:rsidR="005D256C">
        <w:t xml:space="preserve">the means to eliminate </w:t>
      </w:r>
      <w:r w:rsidR="006250F8">
        <w:t>or mitigate those risks so far as is reasonably practicable.</w:t>
      </w:r>
    </w:p>
    <w:p w14:paraId="1627832A" w14:textId="7D40B9CF" w:rsidR="00AC4CE4" w:rsidRPr="00EC7C7A" w:rsidRDefault="00AC4CE4" w:rsidP="004A3973">
      <w:r>
        <w:lastRenderedPageBreak/>
        <w:t>The purpose of this</w:t>
      </w:r>
      <w:r w:rsidR="00C04116">
        <w:t xml:space="preserve"> </w:t>
      </w:r>
      <w:r>
        <w:t xml:space="preserve">RIS is to consider whether </w:t>
      </w:r>
      <w:r w:rsidR="00083C70">
        <w:t>any further safety requirements are needed to be p</w:t>
      </w:r>
      <w:r w:rsidR="00836733">
        <w:t xml:space="preserve">rescribed in regulation </w:t>
      </w:r>
      <w:r w:rsidR="002E7501">
        <w:t>to support the safety scheme provided for in the primary legislation.</w:t>
      </w:r>
    </w:p>
    <w:p w14:paraId="0F704ACA" w14:textId="440116D1" w:rsidR="003E5C54" w:rsidRPr="00443FB8" w:rsidRDefault="003E5C54" w:rsidP="00AF1E95">
      <w:pPr>
        <w:pStyle w:val="Heading2"/>
      </w:pPr>
      <w:bookmarkStart w:id="187" w:name="_Ref26880898"/>
      <w:bookmarkStart w:id="188" w:name="_Toc32909783"/>
      <w:bookmarkStart w:id="189" w:name="_Toc45704332"/>
      <w:r>
        <w:t>Bus s</w:t>
      </w:r>
      <w:r w:rsidRPr="00443FB8">
        <w:t>afety performance</w:t>
      </w:r>
      <w:bookmarkEnd w:id="183"/>
      <w:bookmarkEnd w:id="184"/>
      <w:bookmarkEnd w:id="185"/>
      <w:bookmarkEnd w:id="187"/>
      <w:bookmarkEnd w:id="188"/>
      <w:bookmarkEnd w:id="189"/>
    </w:p>
    <w:p w14:paraId="1945DA7D" w14:textId="49BCB1B2" w:rsidR="003E5C54" w:rsidRDefault="003E5C54" w:rsidP="003E5C54">
      <w:r>
        <w:t xml:space="preserve">The </w:t>
      </w:r>
      <w:r w:rsidR="00803EBD">
        <w:t>Bus Safety Act</w:t>
      </w:r>
      <w:r>
        <w:t xml:space="preserve"> establishes a safety duties framework whereby general safety duties are imposed on bus service industry participants to ensure the safe operations of bus services. </w:t>
      </w:r>
      <w:r w:rsidRPr="003221A9">
        <w:t xml:space="preserve">The safety duties scheme provides the </w:t>
      </w:r>
      <w:r w:rsidR="00697BB1">
        <w:t>basis</w:t>
      </w:r>
      <w:r w:rsidRPr="003221A9">
        <w:t xml:space="preserve"> for considering whether additional safety requirements should be prescribed in regulation. The following sections describe</w:t>
      </w:r>
      <w:r w:rsidR="006C78FB">
        <w:t xml:space="preserve"> the main type of bus safety incidents, as well as</w:t>
      </w:r>
      <w:r w:rsidR="004F3CF2">
        <w:t xml:space="preserve"> the</w:t>
      </w:r>
      <w:r w:rsidR="006C78FB">
        <w:t xml:space="preserve"> incidence of serious injuries and fatalities</w:t>
      </w:r>
      <w:r w:rsidR="00BF1EAA">
        <w:t xml:space="preserve">, that </w:t>
      </w:r>
      <w:r>
        <w:t>occur in the provision of bus services.</w:t>
      </w:r>
      <w:r w:rsidR="00524699">
        <w:rPr>
          <w:rStyle w:val="FootnoteReference"/>
        </w:rPr>
        <w:footnoteReference w:id="3"/>
      </w:r>
      <w:r>
        <w:t xml:space="preserve"> </w:t>
      </w:r>
    </w:p>
    <w:p w14:paraId="086F7468" w14:textId="7BC2A5BB" w:rsidR="00E07480" w:rsidRPr="00B76BB1" w:rsidRDefault="00543D42" w:rsidP="00E07480">
      <w:r w:rsidRPr="003F5B85">
        <w:fldChar w:fldCharType="begin"/>
      </w:r>
      <w:r w:rsidRPr="00ED663F">
        <w:instrText xml:space="preserve"> REF _Ref32847809 \h </w:instrText>
      </w:r>
      <w:r w:rsidR="003F5B85" w:rsidRPr="00ED663F">
        <w:instrText xml:space="preserve"> \* MERGEFORMAT </w:instrText>
      </w:r>
      <w:r w:rsidRPr="003F5B85">
        <w:fldChar w:fldCharType="separate"/>
      </w:r>
      <w:r w:rsidR="00277F6E" w:rsidRPr="00277F6E">
        <w:t xml:space="preserve">Table </w:t>
      </w:r>
      <w:r w:rsidR="00277F6E" w:rsidRPr="00277F6E">
        <w:rPr>
          <w:noProof/>
        </w:rPr>
        <w:t>3</w:t>
      </w:r>
      <w:r w:rsidR="00277F6E" w:rsidRPr="00277F6E">
        <w:rPr>
          <w:noProof/>
        </w:rPr>
        <w:noBreakHyphen/>
        <w:t>1</w:t>
      </w:r>
      <w:r w:rsidRPr="003F5B85">
        <w:fldChar w:fldCharType="end"/>
      </w:r>
      <w:r w:rsidR="00B76BB1" w:rsidRPr="00B76BB1">
        <w:t xml:space="preserve"> </w:t>
      </w:r>
      <w:r w:rsidR="00E07480" w:rsidRPr="00B76BB1">
        <w:t xml:space="preserve">shows that </w:t>
      </w:r>
      <w:r w:rsidR="00E07480" w:rsidRPr="002B74CC">
        <w:t>for the years between 20</w:t>
      </w:r>
      <w:r w:rsidR="00E07480" w:rsidRPr="00160143">
        <w:t>11 and 2019, there were</w:t>
      </w:r>
      <w:r w:rsidR="00E07480" w:rsidRPr="004854FE">
        <w:t xml:space="preserve"> </w:t>
      </w:r>
      <w:r w:rsidR="00F21FD0" w:rsidRPr="00B76BB1">
        <w:t>3,651</w:t>
      </w:r>
      <w:r w:rsidR="00E07480" w:rsidRPr="00B76BB1">
        <w:t xml:space="preserve"> bus related incidents </w:t>
      </w:r>
      <w:r w:rsidR="00D23CF9">
        <w:t>equivalent to</w:t>
      </w:r>
      <w:r w:rsidR="00E07480" w:rsidRPr="00B76BB1">
        <w:t xml:space="preserve"> an average of 406 incidents involving a bus service per year. </w:t>
      </w:r>
      <w:r w:rsidR="0001035F" w:rsidRPr="00B76BB1">
        <w:t>A</w:t>
      </w:r>
      <w:r w:rsidR="00E07480" w:rsidRPr="00B76BB1">
        <w:t>mongst this number of incidents, there were on average 6 fatalities per year and 59 serious injuries to persons per year.</w:t>
      </w:r>
      <w:r w:rsidR="00A463CD">
        <w:t xml:space="preserve"> Based on Bureau of Infrastructure, Transport and Regional Economics (BITRE) data on</w:t>
      </w:r>
      <w:r w:rsidR="00A54AEC">
        <w:t xml:space="preserve"> the</w:t>
      </w:r>
      <w:r w:rsidR="00A463CD">
        <w:t xml:space="preserve"> </w:t>
      </w:r>
      <w:r w:rsidR="00A54AEC">
        <w:t xml:space="preserve">distance </w:t>
      </w:r>
      <w:r w:rsidR="00A463CD">
        <w:t>travelled by buses in Victoria, DoT observes that the number of kilometres travelled by buses has been increasing over this period</w:t>
      </w:r>
      <w:r w:rsidR="00A54AEC">
        <w:t xml:space="preserve"> (by on average 1 per cent each year)</w:t>
      </w:r>
      <w:r w:rsidR="00A463CD">
        <w:t>.</w:t>
      </w:r>
      <w:r w:rsidR="00A54AEC">
        <w:t xml:space="preserve"> This means that the exposure risk has been increasing over time.</w:t>
      </w:r>
      <w:r w:rsidR="00A463CD">
        <w:t xml:space="preserve"> </w:t>
      </w:r>
      <w:r w:rsidR="00A463CD" w:rsidRPr="00A463CD">
        <w:fldChar w:fldCharType="begin"/>
      </w:r>
      <w:r w:rsidR="00A463CD" w:rsidRPr="00A463CD">
        <w:instrText xml:space="preserve"> REF _Ref43541581 \h  \* MERGEFORMAT </w:instrText>
      </w:r>
      <w:r w:rsidR="00A463CD" w:rsidRPr="00A463CD">
        <w:fldChar w:fldCharType="separate"/>
      </w:r>
      <w:r w:rsidR="00277F6E" w:rsidRPr="00277F6E">
        <w:t xml:space="preserve">Table </w:t>
      </w:r>
      <w:r w:rsidR="00277F6E" w:rsidRPr="00277F6E">
        <w:rPr>
          <w:noProof/>
        </w:rPr>
        <w:t>3</w:t>
      </w:r>
      <w:r w:rsidR="00277F6E" w:rsidRPr="00277F6E">
        <w:rPr>
          <w:noProof/>
        </w:rPr>
        <w:noBreakHyphen/>
        <w:t>1</w:t>
      </w:r>
      <w:r w:rsidR="00A463CD" w:rsidRPr="00A463CD">
        <w:fldChar w:fldCharType="end"/>
      </w:r>
      <w:r w:rsidR="00A463CD">
        <w:t xml:space="preserve"> also presents the incident data taking into account the distance travelled by buses in Victoria. </w:t>
      </w:r>
      <w:r w:rsidR="0076136E">
        <w:t xml:space="preserve">Despite the </w:t>
      </w:r>
      <w:r w:rsidR="00A54AEC">
        <w:t xml:space="preserve">increasing distances buses are being driven in Victoria, DoT observes that there is no clear trend in relation to the overall number of incidents involving buses, the number of fatalities has been stable over this period, and the number of serious injuries has been decreasing. </w:t>
      </w:r>
    </w:p>
    <w:p w14:paraId="36D1622B" w14:textId="54C3823B" w:rsidR="00E07480" w:rsidRDefault="00E07480" w:rsidP="00E07480">
      <w:r>
        <w:t>The incident data is collected from bus operator incident notifications</w:t>
      </w:r>
      <w:r w:rsidR="00137643">
        <w:t>.</w:t>
      </w:r>
      <w:r>
        <w:t xml:space="preserve"> </w:t>
      </w:r>
      <w:r w:rsidR="00137643">
        <w:t xml:space="preserve">Under the </w:t>
      </w:r>
      <w:r w:rsidR="00803EBD">
        <w:t>Bus Safety Act</w:t>
      </w:r>
      <w:r w:rsidR="00137643">
        <w:t>, b</w:t>
      </w:r>
      <w:r>
        <w:t xml:space="preserve">us operators are required to </w:t>
      </w:r>
      <w:r w:rsidR="00137643">
        <w:t xml:space="preserve">notify </w:t>
      </w:r>
      <w:r w:rsidR="00590C1F">
        <w:t>the Safety Director</w:t>
      </w:r>
      <w:r w:rsidR="00137643">
        <w:t xml:space="preserve"> of any prescribed incident involving the use of the operator’s buses</w:t>
      </w:r>
      <w:r>
        <w:t>.</w:t>
      </w:r>
      <w:r w:rsidR="00137643">
        <w:t xml:space="preserve"> This requirement applies to both accredited bus operators and registered bus operators.</w:t>
      </w:r>
    </w:p>
    <w:p w14:paraId="19AFE1CB" w14:textId="23088228" w:rsidR="00E07480" w:rsidRPr="0093112E" w:rsidRDefault="00E07480" w:rsidP="005E479A">
      <w:pPr>
        <w:pStyle w:val="Caption"/>
        <w:keepNext/>
        <w:spacing w:after="60"/>
        <w:rPr>
          <w:b/>
          <w:i w:val="0"/>
        </w:rPr>
      </w:pPr>
      <w:bookmarkStart w:id="190" w:name="_Ref43541581"/>
      <w:bookmarkStart w:id="191" w:name="_Ref32847809"/>
      <w:bookmarkStart w:id="192" w:name="_Toc44603378"/>
      <w:bookmarkStart w:id="193" w:name="_Toc44437353"/>
      <w:bookmarkStart w:id="194" w:name="_Toc44597424"/>
      <w:bookmarkStart w:id="195" w:name="_Toc44597488"/>
      <w:bookmarkStart w:id="196" w:name="_Toc44600058"/>
      <w:bookmarkStart w:id="197" w:name="_Toc44600513"/>
      <w:bookmarkStart w:id="198" w:name="_Toc44600680"/>
      <w:bookmarkStart w:id="199" w:name="_Toc44601177"/>
      <w:bookmarkStart w:id="200" w:name="_Toc44601230"/>
      <w:bookmarkStart w:id="201" w:name="_Toc45704426"/>
      <w:r w:rsidRPr="0093112E">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w:t>
      </w:r>
      <w:r w:rsidR="00D2483C">
        <w:rPr>
          <w:b/>
          <w:i w:val="0"/>
        </w:rPr>
        <w:fldChar w:fldCharType="end"/>
      </w:r>
      <w:bookmarkEnd w:id="190"/>
      <w:bookmarkEnd w:id="191"/>
      <w:r>
        <w:rPr>
          <w:b/>
          <w:i w:val="0"/>
        </w:rPr>
        <w:t>: Bus incidents, fatalities and serious injuries in Victoria</w:t>
      </w:r>
      <w:r w:rsidR="00287399">
        <w:rPr>
          <w:b/>
          <w:i w:val="0"/>
        </w:rPr>
        <w:t xml:space="preserve"> – 2011-2019</w:t>
      </w:r>
      <w:bookmarkEnd w:id="192"/>
      <w:bookmarkEnd w:id="193"/>
      <w:bookmarkEnd w:id="194"/>
      <w:bookmarkEnd w:id="195"/>
      <w:bookmarkEnd w:id="196"/>
      <w:bookmarkEnd w:id="197"/>
      <w:bookmarkEnd w:id="198"/>
      <w:bookmarkEnd w:id="199"/>
      <w:bookmarkEnd w:id="200"/>
      <w:bookmarkEnd w:id="201"/>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7"/>
        <w:gridCol w:w="713"/>
        <w:gridCol w:w="714"/>
        <w:gridCol w:w="713"/>
        <w:gridCol w:w="714"/>
        <w:gridCol w:w="713"/>
        <w:gridCol w:w="714"/>
        <w:gridCol w:w="713"/>
        <w:gridCol w:w="714"/>
        <w:gridCol w:w="714"/>
        <w:gridCol w:w="708"/>
        <w:gridCol w:w="851"/>
      </w:tblGrid>
      <w:tr w:rsidR="0071600B" w:rsidRPr="00A8475D" w14:paraId="0956D146" w14:textId="77777777" w:rsidTr="00C64FB5">
        <w:trPr>
          <w:cantSplit/>
          <w:trHeight w:val="288"/>
        </w:trPr>
        <w:tc>
          <w:tcPr>
            <w:tcW w:w="1937" w:type="dxa"/>
            <w:shd w:val="clear" w:color="auto" w:fill="D6ECED"/>
            <w:noWrap/>
            <w:vAlign w:val="bottom"/>
            <w:hideMark/>
          </w:tcPr>
          <w:p w14:paraId="0B75D7E1" w14:textId="2E5D06FA" w:rsidR="002868E3" w:rsidRPr="00A8475D" w:rsidRDefault="002868E3" w:rsidP="00C64FB5">
            <w:pPr>
              <w:keepNext/>
              <w:spacing w:before="60" w:after="60"/>
              <w:rPr>
                <w:rFonts w:eastAsia="Times New Roman" w:cstheme="minorHAnsi"/>
                <w:b/>
                <w:bCs/>
                <w:color w:val="000000"/>
                <w:sz w:val="18"/>
                <w:lang w:eastAsia="en-AU"/>
              </w:rPr>
            </w:pPr>
          </w:p>
        </w:tc>
        <w:tc>
          <w:tcPr>
            <w:tcW w:w="713" w:type="dxa"/>
            <w:shd w:val="clear" w:color="auto" w:fill="D6ECED"/>
            <w:noWrap/>
            <w:vAlign w:val="bottom"/>
            <w:hideMark/>
          </w:tcPr>
          <w:p w14:paraId="42E78FE1" w14:textId="77777777" w:rsidR="002868E3" w:rsidRPr="00A8475D" w:rsidRDefault="002868E3" w:rsidP="00C64FB5">
            <w:pPr>
              <w:keepNext/>
              <w:spacing w:before="60" w:after="60"/>
              <w:jc w:val="center"/>
              <w:rPr>
                <w:rFonts w:eastAsia="Times New Roman" w:cstheme="minorHAnsi"/>
                <w:b/>
                <w:bCs/>
                <w:color w:val="000000"/>
                <w:sz w:val="18"/>
                <w:lang w:eastAsia="en-AU"/>
              </w:rPr>
            </w:pPr>
            <w:r w:rsidRPr="00A8475D">
              <w:rPr>
                <w:rFonts w:eastAsia="Times New Roman" w:cstheme="minorHAnsi"/>
                <w:b/>
                <w:bCs/>
                <w:color w:val="000000"/>
                <w:sz w:val="18"/>
                <w:lang w:eastAsia="en-AU"/>
              </w:rPr>
              <w:t>2011</w:t>
            </w:r>
          </w:p>
        </w:tc>
        <w:tc>
          <w:tcPr>
            <w:tcW w:w="714" w:type="dxa"/>
            <w:shd w:val="clear" w:color="auto" w:fill="D6ECED"/>
            <w:noWrap/>
            <w:vAlign w:val="bottom"/>
            <w:hideMark/>
          </w:tcPr>
          <w:p w14:paraId="48878CF8" w14:textId="77777777" w:rsidR="002868E3" w:rsidRPr="00A8475D" w:rsidRDefault="002868E3" w:rsidP="00C64FB5">
            <w:pPr>
              <w:keepNext/>
              <w:spacing w:before="60" w:after="60"/>
              <w:jc w:val="center"/>
              <w:rPr>
                <w:rFonts w:eastAsia="Times New Roman" w:cstheme="minorHAnsi"/>
                <w:b/>
                <w:bCs/>
                <w:color w:val="000000"/>
                <w:sz w:val="18"/>
                <w:lang w:eastAsia="en-AU"/>
              </w:rPr>
            </w:pPr>
            <w:r w:rsidRPr="00A8475D">
              <w:rPr>
                <w:rFonts w:eastAsia="Times New Roman" w:cstheme="minorHAnsi"/>
                <w:b/>
                <w:bCs/>
                <w:color w:val="000000"/>
                <w:sz w:val="18"/>
                <w:lang w:eastAsia="en-AU"/>
              </w:rPr>
              <w:t>2012</w:t>
            </w:r>
          </w:p>
        </w:tc>
        <w:tc>
          <w:tcPr>
            <w:tcW w:w="713" w:type="dxa"/>
            <w:shd w:val="clear" w:color="auto" w:fill="D6ECED"/>
            <w:noWrap/>
            <w:vAlign w:val="bottom"/>
            <w:hideMark/>
          </w:tcPr>
          <w:p w14:paraId="1337E4F5" w14:textId="77777777" w:rsidR="002868E3" w:rsidRPr="00A8475D" w:rsidRDefault="002868E3" w:rsidP="00C64FB5">
            <w:pPr>
              <w:keepNext/>
              <w:spacing w:before="60" w:after="60"/>
              <w:jc w:val="center"/>
              <w:rPr>
                <w:rFonts w:eastAsia="Times New Roman" w:cstheme="minorHAnsi"/>
                <w:b/>
                <w:bCs/>
                <w:color w:val="000000"/>
                <w:sz w:val="18"/>
                <w:lang w:eastAsia="en-AU"/>
              </w:rPr>
            </w:pPr>
            <w:r w:rsidRPr="00A8475D">
              <w:rPr>
                <w:rFonts w:eastAsia="Times New Roman" w:cstheme="minorHAnsi"/>
                <w:b/>
                <w:bCs/>
                <w:color w:val="000000"/>
                <w:sz w:val="18"/>
                <w:lang w:eastAsia="en-AU"/>
              </w:rPr>
              <w:t>2013</w:t>
            </w:r>
          </w:p>
        </w:tc>
        <w:tc>
          <w:tcPr>
            <w:tcW w:w="714" w:type="dxa"/>
            <w:shd w:val="clear" w:color="auto" w:fill="D6ECED"/>
            <w:noWrap/>
            <w:vAlign w:val="bottom"/>
            <w:hideMark/>
          </w:tcPr>
          <w:p w14:paraId="62573CD4" w14:textId="77777777" w:rsidR="002868E3" w:rsidRPr="00A8475D" w:rsidRDefault="002868E3" w:rsidP="00C64FB5">
            <w:pPr>
              <w:keepNext/>
              <w:spacing w:before="60" w:after="60"/>
              <w:jc w:val="center"/>
              <w:rPr>
                <w:rFonts w:eastAsia="Times New Roman" w:cstheme="minorHAnsi"/>
                <w:b/>
                <w:bCs/>
                <w:color w:val="000000"/>
                <w:sz w:val="18"/>
                <w:lang w:eastAsia="en-AU"/>
              </w:rPr>
            </w:pPr>
            <w:r w:rsidRPr="00A8475D">
              <w:rPr>
                <w:rFonts w:eastAsia="Times New Roman" w:cstheme="minorHAnsi"/>
                <w:b/>
                <w:bCs/>
                <w:color w:val="000000"/>
                <w:sz w:val="18"/>
                <w:lang w:eastAsia="en-AU"/>
              </w:rPr>
              <w:t>2014</w:t>
            </w:r>
          </w:p>
        </w:tc>
        <w:tc>
          <w:tcPr>
            <w:tcW w:w="713" w:type="dxa"/>
            <w:shd w:val="clear" w:color="auto" w:fill="D6ECED"/>
            <w:noWrap/>
            <w:vAlign w:val="bottom"/>
            <w:hideMark/>
          </w:tcPr>
          <w:p w14:paraId="47C58933" w14:textId="77777777" w:rsidR="002868E3" w:rsidRPr="00A8475D" w:rsidRDefault="002868E3" w:rsidP="00C64FB5">
            <w:pPr>
              <w:keepNext/>
              <w:spacing w:before="60" w:after="60"/>
              <w:jc w:val="center"/>
              <w:rPr>
                <w:rFonts w:eastAsia="Times New Roman" w:cstheme="minorHAnsi"/>
                <w:b/>
                <w:bCs/>
                <w:color w:val="000000"/>
                <w:sz w:val="18"/>
                <w:lang w:eastAsia="en-AU"/>
              </w:rPr>
            </w:pPr>
            <w:r w:rsidRPr="00A8475D">
              <w:rPr>
                <w:rFonts w:eastAsia="Times New Roman" w:cstheme="minorHAnsi"/>
                <w:b/>
                <w:bCs/>
                <w:color w:val="000000"/>
                <w:sz w:val="18"/>
                <w:lang w:eastAsia="en-AU"/>
              </w:rPr>
              <w:t>2015</w:t>
            </w:r>
          </w:p>
        </w:tc>
        <w:tc>
          <w:tcPr>
            <w:tcW w:w="714" w:type="dxa"/>
            <w:shd w:val="clear" w:color="auto" w:fill="D6ECED"/>
            <w:noWrap/>
            <w:vAlign w:val="bottom"/>
            <w:hideMark/>
          </w:tcPr>
          <w:p w14:paraId="002D50DC" w14:textId="77777777" w:rsidR="002868E3" w:rsidRPr="00A8475D" w:rsidRDefault="002868E3" w:rsidP="00C64FB5">
            <w:pPr>
              <w:keepNext/>
              <w:spacing w:before="60" w:after="60"/>
              <w:jc w:val="center"/>
              <w:rPr>
                <w:rFonts w:eastAsia="Times New Roman" w:cstheme="minorHAnsi"/>
                <w:b/>
                <w:bCs/>
                <w:color w:val="000000"/>
                <w:sz w:val="18"/>
                <w:lang w:eastAsia="en-AU"/>
              </w:rPr>
            </w:pPr>
            <w:r w:rsidRPr="00A8475D">
              <w:rPr>
                <w:rFonts w:eastAsia="Times New Roman" w:cstheme="minorHAnsi"/>
                <w:b/>
                <w:bCs/>
                <w:color w:val="000000"/>
                <w:sz w:val="18"/>
                <w:lang w:eastAsia="en-AU"/>
              </w:rPr>
              <w:t>2016</w:t>
            </w:r>
          </w:p>
        </w:tc>
        <w:tc>
          <w:tcPr>
            <w:tcW w:w="713" w:type="dxa"/>
            <w:shd w:val="clear" w:color="auto" w:fill="D6ECED"/>
            <w:noWrap/>
            <w:vAlign w:val="bottom"/>
            <w:hideMark/>
          </w:tcPr>
          <w:p w14:paraId="6583A78A" w14:textId="77777777" w:rsidR="002868E3" w:rsidRPr="00A8475D" w:rsidRDefault="002868E3" w:rsidP="00C64FB5">
            <w:pPr>
              <w:keepNext/>
              <w:spacing w:before="60" w:after="60"/>
              <w:jc w:val="center"/>
              <w:rPr>
                <w:rFonts w:eastAsia="Times New Roman" w:cstheme="minorHAnsi"/>
                <w:b/>
                <w:bCs/>
                <w:color w:val="000000"/>
                <w:sz w:val="18"/>
                <w:lang w:eastAsia="en-AU"/>
              </w:rPr>
            </w:pPr>
            <w:r w:rsidRPr="00A8475D">
              <w:rPr>
                <w:rFonts w:eastAsia="Times New Roman" w:cstheme="minorHAnsi"/>
                <w:b/>
                <w:bCs/>
                <w:color w:val="000000"/>
                <w:sz w:val="18"/>
                <w:lang w:eastAsia="en-AU"/>
              </w:rPr>
              <w:t>2017</w:t>
            </w:r>
          </w:p>
        </w:tc>
        <w:tc>
          <w:tcPr>
            <w:tcW w:w="714" w:type="dxa"/>
            <w:shd w:val="clear" w:color="auto" w:fill="D6ECED"/>
            <w:noWrap/>
            <w:vAlign w:val="bottom"/>
            <w:hideMark/>
          </w:tcPr>
          <w:p w14:paraId="06BF4C01" w14:textId="77777777" w:rsidR="002868E3" w:rsidRPr="00A8475D" w:rsidRDefault="002868E3" w:rsidP="00C64FB5">
            <w:pPr>
              <w:keepNext/>
              <w:spacing w:before="60" w:after="60"/>
              <w:jc w:val="center"/>
              <w:rPr>
                <w:rFonts w:eastAsia="Times New Roman" w:cstheme="minorHAnsi"/>
                <w:b/>
                <w:bCs/>
                <w:color w:val="000000"/>
                <w:sz w:val="18"/>
                <w:lang w:eastAsia="en-AU"/>
              </w:rPr>
            </w:pPr>
            <w:r w:rsidRPr="00A8475D">
              <w:rPr>
                <w:rFonts w:eastAsia="Times New Roman" w:cstheme="minorHAnsi"/>
                <w:b/>
                <w:bCs/>
                <w:color w:val="000000"/>
                <w:sz w:val="18"/>
                <w:lang w:eastAsia="en-AU"/>
              </w:rPr>
              <w:t>2018</w:t>
            </w:r>
          </w:p>
        </w:tc>
        <w:tc>
          <w:tcPr>
            <w:tcW w:w="714" w:type="dxa"/>
            <w:shd w:val="clear" w:color="auto" w:fill="D6ECED"/>
            <w:noWrap/>
            <w:vAlign w:val="bottom"/>
            <w:hideMark/>
          </w:tcPr>
          <w:p w14:paraId="73D36F51" w14:textId="77777777" w:rsidR="002868E3" w:rsidRPr="00A8475D" w:rsidRDefault="002868E3" w:rsidP="00C64FB5">
            <w:pPr>
              <w:keepNext/>
              <w:spacing w:before="60" w:after="60"/>
              <w:jc w:val="center"/>
              <w:rPr>
                <w:rFonts w:eastAsia="Times New Roman" w:cstheme="minorHAnsi"/>
                <w:b/>
                <w:bCs/>
                <w:color w:val="000000"/>
                <w:sz w:val="18"/>
                <w:lang w:eastAsia="en-AU"/>
              </w:rPr>
            </w:pPr>
            <w:r w:rsidRPr="00A8475D">
              <w:rPr>
                <w:rFonts w:eastAsia="Times New Roman" w:cstheme="minorHAnsi"/>
                <w:b/>
                <w:bCs/>
                <w:color w:val="000000"/>
                <w:sz w:val="18"/>
                <w:lang w:eastAsia="en-AU"/>
              </w:rPr>
              <w:t>2019</w:t>
            </w:r>
          </w:p>
        </w:tc>
        <w:tc>
          <w:tcPr>
            <w:tcW w:w="708" w:type="dxa"/>
            <w:shd w:val="clear" w:color="auto" w:fill="D6ECED"/>
            <w:vAlign w:val="bottom"/>
          </w:tcPr>
          <w:p w14:paraId="12F60BE7" w14:textId="054ED925" w:rsidR="002868E3" w:rsidRDefault="005A3011" w:rsidP="00C64FB5">
            <w:pPr>
              <w:keepNext/>
              <w:spacing w:before="60" w:after="60"/>
              <w:jc w:val="right"/>
              <w:rPr>
                <w:rFonts w:eastAsia="Times New Roman" w:cstheme="minorHAnsi"/>
                <w:b/>
                <w:bCs/>
                <w:color w:val="000000"/>
                <w:sz w:val="18"/>
                <w:lang w:eastAsia="en-AU"/>
              </w:rPr>
            </w:pPr>
            <w:r>
              <w:rPr>
                <w:rFonts w:eastAsia="Times New Roman" w:cstheme="minorHAnsi"/>
                <w:b/>
                <w:bCs/>
                <w:color w:val="000000"/>
                <w:sz w:val="18"/>
                <w:lang w:eastAsia="en-AU"/>
              </w:rPr>
              <w:t>Total</w:t>
            </w:r>
          </w:p>
        </w:tc>
        <w:tc>
          <w:tcPr>
            <w:tcW w:w="851" w:type="dxa"/>
            <w:shd w:val="clear" w:color="auto" w:fill="D6ECED"/>
          </w:tcPr>
          <w:p w14:paraId="11627608" w14:textId="4C667DD4" w:rsidR="002868E3" w:rsidRPr="00A8475D" w:rsidRDefault="002868E3" w:rsidP="00C64FB5">
            <w:pPr>
              <w:keepNext/>
              <w:spacing w:before="60" w:after="60"/>
              <w:jc w:val="center"/>
              <w:rPr>
                <w:rFonts w:eastAsia="Times New Roman" w:cstheme="minorHAnsi"/>
                <w:b/>
                <w:bCs/>
                <w:color w:val="000000"/>
                <w:sz w:val="18"/>
                <w:lang w:eastAsia="en-AU"/>
              </w:rPr>
            </w:pPr>
            <w:r>
              <w:rPr>
                <w:rFonts w:eastAsia="Times New Roman" w:cstheme="minorHAnsi"/>
                <w:b/>
                <w:bCs/>
                <w:color w:val="000000"/>
                <w:sz w:val="18"/>
                <w:lang w:eastAsia="en-AU"/>
              </w:rPr>
              <w:t>Ave. annual</w:t>
            </w:r>
          </w:p>
        </w:tc>
      </w:tr>
      <w:tr w:rsidR="0071600B" w:rsidRPr="00A8475D" w14:paraId="2E5CCE4F" w14:textId="77777777" w:rsidTr="00C64FB5">
        <w:trPr>
          <w:cantSplit/>
          <w:trHeight w:val="288"/>
        </w:trPr>
        <w:tc>
          <w:tcPr>
            <w:tcW w:w="1937" w:type="dxa"/>
            <w:shd w:val="clear" w:color="auto" w:fill="auto"/>
            <w:noWrap/>
            <w:vAlign w:val="bottom"/>
            <w:hideMark/>
          </w:tcPr>
          <w:p w14:paraId="62A71F07" w14:textId="06BAC9C7" w:rsidR="002868E3" w:rsidRPr="00A8475D" w:rsidRDefault="002868E3" w:rsidP="00C64FB5">
            <w:pPr>
              <w:keepNext/>
              <w:spacing w:before="60" w:after="60"/>
              <w:rPr>
                <w:rFonts w:eastAsia="Times New Roman" w:cstheme="minorHAnsi"/>
                <w:color w:val="000000"/>
                <w:sz w:val="18"/>
                <w:lang w:eastAsia="en-AU"/>
              </w:rPr>
            </w:pPr>
            <w:r>
              <w:rPr>
                <w:rFonts w:eastAsia="Times New Roman" w:cstheme="minorHAnsi"/>
                <w:color w:val="000000"/>
                <w:sz w:val="18"/>
                <w:lang w:eastAsia="en-AU"/>
              </w:rPr>
              <w:t>Number of bus incidents</w:t>
            </w:r>
          </w:p>
        </w:tc>
        <w:tc>
          <w:tcPr>
            <w:tcW w:w="713" w:type="dxa"/>
            <w:shd w:val="clear" w:color="auto" w:fill="auto"/>
            <w:noWrap/>
            <w:vAlign w:val="bottom"/>
            <w:hideMark/>
          </w:tcPr>
          <w:p w14:paraId="405E3D03"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346</w:t>
            </w:r>
          </w:p>
        </w:tc>
        <w:tc>
          <w:tcPr>
            <w:tcW w:w="714" w:type="dxa"/>
            <w:shd w:val="clear" w:color="auto" w:fill="auto"/>
            <w:noWrap/>
            <w:vAlign w:val="bottom"/>
            <w:hideMark/>
          </w:tcPr>
          <w:p w14:paraId="7A578463"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385</w:t>
            </w:r>
          </w:p>
        </w:tc>
        <w:tc>
          <w:tcPr>
            <w:tcW w:w="713" w:type="dxa"/>
            <w:shd w:val="clear" w:color="auto" w:fill="auto"/>
            <w:noWrap/>
            <w:vAlign w:val="bottom"/>
            <w:hideMark/>
          </w:tcPr>
          <w:p w14:paraId="0A7EC42D"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325</w:t>
            </w:r>
          </w:p>
        </w:tc>
        <w:tc>
          <w:tcPr>
            <w:tcW w:w="714" w:type="dxa"/>
            <w:shd w:val="clear" w:color="auto" w:fill="auto"/>
            <w:noWrap/>
            <w:vAlign w:val="bottom"/>
            <w:hideMark/>
          </w:tcPr>
          <w:p w14:paraId="3C38AFB7"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323</w:t>
            </w:r>
          </w:p>
        </w:tc>
        <w:tc>
          <w:tcPr>
            <w:tcW w:w="713" w:type="dxa"/>
            <w:shd w:val="clear" w:color="auto" w:fill="auto"/>
            <w:noWrap/>
            <w:vAlign w:val="bottom"/>
            <w:hideMark/>
          </w:tcPr>
          <w:p w14:paraId="65B9D040"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428</w:t>
            </w:r>
          </w:p>
        </w:tc>
        <w:tc>
          <w:tcPr>
            <w:tcW w:w="714" w:type="dxa"/>
            <w:shd w:val="clear" w:color="auto" w:fill="auto"/>
            <w:noWrap/>
            <w:vAlign w:val="bottom"/>
            <w:hideMark/>
          </w:tcPr>
          <w:p w14:paraId="2477201D"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514</w:t>
            </w:r>
          </w:p>
        </w:tc>
        <w:tc>
          <w:tcPr>
            <w:tcW w:w="713" w:type="dxa"/>
            <w:shd w:val="clear" w:color="auto" w:fill="auto"/>
            <w:noWrap/>
            <w:vAlign w:val="bottom"/>
            <w:hideMark/>
          </w:tcPr>
          <w:p w14:paraId="0917AB7D"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475</w:t>
            </w:r>
          </w:p>
        </w:tc>
        <w:tc>
          <w:tcPr>
            <w:tcW w:w="714" w:type="dxa"/>
            <w:shd w:val="clear" w:color="auto" w:fill="auto"/>
            <w:noWrap/>
            <w:vAlign w:val="bottom"/>
            <w:hideMark/>
          </w:tcPr>
          <w:p w14:paraId="6C1AA1AA" w14:textId="2733702E"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44</w:t>
            </w:r>
            <w:r>
              <w:rPr>
                <w:rFonts w:eastAsia="Times New Roman" w:cstheme="minorHAnsi"/>
                <w:color w:val="000000"/>
                <w:sz w:val="18"/>
                <w:lang w:eastAsia="en-AU"/>
              </w:rPr>
              <w:t>1</w:t>
            </w:r>
          </w:p>
        </w:tc>
        <w:tc>
          <w:tcPr>
            <w:tcW w:w="714" w:type="dxa"/>
            <w:shd w:val="clear" w:color="auto" w:fill="auto"/>
            <w:noWrap/>
            <w:vAlign w:val="bottom"/>
            <w:hideMark/>
          </w:tcPr>
          <w:p w14:paraId="54B8ECFE"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414</w:t>
            </w:r>
          </w:p>
        </w:tc>
        <w:tc>
          <w:tcPr>
            <w:tcW w:w="708" w:type="dxa"/>
            <w:vAlign w:val="bottom"/>
          </w:tcPr>
          <w:p w14:paraId="6F27436A" w14:textId="2411B1A4" w:rsidR="002868E3" w:rsidRPr="005D01D9" w:rsidRDefault="005A3011" w:rsidP="00C64FB5">
            <w:pPr>
              <w:keepNext/>
              <w:spacing w:before="60" w:after="60"/>
              <w:jc w:val="right"/>
              <w:rPr>
                <w:rFonts w:eastAsia="Times New Roman" w:cstheme="minorHAnsi"/>
                <w:b/>
                <w:bCs/>
                <w:color w:val="000000"/>
                <w:sz w:val="18"/>
                <w:lang w:eastAsia="en-AU"/>
              </w:rPr>
            </w:pPr>
            <w:r>
              <w:rPr>
                <w:rFonts w:eastAsia="Times New Roman" w:cstheme="minorHAnsi"/>
                <w:b/>
                <w:bCs/>
                <w:color w:val="000000"/>
                <w:sz w:val="18"/>
                <w:lang w:eastAsia="en-AU"/>
              </w:rPr>
              <w:t>3,651</w:t>
            </w:r>
          </w:p>
        </w:tc>
        <w:tc>
          <w:tcPr>
            <w:tcW w:w="851" w:type="dxa"/>
            <w:vAlign w:val="bottom"/>
          </w:tcPr>
          <w:p w14:paraId="5568BE63" w14:textId="5AB865D3" w:rsidR="002868E3" w:rsidRPr="005D01D9" w:rsidRDefault="002868E3"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406</w:t>
            </w:r>
          </w:p>
        </w:tc>
      </w:tr>
      <w:tr w:rsidR="00CB1305" w:rsidRPr="00A8475D" w14:paraId="268B71FB" w14:textId="77777777" w:rsidTr="00C64FB5">
        <w:trPr>
          <w:cantSplit/>
          <w:trHeight w:val="288"/>
        </w:trPr>
        <w:tc>
          <w:tcPr>
            <w:tcW w:w="1937" w:type="dxa"/>
            <w:shd w:val="clear" w:color="auto" w:fill="auto"/>
            <w:noWrap/>
            <w:vAlign w:val="bottom"/>
          </w:tcPr>
          <w:p w14:paraId="0665A0E9" w14:textId="033F98B0" w:rsidR="00CB1305" w:rsidRDefault="00CB1305" w:rsidP="00C64FB5">
            <w:pPr>
              <w:keepNext/>
              <w:spacing w:before="60" w:after="60"/>
              <w:ind w:left="306"/>
              <w:rPr>
                <w:rFonts w:eastAsia="Times New Roman" w:cstheme="minorHAnsi"/>
                <w:color w:val="000000"/>
                <w:sz w:val="18"/>
                <w:lang w:eastAsia="en-AU"/>
              </w:rPr>
            </w:pPr>
            <w:r>
              <w:rPr>
                <w:rFonts w:eastAsia="Times New Roman" w:cstheme="minorHAnsi"/>
                <w:color w:val="000000"/>
                <w:sz w:val="18"/>
                <w:lang w:eastAsia="en-AU"/>
              </w:rPr>
              <w:t>Number of bus incidents per 100 million km travelled</w:t>
            </w:r>
          </w:p>
        </w:tc>
        <w:tc>
          <w:tcPr>
            <w:tcW w:w="713" w:type="dxa"/>
            <w:shd w:val="clear" w:color="auto" w:fill="auto"/>
            <w:noWrap/>
            <w:vAlign w:val="bottom"/>
          </w:tcPr>
          <w:p w14:paraId="03DABBBA" w14:textId="1D338C66"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59.2</w:t>
            </w:r>
          </w:p>
        </w:tc>
        <w:tc>
          <w:tcPr>
            <w:tcW w:w="714" w:type="dxa"/>
            <w:shd w:val="clear" w:color="auto" w:fill="auto"/>
            <w:noWrap/>
            <w:vAlign w:val="bottom"/>
          </w:tcPr>
          <w:p w14:paraId="79608112" w14:textId="22810276"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63.2</w:t>
            </w:r>
          </w:p>
        </w:tc>
        <w:tc>
          <w:tcPr>
            <w:tcW w:w="713" w:type="dxa"/>
            <w:shd w:val="clear" w:color="auto" w:fill="auto"/>
            <w:noWrap/>
            <w:vAlign w:val="bottom"/>
          </w:tcPr>
          <w:p w14:paraId="064479B7" w14:textId="3BA6CA34"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52.5</w:t>
            </w:r>
          </w:p>
        </w:tc>
        <w:tc>
          <w:tcPr>
            <w:tcW w:w="714" w:type="dxa"/>
            <w:shd w:val="clear" w:color="auto" w:fill="auto"/>
            <w:noWrap/>
            <w:vAlign w:val="bottom"/>
          </w:tcPr>
          <w:p w14:paraId="0BFE23CC" w14:textId="4A31D004"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51.2</w:t>
            </w:r>
          </w:p>
        </w:tc>
        <w:tc>
          <w:tcPr>
            <w:tcW w:w="713" w:type="dxa"/>
            <w:shd w:val="clear" w:color="auto" w:fill="auto"/>
            <w:noWrap/>
            <w:vAlign w:val="bottom"/>
          </w:tcPr>
          <w:p w14:paraId="2FAFF312" w14:textId="6E675956"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67.2</w:t>
            </w:r>
          </w:p>
        </w:tc>
        <w:tc>
          <w:tcPr>
            <w:tcW w:w="714" w:type="dxa"/>
            <w:shd w:val="clear" w:color="auto" w:fill="auto"/>
            <w:noWrap/>
            <w:vAlign w:val="bottom"/>
          </w:tcPr>
          <w:p w14:paraId="0C0CC898" w14:textId="492FDAF6"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80.0</w:t>
            </w:r>
          </w:p>
        </w:tc>
        <w:tc>
          <w:tcPr>
            <w:tcW w:w="713" w:type="dxa"/>
            <w:shd w:val="clear" w:color="auto" w:fill="auto"/>
            <w:noWrap/>
            <w:vAlign w:val="bottom"/>
          </w:tcPr>
          <w:p w14:paraId="61781488" w14:textId="09D3630F"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73.3</w:t>
            </w:r>
          </w:p>
        </w:tc>
        <w:tc>
          <w:tcPr>
            <w:tcW w:w="714" w:type="dxa"/>
            <w:shd w:val="clear" w:color="auto" w:fill="auto"/>
            <w:noWrap/>
            <w:vAlign w:val="bottom"/>
          </w:tcPr>
          <w:p w14:paraId="56B890C7" w14:textId="42836437"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67.3</w:t>
            </w:r>
          </w:p>
        </w:tc>
        <w:tc>
          <w:tcPr>
            <w:tcW w:w="714" w:type="dxa"/>
            <w:shd w:val="clear" w:color="auto" w:fill="auto"/>
            <w:noWrap/>
            <w:vAlign w:val="bottom"/>
          </w:tcPr>
          <w:p w14:paraId="0197074D" w14:textId="17CC203C"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62.4</w:t>
            </w:r>
          </w:p>
        </w:tc>
        <w:tc>
          <w:tcPr>
            <w:tcW w:w="708" w:type="dxa"/>
            <w:vAlign w:val="bottom"/>
          </w:tcPr>
          <w:p w14:paraId="19FFC2C2" w14:textId="77777777" w:rsidR="00CB1305" w:rsidRDefault="00CB1305" w:rsidP="00C64FB5">
            <w:pPr>
              <w:keepNext/>
              <w:spacing w:before="60" w:after="60"/>
              <w:jc w:val="right"/>
              <w:rPr>
                <w:rFonts w:eastAsia="Times New Roman" w:cstheme="minorHAnsi"/>
                <w:b/>
                <w:bCs/>
                <w:color w:val="000000"/>
                <w:sz w:val="18"/>
                <w:lang w:eastAsia="en-AU"/>
              </w:rPr>
            </w:pPr>
          </w:p>
        </w:tc>
        <w:tc>
          <w:tcPr>
            <w:tcW w:w="851" w:type="dxa"/>
            <w:vAlign w:val="bottom"/>
          </w:tcPr>
          <w:p w14:paraId="03DF3F48" w14:textId="06B5D821" w:rsidR="00CB1305" w:rsidRPr="005D01D9" w:rsidRDefault="00F16303" w:rsidP="00C64FB5">
            <w:pPr>
              <w:keepNext/>
              <w:spacing w:before="60" w:after="60"/>
              <w:jc w:val="right"/>
              <w:rPr>
                <w:rFonts w:eastAsia="Times New Roman" w:cstheme="minorHAnsi"/>
                <w:b/>
                <w:bCs/>
                <w:color w:val="000000"/>
                <w:sz w:val="18"/>
                <w:lang w:eastAsia="en-AU"/>
              </w:rPr>
            </w:pPr>
            <w:r>
              <w:rPr>
                <w:rFonts w:eastAsia="Times New Roman" w:cstheme="minorHAnsi"/>
                <w:b/>
                <w:bCs/>
                <w:color w:val="000000"/>
                <w:sz w:val="18"/>
                <w:lang w:eastAsia="en-AU"/>
              </w:rPr>
              <w:t>64.2</w:t>
            </w:r>
          </w:p>
        </w:tc>
      </w:tr>
      <w:tr w:rsidR="0071600B" w:rsidRPr="00A8475D" w14:paraId="5B9D9CAD" w14:textId="77777777" w:rsidTr="00C64FB5">
        <w:trPr>
          <w:cantSplit/>
          <w:trHeight w:val="288"/>
        </w:trPr>
        <w:tc>
          <w:tcPr>
            <w:tcW w:w="1937" w:type="dxa"/>
            <w:shd w:val="clear" w:color="auto" w:fill="auto"/>
            <w:noWrap/>
            <w:vAlign w:val="bottom"/>
            <w:hideMark/>
          </w:tcPr>
          <w:p w14:paraId="39636738" w14:textId="77777777" w:rsidR="002868E3" w:rsidRPr="00A8475D" w:rsidRDefault="002868E3" w:rsidP="00C64FB5">
            <w:pPr>
              <w:keepNext/>
              <w:spacing w:before="60" w:after="60"/>
              <w:rPr>
                <w:rFonts w:eastAsia="Times New Roman" w:cstheme="minorHAnsi"/>
                <w:color w:val="000000"/>
                <w:sz w:val="18"/>
                <w:lang w:eastAsia="en-AU"/>
              </w:rPr>
            </w:pPr>
            <w:r>
              <w:rPr>
                <w:rFonts w:eastAsia="Times New Roman" w:cstheme="minorHAnsi"/>
                <w:color w:val="000000"/>
                <w:sz w:val="18"/>
                <w:lang w:eastAsia="en-AU"/>
              </w:rPr>
              <w:t>Fatalities</w:t>
            </w:r>
          </w:p>
        </w:tc>
        <w:tc>
          <w:tcPr>
            <w:tcW w:w="713" w:type="dxa"/>
            <w:shd w:val="clear" w:color="auto" w:fill="auto"/>
            <w:noWrap/>
            <w:vAlign w:val="bottom"/>
          </w:tcPr>
          <w:p w14:paraId="357BA3DD"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5</w:t>
            </w:r>
          </w:p>
        </w:tc>
        <w:tc>
          <w:tcPr>
            <w:tcW w:w="714" w:type="dxa"/>
            <w:shd w:val="clear" w:color="auto" w:fill="auto"/>
            <w:noWrap/>
            <w:vAlign w:val="bottom"/>
          </w:tcPr>
          <w:p w14:paraId="634A2AED"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7</w:t>
            </w:r>
          </w:p>
        </w:tc>
        <w:tc>
          <w:tcPr>
            <w:tcW w:w="713" w:type="dxa"/>
            <w:shd w:val="clear" w:color="auto" w:fill="auto"/>
            <w:noWrap/>
            <w:vAlign w:val="bottom"/>
          </w:tcPr>
          <w:p w14:paraId="2F5DB78A"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7</w:t>
            </w:r>
          </w:p>
        </w:tc>
        <w:tc>
          <w:tcPr>
            <w:tcW w:w="714" w:type="dxa"/>
            <w:shd w:val="clear" w:color="auto" w:fill="auto"/>
            <w:noWrap/>
            <w:vAlign w:val="bottom"/>
          </w:tcPr>
          <w:p w14:paraId="3957031F"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6</w:t>
            </w:r>
          </w:p>
        </w:tc>
        <w:tc>
          <w:tcPr>
            <w:tcW w:w="713" w:type="dxa"/>
            <w:shd w:val="clear" w:color="auto" w:fill="auto"/>
            <w:noWrap/>
            <w:vAlign w:val="bottom"/>
          </w:tcPr>
          <w:p w14:paraId="5A1F9BDE"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7</w:t>
            </w:r>
          </w:p>
        </w:tc>
        <w:tc>
          <w:tcPr>
            <w:tcW w:w="714" w:type="dxa"/>
            <w:shd w:val="clear" w:color="auto" w:fill="auto"/>
            <w:noWrap/>
            <w:vAlign w:val="bottom"/>
          </w:tcPr>
          <w:p w14:paraId="09AB8B2A"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5</w:t>
            </w:r>
          </w:p>
        </w:tc>
        <w:tc>
          <w:tcPr>
            <w:tcW w:w="713" w:type="dxa"/>
            <w:shd w:val="clear" w:color="auto" w:fill="auto"/>
            <w:noWrap/>
            <w:vAlign w:val="bottom"/>
          </w:tcPr>
          <w:p w14:paraId="150672DF"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10</w:t>
            </w:r>
          </w:p>
        </w:tc>
        <w:tc>
          <w:tcPr>
            <w:tcW w:w="714" w:type="dxa"/>
            <w:shd w:val="clear" w:color="auto" w:fill="auto"/>
            <w:noWrap/>
            <w:vAlign w:val="bottom"/>
          </w:tcPr>
          <w:p w14:paraId="337199B9"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5</w:t>
            </w:r>
          </w:p>
        </w:tc>
        <w:tc>
          <w:tcPr>
            <w:tcW w:w="714" w:type="dxa"/>
            <w:shd w:val="clear" w:color="auto" w:fill="auto"/>
            <w:noWrap/>
            <w:vAlign w:val="bottom"/>
          </w:tcPr>
          <w:p w14:paraId="28231757"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5</w:t>
            </w:r>
          </w:p>
        </w:tc>
        <w:tc>
          <w:tcPr>
            <w:tcW w:w="708" w:type="dxa"/>
            <w:vAlign w:val="bottom"/>
          </w:tcPr>
          <w:p w14:paraId="5521F663" w14:textId="55D89B52" w:rsidR="002868E3" w:rsidRPr="005D01D9" w:rsidRDefault="005A3011" w:rsidP="00C64FB5">
            <w:pPr>
              <w:keepNext/>
              <w:spacing w:before="60" w:after="60"/>
              <w:jc w:val="right"/>
              <w:rPr>
                <w:rFonts w:eastAsia="Times New Roman" w:cstheme="minorHAnsi"/>
                <w:b/>
                <w:bCs/>
                <w:color w:val="000000"/>
                <w:sz w:val="18"/>
                <w:lang w:eastAsia="en-AU"/>
              </w:rPr>
            </w:pPr>
            <w:r>
              <w:rPr>
                <w:rFonts w:eastAsia="Times New Roman" w:cstheme="minorHAnsi"/>
                <w:b/>
                <w:bCs/>
                <w:color w:val="000000"/>
                <w:sz w:val="18"/>
                <w:lang w:eastAsia="en-AU"/>
              </w:rPr>
              <w:t>57</w:t>
            </w:r>
          </w:p>
        </w:tc>
        <w:tc>
          <w:tcPr>
            <w:tcW w:w="851" w:type="dxa"/>
            <w:vAlign w:val="bottom"/>
          </w:tcPr>
          <w:p w14:paraId="654322DE" w14:textId="2A59E138" w:rsidR="002868E3" w:rsidRPr="005D01D9" w:rsidRDefault="002868E3"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6</w:t>
            </w:r>
          </w:p>
        </w:tc>
      </w:tr>
      <w:tr w:rsidR="00CB1305" w:rsidRPr="00A8475D" w14:paraId="054537C6" w14:textId="77777777" w:rsidTr="00C64FB5">
        <w:trPr>
          <w:cantSplit/>
          <w:trHeight w:val="288"/>
        </w:trPr>
        <w:tc>
          <w:tcPr>
            <w:tcW w:w="1937" w:type="dxa"/>
            <w:shd w:val="clear" w:color="auto" w:fill="auto"/>
            <w:noWrap/>
            <w:vAlign w:val="bottom"/>
          </w:tcPr>
          <w:p w14:paraId="2473E376" w14:textId="727592F7" w:rsidR="00CB1305" w:rsidRDefault="00CB1305" w:rsidP="00C64FB5">
            <w:pPr>
              <w:keepNext/>
              <w:spacing w:before="60" w:after="60"/>
              <w:ind w:left="306"/>
              <w:rPr>
                <w:rFonts w:eastAsia="Times New Roman" w:cstheme="minorHAnsi"/>
                <w:color w:val="000000"/>
                <w:sz w:val="18"/>
                <w:lang w:eastAsia="en-AU"/>
              </w:rPr>
            </w:pPr>
            <w:r>
              <w:rPr>
                <w:rFonts w:eastAsia="Times New Roman" w:cstheme="minorHAnsi"/>
                <w:color w:val="000000"/>
                <w:sz w:val="18"/>
                <w:lang w:eastAsia="en-AU"/>
              </w:rPr>
              <w:t>Fatalities per 100 million km travelled</w:t>
            </w:r>
          </w:p>
        </w:tc>
        <w:tc>
          <w:tcPr>
            <w:tcW w:w="713" w:type="dxa"/>
            <w:shd w:val="clear" w:color="auto" w:fill="auto"/>
            <w:noWrap/>
            <w:vAlign w:val="bottom"/>
          </w:tcPr>
          <w:p w14:paraId="0CE9F84B" w14:textId="45C97703"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0.9</w:t>
            </w:r>
          </w:p>
        </w:tc>
        <w:tc>
          <w:tcPr>
            <w:tcW w:w="714" w:type="dxa"/>
            <w:shd w:val="clear" w:color="auto" w:fill="auto"/>
            <w:noWrap/>
            <w:vAlign w:val="bottom"/>
          </w:tcPr>
          <w:p w14:paraId="06E7013C" w14:textId="2A27CC78"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1.1</w:t>
            </w:r>
          </w:p>
        </w:tc>
        <w:tc>
          <w:tcPr>
            <w:tcW w:w="713" w:type="dxa"/>
            <w:shd w:val="clear" w:color="auto" w:fill="auto"/>
            <w:noWrap/>
            <w:vAlign w:val="bottom"/>
          </w:tcPr>
          <w:p w14:paraId="6726FFCF" w14:textId="1D624DCF"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1.1</w:t>
            </w:r>
          </w:p>
        </w:tc>
        <w:tc>
          <w:tcPr>
            <w:tcW w:w="714" w:type="dxa"/>
            <w:shd w:val="clear" w:color="auto" w:fill="auto"/>
            <w:noWrap/>
            <w:vAlign w:val="bottom"/>
          </w:tcPr>
          <w:p w14:paraId="5E309E0F" w14:textId="3729C6A7"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1.0</w:t>
            </w:r>
          </w:p>
        </w:tc>
        <w:tc>
          <w:tcPr>
            <w:tcW w:w="713" w:type="dxa"/>
            <w:shd w:val="clear" w:color="auto" w:fill="auto"/>
            <w:noWrap/>
            <w:vAlign w:val="bottom"/>
          </w:tcPr>
          <w:p w14:paraId="0A2C9AF1" w14:textId="0915FD96"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1.1</w:t>
            </w:r>
          </w:p>
        </w:tc>
        <w:tc>
          <w:tcPr>
            <w:tcW w:w="714" w:type="dxa"/>
            <w:shd w:val="clear" w:color="auto" w:fill="auto"/>
            <w:noWrap/>
            <w:vAlign w:val="bottom"/>
          </w:tcPr>
          <w:p w14:paraId="6C40BBD5" w14:textId="2269C0E8"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0.8</w:t>
            </w:r>
          </w:p>
        </w:tc>
        <w:tc>
          <w:tcPr>
            <w:tcW w:w="713" w:type="dxa"/>
            <w:shd w:val="clear" w:color="auto" w:fill="auto"/>
            <w:noWrap/>
            <w:vAlign w:val="bottom"/>
          </w:tcPr>
          <w:p w14:paraId="0A72C1A2" w14:textId="62BA88E8"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1.5</w:t>
            </w:r>
          </w:p>
        </w:tc>
        <w:tc>
          <w:tcPr>
            <w:tcW w:w="714" w:type="dxa"/>
            <w:shd w:val="clear" w:color="auto" w:fill="auto"/>
            <w:noWrap/>
            <w:vAlign w:val="bottom"/>
          </w:tcPr>
          <w:p w14:paraId="6F7B2303" w14:textId="75750151"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0.8</w:t>
            </w:r>
          </w:p>
        </w:tc>
        <w:tc>
          <w:tcPr>
            <w:tcW w:w="714" w:type="dxa"/>
            <w:shd w:val="clear" w:color="auto" w:fill="auto"/>
            <w:noWrap/>
            <w:vAlign w:val="bottom"/>
          </w:tcPr>
          <w:p w14:paraId="61FB2F03" w14:textId="4982DEB3" w:rsidR="00CB1305" w:rsidRPr="000C27D2" w:rsidRDefault="00CB1305"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0.8</w:t>
            </w:r>
          </w:p>
        </w:tc>
        <w:tc>
          <w:tcPr>
            <w:tcW w:w="708" w:type="dxa"/>
            <w:vAlign w:val="bottom"/>
          </w:tcPr>
          <w:p w14:paraId="7C4768EB" w14:textId="77777777" w:rsidR="00CB1305" w:rsidRDefault="00CB1305" w:rsidP="00C64FB5">
            <w:pPr>
              <w:keepNext/>
              <w:spacing w:before="60" w:after="60"/>
              <w:jc w:val="right"/>
              <w:rPr>
                <w:rFonts w:eastAsia="Times New Roman" w:cstheme="minorHAnsi"/>
                <w:b/>
                <w:bCs/>
                <w:color w:val="000000"/>
                <w:sz w:val="18"/>
                <w:lang w:eastAsia="en-AU"/>
              </w:rPr>
            </w:pPr>
          </w:p>
        </w:tc>
        <w:tc>
          <w:tcPr>
            <w:tcW w:w="851" w:type="dxa"/>
            <w:vAlign w:val="bottom"/>
          </w:tcPr>
          <w:p w14:paraId="5A90EF9D" w14:textId="2319A9C2" w:rsidR="00CB1305" w:rsidRPr="005D01D9" w:rsidRDefault="00F16303" w:rsidP="00C64FB5">
            <w:pPr>
              <w:keepNext/>
              <w:spacing w:before="60" w:after="60"/>
              <w:jc w:val="right"/>
              <w:rPr>
                <w:rFonts w:eastAsia="Times New Roman" w:cstheme="minorHAnsi"/>
                <w:b/>
                <w:bCs/>
                <w:color w:val="000000"/>
                <w:sz w:val="18"/>
                <w:lang w:eastAsia="en-AU"/>
              </w:rPr>
            </w:pPr>
            <w:r>
              <w:rPr>
                <w:rFonts w:eastAsia="Times New Roman" w:cstheme="minorHAnsi"/>
                <w:b/>
                <w:bCs/>
                <w:color w:val="000000"/>
                <w:sz w:val="18"/>
                <w:lang w:eastAsia="en-AU"/>
              </w:rPr>
              <w:t>0.9</w:t>
            </w:r>
          </w:p>
        </w:tc>
      </w:tr>
      <w:tr w:rsidR="0071600B" w:rsidRPr="00A8475D" w14:paraId="7F362EC2" w14:textId="77777777" w:rsidTr="00C64FB5">
        <w:trPr>
          <w:cantSplit/>
          <w:trHeight w:val="288"/>
        </w:trPr>
        <w:tc>
          <w:tcPr>
            <w:tcW w:w="1937" w:type="dxa"/>
            <w:shd w:val="clear" w:color="auto" w:fill="auto"/>
            <w:noWrap/>
            <w:vAlign w:val="bottom"/>
            <w:hideMark/>
          </w:tcPr>
          <w:p w14:paraId="4890869E" w14:textId="77777777" w:rsidR="002868E3" w:rsidRPr="00A8475D" w:rsidRDefault="002868E3" w:rsidP="00C64FB5">
            <w:pPr>
              <w:keepNext/>
              <w:spacing w:before="60" w:after="60"/>
              <w:rPr>
                <w:rFonts w:eastAsia="Times New Roman" w:cstheme="minorHAnsi"/>
                <w:color w:val="000000"/>
                <w:sz w:val="18"/>
                <w:lang w:eastAsia="en-AU"/>
              </w:rPr>
            </w:pPr>
            <w:r>
              <w:rPr>
                <w:rFonts w:eastAsia="Times New Roman" w:cstheme="minorHAnsi"/>
                <w:color w:val="000000"/>
                <w:sz w:val="18"/>
                <w:lang w:eastAsia="en-AU"/>
              </w:rPr>
              <w:t>Serious injuries</w:t>
            </w:r>
          </w:p>
        </w:tc>
        <w:tc>
          <w:tcPr>
            <w:tcW w:w="713" w:type="dxa"/>
            <w:shd w:val="clear" w:color="auto" w:fill="auto"/>
            <w:noWrap/>
            <w:vAlign w:val="bottom"/>
          </w:tcPr>
          <w:p w14:paraId="6B893935"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83</w:t>
            </w:r>
          </w:p>
        </w:tc>
        <w:tc>
          <w:tcPr>
            <w:tcW w:w="714" w:type="dxa"/>
            <w:shd w:val="clear" w:color="auto" w:fill="auto"/>
            <w:noWrap/>
            <w:vAlign w:val="bottom"/>
          </w:tcPr>
          <w:p w14:paraId="0A648FFB"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62</w:t>
            </w:r>
          </w:p>
        </w:tc>
        <w:tc>
          <w:tcPr>
            <w:tcW w:w="713" w:type="dxa"/>
            <w:shd w:val="clear" w:color="auto" w:fill="auto"/>
            <w:noWrap/>
            <w:vAlign w:val="bottom"/>
          </w:tcPr>
          <w:p w14:paraId="4EF44F0C"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51</w:t>
            </w:r>
          </w:p>
        </w:tc>
        <w:tc>
          <w:tcPr>
            <w:tcW w:w="714" w:type="dxa"/>
            <w:shd w:val="clear" w:color="auto" w:fill="auto"/>
            <w:noWrap/>
            <w:vAlign w:val="bottom"/>
          </w:tcPr>
          <w:p w14:paraId="0D89686A"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53</w:t>
            </w:r>
          </w:p>
        </w:tc>
        <w:tc>
          <w:tcPr>
            <w:tcW w:w="713" w:type="dxa"/>
            <w:shd w:val="clear" w:color="auto" w:fill="auto"/>
            <w:noWrap/>
            <w:vAlign w:val="bottom"/>
          </w:tcPr>
          <w:p w14:paraId="6B7750F2"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72</w:t>
            </w:r>
          </w:p>
        </w:tc>
        <w:tc>
          <w:tcPr>
            <w:tcW w:w="714" w:type="dxa"/>
            <w:shd w:val="clear" w:color="auto" w:fill="auto"/>
            <w:noWrap/>
            <w:vAlign w:val="bottom"/>
          </w:tcPr>
          <w:p w14:paraId="5B6934B8"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66</w:t>
            </w:r>
          </w:p>
        </w:tc>
        <w:tc>
          <w:tcPr>
            <w:tcW w:w="713" w:type="dxa"/>
            <w:shd w:val="clear" w:color="auto" w:fill="auto"/>
            <w:noWrap/>
            <w:vAlign w:val="bottom"/>
          </w:tcPr>
          <w:p w14:paraId="6E186AC1"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49</w:t>
            </w:r>
          </w:p>
        </w:tc>
        <w:tc>
          <w:tcPr>
            <w:tcW w:w="714" w:type="dxa"/>
            <w:shd w:val="clear" w:color="auto" w:fill="auto"/>
            <w:noWrap/>
            <w:vAlign w:val="bottom"/>
          </w:tcPr>
          <w:p w14:paraId="39C46E3E"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56</w:t>
            </w:r>
          </w:p>
        </w:tc>
        <w:tc>
          <w:tcPr>
            <w:tcW w:w="714" w:type="dxa"/>
            <w:shd w:val="clear" w:color="auto" w:fill="auto"/>
            <w:noWrap/>
            <w:vAlign w:val="bottom"/>
          </w:tcPr>
          <w:p w14:paraId="3FC60B61" w14:textId="77777777" w:rsidR="002868E3" w:rsidRPr="000C27D2" w:rsidRDefault="002868E3" w:rsidP="00C64FB5">
            <w:pPr>
              <w:keepNext/>
              <w:spacing w:before="60" w:after="60"/>
              <w:jc w:val="right"/>
              <w:rPr>
                <w:rFonts w:eastAsia="Times New Roman" w:cstheme="minorHAnsi"/>
                <w:color w:val="000000"/>
                <w:sz w:val="18"/>
                <w:lang w:eastAsia="en-AU"/>
              </w:rPr>
            </w:pPr>
            <w:r w:rsidRPr="000C27D2">
              <w:rPr>
                <w:rFonts w:eastAsia="Times New Roman" w:cstheme="minorHAnsi"/>
                <w:color w:val="000000"/>
                <w:sz w:val="18"/>
                <w:lang w:eastAsia="en-AU"/>
              </w:rPr>
              <w:t>42</w:t>
            </w:r>
          </w:p>
        </w:tc>
        <w:tc>
          <w:tcPr>
            <w:tcW w:w="708" w:type="dxa"/>
            <w:vAlign w:val="bottom"/>
          </w:tcPr>
          <w:p w14:paraId="0A4C7175" w14:textId="39EE2651" w:rsidR="002868E3" w:rsidRPr="005D01D9" w:rsidRDefault="005A3011" w:rsidP="00C64FB5">
            <w:pPr>
              <w:keepNext/>
              <w:spacing w:before="60" w:after="60"/>
              <w:jc w:val="right"/>
              <w:rPr>
                <w:rFonts w:eastAsia="Times New Roman" w:cstheme="minorHAnsi"/>
                <w:b/>
                <w:bCs/>
                <w:color w:val="000000"/>
                <w:sz w:val="18"/>
                <w:lang w:eastAsia="en-AU"/>
              </w:rPr>
            </w:pPr>
            <w:r>
              <w:rPr>
                <w:rFonts w:eastAsia="Times New Roman" w:cstheme="minorHAnsi"/>
                <w:b/>
                <w:bCs/>
                <w:color w:val="000000"/>
                <w:sz w:val="18"/>
                <w:lang w:eastAsia="en-AU"/>
              </w:rPr>
              <w:t>534</w:t>
            </w:r>
          </w:p>
        </w:tc>
        <w:tc>
          <w:tcPr>
            <w:tcW w:w="851" w:type="dxa"/>
            <w:vAlign w:val="bottom"/>
          </w:tcPr>
          <w:p w14:paraId="2BAF4D53" w14:textId="74BCCE8A" w:rsidR="002868E3" w:rsidRPr="005D01D9" w:rsidRDefault="002868E3"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59</w:t>
            </w:r>
          </w:p>
        </w:tc>
      </w:tr>
      <w:tr w:rsidR="00CB1305" w:rsidRPr="00A8475D" w14:paraId="7D4F2163" w14:textId="77777777" w:rsidTr="00C64FB5">
        <w:trPr>
          <w:cantSplit/>
          <w:trHeight w:val="288"/>
        </w:trPr>
        <w:tc>
          <w:tcPr>
            <w:tcW w:w="1937" w:type="dxa"/>
            <w:shd w:val="clear" w:color="auto" w:fill="auto"/>
            <w:noWrap/>
            <w:vAlign w:val="bottom"/>
          </w:tcPr>
          <w:p w14:paraId="3B5C64C7" w14:textId="1D81448E" w:rsidR="00CB1305" w:rsidRDefault="00CB1305" w:rsidP="00C64FB5">
            <w:pPr>
              <w:keepNext/>
              <w:spacing w:before="60" w:after="60"/>
              <w:ind w:left="306"/>
              <w:rPr>
                <w:rFonts w:eastAsia="Times New Roman" w:cstheme="minorHAnsi"/>
                <w:color w:val="000000"/>
                <w:sz w:val="18"/>
                <w:lang w:eastAsia="en-AU"/>
              </w:rPr>
            </w:pPr>
            <w:r>
              <w:rPr>
                <w:rFonts w:eastAsia="Times New Roman" w:cstheme="minorHAnsi"/>
                <w:color w:val="000000"/>
                <w:sz w:val="18"/>
                <w:lang w:eastAsia="en-AU"/>
              </w:rPr>
              <w:t>Serious injuries per 100 million km travelled</w:t>
            </w:r>
          </w:p>
        </w:tc>
        <w:tc>
          <w:tcPr>
            <w:tcW w:w="713" w:type="dxa"/>
            <w:shd w:val="clear" w:color="auto" w:fill="auto"/>
            <w:noWrap/>
            <w:vAlign w:val="bottom"/>
          </w:tcPr>
          <w:p w14:paraId="6292EC46" w14:textId="45B732C5" w:rsidR="00CB1305" w:rsidRPr="000C27D2" w:rsidRDefault="00F16303"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14.2</w:t>
            </w:r>
          </w:p>
        </w:tc>
        <w:tc>
          <w:tcPr>
            <w:tcW w:w="714" w:type="dxa"/>
            <w:shd w:val="clear" w:color="auto" w:fill="auto"/>
            <w:noWrap/>
            <w:vAlign w:val="bottom"/>
          </w:tcPr>
          <w:p w14:paraId="397F2C4C" w14:textId="60485B38" w:rsidR="00CB1305" w:rsidRPr="000C27D2" w:rsidRDefault="00F16303"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10.2</w:t>
            </w:r>
          </w:p>
        </w:tc>
        <w:tc>
          <w:tcPr>
            <w:tcW w:w="713" w:type="dxa"/>
            <w:shd w:val="clear" w:color="auto" w:fill="auto"/>
            <w:noWrap/>
            <w:vAlign w:val="bottom"/>
          </w:tcPr>
          <w:p w14:paraId="5ED3248B" w14:textId="67CEE7A9" w:rsidR="00CB1305" w:rsidRPr="000C27D2" w:rsidRDefault="00F16303"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8.2</w:t>
            </w:r>
          </w:p>
        </w:tc>
        <w:tc>
          <w:tcPr>
            <w:tcW w:w="714" w:type="dxa"/>
            <w:shd w:val="clear" w:color="auto" w:fill="auto"/>
            <w:noWrap/>
            <w:vAlign w:val="bottom"/>
          </w:tcPr>
          <w:p w14:paraId="652DC687" w14:textId="71457853" w:rsidR="00CB1305" w:rsidRPr="000C27D2" w:rsidRDefault="00F16303"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8.4</w:t>
            </w:r>
          </w:p>
        </w:tc>
        <w:tc>
          <w:tcPr>
            <w:tcW w:w="713" w:type="dxa"/>
            <w:shd w:val="clear" w:color="auto" w:fill="auto"/>
            <w:noWrap/>
            <w:vAlign w:val="bottom"/>
          </w:tcPr>
          <w:p w14:paraId="282627AC" w14:textId="20E48AD9" w:rsidR="00CB1305" w:rsidRPr="000C27D2" w:rsidRDefault="00F16303"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11.3</w:t>
            </w:r>
          </w:p>
        </w:tc>
        <w:tc>
          <w:tcPr>
            <w:tcW w:w="714" w:type="dxa"/>
            <w:shd w:val="clear" w:color="auto" w:fill="auto"/>
            <w:noWrap/>
            <w:vAlign w:val="bottom"/>
          </w:tcPr>
          <w:p w14:paraId="5ACCCA46" w14:textId="59FB46CF" w:rsidR="00CB1305" w:rsidRPr="000C27D2" w:rsidRDefault="00F16303"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10.3</w:t>
            </w:r>
          </w:p>
        </w:tc>
        <w:tc>
          <w:tcPr>
            <w:tcW w:w="713" w:type="dxa"/>
            <w:shd w:val="clear" w:color="auto" w:fill="auto"/>
            <w:noWrap/>
            <w:vAlign w:val="bottom"/>
          </w:tcPr>
          <w:p w14:paraId="7D78C2A2" w14:textId="0AEA212E" w:rsidR="00CB1305" w:rsidRPr="000C27D2" w:rsidRDefault="00F16303"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7.6</w:t>
            </w:r>
          </w:p>
        </w:tc>
        <w:tc>
          <w:tcPr>
            <w:tcW w:w="714" w:type="dxa"/>
            <w:shd w:val="clear" w:color="auto" w:fill="auto"/>
            <w:noWrap/>
            <w:vAlign w:val="bottom"/>
          </w:tcPr>
          <w:p w14:paraId="1CCFAD93" w14:textId="0E3535B3" w:rsidR="00CB1305" w:rsidRPr="000C27D2" w:rsidRDefault="00F16303"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8.5</w:t>
            </w:r>
          </w:p>
        </w:tc>
        <w:tc>
          <w:tcPr>
            <w:tcW w:w="714" w:type="dxa"/>
            <w:shd w:val="clear" w:color="auto" w:fill="auto"/>
            <w:noWrap/>
            <w:vAlign w:val="bottom"/>
          </w:tcPr>
          <w:p w14:paraId="6642A975" w14:textId="7F394FD3" w:rsidR="00CB1305" w:rsidRPr="000C27D2" w:rsidRDefault="00F16303" w:rsidP="00C64FB5">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6.3</w:t>
            </w:r>
          </w:p>
        </w:tc>
        <w:tc>
          <w:tcPr>
            <w:tcW w:w="708" w:type="dxa"/>
            <w:vAlign w:val="bottom"/>
          </w:tcPr>
          <w:p w14:paraId="266BCB2B" w14:textId="77777777" w:rsidR="00CB1305" w:rsidRDefault="00CB1305" w:rsidP="00C64FB5">
            <w:pPr>
              <w:keepNext/>
              <w:spacing w:before="60" w:after="60"/>
              <w:jc w:val="right"/>
              <w:rPr>
                <w:rFonts w:eastAsia="Times New Roman" w:cstheme="minorHAnsi"/>
                <w:b/>
                <w:bCs/>
                <w:color w:val="000000"/>
                <w:sz w:val="18"/>
                <w:lang w:eastAsia="en-AU"/>
              </w:rPr>
            </w:pPr>
          </w:p>
        </w:tc>
        <w:tc>
          <w:tcPr>
            <w:tcW w:w="851" w:type="dxa"/>
            <w:vAlign w:val="bottom"/>
          </w:tcPr>
          <w:p w14:paraId="105DE60C" w14:textId="66377AAE" w:rsidR="00CB1305" w:rsidRPr="005D01D9" w:rsidRDefault="00F16303" w:rsidP="00C64FB5">
            <w:pPr>
              <w:keepNext/>
              <w:spacing w:before="60" w:after="60"/>
              <w:jc w:val="right"/>
              <w:rPr>
                <w:rFonts w:eastAsia="Times New Roman" w:cstheme="minorHAnsi"/>
                <w:b/>
                <w:bCs/>
                <w:color w:val="000000"/>
                <w:sz w:val="18"/>
                <w:lang w:eastAsia="en-AU"/>
              </w:rPr>
            </w:pPr>
            <w:r>
              <w:rPr>
                <w:rFonts w:eastAsia="Times New Roman" w:cstheme="minorHAnsi"/>
                <w:b/>
                <w:bCs/>
                <w:color w:val="000000"/>
                <w:sz w:val="18"/>
                <w:lang w:eastAsia="en-AU"/>
              </w:rPr>
              <w:t>9.3</w:t>
            </w:r>
          </w:p>
        </w:tc>
      </w:tr>
    </w:tbl>
    <w:p w14:paraId="2DC0601B" w14:textId="63012F0B" w:rsidR="00A06D0C" w:rsidRPr="00D71991" w:rsidRDefault="00A06D0C" w:rsidP="00E602CF">
      <w:pPr>
        <w:spacing w:before="40"/>
        <w:rPr>
          <w:sz w:val="16"/>
          <w:szCs w:val="16"/>
        </w:rPr>
      </w:pPr>
      <w:r w:rsidRPr="00D71991">
        <w:rPr>
          <w:sz w:val="16"/>
          <w:szCs w:val="16"/>
        </w:rPr>
        <w:t>Source: DoT analysis based on TSV and BITRE data</w:t>
      </w:r>
    </w:p>
    <w:p w14:paraId="374744A6" w14:textId="34D014F2" w:rsidR="00E07480" w:rsidRDefault="00E07480" w:rsidP="003E5C54">
      <w:r>
        <w:t xml:space="preserve">The </w:t>
      </w:r>
      <w:r w:rsidR="00137643">
        <w:t>high-level</w:t>
      </w:r>
      <w:r>
        <w:t xml:space="preserve"> data on the safety performance of the industry is further detailed in the following sections. </w:t>
      </w:r>
    </w:p>
    <w:p w14:paraId="27DBB39F" w14:textId="27913477" w:rsidR="003E5C54" w:rsidRDefault="003E5C54" w:rsidP="003E5C54">
      <w:pPr>
        <w:pStyle w:val="Heading3"/>
      </w:pPr>
      <w:bookmarkStart w:id="202" w:name="_Toc480289215"/>
      <w:bookmarkStart w:id="203" w:name="_Toc32909784"/>
      <w:bookmarkStart w:id="204" w:name="_Toc45704333"/>
      <w:r w:rsidRPr="006374ED">
        <w:lastRenderedPageBreak/>
        <w:t>Bus related incidents</w:t>
      </w:r>
      <w:bookmarkEnd w:id="202"/>
      <w:bookmarkEnd w:id="203"/>
      <w:bookmarkEnd w:id="204"/>
    </w:p>
    <w:p w14:paraId="702DDEC4" w14:textId="4D799BED" w:rsidR="003E5C54" w:rsidRDefault="00612799" w:rsidP="003E5C54">
      <w:r>
        <w:rPr>
          <w:noProof/>
        </w:rPr>
        <w:fldChar w:fldCharType="begin"/>
      </w:r>
      <w:r>
        <w:rPr>
          <w:noProof/>
        </w:rPr>
        <w:instrText xml:space="preserve"> REF _Ref24967234 \h  \* MERGEFORMAT </w:instrText>
      </w:r>
      <w:r>
        <w:rPr>
          <w:noProof/>
        </w:rPr>
      </w:r>
      <w:r>
        <w:rPr>
          <w:noProof/>
        </w:rPr>
        <w:fldChar w:fldCharType="separate"/>
      </w:r>
      <w:r w:rsidR="00277F6E" w:rsidRPr="00277F6E">
        <w:rPr>
          <w:noProof/>
        </w:rPr>
        <w:t>Table 3</w:t>
      </w:r>
      <w:r w:rsidR="00277F6E" w:rsidRPr="00277F6E">
        <w:rPr>
          <w:noProof/>
        </w:rPr>
        <w:noBreakHyphen/>
        <w:t>2</w:t>
      </w:r>
      <w:r>
        <w:rPr>
          <w:noProof/>
        </w:rPr>
        <w:fldChar w:fldCharType="end"/>
      </w:r>
      <w:r>
        <w:rPr>
          <w:noProof/>
        </w:rPr>
        <w:t xml:space="preserve"> </w:t>
      </w:r>
      <w:r w:rsidR="00410D85">
        <w:rPr>
          <w:noProof/>
        </w:rPr>
        <w:t>shows the total number of bus related</w:t>
      </w:r>
      <w:r w:rsidR="002535A0">
        <w:rPr>
          <w:noProof/>
        </w:rPr>
        <w:t xml:space="preserve"> safety incidents by incident type from 2011 to 2019</w:t>
      </w:r>
      <w:r w:rsidR="0085145D">
        <w:rPr>
          <w:noProof/>
        </w:rPr>
        <w:t xml:space="preserve">, with the percentage column showing the relative proportion of the total incidents </w:t>
      </w:r>
      <w:r w:rsidR="009E0722">
        <w:rPr>
          <w:noProof/>
        </w:rPr>
        <w:t xml:space="preserve">for each incident type </w:t>
      </w:r>
      <w:r w:rsidR="0085145D">
        <w:rPr>
          <w:noProof/>
        </w:rPr>
        <w:t>over the period from 2011 to 2019</w:t>
      </w:r>
      <w:r w:rsidR="009E0722">
        <w:rPr>
          <w:noProof/>
        </w:rPr>
        <w:t xml:space="preserve"> out of the total incidents </w:t>
      </w:r>
      <w:r w:rsidR="00CC744F">
        <w:rPr>
          <w:noProof/>
        </w:rPr>
        <w:t xml:space="preserve">of all incidents </w:t>
      </w:r>
      <w:r w:rsidR="009E0722">
        <w:rPr>
          <w:noProof/>
        </w:rPr>
        <w:t xml:space="preserve">over the period. </w:t>
      </w:r>
      <w:r w:rsidR="0035552F">
        <w:t>The most prevalent types of</w:t>
      </w:r>
      <w:r w:rsidR="003E5C54" w:rsidRPr="006374ED">
        <w:t xml:space="preserve"> incidents</w:t>
      </w:r>
      <w:r w:rsidR="00BA49AD">
        <w:t xml:space="preserve"> over the period</w:t>
      </w:r>
      <w:r w:rsidR="0035552F">
        <w:t xml:space="preserve"> were</w:t>
      </w:r>
      <w:r w:rsidR="003E5C54" w:rsidRPr="006374ED">
        <w:t xml:space="preserve"> collisions </w:t>
      </w:r>
      <w:r w:rsidR="00334845">
        <w:t xml:space="preserve">(1,869 incidents) </w:t>
      </w:r>
      <w:r w:rsidR="00A5278C">
        <w:t xml:space="preserve">and slip, trip </w:t>
      </w:r>
      <w:r w:rsidR="00F01B3C">
        <w:t>or</w:t>
      </w:r>
      <w:r w:rsidR="00A5278C">
        <w:t xml:space="preserve"> fall (658 incidents)</w:t>
      </w:r>
      <w:r w:rsidR="003E5C54" w:rsidRPr="006374ED">
        <w:t xml:space="preserve">. </w:t>
      </w:r>
    </w:p>
    <w:p w14:paraId="2AC80ABA" w14:textId="5BAFA4EE" w:rsidR="006815CF" w:rsidRPr="006815CF" w:rsidRDefault="003E5C54" w:rsidP="005E479A">
      <w:pPr>
        <w:pStyle w:val="Caption"/>
        <w:keepNext/>
        <w:spacing w:after="60"/>
        <w:rPr>
          <w:b/>
          <w:i w:val="0"/>
        </w:rPr>
      </w:pPr>
      <w:bookmarkStart w:id="205" w:name="_Ref24967234"/>
      <w:bookmarkStart w:id="206" w:name="_Toc44603379"/>
      <w:bookmarkStart w:id="207" w:name="_Ref38024099"/>
      <w:bookmarkStart w:id="208" w:name="_Toc44437354"/>
      <w:bookmarkStart w:id="209" w:name="_Toc44597425"/>
      <w:bookmarkStart w:id="210" w:name="_Toc44597489"/>
      <w:bookmarkStart w:id="211" w:name="_Toc44600059"/>
      <w:bookmarkStart w:id="212" w:name="_Toc44600514"/>
      <w:bookmarkStart w:id="213" w:name="_Toc44600681"/>
      <w:bookmarkStart w:id="214" w:name="_Toc44601178"/>
      <w:bookmarkStart w:id="215" w:name="_Toc44601231"/>
      <w:bookmarkStart w:id="216" w:name="_Toc45704427"/>
      <w:r w:rsidRPr="00A13F5E">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2</w:t>
      </w:r>
      <w:r w:rsidR="00D2483C">
        <w:rPr>
          <w:b/>
          <w:i w:val="0"/>
        </w:rPr>
        <w:fldChar w:fldCharType="end"/>
      </w:r>
      <w:bookmarkEnd w:id="205"/>
      <w:r w:rsidRPr="00A13F5E">
        <w:rPr>
          <w:b/>
          <w:i w:val="0"/>
        </w:rPr>
        <w:t xml:space="preserve">: </w:t>
      </w:r>
      <w:r w:rsidR="00AF6538">
        <w:rPr>
          <w:b/>
          <w:i w:val="0"/>
        </w:rPr>
        <w:t>Number of b</w:t>
      </w:r>
      <w:r w:rsidRPr="00A13F5E">
        <w:rPr>
          <w:b/>
          <w:i w:val="0"/>
        </w:rPr>
        <w:t xml:space="preserve">us related incidents by </w:t>
      </w:r>
      <w:r w:rsidR="005E6D7B">
        <w:rPr>
          <w:b/>
          <w:i w:val="0"/>
        </w:rPr>
        <w:t>incident</w:t>
      </w:r>
      <w:r w:rsidRPr="00A13F5E">
        <w:rPr>
          <w:b/>
          <w:i w:val="0"/>
        </w:rPr>
        <w:t xml:space="preserve"> type</w:t>
      </w:r>
      <w:r w:rsidR="00B46F66">
        <w:rPr>
          <w:b/>
          <w:i w:val="0"/>
        </w:rPr>
        <w:t xml:space="preserve"> </w:t>
      </w:r>
      <w:r w:rsidR="00566F25">
        <w:rPr>
          <w:b/>
          <w:i w:val="0"/>
        </w:rPr>
        <w:t>–</w:t>
      </w:r>
      <w:r w:rsidR="00B46F66">
        <w:rPr>
          <w:b/>
          <w:i w:val="0"/>
        </w:rPr>
        <w:t xml:space="preserve"> 2011-</w:t>
      </w:r>
      <w:r w:rsidR="005E6D7B">
        <w:rPr>
          <w:b/>
          <w:i w:val="0"/>
        </w:rPr>
        <w:t>2019</w:t>
      </w:r>
      <w:bookmarkEnd w:id="206"/>
      <w:bookmarkEnd w:id="207"/>
      <w:bookmarkEnd w:id="208"/>
      <w:bookmarkEnd w:id="209"/>
      <w:bookmarkEnd w:id="210"/>
      <w:bookmarkEnd w:id="211"/>
      <w:bookmarkEnd w:id="212"/>
      <w:bookmarkEnd w:id="213"/>
      <w:bookmarkEnd w:id="214"/>
      <w:bookmarkEnd w:id="215"/>
      <w:bookmarkEnd w:id="216"/>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645"/>
        <w:gridCol w:w="646"/>
        <w:gridCol w:w="646"/>
        <w:gridCol w:w="646"/>
        <w:gridCol w:w="645"/>
        <w:gridCol w:w="646"/>
        <w:gridCol w:w="646"/>
        <w:gridCol w:w="646"/>
        <w:gridCol w:w="646"/>
        <w:gridCol w:w="734"/>
        <w:gridCol w:w="797"/>
        <w:gridCol w:w="667"/>
      </w:tblGrid>
      <w:tr w:rsidR="003C07FD" w:rsidRPr="00B66A75" w14:paraId="6689825A" w14:textId="77777777" w:rsidTr="00C64FB5">
        <w:trPr>
          <w:cantSplit/>
          <w:trHeight w:val="58"/>
          <w:tblHeader/>
        </w:trPr>
        <w:tc>
          <w:tcPr>
            <w:tcW w:w="1980" w:type="dxa"/>
            <w:shd w:val="clear" w:color="auto" w:fill="D6ECED"/>
            <w:noWrap/>
            <w:vAlign w:val="bottom"/>
            <w:hideMark/>
          </w:tcPr>
          <w:p w14:paraId="6F29D125" w14:textId="77777777" w:rsidR="003C07FD" w:rsidRPr="003C07FD" w:rsidRDefault="003C07FD" w:rsidP="00C64FB5">
            <w:pPr>
              <w:keepNext/>
              <w:spacing w:before="60" w:after="60"/>
              <w:rPr>
                <w:rFonts w:eastAsia="Times New Roman" w:cstheme="minorHAnsi"/>
                <w:b/>
                <w:bCs/>
                <w:color w:val="000000"/>
                <w:sz w:val="18"/>
                <w:lang w:eastAsia="en-AU"/>
              </w:rPr>
            </w:pPr>
            <w:r w:rsidRPr="003C07FD">
              <w:rPr>
                <w:rFonts w:eastAsia="Times New Roman" w:cstheme="minorHAnsi"/>
                <w:b/>
                <w:bCs/>
                <w:color w:val="000000"/>
                <w:sz w:val="18"/>
                <w:lang w:eastAsia="en-AU"/>
              </w:rPr>
              <w:t>Incident type</w:t>
            </w:r>
          </w:p>
        </w:tc>
        <w:tc>
          <w:tcPr>
            <w:tcW w:w="645" w:type="dxa"/>
            <w:shd w:val="clear" w:color="auto" w:fill="D6ECED"/>
            <w:noWrap/>
            <w:vAlign w:val="bottom"/>
            <w:hideMark/>
          </w:tcPr>
          <w:p w14:paraId="32497AAB" w14:textId="77777777" w:rsidR="003C07FD" w:rsidRPr="003C07FD" w:rsidRDefault="003C07FD" w:rsidP="00C64FB5">
            <w:pPr>
              <w:keepNext/>
              <w:spacing w:before="60" w:after="60"/>
              <w:jc w:val="right"/>
              <w:rPr>
                <w:rFonts w:eastAsia="Times New Roman" w:cstheme="minorHAnsi"/>
                <w:b/>
                <w:bCs/>
                <w:color w:val="000000"/>
                <w:sz w:val="18"/>
                <w:lang w:eastAsia="en-AU"/>
              </w:rPr>
            </w:pPr>
            <w:r w:rsidRPr="003C07FD">
              <w:rPr>
                <w:rFonts w:eastAsia="Times New Roman" w:cstheme="minorHAnsi"/>
                <w:b/>
                <w:bCs/>
                <w:color w:val="000000"/>
                <w:sz w:val="18"/>
                <w:lang w:eastAsia="en-AU"/>
              </w:rPr>
              <w:t>2011</w:t>
            </w:r>
          </w:p>
        </w:tc>
        <w:tc>
          <w:tcPr>
            <w:tcW w:w="646" w:type="dxa"/>
            <w:shd w:val="clear" w:color="auto" w:fill="D6ECED"/>
            <w:noWrap/>
            <w:vAlign w:val="bottom"/>
            <w:hideMark/>
          </w:tcPr>
          <w:p w14:paraId="47F3C045" w14:textId="77777777" w:rsidR="003C07FD" w:rsidRPr="003C07FD" w:rsidRDefault="003C07FD" w:rsidP="00C64FB5">
            <w:pPr>
              <w:keepNext/>
              <w:spacing w:before="60" w:after="60"/>
              <w:jc w:val="right"/>
              <w:rPr>
                <w:rFonts w:eastAsia="Times New Roman" w:cstheme="minorHAnsi"/>
                <w:b/>
                <w:bCs/>
                <w:color w:val="000000"/>
                <w:sz w:val="18"/>
                <w:lang w:eastAsia="en-AU"/>
              </w:rPr>
            </w:pPr>
            <w:r w:rsidRPr="003C07FD">
              <w:rPr>
                <w:rFonts w:eastAsia="Times New Roman" w:cstheme="minorHAnsi"/>
                <w:b/>
                <w:bCs/>
                <w:color w:val="000000"/>
                <w:sz w:val="18"/>
                <w:lang w:eastAsia="en-AU"/>
              </w:rPr>
              <w:t>2012</w:t>
            </w:r>
          </w:p>
        </w:tc>
        <w:tc>
          <w:tcPr>
            <w:tcW w:w="646" w:type="dxa"/>
            <w:shd w:val="clear" w:color="auto" w:fill="D6ECED"/>
            <w:noWrap/>
            <w:vAlign w:val="bottom"/>
            <w:hideMark/>
          </w:tcPr>
          <w:p w14:paraId="6D240236" w14:textId="77777777" w:rsidR="003C07FD" w:rsidRPr="003C07FD" w:rsidRDefault="003C07FD" w:rsidP="00C64FB5">
            <w:pPr>
              <w:keepNext/>
              <w:spacing w:before="60" w:after="60"/>
              <w:jc w:val="right"/>
              <w:rPr>
                <w:rFonts w:eastAsia="Times New Roman" w:cstheme="minorHAnsi"/>
                <w:b/>
                <w:bCs/>
                <w:color w:val="000000"/>
                <w:sz w:val="18"/>
                <w:lang w:eastAsia="en-AU"/>
              </w:rPr>
            </w:pPr>
            <w:r w:rsidRPr="003C07FD">
              <w:rPr>
                <w:rFonts w:eastAsia="Times New Roman" w:cstheme="minorHAnsi"/>
                <w:b/>
                <w:bCs/>
                <w:color w:val="000000"/>
                <w:sz w:val="18"/>
                <w:lang w:eastAsia="en-AU"/>
              </w:rPr>
              <w:t>2013</w:t>
            </w:r>
          </w:p>
        </w:tc>
        <w:tc>
          <w:tcPr>
            <w:tcW w:w="646" w:type="dxa"/>
            <w:shd w:val="clear" w:color="auto" w:fill="D6ECED"/>
            <w:noWrap/>
            <w:vAlign w:val="bottom"/>
            <w:hideMark/>
          </w:tcPr>
          <w:p w14:paraId="1975C815" w14:textId="77777777" w:rsidR="003C07FD" w:rsidRPr="003C07FD" w:rsidRDefault="003C07FD" w:rsidP="00C64FB5">
            <w:pPr>
              <w:keepNext/>
              <w:spacing w:before="60" w:after="60"/>
              <w:jc w:val="right"/>
              <w:rPr>
                <w:rFonts w:eastAsia="Times New Roman" w:cstheme="minorHAnsi"/>
                <w:b/>
                <w:bCs/>
                <w:color w:val="000000"/>
                <w:sz w:val="18"/>
                <w:lang w:eastAsia="en-AU"/>
              </w:rPr>
            </w:pPr>
            <w:r w:rsidRPr="003C07FD">
              <w:rPr>
                <w:rFonts w:eastAsia="Times New Roman" w:cstheme="minorHAnsi"/>
                <w:b/>
                <w:bCs/>
                <w:color w:val="000000"/>
                <w:sz w:val="18"/>
                <w:lang w:eastAsia="en-AU"/>
              </w:rPr>
              <w:t>2014</w:t>
            </w:r>
          </w:p>
        </w:tc>
        <w:tc>
          <w:tcPr>
            <w:tcW w:w="645" w:type="dxa"/>
            <w:shd w:val="clear" w:color="auto" w:fill="D6ECED"/>
            <w:noWrap/>
            <w:vAlign w:val="bottom"/>
            <w:hideMark/>
          </w:tcPr>
          <w:p w14:paraId="568987D9" w14:textId="77777777" w:rsidR="003C07FD" w:rsidRPr="003C07FD" w:rsidRDefault="003C07FD" w:rsidP="00C64FB5">
            <w:pPr>
              <w:keepNext/>
              <w:spacing w:before="60" w:after="60"/>
              <w:jc w:val="right"/>
              <w:rPr>
                <w:rFonts w:eastAsia="Times New Roman" w:cstheme="minorHAnsi"/>
                <w:b/>
                <w:bCs/>
                <w:color w:val="000000"/>
                <w:sz w:val="18"/>
                <w:lang w:eastAsia="en-AU"/>
              </w:rPr>
            </w:pPr>
            <w:r w:rsidRPr="003C07FD">
              <w:rPr>
                <w:rFonts w:eastAsia="Times New Roman" w:cstheme="minorHAnsi"/>
                <w:b/>
                <w:bCs/>
                <w:color w:val="000000"/>
                <w:sz w:val="18"/>
                <w:lang w:eastAsia="en-AU"/>
              </w:rPr>
              <w:t>2015</w:t>
            </w:r>
          </w:p>
        </w:tc>
        <w:tc>
          <w:tcPr>
            <w:tcW w:w="646" w:type="dxa"/>
            <w:shd w:val="clear" w:color="auto" w:fill="D6ECED"/>
            <w:noWrap/>
            <w:vAlign w:val="bottom"/>
            <w:hideMark/>
          </w:tcPr>
          <w:p w14:paraId="752D6ED7" w14:textId="77777777" w:rsidR="003C07FD" w:rsidRPr="003C07FD" w:rsidRDefault="003C07FD" w:rsidP="00C64FB5">
            <w:pPr>
              <w:keepNext/>
              <w:spacing w:before="60" w:after="60"/>
              <w:jc w:val="right"/>
              <w:rPr>
                <w:rFonts w:eastAsia="Times New Roman" w:cstheme="minorHAnsi"/>
                <w:b/>
                <w:bCs/>
                <w:color w:val="000000"/>
                <w:sz w:val="18"/>
                <w:lang w:eastAsia="en-AU"/>
              </w:rPr>
            </w:pPr>
            <w:r w:rsidRPr="003C07FD">
              <w:rPr>
                <w:rFonts w:eastAsia="Times New Roman" w:cstheme="minorHAnsi"/>
                <w:b/>
                <w:bCs/>
                <w:color w:val="000000"/>
                <w:sz w:val="18"/>
                <w:lang w:eastAsia="en-AU"/>
              </w:rPr>
              <w:t>2016</w:t>
            </w:r>
          </w:p>
        </w:tc>
        <w:tc>
          <w:tcPr>
            <w:tcW w:w="646" w:type="dxa"/>
            <w:shd w:val="clear" w:color="auto" w:fill="D6ECED"/>
            <w:noWrap/>
            <w:vAlign w:val="bottom"/>
            <w:hideMark/>
          </w:tcPr>
          <w:p w14:paraId="6B02143B" w14:textId="77777777" w:rsidR="003C07FD" w:rsidRPr="003C07FD" w:rsidRDefault="003C07FD" w:rsidP="00C64FB5">
            <w:pPr>
              <w:keepNext/>
              <w:spacing w:before="60" w:after="60"/>
              <w:jc w:val="right"/>
              <w:rPr>
                <w:rFonts w:eastAsia="Times New Roman" w:cstheme="minorHAnsi"/>
                <w:b/>
                <w:bCs/>
                <w:color w:val="000000"/>
                <w:sz w:val="18"/>
                <w:lang w:eastAsia="en-AU"/>
              </w:rPr>
            </w:pPr>
            <w:r w:rsidRPr="003C07FD">
              <w:rPr>
                <w:rFonts w:eastAsia="Times New Roman" w:cstheme="minorHAnsi"/>
                <w:b/>
                <w:bCs/>
                <w:color w:val="000000"/>
                <w:sz w:val="18"/>
                <w:lang w:eastAsia="en-AU"/>
              </w:rPr>
              <w:t>2017</w:t>
            </w:r>
          </w:p>
        </w:tc>
        <w:tc>
          <w:tcPr>
            <w:tcW w:w="646" w:type="dxa"/>
            <w:shd w:val="clear" w:color="auto" w:fill="D6ECED"/>
            <w:noWrap/>
            <w:vAlign w:val="bottom"/>
            <w:hideMark/>
          </w:tcPr>
          <w:p w14:paraId="49CF0B73" w14:textId="77777777" w:rsidR="003C07FD" w:rsidRPr="003C07FD" w:rsidRDefault="003C07FD" w:rsidP="00C64FB5">
            <w:pPr>
              <w:keepNext/>
              <w:spacing w:before="60" w:after="60"/>
              <w:jc w:val="right"/>
              <w:rPr>
                <w:rFonts w:eastAsia="Times New Roman" w:cstheme="minorHAnsi"/>
                <w:b/>
                <w:bCs/>
                <w:color w:val="000000"/>
                <w:sz w:val="18"/>
                <w:lang w:eastAsia="en-AU"/>
              </w:rPr>
            </w:pPr>
            <w:r w:rsidRPr="003C07FD">
              <w:rPr>
                <w:rFonts w:eastAsia="Times New Roman" w:cstheme="minorHAnsi"/>
                <w:b/>
                <w:bCs/>
                <w:color w:val="000000"/>
                <w:sz w:val="18"/>
                <w:lang w:eastAsia="en-AU"/>
              </w:rPr>
              <w:t>2018</w:t>
            </w:r>
          </w:p>
        </w:tc>
        <w:tc>
          <w:tcPr>
            <w:tcW w:w="646" w:type="dxa"/>
            <w:shd w:val="clear" w:color="auto" w:fill="D6ECED"/>
            <w:noWrap/>
            <w:vAlign w:val="bottom"/>
            <w:hideMark/>
          </w:tcPr>
          <w:p w14:paraId="26F729E6" w14:textId="77777777" w:rsidR="003C07FD" w:rsidRPr="003C07FD" w:rsidRDefault="003C07FD" w:rsidP="00C64FB5">
            <w:pPr>
              <w:keepNext/>
              <w:spacing w:before="60" w:after="60"/>
              <w:jc w:val="right"/>
              <w:rPr>
                <w:rFonts w:eastAsia="Times New Roman" w:cstheme="minorHAnsi"/>
                <w:b/>
                <w:bCs/>
                <w:color w:val="000000"/>
                <w:sz w:val="18"/>
                <w:lang w:eastAsia="en-AU"/>
              </w:rPr>
            </w:pPr>
            <w:r w:rsidRPr="003C07FD">
              <w:rPr>
                <w:rFonts w:eastAsia="Times New Roman" w:cstheme="minorHAnsi"/>
                <w:b/>
                <w:bCs/>
                <w:color w:val="000000"/>
                <w:sz w:val="18"/>
                <w:lang w:eastAsia="en-AU"/>
              </w:rPr>
              <w:t>2019</w:t>
            </w:r>
          </w:p>
        </w:tc>
        <w:tc>
          <w:tcPr>
            <w:tcW w:w="734" w:type="dxa"/>
            <w:shd w:val="clear" w:color="auto" w:fill="D6ECED"/>
            <w:noWrap/>
            <w:vAlign w:val="bottom"/>
            <w:hideMark/>
          </w:tcPr>
          <w:p w14:paraId="730F1E57" w14:textId="77777777" w:rsidR="003C07FD" w:rsidRPr="003C07FD" w:rsidRDefault="003C07FD" w:rsidP="00C64FB5">
            <w:pPr>
              <w:keepNext/>
              <w:spacing w:before="60" w:after="60"/>
              <w:rPr>
                <w:rFonts w:eastAsia="Times New Roman" w:cstheme="minorHAnsi"/>
                <w:b/>
                <w:bCs/>
                <w:color w:val="000000"/>
                <w:sz w:val="18"/>
                <w:lang w:eastAsia="en-AU"/>
              </w:rPr>
            </w:pPr>
            <w:r w:rsidRPr="003C07FD">
              <w:rPr>
                <w:rFonts w:eastAsia="Times New Roman" w:cstheme="minorHAnsi"/>
                <w:b/>
                <w:bCs/>
                <w:color w:val="000000"/>
                <w:sz w:val="18"/>
                <w:lang w:eastAsia="en-AU"/>
              </w:rPr>
              <w:t>Total</w:t>
            </w:r>
          </w:p>
        </w:tc>
        <w:tc>
          <w:tcPr>
            <w:tcW w:w="797" w:type="dxa"/>
            <w:shd w:val="clear" w:color="auto" w:fill="D6ECED"/>
            <w:vAlign w:val="bottom"/>
            <w:hideMark/>
          </w:tcPr>
          <w:p w14:paraId="260BDBE1" w14:textId="77777777" w:rsidR="003C07FD" w:rsidRPr="003C07FD" w:rsidRDefault="003C07FD" w:rsidP="00C64FB5">
            <w:pPr>
              <w:keepNext/>
              <w:spacing w:before="60" w:after="60"/>
              <w:jc w:val="center"/>
              <w:rPr>
                <w:rFonts w:eastAsia="Times New Roman" w:cstheme="minorHAnsi"/>
                <w:b/>
                <w:bCs/>
                <w:color w:val="000000"/>
                <w:sz w:val="18"/>
                <w:lang w:eastAsia="en-AU"/>
              </w:rPr>
            </w:pPr>
            <w:r w:rsidRPr="003C07FD">
              <w:rPr>
                <w:rFonts w:eastAsia="Times New Roman" w:cstheme="minorHAnsi"/>
                <w:b/>
                <w:bCs/>
                <w:color w:val="000000"/>
                <w:sz w:val="18"/>
                <w:lang w:eastAsia="en-AU"/>
              </w:rPr>
              <w:t>Ave. annual</w:t>
            </w:r>
          </w:p>
        </w:tc>
        <w:tc>
          <w:tcPr>
            <w:tcW w:w="667" w:type="dxa"/>
            <w:shd w:val="clear" w:color="auto" w:fill="D6ECED"/>
            <w:noWrap/>
            <w:vAlign w:val="bottom"/>
            <w:hideMark/>
          </w:tcPr>
          <w:p w14:paraId="2FFF0C59" w14:textId="77777777" w:rsidR="003C07FD" w:rsidRPr="003C07FD" w:rsidRDefault="003C07FD" w:rsidP="00C64FB5">
            <w:pPr>
              <w:keepNext/>
              <w:spacing w:before="60" w:after="60"/>
              <w:jc w:val="center"/>
              <w:rPr>
                <w:rFonts w:eastAsia="Times New Roman" w:cstheme="minorHAnsi"/>
                <w:b/>
                <w:bCs/>
                <w:color w:val="000000"/>
                <w:sz w:val="18"/>
                <w:lang w:eastAsia="en-AU"/>
              </w:rPr>
            </w:pPr>
            <w:r w:rsidRPr="003C07FD">
              <w:rPr>
                <w:rFonts w:eastAsia="Times New Roman" w:cstheme="minorHAnsi"/>
                <w:b/>
                <w:bCs/>
                <w:color w:val="000000"/>
                <w:sz w:val="18"/>
                <w:lang w:eastAsia="en-AU"/>
              </w:rPr>
              <w:t>%</w:t>
            </w:r>
          </w:p>
        </w:tc>
      </w:tr>
      <w:tr w:rsidR="003C07FD" w:rsidRPr="00B66A75" w14:paraId="0ECCD531" w14:textId="77777777" w:rsidTr="00C64FB5">
        <w:trPr>
          <w:cantSplit/>
          <w:trHeight w:val="288"/>
        </w:trPr>
        <w:tc>
          <w:tcPr>
            <w:tcW w:w="1980" w:type="dxa"/>
            <w:shd w:val="clear" w:color="auto" w:fill="auto"/>
            <w:vAlign w:val="bottom"/>
            <w:hideMark/>
          </w:tcPr>
          <w:p w14:paraId="445AB699" w14:textId="1DDB4162" w:rsidR="003C07FD" w:rsidRPr="00B66A75" w:rsidRDefault="007E6366" w:rsidP="00C64FB5">
            <w:pPr>
              <w:keepNext/>
              <w:spacing w:before="60" w:after="60"/>
              <w:rPr>
                <w:rFonts w:eastAsia="Times New Roman" w:cstheme="minorHAnsi"/>
                <w:color w:val="000000"/>
                <w:sz w:val="18"/>
                <w:lang w:eastAsia="en-AU"/>
              </w:rPr>
            </w:pPr>
            <w:r>
              <w:rPr>
                <w:rFonts w:eastAsia="Times New Roman" w:cstheme="minorHAnsi"/>
                <w:color w:val="000000"/>
                <w:sz w:val="18"/>
                <w:lang w:eastAsia="en-AU"/>
              </w:rPr>
              <w:t xml:space="preserve">Driver </w:t>
            </w:r>
            <w:r w:rsidR="00AD2DA7">
              <w:rPr>
                <w:rFonts w:eastAsia="Times New Roman" w:cstheme="minorHAnsi"/>
                <w:color w:val="000000"/>
                <w:sz w:val="18"/>
                <w:lang w:eastAsia="en-AU"/>
              </w:rPr>
              <w:t>P</w:t>
            </w:r>
            <w:r>
              <w:rPr>
                <w:rFonts w:eastAsia="Times New Roman" w:cstheme="minorHAnsi"/>
                <w:color w:val="000000"/>
                <w:sz w:val="18"/>
                <w:lang w:eastAsia="en-AU"/>
              </w:rPr>
              <w:t xml:space="preserve">ositive </w:t>
            </w:r>
            <w:r w:rsidR="00AD2DA7">
              <w:rPr>
                <w:rFonts w:eastAsia="Times New Roman" w:cstheme="minorHAnsi"/>
                <w:color w:val="000000"/>
                <w:sz w:val="18"/>
                <w:lang w:eastAsia="en-AU"/>
              </w:rPr>
              <w:t>T</w:t>
            </w:r>
            <w:r>
              <w:rPr>
                <w:rFonts w:eastAsia="Times New Roman" w:cstheme="minorHAnsi"/>
                <w:color w:val="000000"/>
                <w:sz w:val="18"/>
                <w:lang w:eastAsia="en-AU"/>
              </w:rPr>
              <w:t xml:space="preserve">est for </w:t>
            </w:r>
            <w:r w:rsidR="00AD2DA7">
              <w:rPr>
                <w:rFonts w:eastAsia="Times New Roman" w:cstheme="minorHAnsi"/>
                <w:color w:val="000000"/>
                <w:sz w:val="18"/>
                <w:lang w:eastAsia="en-AU"/>
              </w:rPr>
              <w:t>A</w:t>
            </w:r>
            <w:r>
              <w:rPr>
                <w:rFonts w:eastAsia="Times New Roman" w:cstheme="minorHAnsi"/>
                <w:color w:val="000000"/>
                <w:sz w:val="18"/>
                <w:lang w:eastAsia="en-AU"/>
              </w:rPr>
              <w:t xml:space="preserve">lcohol or </w:t>
            </w:r>
            <w:r w:rsidR="00AD2DA7">
              <w:rPr>
                <w:rFonts w:eastAsia="Times New Roman" w:cstheme="minorHAnsi"/>
                <w:color w:val="000000"/>
                <w:sz w:val="18"/>
                <w:lang w:eastAsia="en-AU"/>
              </w:rPr>
              <w:t>D</w:t>
            </w:r>
            <w:r>
              <w:rPr>
                <w:rFonts w:eastAsia="Times New Roman" w:cstheme="minorHAnsi"/>
                <w:color w:val="000000"/>
                <w:sz w:val="18"/>
                <w:lang w:eastAsia="en-AU"/>
              </w:rPr>
              <w:t xml:space="preserve">rugs </w:t>
            </w:r>
          </w:p>
        </w:tc>
        <w:tc>
          <w:tcPr>
            <w:tcW w:w="645" w:type="dxa"/>
            <w:shd w:val="clear" w:color="auto" w:fill="auto"/>
            <w:noWrap/>
            <w:vAlign w:val="bottom"/>
            <w:hideMark/>
          </w:tcPr>
          <w:p w14:paraId="671BE7BE" w14:textId="77777777" w:rsidR="003C07FD" w:rsidRPr="00B66A75" w:rsidRDefault="003C07FD" w:rsidP="00C64FB5">
            <w:pPr>
              <w:keepNext/>
              <w:spacing w:before="60" w:after="60"/>
              <w:jc w:val="right"/>
              <w:rPr>
                <w:rFonts w:eastAsia="Times New Roman" w:cstheme="minorHAnsi"/>
                <w:color w:val="000000"/>
                <w:sz w:val="18"/>
                <w:lang w:eastAsia="en-AU"/>
              </w:rPr>
            </w:pPr>
            <w:r w:rsidRPr="00B66A75">
              <w:rPr>
                <w:rFonts w:eastAsia="Times New Roman" w:cstheme="minorHAnsi"/>
                <w:color w:val="000000"/>
                <w:sz w:val="18"/>
                <w:lang w:eastAsia="en-AU"/>
              </w:rPr>
              <w:t>2</w:t>
            </w:r>
          </w:p>
        </w:tc>
        <w:tc>
          <w:tcPr>
            <w:tcW w:w="646" w:type="dxa"/>
            <w:shd w:val="clear" w:color="auto" w:fill="auto"/>
            <w:noWrap/>
            <w:vAlign w:val="bottom"/>
            <w:hideMark/>
          </w:tcPr>
          <w:p w14:paraId="34964DE6" w14:textId="77777777" w:rsidR="003C07FD" w:rsidRPr="00B66A75" w:rsidRDefault="003C07FD" w:rsidP="00C64FB5">
            <w:pPr>
              <w:keepNext/>
              <w:spacing w:before="60" w:after="60"/>
              <w:jc w:val="right"/>
              <w:rPr>
                <w:rFonts w:eastAsia="Times New Roman" w:cstheme="minorHAnsi"/>
                <w:color w:val="000000"/>
                <w:sz w:val="18"/>
                <w:lang w:eastAsia="en-AU"/>
              </w:rPr>
            </w:pPr>
          </w:p>
        </w:tc>
        <w:tc>
          <w:tcPr>
            <w:tcW w:w="646" w:type="dxa"/>
            <w:shd w:val="clear" w:color="auto" w:fill="auto"/>
            <w:noWrap/>
            <w:vAlign w:val="bottom"/>
            <w:hideMark/>
          </w:tcPr>
          <w:p w14:paraId="05373D49" w14:textId="77777777" w:rsidR="003C07FD" w:rsidRPr="00B66A75" w:rsidRDefault="003C07FD" w:rsidP="00C64FB5">
            <w:pPr>
              <w:keepNext/>
              <w:spacing w:before="60" w:after="60"/>
              <w:jc w:val="right"/>
              <w:rPr>
                <w:rFonts w:eastAsia="Times New Roman" w:cstheme="minorHAnsi"/>
                <w:color w:val="000000"/>
                <w:sz w:val="18"/>
                <w:lang w:eastAsia="en-AU"/>
              </w:rPr>
            </w:pPr>
            <w:r w:rsidRPr="00B66A75">
              <w:rPr>
                <w:rFonts w:eastAsia="Times New Roman" w:cstheme="minorHAnsi"/>
                <w:color w:val="000000"/>
                <w:sz w:val="18"/>
                <w:lang w:eastAsia="en-AU"/>
              </w:rPr>
              <w:t>1</w:t>
            </w:r>
          </w:p>
        </w:tc>
        <w:tc>
          <w:tcPr>
            <w:tcW w:w="646" w:type="dxa"/>
            <w:shd w:val="clear" w:color="auto" w:fill="auto"/>
            <w:noWrap/>
            <w:vAlign w:val="bottom"/>
            <w:hideMark/>
          </w:tcPr>
          <w:p w14:paraId="3336CCFF" w14:textId="77777777" w:rsidR="003C07FD" w:rsidRPr="00B66A75" w:rsidRDefault="003C07FD" w:rsidP="00C64FB5">
            <w:pPr>
              <w:keepNext/>
              <w:spacing w:before="60" w:after="60"/>
              <w:jc w:val="right"/>
              <w:rPr>
                <w:rFonts w:eastAsia="Times New Roman" w:cstheme="minorHAnsi"/>
                <w:color w:val="000000"/>
                <w:sz w:val="18"/>
                <w:lang w:eastAsia="en-AU"/>
              </w:rPr>
            </w:pPr>
            <w:r w:rsidRPr="00B66A75">
              <w:rPr>
                <w:rFonts w:eastAsia="Times New Roman" w:cstheme="minorHAnsi"/>
                <w:color w:val="000000"/>
                <w:sz w:val="18"/>
                <w:lang w:eastAsia="en-AU"/>
              </w:rPr>
              <w:t>1</w:t>
            </w:r>
          </w:p>
        </w:tc>
        <w:tc>
          <w:tcPr>
            <w:tcW w:w="645" w:type="dxa"/>
            <w:shd w:val="clear" w:color="auto" w:fill="auto"/>
            <w:noWrap/>
            <w:vAlign w:val="bottom"/>
            <w:hideMark/>
          </w:tcPr>
          <w:p w14:paraId="5863244F" w14:textId="77777777" w:rsidR="003C07FD" w:rsidRPr="00B66A75" w:rsidRDefault="003C07FD" w:rsidP="00C64FB5">
            <w:pPr>
              <w:keepNext/>
              <w:spacing w:before="60" w:after="60"/>
              <w:jc w:val="right"/>
              <w:rPr>
                <w:rFonts w:eastAsia="Times New Roman" w:cstheme="minorHAnsi"/>
                <w:color w:val="000000"/>
                <w:sz w:val="18"/>
                <w:lang w:eastAsia="en-AU"/>
              </w:rPr>
            </w:pPr>
          </w:p>
        </w:tc>
        <w:tc>
          <w:tcPr>
            <w:tcW w:w="646" w:type="dxa"/>
            <w:shd w:val="clear" w:color="auto" w:fill="auto"/>
            <w:noWrap/>
            <w:vAlign w:val="bottom"/>
            <w:hideMark/>
          </w:tcPr>
          <w:p w14:paraId="6E74C416" w14:textId="77777777" w:rsidR="003C07FD" w:rsidRPr="00B66A75" w:rsidRDefault="003C07FD" w:rsidP="00C64FB5">
            <w:pPr>
              <w:keepNext/>
              <w:spacing w:before="60" w:after="60"/>
              <w:jc w:val="right"/>
              <w:rPr>
                <w:rFonts w:eastAsia="Times New Roman" w:cstheme="minorHAnsi"/>
                <w:color w:val="000000"/>
                <w:sz w:val="18"/>
                <w:lang w:eastAsia="en-AU"/>
              </w:rPr>
            </w:pPr>
            <w:r w:rsidRPr="00B66A75">
              <w:rPr>
                <w:rFonts w:eastAsia="Times New Roman" w:cstheme="minorHAnsi"/>
                <w:color w:val="000000"/>
                <w:sz w:val="18"/>
                <w:lang w:eastAsia="en-AU"/>
              </w:rPr>
              <w:t>2</w:t>
            </w:r>
          </w:p>
        </w:tc>
        <w:tc>
          <w:tcPr>
            <w:tcW w:w="646" w:type="dxa"/>
            <w:shd w:val="clear" w:color="auto" w:fill="auto"/>
            <w:noWrap/>
            <w:vAlign w:val="bottom"/>
            <w:hideMark/>
          </w:tcPr>
          <w:p w14:paraId="10937495" w14:textId="77777777" w:rsidR="003C07FD" w:rsidRPr="00B66A75" w:rsidRDefault="003C07FD" w:rsidP="00C64FB5">
            <w:pPr>
              <w:keepNext/>
              <w:spacing w:before="60" w:after="60"/>
              <w:jc w:val="right"/>
              <w:rPr>
                <w:rFonts w:eastAsia="Times New Roman" w:cstheme="minorHAnsi"/>
                <w:color w:val="000000"/>
                <w:sz w:val="18"/>
                <w:lang w:eastAsia="en-AU"/>
              </w:rPr>
            </w:pPr>
          </w:p>
        </w:tc>
        <w:tc>
          <w:tcPr>
            <w:tcW w:w="646" w:type="dxa"/>
            <w:shd w:val="clear" w:color="auto" w:fill="auto"/>
            <w:noWrap/>
            <w:vAlign w:val="bottom"/>
            <w:hideMark/>
          </w:tcPr>
          <w:p w14:paraId="03EC43E3" w14:textId="77777777" w:rsidR="003C07FD" w:rsidRPr="00B66A75" w:rsidRDefault="003C07FD" w:rsidP="00C64FB5">
            <w:pPr>
              <w:keepNext/>
              <w:spacing w:before="60" w:after="60"/>
              <w:jc w:val="right"/>
              <w:rPr>
                <w:rFonts w:eastAsia="Times New Roman" w:cstheme="minorHAnsi"/>
                <w:color w:val="000000"/>
                <w:sz w:val="18"/>
                <w:lang w:eastAsia="en-AU"/>
              </w:rPr>
            </w:pPr>
            <w:r w:rsidRPr="00B66A75">
              <w:rPr>
                <w:rFonts w:eastAsia="Times New Roman" w:cstheme="minorHAnsi"/>
                <w:color w:val="000000"/>
                <w:sz w:val="18"/>
                <w:lang w:eastAsia="en-AU"/>
              </w:rPr>
              <w:t>1</w:t>
            </w:r>
          </w:p>
        </w:tc>
        <w:tc>
          <w:tcPr>
            <w:tcW w:w="646" w:type="dxa"/>
            <w:shd w:val="clear" w:color="auto" w:fill="auto"/>
            <w:noWrap/>
            <w:vAlign w:val="bottom"/>
            <w:hideMark/>
          </w:tcPr>
          <w:p w14:paraId="19F50115" w14:textId="77777777" w:rsidR="003C07FD" w:rsidRPr="00B66A75" w:rsidRDefault="003C07FD" w:rsidP="00C64FB5">
            <w:pPr>
              <w:keepNext/>
              <w:spacing w:before="60" w:after="60"/>
              <w:jc w:val="right"/>
              <w:rPr>
                <w:rFonts w:eastAsia="Times New Roman" w:cstheme="minorHAnsi"/>
                <w:color w:val="000000"/>
                <w:sz w:val="18"/>
                <w:lang w:eastAsia="en-AU"/>
              </w:rPr>
            </w:pPr>
            <w:r w:rsidRPr="00B66A75">
              <w:rPr>
                <w:rFonts w:eastAsia="Times New Roman" w:cstheme="minorHAnsi"/>
                <w:color w:val="000000"/>
                <w:sz w:val="18"/>
                <w:lang w:eastAsia="en-AU"/>
              </w:rPr>
              <w:t>5</w:t>
            </w:r>
          </w:p>
        </w:tc>
        <w:tc>
          <w:tcPr>
            <w:tcW w:w="734" w:type="dxa"/>
            <w:shd w:val="clear" w:color="auto" w:fill="auto"/>
            <w:noWrap/>
            <w:vAlign w:val="bottom"/>
            <w:hideMark/>
          </w:tcPr>
          <w:p w14:paraId="67373D25"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12</w:t>
            </w:r>
          </w:p>
        </w:tc>
        <w:tc>
          <w:tcPr>
            <w:tcW w:w="797" w:type="dxa"/>
            <w:shd w:val="clear" w:color="auto" w:fill="auto"/>
            <w:noWrap/>
            <w:vAlign w:val="bottom"/>
            <w:hideMark/>
          </w:tcPr>
          <w:p w14:paraId="4D31AF53"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1.3</w:t>
            </w:r>
          </w:p>
        </w:tc>
        <w:tc>
          <w:tcPr>
            <w:tcW w:w="667" w:type="dxa"/>
            <w:shd w:val="clear" w:color="auto" w:fill="auto"/>
            <w:noWrap/>
            <w:vAlign w:val="bottom"/>
            <w:hideMark/>
          </w:tcPr>
          <w:p w14:paraId="061FD8CD"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0.33</w:t>
            </w:r>
          </w:p>
        </w:tc>
      </w:tr>
      <w:tr w:rsidR="003C07FD" w:rsidRPr="00B66A75" w14:paraId="6CB510D6" w14:textId="77777777" w:rsidTr="00C64FB5">
        <w:trPr>
          <w:cantSplit/>
          <w:trHeight w:val="288"/>
        </w:trPr>
        <w:tc>
          <w:tcPr>
            <w:tcW w:w="1980" w:type="dxa"/>
            <w:shd w:val="clear" w:color="auto" w:fill="auto"/>
            <w:vAlign w:val="bottom"/>
            <w:hideMark/>
          </w:tcPr>
          <w:p w14:paraId="631B6C6D" w14:textId="77777777" w:rsidR="003C07FD" w:rsidRPr="003C07FD" w:rsidRDefault="003C07FD" w:rsidP="00C64FB5">
            <w:pPr>
              <w:keepNext/>
              <w:spacing w:before="60" w:after="60"/>
              <w:rPr>
                <w:rFonts w:eastAsia="Times New Roman" w:cstheme="minorHAnsi"/>
                <w:color w:val="000000"/>
                <w:sz w:val="18"/>
                <w:lang w:eastAsia="en-AU"/>
              </w:rPr>
            </w:pPr>
            <w:r w:rsidRPr="003C07FD">
              <w:rPr>
                <w:rFonts w:eastAsia="Times New Roman" w:cstheme="minorHAnsi"/>
                <w:color w:val="000000"/>
                <w:sz w:val="18"/>
                <w:lang w:eastAsia="en-AU"/>
              </w:rPr>
              <w:t>Alleged Assault</w:t>
            </w:r>
          </w:p>
        </w:tc>
        <w:tc>
          <w:tcPr>
            <w:tcW w:w="645" w:type="dxa"/>
            <w:shd w:val="clear" w:color="auto" w:fill="auto"/>
            <w:noWrap/>
            <w:vAlign w:val="bottom"/>
            <w:hideMark/>
          </w:tcPr>
          <w:p w14:paraId="2E1B7135"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23</w:t>
            </w:r>
          </w:p>
        </w:tc>
        <w:tc>
          <w:tcPr>
            <w:tcW w:w="646" w:type="dxa"/>
            <w:shd w:val="clear" w:color="auto" w:fill="auto"/>
            <w:noWrap/>
            <w:vAlign w:val="bottom"/>
            <w:hideMark/>
          </w:tcPr>
          <w:p w14:paraId="6DD2CF66"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34</w:t>
            </w:r>
          </w:p>
        </w:tc>
        <w:tc>
          <w:tcPr>
            <w:tcW w:w="646" w:type="dxa"/>
            <w:shd w:val="clear" w:color="auto" w:fill="auto"/>
            <w:noWrap/>
            <w:vAlign w:val="bottom"/>
            <w:hideMark/>
          </w:tcPr>
          <w:p w14:paraId="4B6B7164"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33</w:t>
            </w:r>
          </w:p>
        </w:tc>
        <w:tc>
          <w:tcPr>
            <w:tcW w:w="646" w:type="dxa"/>
            <w:shd w:val="clear" w:color="auto" w:fill="auto"/>
            <w:noWrap/>
            <w:vAlign w:val="bottom"/>
            <w:hideMark/>
          </w:tcPr>
          <w:p w14:paraId="73E9F48C"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35</w:t>
            </w:r>
          </w:p>
        </w:tc>
        <w:tc>
          <w:tcPr>
            <w:tcW w:w="645" w:type="dxa"/>
            <w:shd w:val="clear" w:color="auto" w:fill="auto"/>
            <w:noWrap/>
            <w:vAlign w:val="bottom"/>
            <w:hideMark/>
          </w:tcPr>
          <w:p w14:paraId="71579C49"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45</w:t>
            </w:r>
          </w:p>
        </w:tc>
        <w:tc>
          <w:tcPr>
            <w:tcW w:w="646" w:type="dxa"/>
            <w:shd w:val="clear" w:color="auto" w:fill="auto"/>
            <w:noWrap/>
            <w:vAlign w:val="bottom"/>
            <w:hideMark/>
          </w:tcPr>
          <w:p w14:paraId="49139F6B"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61</w:t>
            </w:r>
          </w:p>
        </w:tc>
        <w:tc>
          <w:tcPr>
            <w:tcW w:w="646" w:type="dxa"/>
            <w:shd w:val="clear" w:color="auto" w:fill="auto"/>
            <w:noWrap/>
            <w:vAlign w:val="bottom"/>
            <w:hideMark/>
          </w:tcPr>
          <w:p w14:paraId="10D7B24D"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44</w:t>
            </w:r>
          </w:p>
        </w:tc>
        <w:tc>
          <w:tcPr>
            <w:tcW w:w="646" w:type="dxa"/>
            <w:shd w:val="clear" w:color="auto" w:fill="auto"/>
            <w:noWrap/>
            <w:vAlign w:val="bottom"/>
            <w:hideMark/>
          </w:tcPr>
          <w:p w14:paraId="3DDFF310"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32</w:t>
            </w:r>
          </w:p>
        </w:tc>
        <w:tc>
          <w:tcPr>
            <w:tcW w:w="646" w:type="dxa"/>
            <w:shd w:val="clear" w:color="auto" w:fill="auto"/>
            <w:noWrap/>
            <w:vAlign w:val="bottom"/>
            <w:hideMark/>
          </w:tcPr>
          <w:p w14:paraId="537C8467"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20</w:t>
            </w:r>
          </w:p>
        </w:tc>
        <w:tc>
          <w:tcPr>
            <w:tcW w:w="734" w:type="dxa"/>
            <w:shd w:val="clear" w:color="auto" w:fill="auto"/>
            <w:noWrap/>
            <w:vAlign w:val="bottom"/>
            <w:hideMark/>
          </w:tcPr>
          <w:p w14:paraId="6AF04A38"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327</w:t>
            </w:r>
          </w:p>
        </w:tc>
        <w:tc>
          <w:tcPr>
            <w:tcW w:w="797" w:type="dxa"/>
            <w:shd w:val="clear" w:color="auto" w:fill="auto"/>
            <w:noWrap/>
            <w:vAlign w:val="bottom"/>
            <w:hideMark/>
          </w:tcPr>
          <w:p w14:paraId="1F5C2847"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36.3</w:t>
            </w:r>
          </w:p>
        </w:tc>
        <w:tc>
          <w:tcPr>
            <w:tcW w:w="667" w:type="dxa"/>
            <w:shd w:val="clear" w:color="auto" w:fill="auto"/>
            <w:noWrap/>
            <w:vAlign w:val="bottom"/>
            <w:hideMark/>
          </w:tcPr>
          <w:p w14:paraId="2D81EEDB"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8.96</w:t>
            </w:r>
          </w:p>
        </w:tc>
      </w:tr>
      <w:tr w:rsidR="003C07FD" w:rsidRPr="00B66A75" w14:paraId="1F049FE3" w14:textId="77777777" w:rsidTr="00C64FB5">
        <w:trPr>
          <w:cantSplit/>
          <w:trHeight w:val="288"/>
        </w:trPr>
        <w:tc>
          <w:tcPr>
            <w:tcW w:w="1980" w:type="dxa"/>
            <w:shd w:val="clear" w:color="auto" w:fill="auto"/>
            <w:vAlign w:val="bottom"/>
            <w:hideMark/>
          </w:tcPr>
          <w:p w14:paraId="7953D44E" w14:textId="77777777" w:rsidR="003C07FD" w:rsidRPr="003C07FD" w:rsidRDefault="003C07FD" w:rsidP="00C64FB5">
            <w:pPr>
              <w:keepNext/>
              <w:spacing w:before="60" w:after="60"/>
              <w:rPr>
                <w:rFonts w:eastAsia="Times New Roman" w:cstheme="minorHAnsi"/>
                <w:color w:val="000000"/>
                <w:sz w:val="18"/>
                <w:lang w:eastAsia="en-AU"/>
              </w:rPr>
            </w:pPr>
            <w:r w:rsidRPr="003C07FD">
              <w:rPr>
                <w:rFonts w:eastAsia="Times New Roman" w:cstheme="minorHAnsi"/>
                <w:color w:val="000000"/>
                <w:sz w:val="18"/>
                <w:lang w:eastAsia="en-AU"/>
              </w:rPr>
              <w:t>Anti-social behaviour</w:t>
            </w:r>
          </w:p>
        </w:tc>
        <w:tc>
          <w:tcPr>
            <w:tcW w:w="645" w:type="dxa"/>
            <w:shd w:val="clear" w:color="auto" w:fill="auto"/>
            <w:noWrap/>
            <w:vAlign w:val="bottom"/>
            <w:hideMark/>
          </w:tcPr>
          <w:p w14:paraId="2004AA33"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4</w:t>
            </w:r>
          </w:p>
        </w:tc>
        <w:tc>
          <w:tcPr>
            <w:tcW w:w="646" w:type="dxa"/>
            <w:shd w:val="clear" w:color="auto" w:fill="auto"/>
            <w:noWrap/>
            <w:vAlign w:val="bottom"/>
            <w:hideMark/>
          </w:tcPr>
          <w:p w14:paraId="6E0235B9"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4</w:t>
            </w:r>
          </w:p>
        </w:tc>
        <w:tc>
          <w:tcPr>
            <w:tcW w:w="646" w:type="dxa"/>
            <w:shd w:val="clear" w:color="auto" w:fill="auto"/>
            <w:noWrap/>
            <w:vAlign w:val="bottom"/>
            <w:hideMark/>
          </w:tcPr>
          <w:p w14:paraId="65D3FA2F"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1</w:t>
            </w:r>
          </w:p>
        </w:tc>
        <w:tc>
          <w:tcPr>
            <w:tcW w:w="646" w:type="dxa"/>
            <w:shd w:val="clear" w:color="auto" w:fill="auto"/>
            <w:noWrap/>
            <w:vAlign w:val="bottom"/>
            <w:hideMark/>
          </w:tcPr>
          <w:p w14:paraId="1031C035"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3</w:t>
            </w:r>
          </w:p>
        </w:tc>
        <w:tc>
          <w:tcPr>
            <w:tcW w:w="645" w:type="dxa"/>
            <w:shd w:val="clear" w:color="auto" w:fill="auto"/>
            <w:noWrap/>
            <w:vAlign w:val="bottom"/>
            <w:hideMark/>
          </w:tcPr>
          <w:p w14:paraId="5FA770A4"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5</w:t>
            </w:r>
          </w:p>
        </w:tc>
        <w:tc>
          <w:tcPr>
            <w:tcW w:w="646" w:type="dxa"/>
            <w:shd w:val="clear" w:color="auto" w:fill="auto"/>
            <w:noWrap/>
            <w:vAlign w:val="bottom"/>
            <w:hideMark/>
          </w:tcPr>
          <w:p w14:paraId="3599370B"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4</w:t>
            </w:r>
          </w:p>
        </w:tc>
        <w:tc>
          <w:tcPr>
            <w:tcW w:w="646" w:type="dxa"/>
            <w:shd w:val="clear" w:color="auto" w:fill="auto"/>
            <w:noWrap/>
            <w:vAlign w:val="bottom"/>
            <w:hideMark/>
          </w:tcPr>
          <w:p w14:paraId="51E17750"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10</w:t>
            </w:r>
          </w:p>
        </w:tc>
        <w:tc>
          <w:tcPr>
            <w:tcW w:w="646" w:type="dxa"/>
            <w:shd w:val="clear" w:color="auto" w:fill="auto"/>
            <w:noWrap/>
            <w:vAlign w:val="bottom"/>
            <w:hideMark/>
          </w:tcPr>
          <w:p w14:paraId="51AB1B7E"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9</w:t>
            </w:r>
          </w:p>
        </w:tc>
        <w:tc>
          <w:tcPr>
            <w:tcW w:w="646" w:type="dxa"/>
            <w:shd w:val="clear" w:color="auto" w:fill="auto"/>
            <w:noWrap/>
            <w:vAlign w:val="bottom"/>
            <w:hideMark/>
          </w:tcPr>
          <w:p w14:paraId="2C4A8C0A"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20</w:t>
            </w:r>
          </w:p>
        </w:tc>
        <w:tc>
          <w:tcPr>
            <w:tcW w:w="734" w:type="dxa"/>
            <w:shd w:val="clear" w:color="auto" w:fill="auto"/>
            <w:noWrap/>
            <w:vAlign w:val="bottom"/>
            <w:hideMark/>
          </w:tcPr>
          <w:p w14:paraId="42EB1840"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60</w:t>
            </w:r>
          </w:p>
        </w:tc>
        <w:tc>
          <w:tcPr>
            <w:tcW w:w="797" w:type="dxa"/>
            <w:shd w:val="clear" w:color="auto" w:fill="auto"/>
            <w:noWrap/>
            <w:vAlign w:val="bottom"/>
            <w:hideMark/>
          </w:tcPr>
          <w:p w14:paraId="500E2711"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6.7</w:t>
            </w:r>
          </w:p>
        </w:tc>
        <w:tc>
          <w:tcPr>
            <w:tcW w:w="667" w:type="dxa"/>
            <w:shd w:val="clear" w:color="auto" w:fill="auto"/>
            <w:noWrap/>
            <w:vAlign w:val="bottom"/>
            <w:hideMark/>
          </w:tcPr>
          <w:p w14:paraId="49FD8C85"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1.64</w:t>
            </w:r>
          </w:p>
        </w:tc>
      </w:tr>
      <w:tr w:rsidR="003C07FD" w:rsidRPr="00B66A75" w14:paraId="394C8B07" w14:textId="77777777" w:rsidTr="00C64FB5">
        <w:trPr>
          <w:cantSplit/>
          <w:trHeight w:val="58"/>
        </w:trPr>
        <w:tc>
          <w:tcPr>
            <w:tcW w:w="1980" w:type="dxa"/>
            <w:shd w:val="clear" w:color="auto" w:fill="auto"/>
            <w:vAlign w:val="bottom"/>
            <w:hideMark/>
          </w:tcPr>
          <w:p w14:paraId="0F768B94" w14:textId="77777777" w:rsidR="003C07FD" w:rsidRPr="003C07FD" w:rsidRDefault="003C07FD" w:rsidP="00C64FB5">
            <w:pPr>
              <w:keepNext/>
              <w:spacing w:before="60" w:after="60"/>
              <w:rPr>
                <w:rFonts w:eastAsia="Times New Roman" w:cstheme="minorHAnsi"/>
                <w:color w:val="000000"/>
                <w:sz w:val="18"/>
                <w:lang w:eastAsia="en-AU"/>
              </w:rPr>
            </w:pPr>
            <w:r w:rsidRPr="003C07FD">
              <w:rPr>
                <w:rFonts w:eastAsia="Times New Roman" w:cstheme="minorHAnsi"/>
                <w:color w:val="000000"/>
                <w:sz w:val="18"/>
                <w:lang w:eastAsia="en-AU"/>
              </w:rPr>
              <w:t>Breach of road rules by driver</w:t>
            </w:r>
          </w:p>
        </w:tc>
        <w:tc>
          <w:tcPr>
            <w:tcW w:w="645" w:type="dxa"/>
            <w:shd w:val="clear" w:color="auto" w:fill="auto"/>
            <w:noWrap/>
            <w:vAlign w:val="bottom"/>
            <w:hideMark/>
          </w:tcPr>
          <w:p w14:paraId="51D56483" w14:textId="77777777" w:rsidR="003C07FD" w:rsidRPr="003C07FD" w:rsidRDefault="003C07FD" w:rsidP="00C64FB5">
            <w:pPr>
              <w:keepNext/>
              <w:spacing w:before="60" w:after="60"/>
              <w:rPr>
                <w:rFonts w:eastAsia="Times New Roman" w:cstheme="minorHAnsi"/>
                <w:color w:val="000000"/>
                <w:sz w:val="18"/>
                <w:lang w:eastAsia="en-AU"/>
              </w:rPr>
            </w:pPr>
          </w:p>
        </w:tc>
        <w:tc>
          <w:tcPr>
            <w:tcW w:w="646" w:type="dxa"/>
            <w:shd w:val="clear" w:color="auto" w:fill="auto"/>
            <w:noWrap/>
            <w:vAlign w:val="bottom"/>
            <w:hideMark/>
          </w:tcPr>
          <w:p w14:paraId="027DD4D4" w14:textId="77777777" w:rsidR="003C07FD" w:rsidRPr="003C07FD"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305A7753"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1</w:t>
            </w:r>
          </w:p>
        </w:tc>
        <w:tc>
          <w:tcPr>
            <w:tcW w:w="646" w:type="dxa"/>
            <w:shd w:val="clear" w:color="auto" w:fill="auto"/>
            <w:noWrap/>
            <w:vAlign w:val="bottom"/>
            <w:hideMark/>
          </w:tcPr>
          <w:p w14:paraId="19A06860" w14:textId="77777777" w:rsidR="003C07FD" w:rsidRPr="003C07FD" w:rsidRDefault="003C07FD" w:rsidP="00C64FB5">
            <w:pPr>
              <w:keepNext/>
              <w:spacing w:before="60" w:after="60"/>
              <w:jc w:val="right"/>
              <w:rPr>
                <w:rFonts w:eastAsia="Times New Roman" w:cstheme="minorHAnsi"/>
                <w:color w:val="000000"/>
                <w:sz w:val="18"/>
                <w:lang w:eastAsia="en-AU"/>
              </w:rPr>
            </w:pPr>
          </w:p>
        </w:tc>
        <w:tc>
          <w:tcPr>
            <w:tcW w:w="645" w:type="dxa"/>
            <w:shd w:val="clear" w:color="auto" w:fill="auto"/>
            <w:noWrap/>
            <w:vAlign w:val="bottom"/>
            <w:hideMark/>
          </w:tcPr>
          <w:p w14:paraId="39D0DE5A"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1</w:t>
            </w:r>
          </w:p>
        </w:tc>
        <w:tc>
          <w:tcPr>
            <w:tcW w:w="646" w:type="dxa"/>
            <w:shd w:val="clear" w:color="auto" w:fill="auto"/>
            <w:noWrap/>
            <w:vAlign w:val="bottom"/>
            <w:hideMark/>
          </w:tcPr>
          <w:p w14:paraId="1CEEF45F" w14:textId="77777777" w:rsidR="003C07FD" w:rsidRPr="003C07FD" w:rsidRDefault="003C07FD" w:rsidP="00C64FB5">
            <w:pPr>
              <w:keepNext/>
              <w:spacing w:before="60" w:after="60"/>
              <w:jc w:val="right"/>
              <w:rPr>
                <w:rFonts w:eastAsia="Times New Roman" w:cstheme="minorHAnsi"/>
                <w:color w:val="000000"/>
                <w:sz w:val="18"/>
                <w:lang w:eastAsia="en-AU"/>
              </w:rPr>
            </w:pPr>
          </w:p>
        </w:tc>
        <w:tc>
          <w:tcPr>
            <w:tcW w:w="646" w:type="dxa"/>
            <w:shd w:val="clear" w:color="auto" w:fill="auto"/>
            <w:noWrap/>
            <w:vAlign w:val="bottom"/>
            <w:hideMark/>
          </w:tcPr>
          <w:p w14:paraId="1621938A" w14:textId="77777777" w:rsidR="003C07FD" w:rsidRPr="003C07FD"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2125E35C" w14:textId="77777777" w:rsidR="003C07FD" w:rsidRPr="003C07FD"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45900C2D"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1</w:t>
            </w:r>
          </w:p>
        </w:tc>
        <w:tc>
          <w:tcPr>
            <w:tcW w:w="734" w:type="dxa"/>
            <w:shd w:val="clear" w:color="auto" w:fill="auto"/>
            <w:noWrap/>
            <w:vAlign w:val="bottom"/>
            <w:hideMark/>
          </w:tcPr>
          <w:p w14:paraId="422FE653"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3</w:t>
            </w:r>
          </w:p>
        </w:tc>
        <w:tc>
          <w:tcPr>
            <w:tcW w:w="797" w:type="dxa"/>
            <w:shd w:val="clear" w:color="auto" w:fill="auto"/>
            <w:noWrap/>
            <w:vAlign w:val="bottom"/>
            <w:hideMark/>
          </w:tcPr>
          <w:p w14:paraId="42A3DF09"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0.3</w:t>
            </w:r>
          </w:p>
        </w:tc>
        <w:tc>
          <w:tcPr>
            <w:tcW w:w="667" w:type="dxa"/>
            <w:shd w:val="clear" w:color="auto" w:fill="auto"/>
            <w:noWrap/>
            <w:vAlign w:val="bottom"/>
            <w:hideMark/>
          </w:tcPr>
          <w:p w14:paraId="23B030CA"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0.08</w:t>
            </w:r>
          </w:p>
        </w:tc>
      </w:tr>
      <w:tr w:rsidR="003C07FD" w:rsidRPr="00B66A75" w14:paraId="48A233E1" w14:textId="77777777" w:rsidTr="00C64FB5">
        <w:trPr>
          <w:cantSplit/>
          <w:trHeight w:val="288"/>
        </w:trPr>
        <w:tc>
          <w:tcPr>
            <w:tcW w:w="1980" w:type="dxa"/>
            <w:shd w:val="clear" w:color="auto" w:fill="auto"/>
            <w:vAlign w:val="bottom"/>
            <w:hideMark/>
          </w:tcPr>
          <w:p w14:paraId="487E569F" w14:textId="77777777" w:rsidR="003C07FD" w:rsidRPr="003C07FD" w:rsidRDefault="003C07FD" w:rsidP="00C64FB5">
            <w:pPr>
              <w:keepNext/>
              <w:spacing w:before="60" w:after="60"/>
              <w:rPr>
                <w:rFonts w:eastAsia="Times New Roman" w:cstheme="minorHAnsi"/>
                <w:color w:val="000000"/>
                <w:sz w:val="18"/>
                <w:lang w:eastAsia="en-AU"/>
              </w:rPr>
            </w:pPr>
            <w:r w:rsidRPr="003C07FD">
              <w:rPr>
                <w:rFonts w:eastAsia="Times New Roman" w:cstheme="minorHAnsi"/>
                <w:color w:val="000000"/>
                <w:sz w:val="18"/>
                <w:lang w:eastAsia="en-AU"/>
              </w:rPr>
              <w:t>Child Left on Bus</w:t>
            </w:r>
          </w:p>
        </w:tc>
        <w:tc>
          <w:tcPr>
            <w:tcW w:w="645" w:type="dxa"/>
            <w:shd w:val="clear" w:color="auto" w:fill="auto"/>
            <w:noWrap/>
            <w:vAlign w:val="bottom"/>
            <w:hideMark/>
          </w:tcPr>
          <w:p w14:paraId="31CDEBC0" w14:textId="77777777" w:rsidR="003C07FD" w:rsidRPr="003C07FD" w:rsidRDefault="003C07FD" w:rsidP="00C64FB5">
            <w:pPr>
              <w:keepNext/>
              <w:spacing w:before="60" w:after="60"/>
              <w:rPr>
                <w:rFonts w:eastAsia="Times New Roman" w:cstheme="minorHAnsi"/>
                <w:color w:val="000000"/>
                <w:sz w:val="18"/>
                <w:lang w:eastAsia="en-AU"/>
              </w:rPr>
            </w:pPr>
          </w:p>
        </w:tc>
        <w:tc>
          <w:tcPr>
            <w:tcW w:w="646" w:type="dxa"/>
            <w:shd w:val="clear" w:color="auto" w:fill="auto"/>
            <w:noWrap/>
            <w:vAlign w:val="bottom"/>
            <w:hideMark/>
          </w:tcPr>
          <w:p w14:paraId="43DA045C"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1</w:t>
            </w:r>
          </w:p>
        </w:tc>
        <w:tc>
          <w:tcPr>
            <w:tcW w:w="646" w:type="dxa"/>
            <w:shd w:val="clear" w:color="auto" w:fill="auto"/>
            <w:noWrap/>
            <w:vAlign w:val="bottom"/>
            <w:hideMark/>
          </w:tcPr>
          <w:p w14:paraId="1DE60E92"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1</w:t>
            </w:r>
          </w:p>
        </w:tc>
        <w:tc>
          <w:tcPr>
            <w:tcW w:w="646" w:type="dxa"/>
            <w:shd w:val="clear" w:color="auto" w:fill="auto"/>
            <w:noWrap/>
            <w:vAlign w:val="bottom"/>
            <w:hideMark/>
          </w:tcPr>
          <w:p w14:paraId="1DC9C604" w14:textId="77777777" w:rsidR="003C07FD" w:rsidRPr="003C07FD" w:rsidRDefault="003C07FD" w:rsidP="00C64FB5">
            <w:pPr>
              <w:keepNext/>
              <w:spacing w:before="60" w:after="60"/>
              <w:jc w:val="right"/>
              <w:rPr>
                <w:rFonts w:eastAsia="Times New Roman" w:cstheme="minorHAnsi"/>
                <w:color w:val="000000"/>
                <w:sz w:val="18"/>
                <w:lang w:eastAsia="en-AU"/>
              </w:rPr>
            </w:pPr>
          </w:p>
        </w:tc>
        <w:tc>
          <w:tcPr>
            <w:tcW w:w="645" w:type="dxa"/>
            <w:shd w:val="clear" w:color="auto" w:fill="auto"/>
            <w:noWrap/>
            <w:vAlign w:val="bottom"/>
            <w:hideMark/>
          </w:tcPr>
          <w:p w14:paraId="60BE4C29"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2</w:t>
            </w:r>
          </w:p>
        </w:tc>
        <w:tc>
          <w:tcPr>
            <w:tcW w:w="646" w:type="dxa"/>
            <w:shd w:val="clear" w:color="auto" w:fill="auto"/>
            <w:noWrap/>
            <w:vAlign w:val="bottom"/>
            <w:hideMark/>
          </w:tcPr>
          <w:p w14:paraId="7F7CB062"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2</w:t>
            </w:r>
          </w:p>
        </w:tc>
        <w:tc>
          <w:tcPr>
            <w:tcW w:w="646" w:type="dxa"/>
            <w:shd w:val="clear" w:color="auto" w:fill="auto"/>
            <w:noWrap/>
            <w:vAlign w:val="bottom"/>
            <w:hideMark/>
          </w:tcPr>
          <w:p w14:paraId="6D87AA97"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1</w:t>
            </w:r>
          </w:p>
        </w:tc>
        <w:tc>
          <w:tcPr>
            <w:tcW w:w="646" w:type="dxa"/>
            <w:shd w:val="clear" w:color="auto" w:fill="auto"/>
            <w:noWrap/>
            <w:vAlign w:val="bottom"/>
            <w:hideMark/>
          </w:tcPr>
          <w:p w14:paraId="08A860F7" w14:textId="77777777" w:rsidR="003C07FD" w:rsidRPr="003C07FD" w:rsidRDefault="003C07FD" w:rsidP="00C64FB5">
            <w:pPr>
              <w:keepNext/>
              <w:spacing w:before="60" w:after="60"/>
              <w:jc w:val="right"/>
              <w:rPr>
                <w:rFonts w:eastAsia="Times New Roman" w:cstheme="minorHAnsi"/>
                <w:color w:val="000000"/>
                <w:sz w:val="18"/>
                <w:lang w:eastAsia="en-AU"/>
              </w:rPr>
            </w:pPr>
          </w:p>
        </w:tc>
        <w:tc>
          <w:tcPr>
            <w:tcW w:w="646" w:type="dxa"/>
            <w:shd w:val="clear" w:color="auto" w:fill="auto"/>
            <w:noWrap/>
            <w:vAlign w:val="bottom"/>
            <w:hideMark/>
          </w:tcPr>
          <w:p w14:paraId="3E9C8BD1"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2</w:t>
            </w:r>
          </w:p>
        </w:tc>
        <w:tc>
          <w:tcPr>
            <w:tcW w:w="734" w:type="dxa"/>
            <w:shd w:val="clear" w:color="auto" w:fill="auto"/>
            <w:noWrap/>
            <w:vAlign w:val="bottom"/>
            <w:hideMark/>
          </w:tcPr>
          <w:p w14:paraId="16ACB196"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9</w:t>
            </w:r>
          </w:p>
        </w:tc>
        <w:tc>
          <w:tcPr>
            <w:tcW w:w="797" w:type="dxa"/>
            <w:shd w:val="clear" w:color="auto" w:fill="auto"/>
            <w:noWrap/>
            <w:vAlign w:val="bottom"/>
            <w:hideMark/>
          </w:tcPr>
          <w:p w14:paraId="7A25871A"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1.0</w:t>
            </w:r>
          </w:p>
        </w:tc>
        <w:tc>
          <w:tcPr>
            <w:tcW w:w="667" w:type="dxa"/>
            <w:shd w:val="clear" w:color="auto" w:fill="auto"/>
            <w:noWrap/>
            <w:vAlign w:val="bottom"/>
            <w:hideMark/>
          </w:tcPr>
          <w:p w14:paraId="0CBCF8D1"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0.25</w:t>
            </w:r>
          </w:p>
        </w:tc>
      </w:tr>
      <w:tr w:rsidR="003C07FD" w:rsidRPr="00B66A75" w14:paraId="104E8F21" w14:textId="77777777" w:rsidTr="00C64FB5">
        <w:trPr>
          <w:cantSplit/>
          <w:trHeight w:val="288"/>
        </w:trPr>
        <w:tc>
          <w:tcPr>
            <w:tcW w:w="1980" w:type="dxa"/>
            <w:shd w:val="clear" w:color="auto" w:fill="auto"/>
            <w:vAlign w:val="bottom"/>
            <w:hideMark/>
          </w:tcPr>
          <w:p w14:paraId="11AD234C" w14:textId="77777777" w:rsidR="003C07FD" w:rsidRPr="003C07FD" w:rsidRDefault="003C07FD" w:rsidP="00C64FB5">
            <w:pPr>
              <w:keepNext/>
              <w:spacing w:before="60" w:after="60"/>
              <w:rPr>
                <w:rFonts w:eastAsia="Times New Roman" w:cstheme="minorHAnsi"/>
                <w:color w:val="000000"/>
                <w:sz w:val="18"/>
                <w:lang w:eastAsia="en-AU"/>
              </w:rPr>
            </w:pPr>
            <w:r w:rsidRPr="003C07FD">
              <w:rPr>
                <w:rFonts w:eastAsia="Times New Roman" w:cstheme="minorHAnsi"/>
                <w:color w:val="000000"/>
                <w:sz w:val="18"/>
                <w:lang w:eastAsia="en-AU"/>
              </w:rPr>
              <w:t>Collision</w:t>
            </w:r>
          </w:p>
        </w:tc>
        <w:tc>
          <w:tcPr>
            <w:tcW w:w="645" w:type="dxa"/>
            <w:shd w:val="clear" w:color="auto" w:fill="auto"/>
            <w:noWrap/>
            <w:vAlign w:val="bottom"/>
            <w:hideMark/>
          </w:tcPr>
          <w:p w14:paraId="3A2FC4F2"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191</w:t>
            </w:r>
          </w:p>
        </w:tc>
        <w:tc>
          <w:tcPr>
            <w:tcW w:w="646" w:type="dxa"/>
            <w:shd w:val="clear" w:color="auto" w:fill="auto"/>
            <w:noWrap/>
            <w:vAlign w:val="bottom"/>
            <w:hideMark/>
          </w:tcPr>
          <w:p w14:paraId="55A34371"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228</w:t>
            </w:r>
          </w:p>
        </w:tc>
        <w:tc>
          <w:tcPr>
            <w:tcW w:w="646" w:type="dxa"/>
            <w:shd w:val="clear" w:color="auto" w:fill="auto"/>
            <w:noWrap/>
            <w:vAlign w:val="bottom"/>
            <w:hideMark/>
          </w:tcPr>
          <w:p w14:paraId="735F237C"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182</w:t>
            </w:r>
          </w:p>
        </w:tc>
        <w:tc>
          <w:tcPr>
            <w:tcW w:w="646" w:type="dxa"/>
            <w:shd w:val="clear" w:color="auto" w:fill="auto"/>
            <w:noWrap/>
            <w:vAlign w:val="bottom"/>
            <w:hideMark/>
          </w:tcPr>
          <w:p w14:paraId="23E1394B"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181</w:t>
            </w:r>
          </w:p>
        </w:tc>
        <w:tc>
          <w:tcPr>
            <w:tcW w:w="645" w:type="dxa"/>
            <w:shd w:val="clear" w:color="auto" w:fill="auto"/>
            <w:noWrap/>
            <w:vAlign w:val="bottom"/>
            <w:hideMark/>
          </w:tcPr>
          <w:p w14:paraId="125FC5CB"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247</w:t>
            </w:r>
          </w:p>
        </w:tc>
        <w:tc>
          <w:tcPr>
            <w:tcW w:w="646" w:type="dxa"/>
            <w:shd w:val="clear" w:color="auto" w:fill="auto"/>
            <w:noWrap/>
            <w:vAlign w:val="bottom"/>
            <w:hideMark/>
          </w:tcPr>
          <w:p w14:paraId="7F33C486"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261</w:t>
            </w:r>
          </w:p>
        </w:tc>
        <w:tc>
          <w:tcPr>
            <w:tcW w:w="646" w:type="dxa"/>
            <w:shd w:val="clear" w:color="auto" w:fill="auto"/>
            <w:noWrap/>
            <w:vAlign w:val="bottom"/>
            <w:hideMark/>
          </w:tcPr>
          <w:p w14:paraId="00074956"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223</w:t>
            </w:r>
          </w:p>
        </w:tc>
        <w:tc>
          <w:tcPr>
            <w:tcW w:w="646" w:type="dxa"/>
            <w:shd w:val="clear" w:color="auto" w:fill="auto"/>
            <w:noWrap/>
            <w:vAlign w:val="bottom"/>
            <w:hideMark/>
          </w:tcPr>
          <w:p w14:paraId="32951713"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210</w:t>
            </w:r>
          </w:p>
        </w:tc>
        <w:tc>
          <w:tcPr>
            <w:tcW w:w="646" w:type="dxa"/>
            <w:shd w:val="clear" w:color="auto" w:fill="auto"/>
            <w:noWrap/>
            <w:vAlign w:val="bottom"/>
            <w:hideMark/>
          </w:tcPr>
          <w:p w14:paraId="1CA2FB8A" w14:textId="77777777" w:rsidR="003C07FD" w:rsidRPr="003C07FD" w:rsidRDefault="003C07FD" w:rsidP="00C64FB5">
            <w:pPr>
              <w:keepNext/>
              <w:spacing w:before="60" w:after="60"/>
              <w:jc w:val="right"/>
              <w:rPr>
                <w:rFonts w:eastAsia="Times New Roman" w:cstheme="minorHAnsi"/>
                <w:color w:val="000000"/>
                <w:sz w:val="18"/>
                <w:lang w:eastAsia="en-AU"/>
              </w:rPr>
            </w:pPr>
            <w:r w:rsidRPr="003C07FD">
              <w:rPr>
                <w:rFonts w:eastAsia="Times New Roman" w:cstheme="minorHAnsi"/>
                <w:color w:val="000000"/>
                <w:sz w:val="18"/>
                <w:lang w:eastAsia="en-AU"/>
              </w:rPr>
              <w:t>146</w:t>
            </w:r>
          </w:p>
        </w:tc>
        <w:tc>
          <w:tcPr>
            <w:tcW w:w="734" w:type="dxa"/>
            <w:shd w:val="clear" w:color="auto" w:fill="auto"/>
            <w:noWrap/>
            <w:vAlign w:val="bottom"/>
            <w:hideMark/>
          </w:tcPr>
          <w:p w14:paraId="339890C2" w14:textId="36B8EF1B"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w:t>
            </w:r>
            <w:r w:rsidR="009A562D">
              <w:rPr>
                <w:rFonts w:eastAsia="Times New Roman" w:cstheme="minorHAnsi"/>
                <w:b/>
                <w:bCs/>
                <w:color w:val="000000"/>
                <w:sz w:val="18"/>
                <w:lang w:eastAsia="en-AU"/>
              </w:rPr>
              <w:t>,</w:t>
            </w:r>
            <w:r w:rsidRPr="005D01D9">
              <w:rPr>
                <w:rFonts w:eastAsia="Times New Roman" w:cstheme="minorHAnsi"/>
                <w:b/>
                <w:bCs/>
                <w:color w:val="000000"/>
                <w:sz w:val="18"/>
                <w:lang w:eastAsia="en-AU"/>
              </w:rPr>
              <w:t>869</w:t>
            </w:r>
          </w:p>
        </w:tc>
        <w:tc>
          <w:tcPr>
            <w:tcW w:w="797" w:type="dxa"/>
            <w:shd w:val="clear" w:color="auto" w:fill="auto"/>
            <w:noWrap/>
            <w:vAlign w:val="bottom"/>
            <w:hideMark/>
          </w:tcPr>
          <w:p w14:paraId="7EF64215"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207.7</w:t>
            </w:r>
          </w:p>
        </w:tc>
        <w:tc>
          <w:tcPr>
            <w:tcW w:w="667" w:type="dxa"/>
            <w:shd w:val="clear" w:color="auto" w:fill="auto"/>
            <w:noWrap/>
            <w:vAlign w:val="bottom"/>
            <w:hideMark/>
          </w:tcPr>
          <w:p w14:paraId="48521724"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51.19</w:t>
            </w:r>
          </w:p>
        </w:tc>
      </w:tr>
      <w:tr w:rsidR="003C07FD" w:rsidRPr="00461526" w14:paraId="00B4DE45" w14:textId="77777777" w:rsidTr="00C64FB5">
        <w:trPr>
          <w:cantSplit/>
          <w:trHeight w:val="58"/>
        </w:trPr>
        <w:tc>
          <w:tcPr>
            <w:tcW w:w="1980" w:type="dxa"/>
            <w:shd w:val="clear" w:color="auto" w:fill="auto"/>
            <w:vAlign w:val="bottom"/>
            <w:hideMark/>
          </w:tcPr>
          <w:p w14:paraId="30D5B0AB"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Employee Other Than Driver Injury</w:t>
            </w:r>
          </w:p>
        </w:tc>
        <w:tc>
          <w:tcPr>
            <w:tcW w:w="645" w:type="dxa"/>
            <w:shd w:val="clear" w:color="auto" w:fill="auto"/>
            <w:noWrap/>
            <w:vAlign w:val="bottom"/>
            <w:hideMark/>
          </w:tcPr>
          <w:p w14:paraId="10E75522" w14:textId="77777777" w:rsidR="003C07FD" w:rsidRPr="00461526" w:rsidRDefault="003C07FD" w:rsidP="00C64FB5">
            <w:pPr>
              <w:keepNext/>
              <w:spacing w:before="60" w:after="60"/>
              <w:rPr>
                <w:rFonts w:eastAsia="Times New Roman" w:cstheme="minorHAnsi"/>
                <w:color w:val="000000"/>
                <w:sz w:val="18"/>
                <w:lang w:eastAsia="en-AU"/>
              </w:rPr>
            </w:pPr>
          </w:p>
        </w:tc>
        <w:tc>
          <w:tcPr>
            <w:tcW w:w="646" w:type="dxa"/>
            <w:shd w:val="clear" w:color="auto" w:fill="auto"/>
            <w:noWrap/>
            <w:vAlign w:val="bottom"/>
            <w:hideMark/>
          </w:tcPr>
          <w:p w14:paraId="15B9B7FF"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10D45F6C"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6" w:type="dxa"/>
            <w:shd w:val="clear" w:color="auto" w:fill="auto"/>
            <w:noWrap/>
            <w:vAlign w:val="bottom"/>
            <w:hideMark/>
          </w:tcPr>
          <w:p w14:paraId="3E5D6509" w14:textId="77777777" w:rsidR="003C07FD" w:rsidRPr="00461526" w:rsidRDefault="003C07FD" w:rsidP="00C64FB5">
            <w:pPr>
              <w:keepNext/>
              <w:spacing w:before="60" w:after="60"/>
              <w:jc w:val="right"/>
              <w:rPr>
                <w:rFonts w:eastAsia="Times New Roman" w:cstheme="minorHAnsi"/>
                <w:color w:val="000000"/>
                <w:sz w:val="18"/>
                <w:lang w:eastAsia="en-AU"/>
              </w:rPr>
            </w:pPr>
          </w:p>
        </w:tc>
        <w:tc>
          <w:tcPr>
            <w:tcW w:w="645" w:type="dxa"/>
            <w:shd w:val="clear" w:color="auto" w:fill="auto"/>
            <w:noWrap/>
            <w:vAlign w:val="bottom"/>
            <w:hideMark/>
          </w:tcPr>
          <w:p w14:paraId="1FF9E9F5"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6" w:type="dxa"/>
            <w:shd w:val="clear" w:color="auto" w:fill="auto"/>
            <w:noWrap/>
            <w:vAlign w:val="bottom"/>
            <w:hideMark/>
          </w:tcPr>
          <w:p w14:paraId="51910DC1"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44C99654" w14:textId="77777777" w:rsidR="003C07FD" w:rsidRPr="00461526" w:rsidRDefault="003C07FD" w:rsidP="00C64FB5">
            <w:pPr>
              <w:keepNext/>
              <w:spacing w:before="60" w:after="60"/>
              <w:jc w:val="right"/>
              <w:rPr>
                <w:rFonts w:eastAsia="Times New Roman" w:cstheme="minorHAnsi"/>
                <w:color w:val="000000"/>
                <w:sz w:val="18"/>
                <w:lang w:eastAsia="en-AU"/>
              </w:rPr>
            </w:pPr>
          </w:p>
        </w:tc>
        <w:tc>
          <w:tcPr>
            <w:tcW w:w="646" w:type="dxa"/>
            <w:shd w:val="clear" w:color="auto" w:fill="auto"/>
            <w:noWrap/>
            <w:vAlign w:val="bottom"/>
            <w:hideMark/>
          </w:tcPr>
          <w:p w14:paraId="0498FFF7"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7CA06C56"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734" w:type="dxa"/>
            <w:shd w:val="clear" w:color="auto" w:fill="auto"/>
            <w:noWrap/>
            <w:vAlign w:val="bottom"/>
            <w:hideMark/>
          </w:tcPr>
          <w:p w14:paraId="316915A1"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5</w:t>
            </w:r>
          </w:p>
        </w:tc>
        <w:tc>
          <w:tcPr>
            <w:tcW w:w="797" w:type="dxa"/>
            <w:shd w:val="clear" w:color="auto" w:fill="auto"/>
            <w:noWrap/>
            <w:vAlign w:val="bottom"/>
            <w:hideMark/>
          </w:tcPr>
          <w:p w14:paraId="276F9B08"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0.6</w:t>
            </w:r>
          </w:p>
        </w:tc>
        <w:tc>
          <w:tcPr>
            <w:tcW w:w="667" w:type="dxa"/>
            <w:shd w:val="clear" w:color="auto" w:fill="auto"/>
            <w:noWrap/>
            <w:vAlign w:val="bottom"/>
            <w:hideMark/>
          </w:tcPr>
          <w:p w14:paraId="7F9B37B4"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0.14</w:t>
            </w:r>
          </w:p>
        </w:tc>
      </w:tr>
      <w:tr w:rsidR="003C07FD" w:rsidRPr="00461526" w14:paraId="26E2F4BF" w14:textId="77777777" w:rsidTr="00C64FB5">
        <w:trPr>
          <w:cantSplit/>
          <w:trHeight w:val="288"/>
        </w:trPr>
        <w:tc>
          <w:tcPr>
            <w:tcW w:w="1980" w:type="dxa"/>
            <w:shd w:val="clear" w:color="auto" w:fill="auto"/>
            <w:vAlign w:val="bottom"/>
            <w:hideMark/>
          </w:tcPr>
          <w:p w14:paraId="35BFA381"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Fire</w:t>
            </w:r>
          </w:p>
        </w:tc>
        <w:tc>
          <w:tcPr>
            <w:tcW w:w="645" w:type="dxa"/>
            <w:shd w:val="clear" w:color="auto" w:fill="auto"/>
            <w:noWrap/>
            <w:vAlign w:val="bottom"/>
            <w:hideMark/>
          </w:tcPr>
          <w:p w14:paraId="13F06CAD"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11</w:t>
            </w:r>
          </w:p>
        </w:tc>
        <w:tc>
          <w:tcPr>
            <w:tcW w:w="646" w:type="dxa"/>
            <w:shd w:val="clear" w:color="auto" w:fill="auto"/>
            <w:noWrap/>
            <w:vAlign w:val="bottom"/>
            <w:hideMark/>
          </w:tcPr>
          <w:p w14:paraId="0985DB81"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13</w:t>
            </w:r>
          </w:p>
        </w:tc>
        <w:tc>
          <w:tcPr>
            <w:tcW w:w="646" w:type="dxa"/>
            <w:shd w:val="clear" w:color="auto" w:fill="auto"/>
            <w:noWrap/>
            <w:vAlign w:val="bottom"/>
            <w:hideMark/>
          </w:tcPr>
          <w:p w14:paraId="6F428F3F"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12</w:t>
            </w:r>
          </w:p>
        </w:tc>
        <w:tc>
          <w:tcPr>
            <w:tcW w:w="646" w:type="dxa"/>
            <w:shd w:val="clear" w:color="auto" w:fill="auto"/>
            <w:noWrap/>
            <w:vAlign w:val="bottom"/>
            <w:hideMark/>
          </w:tcPr>
          <w:p w14:paraId="677E443E"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14</w:t>
            </w:r>
          </w:p>
        </w:tc>
        <w:tc>
          <w:tcPr>
            <w:tcW w:w="645" w:type="dxa"/>
            <w:shd w:val="clear" w:color="auto" w:fill="auto"/>
            <w:noWrap/>
            <w:vAlign w:val="bottom"/>
            <w:hideMark/>
          </w:tcPr>
          <w:p w14:paraId="720CEF23"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15</w:t>
            </w:r>
          </w:p>
        </w:tc>
        <w:tc>
          <w:tcPr>
            <w:tcW w:w="646" w:type="dxa"/>
            <w:shd w:val="clear" w:color="auto" w:fill="auto"/>
            <w:noWrap/>
            <w:vAlign w:val="bottom"/>
            <w:hideMark/>
          </w:tcPr>
          <w:p w14:paraId="753F1224"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13</w:t>
            </w:r>
          </w:p>
        </w:tc>
        <w:tc>
          <w:tcPr>
            <w:tcW w:w="646" w:type="dxa"/>
            <w:shd w:val="clear" w:color="auto" w:fill="auto"/>
            <w:noWrap/>
            <w:vAlign w:val="bottom"/>
            <w:hideMark/>
          </w:tcPr>
          <w:p w14:paraId="0FA7D5CF"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18</w:t>
            </w:r>
          </w:p>
        </w:tc>
        <w:tc>
          <w:tcPr>
            <w:tcW w:w="646" w:type="dxa"/>
            <w:shd w:val="clear" w:color="auto" w:fill="auto"/>
            <w:noWrap/>
            <w:vAlign w:val="bottom"/>
            <w:hideMark/>
          </w:tcPr>
          <w:p w14:paraId="34C21AE0"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16</w:t>
            </w:r>
          </w:p>
        </w:tc>
        <w:tc>
          <w:tcPr>
            <w:tcW w:w="646" w:type="dxa"/>
            <w:shd w:val="clear" w:color="auto" w:fill="auto"/>
            <w:noWrap/>
            <w:vAlign w:val="bottom"/>
            <w:hideMark/>
          </w:tcPr>
          <w:p w14:paraId="158DD174"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6</w:t>
            </w:r>
          </w:p>
        </w:tc>
        <w:tc>
          <w:tcPr>
            <w:tcW w:w="734" w:type="dxa"/>
            <w:shd w:val="clear" w:color="auto" w:fill="auto"/>
            <w:noWrap/>
            <w:vAlign w:val="bottom"/>
            <w:hideMark/>
          </w:tcPr>
          <w:p w14:paraId="7CA90CF4"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118</w:t>
            </w:r>
          </w:p>
        </w:tc>
        <w:tc>
          <w:tcPr>
            <w:tcW w:w="797" w:type="dxa"/>
            <w:shd w:val="clear" w:color="auto" w:fill="auto"/>
            <w:noWrap/>
            <w:vAlign w:val="bottom"/>
            <w:hideMark/>
          </w:tcPr>
          <w:p w14:paraId="7C62E738"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13.1</w:t>
            </w:r>
          </w:p>
        </w:tc>
        <w:tc>
          <w:tcPr>
            <w:tcW w:w="667" w:type="dxa"/>
            <w:shd w:val="clear" w:color="auto" w:fill="auto"/>
            <w:noWrap/>
            <w:vAlign w:val="bottom"/>
            <w:hideMark/>
          </w:tcPr>
          <w:p w14:paraId="794D55D6"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3.23</w:t>
            </w:r>
          </w:p>
        </w:tc>
      </w:tr>
      <w:tr w:rsidR="003C07FD" w:rsidRPr="00461526" w14:paraId="1BD95513" w14:textId="77777777" w:rsidTr="00C64FB5">
        <w:trPr>
          <w:cantSplit/>
          <w:trHeight w:val="58"/>
        </w:trPr>
        <w:tc>
          <w:tcPr>
            <w:tcW w:w="1980" w:type="dxa"/>
            <w:shd w:val="clear" w:color="auto" w:fill="auto"/>
            <w:vAlign w:val="bottom"/>
            <w:hideMark/>
          </w:tcPr>
          <w:p w14:paraId="6BD3FC8E"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Level Crossing Collision</w:t>
            </w:r>
          </w:p>
        </w:tc>
        <w:tc>
          <w:tcPr>
            <w:tcW w:w="645" w:type="dxa"/>
            <w:shd w:val="clear" w:color="auto" w:fill="auto"/>
            <w:noWrap/>
            <w:vAlign w:val="bottom"/>
            <w:hideMark/>
          </w:tcPr>
          <w:p w14:paraId="3E8CC421" w14:textId="77777777" w:rsidR="003C07FD" w:rsidRPr="00461526" w:rsidRDefault="003C07FD" w:rsidP="00C64FB5">
            <w:pPr>
              <w:keepNext/>
              <w:spacing w:before="60" w:after="60"/>
              <w:rPr>
                <w:rFonts w:eastAsia="Times New Roman" w:cstheme="minorHAnsi"/>
                <w:color w:val="000000"/>
                <w:sz w:val="18"/>
                <w:lang w:eastAsia="en-AU"/>
              </w:rPr>
            </w:pPr>
          </w:p>
        </w:tc>
        <w:tc>
          <w:tcPr>
            <w:tcW w:w="646" w:type="dxa"/>
            <w:shd w:val="clear" w:color="auto" w:fill="auto"/>
            <w:noWrap/>
            <w:vAlign w:val="bottom"/>
            <w:hideMark/>
          </w:tcPr>
          <w:p w14:paraId="394CF93C"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59024511"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472087F3" w14:textId="77777777" w:rsidR="003C07FD" w:rsidRPr="00461526" w:rsidRDefault="003C07FD" w:rsidP="00C64FB5">
            <w:pPr>
              <w:keepNext/>
              <w:spacing w:before="60" w:after="60"/>
              <w:rPr>
                <w:rFonts w:eastAsia="Times New Roman" w:cstheme="minorHAnsi"/>
                <w:color w:val="auto"/>
                <w:sz w:val="18"/>
                <w:lang w:eastAsia="en-AU"/>
              </w:rPr>
            </w:pPr>
          </w:p>
        </w:tc>
        <w:tc>
          <w:tcPr>
            <w:tcW w:w="645" w:type="dxa"/>
            <w:shd w:val="clear" w:color="auto" w:fill="auto"/>
            <w:noWrap/>
            <w:vAlign w:val="bottom"/>
            <w:hideMark/>
          </w:tcPr>
          <w:p w14:paraId="460C48E6"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60556E4D"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48757C81"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5E36365B"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6" w:type="dxa"/>
            <w:shd w:val="clear" w:color="auto" w:fill="auto"/>
            <w:noWrap/>
            <w:vAlign w:val="bottom"/>
            <w:hideMark/>
          </w:tcPr>
          <w:p w14:paraId="60D02490" w14:textId="77777777" w:rsidR="003C07FD" w:rsidRPr="00461526" w:rsidRDefault="003C07FD" w:rsidP="00C64FB5">
            <w:pPr>
              <w:keepNext/>
              <w:spacing w:before="60" w:after="60"/>
              <w:jc w:val="right"/>
              <w:rPr>
                <w:rFonts w:eastAsia="Times New Roman" w:cstheme="minorHAnsi"/>
                <w:color w:val="000000"/>
                <w:sz w:val="18"/>
                <w:lang w:eastAsia="en-AU"/>
              </w:rPr>
            </w:pPr>
          </w:p>
        </w:tc>
        <w:tc>
          <w:tcPr>
            <w:tcW w:w="734" w:type="dxa"/>
            <w:shd w:val="clear" w:color="auto" w:fill="auto"/>
            <w:noWrap/>
            <w:vAlign w:val="bottom"/>
            <w:hideMark/>
          </w:tcPr>
          <w:p w14:paraId="2C178A8C"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w:t>
            </w:r>
          </w:p>
        </w:tc>
        <w:tc>
          <w:tcPr>
            <w:tcW w:w="797" w:type="dxa"/>
            <w:shd w:val="clear" w:color="auto" w:fill="auto"/>
            <w:noWrap/>
            <w:vAlign w:val="bottom"/>
            <w:hideMark/>
          </w:tcPr>
          <w:p w14:paraId="1E2AD55C"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0.1</w:t>
            </w:r>
          </w:p>
        </w:tc>
        <w:tc>
          <w:tcPr>
            <w:tcW w:w="667" w:type="dxa"/>
            <w:shd w:val="clear" w:color="auto" w:fill="auto"/>
            <w:noWrap/>
            <w:vAlign w:val="bottom"/>
            <w:hideMark/>
          </w:tcPr>
          <w:p w14:paraId="6C47DC3F"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0.03</w:t>
            </w:r>
          </w:p>
        </w:tc>
      </w:tr>
      <w:tr w:rsidR="003C07FD" w:rsidRPr="00461526" w14:paraId="1C77FA6E" w14:textId="77777777" w:rsidTr="00C64FB5">
        <w:trPr>
          <w:cantSplit/>
          <w:trHeight w:val="58"/>
        </w:trPr>
        <w:tc>
          <w:tcPr>
            <w:tcW w:w="1980" w:type="dxa"/>
            <w:shd w:val="clear" w:color="auto" w:fill="auto"/>
            <w:vAlign w:val="bottom"/>
            <w:hideMark/>
          </w:tcPr>
          <w:p w14:paraId="7BA17ADD"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Level Crossing Near Miss</w:t>
            </w:r>
          </w:p>
        </w:tc>
        <w:tc>
          <w:tcPr>
            <w:tcW w:w="645" w:type="dxa"/>
            <w:shd w:val="clear" w:color="auto" w:fill="auto"/>
            <w:noWrap/>
            <w:vAlign w:val="bottom"/>
            <w:hideMark/>
          </w:tcPr>
          <w:p w14:paraId="7CF35CA1"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1F357F81"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3</w:t>
            </w:r>
          </w:p>
        </w:tc>
        <w:tc>
          <w:tcPr>
            <w:tcW w:w="646" w:type="dxa"/>
            <w:shd w:val="clear" w:color="auto" w:fill="auto"/>
            <w:noWrap/>
            <w:vAlign w:val="bottom"/>
            <w:hideMark/>
          </w:tcPr>
          <w:p w14:paraId="62694ACF"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6" w:type="dxa"/>
            <w:shd w:val="clear" w:color="auto" w:fill="auto"/>
            <w:noWrap/>
            <w:vAlign w:val="bottom"/>
            <w:hideMark/>
          </w:tcPr>
          <w:p w14:paraId="7C67C3F5"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3</w:t>
            </w:r>
          </w:p>
        </w:tc>
        <w:tc>
          <w:tcPr>
            <w:tcW w:w="645" w:type="dxa"/>
            <w:shd w:val="clear" w:color="auto" w:fill="auto"/>
            <w:noWrap/>
            <w:vAlign w:val="bottom"/>
            <w:hideMark/>
          </w:tcPr>
          <w:p w14:paraId="33D58943"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6" w:type="dxa"/>
            <w:shd w:val="clear" w:color="auto" w:fill="auto"/>
            <w:noWrap/>
            <w:vAlign w:val="bottom"/>
            <w:hideMark/>
          </w:tcPr>
          <w:p w14:paraId="21FFA18A"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4</w:t>
            </w:r>
          </w:p>
        </w:tc>
        <w:tc>
          <w:tcPr>
            <w:tcW w:w="646" w:type="dxa"/>
            <w:shd w:val="clear" w:color="auto" w:fill="auto"/>
            <w:noWrap/>
            <w:vAlign w:val="bottom"/>
            <w:hideMark/>
          </w:tcPr>
          <w:p w14:paraId="66E4E892"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4</w:t>
            </w:r>
          </w:p>
        </w:tc>
        <w:tc>
          <w:tcPr>
            <w:tcW w:w="646" w:type="dxa"/>
            <w:shd w:val="clear" w:color="auto" w:fill="auto"/>
            <w:noWrap/>
            <w:vAlign w:val="bottom"/>
            <w:hideMark/>
          </w:tcPr>
          <w:p w14:paraId="76BB2724"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3</w:t>
            </w:r>
          </w:p>
        </w:tc>
        <w:tc>
          <w:tcPr>
            <w:tcW w:w="646" w:type="dxa"/>
            <w:shd w:val="clear" w:color="auto" w:fill="auto"/>
            <w:noWrap/>
            <w:vAlign w:val="bottom"/>
            <w:hideMark/>
          </w:tcPr>
          <w:p w14:paraId="04D984D2"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3</w:t>
            </w:r>
          </w:p>
        </w:tc>
        <w:tc>
          <w:tcPr>
            <w:tcW w:w="734" w:type="dxa"/>
            <w:shd w:val="clear" w:color="auto" w:fill="auto"/>
            <w:noWrap/>
            <w:vAlign w:val="bottom"/>
            <w:hideMark/>
          </w:tcPr>
          <w:p w14:paraId="27C91FC4"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24</w:t>
            </w:r>
          </w:p>
        </w:tc>
        <w:tc>
          <w:tcPr>
            <w:tcW w:w="797" w:type="dxa"/>
            <w:shd w:val="clear" w:color="auto" w:fill="auto"/>
            <w:noWrap/>
            <w:vAlign w:val="bottom"/>
            <w:hideMark/>
          </w:tcPr>
          <w:p w14:paraId="69D473DF"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2.7</w:t>
            </w:r>
          </w:p>
        </w:tc>
        <w:tc>
          <w:tcPr>
            <w:tcW w:w="667" w:type="dxa"/>
            <w:shd w:val="clear" w:color="auto" w:fill="auto"/>
            <w:noWrap/>
            <w:vAlign w:val="bottom"/>
            <w:hideMark/>
          </w:tcPr>
          <w:p w14:paraId="166E31C4"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0.66</w:t>
            </w:r>
          </w:p>
        </w:tc>
      </w:tr>
      <w:tr w:rsidR="003C07FD" w:rsidRPr="00461526" w14:paraId="4F53FD9D" w14:textId="77777777" w:rsidTr="00C64FB5">
        <w:trPr>
          <w:cantSplit/>
          <w:trHeight w:val="288"/>
        </w:trPr>
        <w:tc>
          <w:tcPr>
            <w:tcW w:w="1980" w:type="dxa"/>
            <w:shd w:val="clear" w:color="auto" w:fill="auto"/>
            <w:vAlign w:val="bottom"/>
            <w:hideMark/>
          </w:tcPr>
          <w:p w14:paraId="41CF19B7"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Mechanical Failure</w:t>
            </w:r>
          </w:p>
        </w:tc>
        <w:tc>
          <w:tcPr>
            <w:tcW w:w="645" w:type="dxa"/>
            <w:shd w:val="clear" w:color="auto" w:fill="auto"/>
            <w:noWrap/>
            <w:vAlign w:val="bottom"/>
            <w:hideMark/>
          </w:tcPr>
          <w:p w14:paraId="411A4D75"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8</w:t>
            </w:r>
          </w:p>
        </w:tc>
        <w:tc>
          <w:tcPr>
            <w:tcW w:w="646" w:type="dxa"/>
            <w:shd w:val="clear" w:color="auto" w:fill="auto"/>
            <w:noWrap/>
            <w:vAlign w:val="bottom"/>
            <w:hideMark/>
          </w:tcPr>
          <w:p w14:paraId="291A6263"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12</w:t>
            </w:r>
          </w:p>
        </w:tc>
        <w:tc>
          <w:tcPr>
            <w:tcW w:w="646" w:type="dxa"/>
            <w:shd w:val="clear" w:color="auto" w:fill="auto"/>
            <w:noWrap/>
            <w:vAlign w:val="bottom"/>
            <w:hideMark/>
          </w:tcPr>
          <w:p w14:paraId="743D447B"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9</w:t>
            </w:r>
          </w:p>
        </w:tc>
        <w:tc>
          <w:tcPr>
            <w:tcW w:w="646" w:type="dxa"/>
            <w:shd w:val="clear" w:color="auto" w:fill="auto"/>
            <w:noWrap/>
            <w:vAlign w:val="bottom"/>
            <w:hideMark/>
          </w:tcPr>
          <w:p w14:paraId="6D791EB0"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6</w:t>
            </w:r>
          </w:p>
        </w:tc>
        <w:tc>
          <w:tcPr>
            <w:tcW w:w="645" w:type="dxa"/>
            <w:shd w:val="clear" w:color="auto" w:fill="auto"/>
            <w:noWrap/>
            <w:vAlign w:val="bottom"/>
            <w:hideMark/>
          </w:tcPr>
          <w:p w14:paraId="5A9B3774"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10</w:t>
            </w:r>
          </w:p>
        </w:tc>
        <w:tc>
          <w:tcPr>
            <w:tcW w:w="646" w:type="dxa"/>
            <w:shd w:val="clear" w:color="auto" w:fill="auto"/>
            <w:noWrap/>
            <w:vAlign w:val="bottom"/>
            <w:hideMark/>
          </w:tcPr>
          <w:p w14:paraId="0FAB3E2D"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17</w:t>
            </w:r>
          </w:p>
        </w:tc>
        <w:tc>
          <w:tcPr>
            <w:tcW w:w="646" w:type="dxa"/>
            <w:shd w:val="clear" w:color="auto" w:fill="auto"/>
            <w:noWrap/>
            <w:vAlign w:val="bottom"/>
            <w:hideMark/>
          </w:tcPr>
          <w:p w14:paraId="377D0071"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25</w:t>
            </w:r>
          </w:p>
        </w:tc>
        <w:tc>
          <w:tcPr>
            <w:tcW w:w="646" w:type="dxa"/>
            <w:shd w:val="clear" w:color="auto" w:fill="auto"/>
            <w:noWrap/>
            <w:vAlign w:val="bottom"/>
            <w:hideMark/>
          </w:tcPr>
          <w:p w14:paraId="5186BC73"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27</w:t>
            </w:r>
          </w:p>
        </w:tc>
        <w:tc>
          <w:tcPr>
            <w:tcW w:w="646" w:type="dxa"/>
            <w:shd w:val="clear" w:color="auto" w:fill="auto"/>
            <w:noWrap/>
            <w:vAlign w:val="bottom"/>
            <w:hideMark/>
          </w:tcPr>
          <w:p w14:paraId="38F879F8"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20</w:t>
            </w:r>
          </w:p>
        </w:tc>
        <w:tc>
          <w:tcPr>
            <w:tcW w:w="734" w:type="dxa"/>
            <w:shd w:val="clear" w:color="auto" w:fill="auto"/>
            <w:noWrap/>
            <w:vAlign w:val="bottom"/>
            <w:hideMark/>
          </w:tcPr>
          <w:p w14:paraId="2F6BF20A"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134</w:t>
            </w:r>
          </w:p>
        </w:tc>
        <w:tc>
          <w:tcPr>
            <w:tcW w:w="797" w:type="dxa"/>
            <w:shd w:val="clear" w:color="auto" w:fill="auto"/>
            <w:noWrap/>
            <w:vAlign w:val="bottom"/>
            <w:hideMark/>
          </w:tcPr>
          <w:p w14:paraId="5B314665"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14.9</w:t>
            </w:r>
          </w:p>
        </w:tc>
        <w:tc>
          <w:tcPr>
            <w:tcW w:w="667" w:type="dxa"/>
            <w:shd w:val="clear" w:color="auto" w:fill="auto"/>
            <w:noWrap/>
            <w:vAlign w:val="bottom"/>
            <w:hideMark/>
          </w:tcPr>
          <w:p w14:paraId="0C666597"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3.67</w:t>
            </w:r>
          </w:p>
        </w:tc>
      </w:tr>
      <w:tr w:rsidR="003C07FD" w:rsidRPr="00461526" w14:paraId="5440420C" w14:textId="77777777" w:rsidTr="00C64FB5">
        <w:trPr>
          <w:cantSplit/>
          <w:trHeight w:val="288"/>
        </w:trPr>
        <w:tc>
          <w:tcPr>
            <w:tcW w:w="1980" w:type="dxa"/>
            <w:shd w:val="clear" w:color="auto" w:fill="auto"/>
            <w:vAlign w:val="bottom"/>
            <w:hideMark/>
          </w:tcPr>
          <w:p w14:paraId="64354CDF"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Medical episode</w:t>
            </w:r>
          </w:p>
        </w:tc>
        <w:tc>
          <w:tcPr>
            <w:tcW w:w="645" w:type="dxa"/>
            <w:shd w:val="clear" w:color="auto" w:fill="auto"/>
            <w:noWrap/>
            <w:vAlign w:val="bottom"/>
            <w:hideMark/>
          </w:tcPr>
          <w:p w14:paraId="6BD2E2DF"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24</w:t>
            </w:r>
          </w:p>
        </w:tc>
        <w:tc>
          <w:tcPr>
            <w:tcW w:w="646" w:type="dxa"/>
            <w:shd w:val="clear" w:color="auto" w:fill="auto"/>
            <w:noWrap/>
            <w:vAlign w:val="bottom"/>
            <w:hideMark/>
          </w:tcPr>
          <w:p w14:paraId="14567961"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24</w:t>
            </w:r>
          </w:p>
        </w:tc>
        <w:tc>
          <w:tcPr>
            <w:tcW w:w="646" w:type="dxa"/>
            <w:shd w:val="clear" w:color="auto" w:fill="auto"/>
            <w:noWrap/>
            <w:vAlign w:val="bottom"/>
            <w:hideMark/>
          </w:tcPr>
          <w:p w14:paraId="547B3529"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17</w:t>
            </w:r>
          </w:p>
        </w:tc>
        <w:tc>
          <w:tcPr>
            <w:tcW w:w="646" w:type="dxa"/>
            <w:shd w:val="clear" w:color="auto" w:fill="auto"/>
            <w:noWrap/>
            <w:vAlign w:val="bottom"/>
            <w:hideMark/>
          </w:tcPr>
          <w:p w14:paraId="15B34535"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23</w:t>
            </w:r>
          </w:p>
        </w:tc>
        <w:tc>
          <w:tcPr>
            <w:tcW w:w="645" w:type="dxa"/>
            <w:shd w:val="clear" w:color="auto" w:fill="auto"/>
            <w:noWrap/>
            <w:vAlign w:val="bottom"/>
            <w:hideMark/>
          </w:tcPr>
          <w:p w14:paraId="1972B788"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25</w:t>
            </w:r>
          </w:p>
        </w:tc>
        <w:tc>
          <w:tcPr>
            <w:tcW w:w="646" w:type="dxa"/>
            <w:shd w:val="clear" w:color="auto" w:fill="auto"/>
            <w:noWrap/>
            <w:vAlign w:val="bottom"/>
            <w:hideMark/>
          </w:tcPr>
          <w:p w14:paraId="60F79580"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37</w:t>
            </w:r>
          </w:p>
        </w:tc>
        <w:tc>
          <w:tcPr>
            <w:tcW w:w="646" w:type="dxa"/>
            <w:shd w:val="clear" w:color="auto" w:fill="auto"/>
            <w:noWrap/>
            <w:vAlign w:val="bottom"/>
            <w:hideMark/>
          </w:tcPr>
          <w:p w14:paraId="152F3914"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40</w:t>
            </w:r>
          </w:p>
        </w:tc>
        <w:tc>
          <w:tcPr>
            <w:tcW w:w="646" w:type="dxa"/>
            <w:shd w:val="clear" w:color="auto" w:fill="auto"/>
            <w:noWrap/>
            <w:vAlign w:val="bottom"/>
            <w:hideMark/>
          </w:tcPr>
          <w:p w14:paraId="4FAD651E"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31</w:t>
            </w:r>
          </w:p>
        </w:tc>
        <w:tc>
          <w:tcPr>
            <w:tcW w:w="646" w:type="dxa"/>
            <w:shd w:val="clear" w:color="auto" w:fill="auto"/>
            <w:noWrap/>
            <w:vAlign w:val="bottom"/>
            <w:hideMark/>
          </w:tcPr>
          <w:p w14:paraId="4A0D1A39"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59</w:t>
            </w:r>
          </w:p>
        </w:tc>
        <w:tc>
          <w:tcPr>
            <w:tcW w:w="734" w:type="dxa"/>
            <w:shd w:val="clear" w:color="auto" w:fill="auto"/>
            <w:noWrap/>
            <w:vAlign w:val="bottom"/>
            <w:hideMark/>
          </w:tcPr>
          <w:p w14:paraId="73B3CCE1"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280</w:t>
            </w:r>
          </w:p>
        </w:tc>
        <w:tc>
          <w:tcPr>
            <w:tcW w:w="797" w:type="dxa"/>
            <w:shd w:val="clear" w:color="auto" w:fill="auto"/>
            <w:noWrap/>
            <w:vAlign w:val="bottom"/>
            <w:hideMark/>
          </w:tcPr>
          <w:p w14:paraId="53C7BB37"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31.1</w:t>
            </w:r>
          </w:p>
        </w:tc>
        <w:tc>
          <w:tcPr>
            <w:tcW w:w="667" w:type="dxa"/>
            <w:shd w:val="clear" w:color="auto" w:fill="auto"/>
            <w:noWrap/>
            <w:vAlign w:val="bottom"/>
            <w:hideMark/>
          </w:tcPr>
          <w:p w14:paraId="306600FA"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7.67</w:t>
            </w:r>
          </w:p>
        </w:tc>
      </w:tr>
      <w:tr w:rsidR="003C07FD" w:rsidRPr="00461526" w14:paraId="1E2AB901" w14:textId="77777777" w:rsidTr="00C64FB5">
        <w:trPr>
          <w:cantSplit/>
          <w:trHeight w:val="288"/>
        </w:trPr>
        <w:tc>
          <w:tcPr>
            <w:tcW w:w="1980" w:type="dxa"/>
            <w:shd w:val="clear" w:color="auto" w:fill="auto"/>
            <w:vAlign w:val="bottom"/>
            <w:hideMark/>
          </w:tcPr>
          <w:p w14:paraId="4032AE49"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Near Miss</w:t>
            </w:r>
          </w:p>
        </w:tc>
        <w:tc>
          <w:tcPr>
            <w:tcW w:w="645" w:type="dxa"/>
            <w:shd w:val="clear" w:color="auto" w:fill="auto"/>
            <w:noWrap/>
            <w:vAlign w:val="bottom"/>
            <w:hideMark/>
          </w:tcPr>
          <w:p w14:paraId="7354FDE2"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1E9CBF5D"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7E661ACA"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6" w:type="dxa"/>
            <w:shd w:val="clear" w:color="auto" w:fill="auto"/>
            <w:noWrap/>
            <w:vAlign w:val="bottom"/>
            <w:hideMark/>
          </w:tcPr>
          <w:p w14:paraId="2E1EA694"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3</w:t>
            </w:r>
          </w:p>
        </w:tc>
        <w:tc>
          <w:tcPr>
            <w:tcW w:w="645" w:type="dxa"/>
            <w:shd w:val="clear" w:color="auto" w:fill="auto"/>
            <w:noWrap/>
            <w:vAlign w:val="bottom"/>
            <w:hideMark/>
          </w:tcPr>
          <w:p w14:paraId="68E94485"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57F68A77"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3</w:t>
            </w:r>
          </w:p>
        </w:tc>
        <w:tc>
          <w:tcPr>
            <w:tcW w:w="646" w:type="dxa"/>
            <w:shd w:val="clear" w:color="auto" w:fill="auto"/>
            <w:noWrap/>
            <w:vAlign w:val="bottom"/>
            <w:hideMark/>
          </w:tcPr>
          <w:p w14:paraId="282AE381"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6" w:type="dxa"/>
            <w:shd w:val="clear" w:color="auto" w:fill="auto"/>
            <w:noWrap/>
            <w:vAlign w:val="bottom"/>
            <w:hideMark/>
          </w:tcPr>
          <w:p w14:paraId="10669166"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12</w:t>
            </w:r>
          </w:p>
        </w:tc>
        <w:tc>
          <w:tcPr>
            <w:tcW w:w="646" w:type="dxa"/>
            <w:shd w:val="clear" w:color="auto" w:fill="auto"/>
            <w:noWrap/>
            <w:vAlign w:val="bottom"/>
            <w:hideMark/>
          </w:tcPr>
          <w:p w14:paraId="49E4BF1C"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734" w:type="dxa"/>
            <w:shd w:val="clear" w:color="auto" w:fill="auto"/>
            <w:noWrap/>
            <w:vAlign w:val="bottom"/>
            <w:hideMark/>
          </w:tcPr>
          <w:p w14:paraId="678472D5"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27</w:t>
            </w:r>
          </w:p>
        </w:tc>
        <w:tc>
          <w:tcPr>
            <w:tcW w:w="797" w:type="dxa"/>
            <w:shd w:val="clear" w:color="auto" w:fill="auto"/>
            <w:noWrap/>
            <w:vAlign w:val="bottom"/>
            <w:hideMark/>
          </w:tcPr>
          <w:p w14:paraId="5F36312A"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3.0</w:t>
            </w:r>
          </w:p>
        </w:tc>
        <w:tc>
          <w:tcPr>
            <w:tcW w:w="667" w:type="dxa"/>
            <w:shd w:val="clear" w:color="auto" w:fill="auto"/>
            <w:noWrap/>
            <w:vAlign w:val="bottom"/>
            <w:hideMark/>
          </w:tcPr>
          <w:p w14:paraId="3D0905A7"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0.74</w:t>
            </w:r>
          </w:p>
        </w:tc>
      </w:tr>
      <w:tr w:rsidR="003C07FD" w:rsidRPr="00461526" w14:paraId="20BDEFA6" w14:textId="77777777" w:rsidTr="00C64FB5">
        <w:trPr>
          <w:cantSplit/>
          <w:trHeight w:val="288"/>
        </w:trPr>
        <w:tc>
          <w:tcPr>
            <w:tcW w:w="1980" w:type="dxa"/>
            <w:shd w:val="clear" w:color="auto" w:fill="auto"/>
            <w:vAlign w:val="bottom"/>
            <w:hideMark/>
          </w:tcPr>
          <w:p w14:paraId="68080CF7"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Other</w:t>
            </w:r>
          </w:p>
        </w:tc>
        <w:tc>
          <w:tcPr>
            <w:tcW w:w="645" w:type="dxa"/>
            <w:shd w:val="clear" w:color="auto" w:fill="auto"/>
            <w:noWrap/>
            <w:vAlign w:val="bottom"/>
            <w:hideMark/>
          </w:tcPr>
          <w:p w14:paraId="17E64303" w14:textId="77777777" w:rsidR="003C07FD" w:rsidRPr="00461526" w:rsidRDefault="003C07FD" w:rsidP="00C64FB5">
            <w:pPr>
              <w:keepNext/>
              <w:spacing w:before="60" w:after="60"/>
              <w:rPr>
                <w:rFonts w:eastAsia="Times New Roman" w:cstheme="minorHAnsi"/>
                <w:color w:val="000000"/>
                <w:sz w:val="18"/>
                <w:lang w:eastAsia="en-AU"/>
              </w:rPr>
            </w:pPr>
          </w:p>
        </w:tc>
        <w:tc>
          <w:tcPr>
            <w:tcW w:w="646" w:type="dxa"/>
            <w:shd w:val="clear" w:color="auto" w:fill="auto"/>
            <w:noWrap/>
            <w:vAlign w:val="bottom"/>
            <w:hideMark/>
          </w:tcPr>
          <w:p w14:paraId="77A5976A"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26AEA8BB"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158BE514" w14:textId="77777777" w:rsidR="003C07FD" w:rsidRPr="00461526" w:rsidRDefault="003C07FD" w:rsidP="00C64FB5">
            <w:pPr>
              <w:keepNext/>
              <w:spacing w:before="60" w:after="60"/>
              <w:rPr>
                <w:rFonts w:eastAsia="Times New Roman" w:cstheme="minorHAnsi"/>
                <w:color w:val="auto"/>
                <w:sz w:val="18"/>
                <w:lang w:eastAsia="en-AU"/>
              </w:rPr>
            </w:pPr>
          </w:p>
        </w:tc>
        <w:tc>
          <w:tcPr>
            <w:tcW w:w="645" w:type="dxa"/>
            <w:shd w:val="clear" w:color="auto" w:fill="auto"/>
            <w:noWrap/>
            <w:vAlign w:val="bottom"/>
            <w:hideMark/>
          </w:tcPr>
          <w:p w14:paraId="32DFED42"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6" w:type="dxa"/>
            <w:shd w:val="clear" w:color="auto" w:fill="auto"/>
            <w:noWrap/>
            <w:vAlign w:val="bottom"/>
            <w:hideMark/>
          </w:tcPr>
          <w:p w14:paraId="539DD145" w14:textId="77777777" w:rsidR="003C07FD" w:rsidRPr="00461526" w:rsidRDefault="003C07FD" w:rsidP="00C64FB5">
            <w:pPr>
              <w:keepNext/>
              <w:spacing w:before="60" w:after="60"/>
              <w:jc w:val="right"/>
              <w:rPr>
                <w:rFonts w:eastAsia="Times New Roman" w:cstheme="minorHAnsi"/>
                <w:color w:val="000000"/>
                <w:sz w:val="18"/>
                <w:lang w:eastAsia="en-AU"/>
              </w:rPr>
            </w:pPr>
          </w:p>
        </w:tc>
        <w:tc>
          <w:tcPr>
            <w:tcW w:w="646" w:type="dxa"/>
            <w:shd w:val="clear" w:color="auto" w:fill="auto"/>
            <w:noWrap/>
            <w:vAlign w:val="bottom"/>
            <w:hideMark/>
          </w:tcPr>
          <w:p w14:paraId="68722B2A"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7EEEE80F"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4</w:t>
            </w:r>
          </w:p>
        </w:tc>
        <w:tc>
          <w:tcPr>
            <w:tcW w:w="646" w:type="dxa"/>
            <w:shd w:val="clear" w:color="auto" w:fill="auto"/>
            <w:noWrap/>
            <w:vAlign w:val="bottom"/>
            <w:hideMark/>
          </w:tcPr>
          <w:p w14:paraId="2E4986AE"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6</w:t>
            </w:r>
          </w:p>
        </w:tc>
        <w:tc>
          <w:tcPr>
            <w:tcW w:w="734" w:type="dxa"/>
            <w:shd w:val="clear" w:color="auto" w:fill="auto"/>
            <w:noWrap/>
            <w:vAlign w:val="bottom"/>
            <w:hideMark/>
          </w:tcPr>
          <w:p w14:paraId="55C0852B"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13</w:t>
            </w:r>
          </w:p>
        </w:tc>
        <w:tc>
          <w:tcPr>
            <w:tcW w:w="797" w:type="dxa"/>
            <w:shd w:val="clear" w:color="auto" w:fill="auto"/>
            <w:noWrap/>
            <w:vAlign w:val="bottom"/>
            <w:hideMark/>
          </w:tcPr>
          <w:p w14:paraId="55C1B928"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1.4</w:t>
            </w:r>
          </w:p>
        </w:tc>
        <w:tc>
          <w:tcPr>
            <w:tcW w:w="667" w:type="dxa"/>
            <w:shd w:val="clear" w:color="auto" w:fill="auto"/>
            <w:noWrap/>
            <w:vAlign w:val="bottom"/>
            <w:hideMark/>
          </w:tcPr>
          <w:p w14:paraId="03E91B03"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0.36</w:t>
            </w:r>
          </w:p>
        </w:tc>
      </w:tr>
      <w:tr w:rsidR="003C07FD" w:rsidRPr="00461526" w14:paraId="65F997DE" w14:textId="77777777" w:rsidTr="00C64FB5">
        <w:trPr>
          <w:cantSplit/>
          <w:trHeight w:val="58"/>
        </w:trPr>
        <w:tc>
          <w:tcPr>
            <w:tcW w:w="1980" w:type="dxa"/>
            <w:shd w:val="clear" w:color="auto" w:fill="auto"/>
            <w:vAlign w:val="bottom"/>
            <w:hideMark/>
          </w:tcPr>
          <w:p w14:paraId="319F7791"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Other Road Vehicle Collision with Person</w:t>
            </w:r>
          </w:p>
        </w:tc>
        <w:tc>
          <w:tcPr>
            <w:tcW w:w="645" w:type="dxa"/>
            <w:shd w:val="clear" w:color="auto" w:fill="auto"/>
            <w:noWrap/>
            <w:vAlign w:val="bottom"/>
            <w:hideMark/>
          </w:tcPr>
          <w:p w14:paraId="4DBABB5C"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6</w:t>
            </w:r>
          </w:p>
        </w:tc>
        <w:tc>
          <w:tcPr>
            <w:tcW w:w="646" w:type="dxa"/>
            <w:shd w:val="clear" w:color="auto" w:fill="auto"/>
            <w:noWrap/>
            <w:vAlign w:val="bottom"/>
            <w:hideMark/>
          </w:tcPr>
          <w:p w14:paraId="0FB28F6B"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5034AAED"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0F8E22A3"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5" w:type="dxa"/>
            <w:shd w:val="clear" w:color="auto" w:fill="auto"/>
            <w:noWrap/>
            <w:vAlign w:val="bottom"/>
            <w:hideMark/>
          </w:tcPr>
          <w:p w14:paraId="5AD38734"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5</w:t>
            </w:r>
          </w:p>
        </w:tc>
        <w:tc>
          <w:tcPr>
            <w:tcW w:w="646" w:type="dxa"/>
            <w:shd w:val="clear" w:color="auto" w:fill="auto"/>
            <w:noWrap/>
            <w:vAlign w:val="bottom"/>
            <w:hideMark/>
          </w:tcPr>
          <w:p w14:paraId="7FF6B45F"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3672A297"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66D43AEB"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6" w:type="dxa"/>
            <w:shd w:val="clear" w:color="auto" w:fill="auto"/>
            <w:noWrap/>
            <w:vAlign w:val="bottom"/>
            <w:hideMark/>
          </w:tcPr>
          <w:p w14:paraId="76E52ED2"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734" w:type="dxa"/>
            <w:shd w:val="clear" w:color="auto" w:fill="auto"/>
            <w:noWrap/>
            <w:vAlign w:val="bottom"/>
            <w:hideMark/>
          </w:tcPr>
          <w:p w14:paraId="51422C3E"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24</w:t>
            </w:r>
          </w:p>
        </w:tc>
        <w:tc>
          <w:tcPr>
            <w:tcW w:w="797" w:type="dxa"/>
            <w:shd w:val="clear" w:color="auto" w:fill="auto"/>
            <w:noWrap/>
            <w:vAlign w:val="bottom"/>
            <w:hideMark/>
          </w:tcPr>
          <w:p w14:paraId="72A82D66"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2.7</w:t>
            </w:r>
          </w:p>
        </w:tc>
        <w:tc>
          <w:tcPr>
            <w:tcW w:w="667" w:type="dxa"/>
            <w:shd w:val="clear" w:color="auto" w:fill="auto"/>
            <w:noWrap/>
            <w:vAlign w:val="bottom"/>
            <w:hideMark/>
          </w:tcPr>
          <w:p w14:paraId="38E28AF4"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0.66</w:t>
            </w:r>
          </w:p>
        </w:tc>
      </w:tr>
      <w:tr w:rsidR="003C07FD" w:rsidRPr="00461526" w14:paraId="1F689B62" w14:textId="77777777" w:rsidTr="00C64FB5">
        <w:trPr>
          <w:cantSplit/>
          <w:trHeight w:val="58"/>
        </w:trPr>
        <w:tc>
          <w:tcPr>
            <w:tcW w:w="1980" w:type="dxa"/>
            <w:shd w:val="clear" w:color="auto" w:fill="auto"/>
            <w:vAlign w:val="bottom"/>
            <w:hideMark/>
          </w:tcPr>
          <w:p w14:paraId="334408B3"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Passenger Injury by Object in Bus</w:t>
            </w:r>
          </w:p>
        </w:tc>
        <w:tc>
          <w:tcPr>
            <w:tcW w:w="645" w:type="dxa"/>
            <w:shd w:val="clear" w:color="auto" w:fill="auto"/>
            <w:noWrap/>
            <w:vAlign w:val="bottom"/>
            <w:hideMark/>
          </w:tcPr>
          <w:p w14:paraId="540E87D4" w14:textId="77777777" w:rsidR="003C07FD" w:rsidRPr="00461526" w:rsidRDefault="003C07FD" w:rsidP="00C64FB5">
            <w:pPr>
              <w:keepNext/>
              <w:spacing w:before="60" w:after="60"/>
              <w:rPr>
                <w:rFonts w:eastAsia="Times New Roman" w:cstheme="minorHAnsi"/>
                <w:color w:val="000000"/>
                <w:sz w:val="18"/>
                <w:lang w:eastAsia="en-AU"/>
              </w:rPr>
            </w:pPr>
          </w:p>
        </w:tc>
        <w:tc>
          <w:tcPr>
            <w:tcW w:w="646" w:type="dxa"/>
            <w:shd w:val="clear" w:color="auto" w:fill="auto"/>
            <w:noWrap/>
            <w:vAlign w:val="bottom"/>
            <w:hideMark/>
          </w:tcPr>
          <w:p w14:paraId="4C7DB0D3"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0CF55C35"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3BDF10A8"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5" w:type="dxa"/>
            <w:shd w:val="clear" w:color="auto" w:fill="auto"/>
            <w:noWrap/>
            <w:vAlign w:val="bottom"/>
            <w:hideMark/>
          </w:tcPr>
          <w:p w14:paraId="778EC7BB" w14:textId="77777777" w:rsidR="003C07FD" w:rsidRPr="00461526" w:rsidRDefault="003C07FD" w:rsidP="00C64FB5">
            <w:pPr>
              <w:keepNext/>
              <w:spacing w:before="60" w:after="60"/>
              <w:jc w:val="right"/>
              <w:rPr>
                <w:rFonts w:eastAsia="Times New Roman" w:cstheme="minorHAnsi"/>
                <w:color w:val="000000"/>
                <w:sz w:val="18"/>
                <w:lang w:eastAsia="en-AU"/>
              </w:rPr>
            </w:pPr>
          </w:p>
        </w:tc>
        <w:tc>
          <w:tcPr>
            <w:tcW w:w="646" w:type="dxa"/>
            <w:shd w:val="clear" w:color="auto" w:fill="auto"/>
            <w:noWrap/>
            <w:vAlign w:val="bottom"/>
            <w:hideMark/>
          </w:tcPr>
          <w:p w14:paraId="3B9154CF"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3</w:t>
            </w:r>
          </w:p>
        </w:tc>
        <w:tc>
          <w:tcPr>
            <w:tcW w:w="646" w:type="dxa"/>
            <w:shd w:val="clear" w:color="auto" w:fill="auto"/>
            <w:noWrap/>
            <w:vAlign w:val="bottom"/>
            <w:hideMark/>
          </w:tcPr>
          <w:p w14:paraId="516F570D"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6" w:type="dxa"/>
            <w:shd w:val="clear" w:color="auto" w:fill="auto"/>
            <w:noWrap/>
            <w:vAlign w:val="bottom"/>
            <w:hideMark/>
          </w:tcPr>
          <w:p w14:paraId="376B5CFF" w14:textId="77777777" w:rsidR="003C07FD" w:rsidRPr="00461526" w:rsidRDefault="003C07FD" w:rsidP="00C64FB5">
            <w:pPr>
              <w:keepNext/>
              <w:spacing w:before="60" w:after="60"/>
              <w:jc w:val="right"/>
              <w:rPr>
                <w:rFonts w:eastAsia="Times New Roman" w:cstheme="minorHAnsi"/>
                <w:color w:val="000000"/>
                <w:sz w:val="18"/>
                <w:lang w:eastAsia="en-AU"/>
              </w:rPr>
            </w:pPr>
          </w:p>
        </w:tc>
        <w:tc>
          <w:tcPr>
            <w:tcW w:w="646" w:type="dxa"/>
            <w:shd w:val="clear" w:color="auto" w:fill="auto"/>
            <w:noWrap/>
            <w:vAlign w:val="bottom"/>
            <w:hideMark/>
          </w:tcPr>
          <w:p w14:paraId="2CDB8339"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5</w:t>
            </w:r>
          </w:p>
        </w:tc>
        <w:tc>
          <w:tcPr>
            <w:tcW w:w="734" w:type="dxa"/>
            <w:shd w:val="clear" w:color="auto" w:fill="auto"/>
            <w:noWrap/>
            <w:vAlign w:val="bottom"/>
            <w:hideMark/>
          </w:tcPr>
          <w:p w14:paraId="7C45DA59"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12</w:t>
            </w:r>
          </w:p>
        </w:tc>
        <w:tc>
          <w:tcPr>
            <w:tcW w:w="797" w:type="dxa"/>
            <w:shd w:val="clear" w:color="auto" w:fill="auto"/>
            <w:noWrap/>
            <w:vAlign w:val="bottom"/>
            <w:hideMark/>
          </w:tcPr>
          <w:p w14:paraId="1ED694D3"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1.3</w:t>
            </w:r>
          </w:p>
        </w:tc>
        <w:tc>
          <w:tcPr>
            <w:tcW w:w="667" w:type="dxa"/>
            <w:shd w:val="clear" w:color="auto" w:fill="auto"/>
            <w:noWrap/>
            <w:vAlign w:val="bottom"/>
            <w:hideMark/>
          </w:tcPr>
          <w:p w14:paraId="29182C4F"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0.33</w:t>
            </w:r>
          </w:p>
        </w:tc>
      </w:tr>
      <w:tr w:rsidR="003C07FD" w:rsidRPr="00461526" w14:paraId="442C0D32" w14:textId="77777777" w:rsidTr="00C64FB5">
        <w:trPr>
          <w:cantSplit/>
          <w:trHeight w:val="288"/>
        </w:trPr>
        <w:tc>
          <w:tcPr>
            <w:tcW w:w="1980" w:type="dxa"/>
            <w:shd w:val="clear" w:color="auto" w:fill="auto"/>
            <w:vAlign w:val="bottom"/>
            <w:hideMark/>
          </w:tcPr>
          <w:p w14:paraId="0B1DB96D"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Roll-away</w:t>
            </w:r>
          </w:p>
        </w:tc>
        <w:tc>
          <w:tcPr>
            <w:tcW w:w="645" w:type="dxa"/>
            <w:shd w:val="clear" w:color="auto" w:fill="auto"/>
            <w:noWrap/>
            <w:vAlign w:val="bottom"/>
            <w:hideMark/>
          </w:tcPr>
          <w:p w14:paraId="0E5F2E44"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6" w:type="dxa"/>
            <w:shd w:val="clear" w:color="auto" w:fill="auto"/>
            <w:noWrap/>
            <w:vAlign w:val="bottom"/>
            <w:hideMark/>
          </w:tcPr>
          <w:p w14:paraId="747EABDC" w14:textId="77777777" w:rsidR="003C07FD" w:rsidRPr="00461526" w:rsidRDefault="003C07FD" w:rsidP="00C64FB5">
            <w:pPr>
              <w:keepNext/>
              <w:spacing w:before="60" w:after="60"/>
              <w:jc w:val="right"/>
              <w:rPr>
                <w:rFonts w:eastAsia="Times New Roman" w:cstheme="minorHAnsi"/>
                <w:color w:val="000000"/>
                <w:sz w:val="18"/>
                <w:lang w:eastAsia="en-AU"/>
              </w:rPr>
            </w:pPr>
          </w:p>
        </w:tc>
        <w:tc>
          <w:tcPr>
            <w:tcW w:w="646" w:type="dxa"/>
            <w:shd w:val="clear" w:color="auto" w:fill="auto"/>
            <w:noWrap/>
            <w:vAlign w:val="bottom"/>
            <w:hideMark/>
          </w:tcPr>
          <w:p w14:paraId="3A9409DD"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5C4B2F56"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5" w:type="dxa"/>
            <w:shd w:val="clear" w:color="auto" w:fill="auto"/>
            <w:noWrap/>
            <w:vAlign w:val="bottom"/>
            <w:hideMark/>
          </w:tcPr>
          <w:p w14:paraId="4B63DE18"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5</w:t>
            </w:r>
          </w:p>
        </w:tc>
        <w:tc>
          <w:tcPr>
            <w:tcW w:w="646" w:type="dxa"/>
            <w:shd w:val="clear" w:color="auto" w:fill="auto"/>
            <w:noWrap/>
            <w:vAlign w:val="bottom"/>
            <w:hideMark/>
          </w:tcPr>
          <w:p w14:paraId="514C0F1E"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3</w:t>
            </w:r>
          </w:p>
        </w:tc>
        <w:tc>
          <w:tcPr>
            <w:tcW w:w="646" w:type="dxa"/>
            <w:shd w:val="clear" w:color="auto" w:fill="auto"/>
            <w:noWrap/>
            <w:vAlign w:val="bottom"/>
            <w:hideMark/>
          </w:tcPr>
          <w:p w14:paraId="6DECC7EA" w14:textId="77777777" w:rsidR="003C07FD" w:rsidRPr="00461526" w:rsidRDefault="003C07FD" w:rsidP="00C64FB5">
            <w:pPr>
              <w:keepNext/>
              <w:spacing w:before="60" w:after="60"/>
              <w:jc w:val="right"/>
              <w:rPr>
                <w:rFonts w:eastAsia="Times New Roman" w:cstheme="minorHAnsi"/>
                <w:color w:val="000000"/>
                <w:sz w:val="18"/>
                <w:lang w:eastAsia="en-AU"/>
              </w:rPr>
            </w:pPr>
          </w:p>
        </w:tc>
        <w:tc>
          <w:tcPr>
            <w:tcW w:w="646" w:type="dxa"/>
            <w:shd w:val="clear" w:color="auto" w:fill="auto"/>
            <w:noWrap/>
            <w:vAlign w:val="bottom"/>
            <w:hideMark/>
          </w:tcPr>
          <w:p w14:paraId="2FBE49EE"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3226F4EC"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10</w:t>
            </w:r>
          </w:p>
        </w:tc>
        <w:tc>
          <w:tcPr>
            <w:tcW w:w="734" w:type="dxa"/>
            <w:shd w:val="clear" w:color="auto" w:fill="auto"/>
            <w:noWrap/>
            <w:vAlign w:val="bottom"/>
            <w:hideMark/>
          </w:tcPr>
          <w:p w14:paraId="1B8EC3D3"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24</w:t>
            </w:r>
          </w:p>
        </w:tc>
        <w:tc>
          <w:tcPr>
            <w:tcW w:w="797" w:type="dxa"/>
            <w:shd w:val="clear" w:color="auto" w:fill="auto"/>
            <w:noWrap/>
            <w:vAlign w:val="bottom"/>
            <w:hideMark/>
          </w:tcPr>
          <w:p w14:paraId="4EFB3112"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2.7</w:t>
            </w:r>
          </w:p>
        </w:tc>
        <w:tc>
          <w:tcPr>
            <w:tcW w:w="667" w:type="dxa"/>
            <w:shd w:val="clear" w:color="auto" w:fill="auto"/>
            <w:noWrap/>
            <w:vAlign w:val="bottom"/>
            <w:hideMark/>
          </w:tcPr>
          <w:p w14:paraId="15965AF4"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0.66</w:t>
            </w:r>
          </w:p>
        </w:tc>
      </w:tr>
      <w:tr w:rsidR="003C07FD" w:rsidRPr="00461526" w14:paraId="32258AB6" w14:textId="77777777" w:rsidTr="00C64FB5">
        <w:trPr>
          <w:cantSplit/>
          <w:trHeight w:val="288"/>
        </w:trPr>
        <w:tc>
          <w:tcPr>
            <w:tcW w:w="1980" w:type="dxa"/>
            <w:shd w:val="clear" w:color="auto" w:fill="auto"/>
            <w:vAlign w:val="bottom"/>
            <w:hideMark/>
          </w:tcPr>
          <w:p w14:paraId="690306BC"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Slip, Trip or Fall</w:t>
            </w:r>
          </w:p>
        </w:tc>
        <w:tc>
          <w:tcPr>
            <w:tcW w:w="645" w:type="dxa"/>
            <w:shd w:val="clear" w:color="auto" w:fill="auto"/>
            <w:noWrap/>
            <w:vAlign w:val="bottom"/>
            <w:hideMark/>
          </w:tcPr>
          <w:p w14:paraId="342656C1"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64</w:t>
            </w:r>
          </w:p>
        </w:tc>
        <w:tc>
          <w:tcPr>
            <w:tcW w:w="646" w:type="dxa"/>
            <w:shd w:val="clear" w:color="auto" w:fill="auto"/>
            <w:noWrap/>
            <w:vAlign w:val="bottom"/>
            <w:hideMark/>
          </w:tcPr>
          <w:p w14:paraId="3DDAF8A3"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53</w:t>
            </w:r>
          </w:p>
        </w:tc>
        <w:tc>
          <w:tcPr>
            <w:tcW w:w="646" w:type="dxa"/>
            <w:shd w:val="clear" w:color="auto" w:fill="auto"/>
            <w:noWrap/>
            <w:vAlign w:val="bottom"/>
            <w:hideMark/>
          </w:tcPr>
          <w:p w14:paraId="14816CD8"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56</w:t>
            </w:r>
          </w:p>
        </w:tc>
        <w:tc>
          <w:tcPr>
            <w:tcW w:w="646" w:type="dxa"/>
            <w:shd w:val="clear" w:color="auto" w:fill="auto"/>
            <w:noWrap/>
            <w:vAlign w:val="bottom"/>
            <w:hideMark/>
          </w:tcPr>
          <w:p w14:paraId="443955F6"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48</w:t>
            </w:r>
          </w:p>
        </w:tc>
        <w:tc>
          <w:tcPr>
            <w:tcW w:w="645" w:type="dxa"/>
            <w:shd w:val="clear" w:color="auto" w:fill="auto"/>
            <w:noWrap/>
            <w:vAlign w:val="bottom"/>
            <w:hideMark/>
          </w:tcPr>
          <w:p w14:paraId="66A3A0BF"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57</w:t>
            </w:r>
          </w:p>
        </w:tc>
        <w:tc>
          <w:tcPr>
            <w:tcW w:w="646" w:type="dxa"/>
            <w:shd w:val="clear" w:color="auto" w:fill="auto"/>
            <w:noWrap/>
            <w:vAlign w:val="bottom"/>
            <w:hideMark/>
          </w:tcPr>
          <w:p w14:paraId="2E5AAC2F"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95</w:t>
            </w:r>
          </w:p>
        </w:tc>
        <w:tc>
          <w:tcPr>
            <w:tcW w:w="646" w:type="dxa"/>
            <w:shd w:val="clear" w:color="auto" w:fill="auto"/>
            <w:noWrap/>
            <w:vAlign w:val="bottom"/>
            <w:hideMark/>
          </w:tcPr>
          <w:p w14:paraId="678C5705"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99</w:t>
            </w:r>
          </w:p>
        </w:tc>
        <w:tc>
          <w:tcPr>
            <w:tcW w:w="646" w:type="dxa"/>
            <w:shd w:val="clear" w:color="auto" w:fill="auto"/>
            <w:noWrap/>
            <w:vAlign w:val="bottom"/>
            <w:hideMark/>
          </w:tcPr>
          <w:p w14:paraId="0DF353C1"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87</w:t>
            </w:r>
          </w:p>
        </w:tc>
        <w:tc>
          <w:tcPr>
            <w:tcW w:w="646" w:type="dxa"/>
            <w:shd w:val="clear" w:color="auto" w:fill="auto"/>
            <w:noWrap/>
            <w:vAlign w:val="bottom"/>
            <w:hideMark/>
          </w:tcPr>
          <w:p w14:paraId="4AE0CD08"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99</w:t>
            </w:r>
          </w:p>
        </w:tc>
        <w:tc>
          <w:tcPr>
            <w:tcW w:w="734" w:type="dxa"/>
            <w:shd w:val="clear" w:color="auto" w:fill="auto"/>
            <w:noWrap/>
            <w:vAlign w:val="bottom"/>
            <w:hideMark/>
          </w:tcPr>
          <w:p w14:paraId="2D269568"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658</w:t>
            </w:r>
          </w:p>
        </w:tc>
        <w:tc>
          <w:tcPr>
            <w:tcW w:w="797" w:type="dxa"/>
            <w:shd w:val="clear" w:color="auto" w:fill="auto"/>
            <w:noWrap/>
            <w:vAlign w:val="bottom"/>
            <w:hideMark/>
          </w:tcPr>
          <w:p w14:paraId="3C3E8708"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73.1</w:t>
            </w:r>
          </w:p>
        </w:tc>
        <w:tc>
          <w:tcPr>
            <w:tcW w:w="667" w:type="dxa"/>
            <w:shd w:val="clear" w:color="auto" w:fill="auto"/>
            <w:noWrap/>
            <w:vAlign w:val="bottom"/>
            <w:hideMark/>
          </w:tcPr>
          <w:p w14:paraId="45CF05FD"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18.02</w:t>
            </w:r>
          </w:p>
        </w:tc>
      </w:tr>
      <w:tr w:rsidR="003C07FD" w:rsidRPr="00461526" w14:paraId="187B5C07" w14:textId="77777777" w:rsidTr="00C64FB5">
        <w:trPr>
          <w:cantSplit/>
          <w:trHeight w:val="58"/>
        </w:trPr>
        <w:tc>
          <w:tcPr>
            <w:tcW w:w="1980" w:type="dxa"/>
            <w:shd w:val="clear" w:color="auto" w:fill="auto"/>
            <w:vAlign w:val="bottom"/>
            <w:hideMark/>
          </w:tcPr>
          <w:p w14:paraId="65472CC0"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Suspected or Attempted Self Harm</w:t>
            </w:r>
          </w:p>
        </w:tc>
        <w:tc>
          <w:tcPr>
            <w:tcW w:w="645" w:type="dxa"/>
            <w:shd w:val="clear" w:color="auto" w:fill="auto"/>
            <w:noWrap/>
            <w:vAlign w:val="bottom"/>
            <w:hideMark/>
          </w:tcPr>
          <w:p w14:paraId="768CAA46" w14:textId="77777777" w:rsidR="003C07FD" w:rsidRPr="00461526" w:rsidRDefault="003C07FD" w:rsidP="00C64FB5">
            <w:pPr>
              <w:keepNext/>
              <w:spacing w:before="60" w:after="60"/>
              <w:rPr>
                <w:rFonts w:eastAsia="Times New Roman" w:cstheme="minorHAnsi"/>
                <w:color w:val="000000"/>
                <w:sz w:val="18"/>
                <w:lang w:eastAsia="en-AU"/>
              </w:rPr>
            </w:pPr>
          </w:p>
        </w:tc>
        <w:tc>
          <w:tcPr>
            <w:tcW w:w="646" w:type="dxa"/>
            <w:shd w:val="clear" w:color="auto" w:fill="auto"/>
            <w:noWrap/>
            <w:vAlign w:val="bottom"/>
            <w:hideMark/>
          </w:tcPr>
          <w:p w14:paraId="0D6D282F"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2FAB4427"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58626508" w14:textId="77777777" w:rsidR="003C07FD" w:rsidRPr="00461526" w:rsidRDefault="003C07FD" w:rsidP="00C64FB5">
            <w:pPr>
              <w:keepNext/>
              <w:spacing w:before="60" w:after="60"/>
              <w:rPr>
                <w:rFonts w:eastAsia="Times New Roman" w:cstheme="minorHAnsi"/>
                <w:color w:val="auto"/>
                <w:sz w:val="18"/>
                <w:lang w:eastAsia="en-AU"/>
              </w:rPr>
            </w:pPr>
          </w:p>
        </w:tc>
        <w:tc>
          <w:tcPr>
            <w:tcW w:w="645" w:type="dxa"/>
            <w:shd w:val="clear" w:color="auto" w:fill="auto"/>
            <w:noWrap/>
            <w:vAlign w:val="bottom"/>
            <w:hideMark/>
          </w:tcPr>
          <w:p w14:paraId="51CACE14"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6C50BDDD"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7090B700"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7AC9749B"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1D8B5705"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734" w:type="dxa"/>
            <w:shd w:val="clear" w:color="auto" w:fill="auto"/>
            <w:noWrap/>
            <w:vAlign w:val="bottom"/>
            <w:hideMark/>
          </w:tcPr>
          <w:p w14:paraId="05962646"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w:t>
            </w:r>
          </w:p>
        </w:tc>
        <w:tc>
          <w:tcPr>
            <w:tcW w:w="797" w:type="dxa"/>
            <w:shd w:val="clear" w:color="auto" w:fill="auto"/>
            <w:noWrap/>
            <w:vAlign w:val="bottom"/>
            <w:hideMark/>
          </w:tcPr>
          <w:p w14:paraId="6C46FB88"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0.1</w:t>
            </w:r>
          </w:p>
        </w:tc>
        <w:tc>
          <w:tcPr>
            <w:tcW w:w="667" w:type="dxa"/>
            <w:shd w:val="clear" w:color="auto" w:fill="auto"/>
            <w:noWrap/>
            <w:vAlign w:val="bottom"/>
            <w:hideMark/>
          </w:tcPr>
          <w:p w14:paraId="7A2C81C5"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0.03</w:t>
            </w:r>
          </w:p>
        </w:tc>
      </w:tr>
      <w:tr w:rsidR="003C07FD" w:rsidRPr="00461526" w14:paraId="5EF620F4" w14:textId="77777777" w:rsidTr="00C64FB5">
        <w:trPr>
          <w:cantSplit/>
          <w:trHeight w:val="288"/>
        </w:trPr>
        <w:tc>
          <w:tcPr>
            <w:tcW w:w="1980" w:type="dxa"/>
            <w:shd w:val="clear" w:color="auto" w:fill="auto"/>
            <w:vAlign w:val="bottom"/>
            <w:hideMark/>
          </w:tcPr>
          <w:p w14:paraId="4F863CF4"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Terror Threat</w:t>
            </w:r>
          </w:p>
        </w:tc>
        <w:tc>
          <w:tcPr>
            <w:tcW w:w="645" w:type="dxa"/>
            <w:shd w:val="clear" w:color="auto" w:fill="auto"/>
            <w:noWrap/>
            <w:vAlign w:val="bottom"/>
            <w:hideMark/>
          </w:tcPr>
          <w:p w14:paraId="6BDD3042"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1</w:t>
            </w:r>
          </w:p>
        </w:tc>
        <w:tc>
          <w:tcPr>
            <w:tcW w:w="646" w:type="dxa"/>
            <w:shd w:val="clear" w:color="auto" w:fill="auto"/>
            <w:noWrap/>
            <w:vAlign w:val="bottom"/>
            <w:hideMark/>
          </w:tcPr>
          <w:p w14:paraId="1F914917" w14:textId="77777777" w:rsidR="003C07FD" w:rsidRPr="00461526" w:rsidRDefault="003C07FD" w:rsidP="00C64FB5">
            <w:pPr>
              <w:keepNext/>
              <w:spacing w:before="60" w:after="60"/>
              <w:jc w:val="right"/>
              <w:rPr>
                <w:rFonts w:eastAsia="Times New Roman" w:cstheme="minorHAnsi"/>
                <w:color w:val="000000"/>
                <w:sz w:val="18"/>
                <w:lang w:eastAsia="en-AU"/>
              </w:rPr>
            </w:pPr>
          </w:p>
        </w:tc>
        <w:tc>
          <w:tcPr>
            <w:tcW w:w="646" w:type="dxa"/>
            <w:shd w:val="clear" w:color="auto" w:fill="auto"/>
            <w:noWrap/>
            <w:vAlign w:val="bottom"/>
            <w:hideMark/>
          </w:tcPr>
          <w:p w14:paraId="23ADCD9A"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5DB5430B" w14:textId="77777777" w:rsidR="003C07FD" w:rsidRPr="00461526" w:rsidRDefault="003C07FD" w:rsidP="00C64FB5">
            <w:pPr>
              <w:keepNext/>
              <w:spacing w:before="60" w:after="60"/>
              <w:rPr>
                <w:rFonts w:eastAsia="Times New Roman" w:cstheme="minorHAnsi"/>
                <w:color w:val="auto"/>
                <w:sz w:val="18"/>
                <w:lang w:eastAsia="en-AU"/>
              </w:rPr>
            </w:pPr>
          </w:p>
        </w:tc>
        <w:tc>
          <w:tcPr>
            <w:tcW w:w="645" w:type="dxa"/>
            <w:shd w:val="clear" w:color="auto" w:fill="auto"/>
            <w:noWrap/>
            <w:vAlign w:val="bottom"/>
            <w:hideMark/>
          </w:tcPr>
          <w:p w14:paraId="0DD9DC62"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79E857D7"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617ED4CE" w14:textId="77777777" w:rsidR="003C07FD" w:rsidRPr="00461526" w:rsidRDefault="003C07FD" w:rsidP="00C64FB5">
            <w:pPr>
              <w:keepNext/>
              <w:spacing w:before="60" w:after="60"/>
              <w:rPr>
                <w:rFonts w:eastAsia="Times New Roman" w:cstheme="minorHAnsi"/>
                <w:color w:val="auto"/>
                <w:sz w:val="18"/>
                <w:lang w:eastAsia="en-AU"/>
              </w:rPr>
            </w:pPr>
          </w:p>
        </w:tc>
        <w:tc>
          <w:tcPr>
            <w:tcW w:w="646" w:type="dxa"/>
            <w:shd w:val="clear" w:color="auto" w:fill="auto"/>
            <w:noWrap/>
            <w:vAlign w:val="bottom"/>
            <w:hideMark/>
          </w:tcPr>
          <w:p w14:paraId="59B6CCDC"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3</w:t>
            </w:r>
          </w:p>
        </w:tc>
        <w:tc>
          <w:tcPr>
            <w:tcW w:w="646" w:type="dxa"/>
            <w:shd w:val="clear" w:color="auto" w:fill="auto"/>
            <w:noWrap/>
            <w:vAlign w:val="bottom"/>
            <w:hideMark/>
          </w:tcPr>
          <w:p w14:paraId="54DDEE96" w14:textId="77777777" w:rsidR="003C07FD" w:rsidRPr="00461526" w:rsidRDefault="003C07FD" w:rsidP="00C64FB5">
            <w:pPr>
              <w:keepNext/>
              <w:spacing w:before="60" w:after="60"/>
              <w:jc w:val="right"/>
              <w:rPr>
                <w:rFonts w:eastAsia="Times New Roman" w:cstheme="minorHAnsi"/>
                <w:color w:val="000000"/>
                <w:sz w:val="18"/>
                <w:lang w:eastAsia="en-AU"/>
              </w:rPr>
            </w:pPr>
          </w:p>
        </w:tc>
        <w:tc>
          <w:tcPr>
            <w:tcW w:w="734" w:type="dxa"/>
            <w:shd w:val="clear" w:color="auto" w:fill="auto"/>
            <w:noWrap/>
            <w:vAlign w:val="bottom"/>
            <w:hideMark/>
          </w:tcPr>
          <w:p w14:paraId="6116C216"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4</w:t>
            </w:r>
          </w:p>
        </w:tc>
        <w:tc>
          <w:tcPr>
            <w:tcW w:w="797" w:type="dxa"/>
            <w:shd w:val="clear" w:color="auto" w:fill="auto"/>
            <w:noWrap/>
            <w:vAlign w:val="bottom"/>
            <w:hideMark/>
          </w:tcPr>
          <w:p w14:paraId="4120BEC7"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0.4</w:t>
            </w:r>
          </w:p>
        </w:tc>
        <w:tc>
          <w:tcPr>
            <w:tcW w:w="667" w:type="dxa"/>
            <w:shd w:val="clear" w:color="auto" w:fill="auto"/>
            <w:noWrap/>
            <w:vAlign w:val="bottom"/>
            <w:hideMark/>
          </w:tcPr>
          <w:p w14:paraId="2043AAA4"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0.11</w:t>
            </w:r>
          </w:p>
        </w:tc>
      </w:tr>
      <w:tr w:rsidR="003C07FD" w:rsidRPr="00461526" w14:paraId="66C8AD4B" w14:textId="77777777" w:rsidTr="00C64FB5">
        <w:trPr>
          <w:cantSplit/>
          <w:trHeight w:val="288"/>
        </w:trPr>
        <w:tc>
          <w:tcPr>
            <w:tcW w:w="1980" w:type="dxa"/>
            <w:shd w:val="clear" w:color="auto" w:fill="auto"/>
            <w:vAlign w:val="bottom"/>
            <w:hideMark/>
          </w:tcPr>
          <w:p w14:paraId="235B2681" w14:textId="77777777" w:rsidR="003C07FD" w:rsidRPr="00461526" w:rsidRDefault="003C07FD" w:rsidP="00C64FB5">
            <w:pPr>
              <w:keepNext/>
              <w:spacing w:before="60" w:after="60"/>
              <w:rPr>
                <w:rFonts w:eastAsia="Times New Roman" w:cstheme="minorHAnsi"/>
                <w:color w:val="000000"/>
                <w:sz w:val="18"/>
                <w:lang w:eastAsia="en-AU"/>
              </w:rPr>
            </w:pPr>
            <w:r w:rsidRPr="00461526">
              <w:rPr>
                <w:rFonts w:eastAsia="Times New Roman" w:cstheme="minorHAnsi"/>
                <w:color w:val="000000"/>
                <w:sz w:val="18"/>
                <w:lang w:eastAsia="en-AU"/>
              </w:rPr>
              <w:t>Vehicle Left Road</w:t>
            </w:r>
          </w:p>
        </w:tc>
        <w:tc>
          <w:tcPr>
            <w:tcW w:w="645" w:type="dxa"/>
            <w:shd w:val="clear" w:color="auto" w:fill="auto"/>
            <w:noWrap/>
            <w:vAlign w:val="bottom"/>
            <w:hideMark/>
          </w:tcPr>
          <w:p w14:paraId="7AE0F1FC"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7</w:t>
            </w:r>
          </w:p>
        </w:tc>
        <w:tc>
          <w:tcPr>
            <w:tcW w:w="646" w:type="dxa"/>
            <w:shd w:val="clear" w:color="auto" w:fill="auto"/>
            <w:noWrap/>
            <w:vAlign w:val="bottom"/>
            <w:hideMark/>
          </w:tcPr>
          <w:p w14:paraId="22B0498F"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9</w:t>
            </w:r>
          </w:p>
        </w:tc>
        <w:tc>
          <w:tcPr>
            <w:tcW w:w="646" w:type="dxa"/>
            <w:shd w:val="clear" w:color="auto" w:fill="auto"/>
            <w:noWrap/>
            <w:vAlign w:val="bottom"/>
            <w:hideMark/>
          </w:tcPr>
          <w:p w14:paraId="6002B3E9"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3</w:t>
            </w:r>
          </w:p>
        </w:tc>
        <w:tc>
          <w:tcPr>
            <w:tcW w:w="646" w:type="dxa"/>
            <w:shd w:val="clear" w:color="auto" w:fill="auto"/>
            <w:noWrap/>
            <w:vAlign w:val="bottom"/>
            <w:hideMark/>
          </w:tcPr>
          <w:p w14:paraId="62BCDDFD"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5" w:type="dxa"/>
            <w:shd w:val="clear" w:color="auto" w:fill="auto"/>
            <w:noWrap/>
            <w:vAlign w:val="bottom"/>
            <w:hideMark/>
          </w:tcPr>
          <w:p w14:paraId="029D25C8"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6</w:t>
            </w:r>
          </w:p>
        </w:tc>
        <w:tc>
          <w:tcPr>
            <w:tcW w:w="646" w:type="dxa"/>
            <w:shd w:val="clear" w:color="auto" w:fill="auto"/>
            <w:noWrap/>
            <w:vAlign w:val="bottom"/>
            <w:hideMark/>
          </w:tcPr>
          <w:p w14:paraId="61BF083A"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5</w:t>
            </w:r>
          </w:p>
        </w:tc>
        <w:tc>
          <w:tcPr>
            <w:tcW w:w="646" w:type="dxa"/>
            <w:shd w:val="clear" w:color="auto" w:fill="auto"/>
            <w:noWrap/>
            <w:vAlign w:val="bottom"/>
            <w:hideMark/>
          </w:tcPr>
          <w:p w14:paraId="78AB771B"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5</w:t>
            </w:r>
          </w:p>
        </w:tc>
        <w:tc>
          <w:tcPr>
            <w:tcW w:w="646" w:type="dxa"/>
            <w:shd w:val="clear" w:color="auto" w:fill="auto"/>
            <w:noWrap/>
            <w:vAlign w:val="bottom"/>
            <w:hideMark/>
          </w:tcPr>
          <w:p w14:paraId="65053613"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2</w:t>
            </w:r>
          </w:p>
        </w:tc>
        <w:tc>
          <w:tcPr>
            <w:tcW w:w="646" w:type="dxa"/>
            <w:shd w:val="clear" w:color="auto" w:fill="auto"/>
            <w:noWrap/>
            <w:vAlign w:val="bottom"/>
            <w:hideMark/>
          </w:tcPr>
          <w:p w14:paraId="13F86D11" w14:textId="77777777" w:rsidR="003C07FD" w:rsidRPr="00461526" w:rsidRDefault="003C07FD" w:rsidP="00C64FB5">
            <w:pPr>
              <w:keepNext/>
              <w:spacing w:before="60" w:after="60"/>
              <w:jc w:val="right"/>
              <w:rPr>
                <w:rFonts w:eastAsia="Times New Roman" w:cstheme="minorHAnsi"/>
                <w:color w:val="000000"/>
                <w:sz w:val="18"/>
                <w:lang w:eastAsia="en-AU"/>
              </w:rPr>
            </w:pPr>
            <w:r w:rsidRPr="00461526">
              <w:rPr>
                <w:rFonts w:eastAsia="Times New Roman" w:cstheme="minorHAnsi"/>
                <w:color w:val="000000"/>
                <w:sz w:val="18"/>
                <w:lang w:eastAsia="en-AU"/>
              </w:rPr>
              <w:t>7</w:t>
            </w:r>
          </w:p>
        </w:tc>
        <w:tc>
          <w:tcPr>
            <w:tcW w:w="734" w:type="dxa"/>
            <w:shd w:val="clear" w:color="auto" w:fill="auto"/>
            <w:noWrap/>
            <w:vAlign w:val="bottom"/>
            <w:hideMark/>
          </w:tcPr>
          <w:p w14:paraId="3C7CE9D0"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46</w:t>
            </w:r>
          </w:p>
        </w:tc>
        <w:tc>
          <w:tcPr>
            <w:tcW w:w="797" w:type="dxa"/>
            <w:shd w:val="clear" w:color="auto" w:fill="auto"/>
            <w:noWrap/>
            <w:vAlign w:val="bottom"/>
            <w:hideMark/>
          </w:tcPr>
          <w:p w14:paraId="1F2292BA"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5.1</w:t>
            </w:r>
          </w:p>
        </w:tc>
        <w:tc>
          <w:tcPr>
            <w:tcW w:w="667" w:type="dxa"/>
            <w:shd w:val="clear" w:color="auto" w:fill="auto"/>
            <w:noWrap/>
            <w:vAlign w:val="bottom"/>
            <w:hideMark/>
          </w:tcPr>
          <w:p w14:paraId="0C63ABF6" w14:textId="77777777" w:rsidR="003C07FD" w:rsidRPr="005D01D9" w:rsidRDefault="003C07FD"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1.26</w:t>
            </w:r>
          </w:p>
        </w:tc>
      </w:tr>
      <w:tr w:rsidR="00AB4928" w:rsidRPr="00461526" w14:paraId="3EDCA389" w14:textId="77777777" w:rsidTr="00C64FB5">
        <w:trPr>
          <w:cantSplit/>
          <w:trHeight w:val="288"/>
        </w:trPr>
        <w:tc>
          <w:tcPr>
            <w:tcW w:w="1980" w:type="dxa"/>
            <w:shd w:val="clear" w:color="auto" w:fill="D6ECED"/>
            <w:vAlign w:val="bottom"/>
            <w:hideMark/>
          </w:tcPr>
          <w:p w14:paraId="3BAD078A" w14:textId="77777777" w:rsidR="003C07FD" w:rsidRPr="00231D87" w:rsidRDefault="003C07FD" w:rsidP="00C64FB5">
            <w:pPr>
              <w:keepNext/>
              <w:spacing w:before="60" w:after="60"/>
              <w:rPr>
                <w:rFonts w:eastAsia="Times New Roman" w:cstheme="minorHAnsi"/>
                <w:b/>
                <w:bCs/>
                <w:color w:val="000000"/>
                <w:sz w:val="18"/>
                <w:lang w:eastAsia="en-AU"/>
              </w:rPr>
            </w:pPr>
            <w:r w:rsidRPr="00231D87">
              <w:rPr>
                <w:rFonts w:eastAsia="Times New Roman" w:cstheme="minorHAnsi"/>
                <w:b/>
                <w:bCs/>
                <w:color w:val="000000"/>
                <w:sz w:val="18"/>
                <w:lang w:eastAsia="en-AU"/>
              </w:rPr>
              <w:t>Total</w:t>
            </w:r>
          </w:p>
        </w:tc>
        <w:tc>
          <w:tcPr>
            <w:tcW w:w="645" w:type="dxa"/>
            <w:shd w:val="clear" w:color="auto" w:fill="D6ECED"/>
            <w:noWrap/>
            <w:vAlign w:val="bottom"/>
            <w:hideMark/>
          </w:tcPr>
          <w:p w14:paraId="7807052F" w14:textId="77777777" w:rsidR="003C07FD" w:rsidRPr="00231D87" w:rsidRDefault="003C07FD" w:rsidP="00C64FB5">
            <w:pPr>
              <w:keepNext/>
              <w:spacing w:before="60" w:after="60"/>
              <w:jc w:val="right"/>
              <w:rPr>
                <w:rFonts w:eastAsia="Times New Roman" w:cstheme="minorHAnsi"/>
                <w:b/>
                <w:bCs/>
                <w:color w:val="000000"/>
                <w:sz w:val="18"/>
                <w:lang w:eastAsia="en-AU"/>
              </w:rPr>
            </w:pPr>
            <w:r w:rsidRPr="00231D87">
              <w:rPr>
                <w:rFonts w:eastAsia="Times New Roman" w:cstheme="minorHAnsi"/>
                <w:b/>
                <w:bCs/>
                <w:color w:val="000000"/>
                <w:sz w:val="18"/>
                <w:lang w:eastAsia="en-AU"/>
              </w:rPr>
              <w:t>346</w:t>
            </w:r>
          </w:p>
        </w:tc>
        <w:tc>
          <w:tcPr>
            <w:tcW w:w="646" w:type="dxa"/>
            <w:shd w:val="clear" w:color="auto" w:fill="D6ECED"/>
            <w:noWrap/>
            <w:vAlign w:val="bottom"/>
            <w:hideMark/>
          </w:tcPr>
          <w:p w14:paraId="405EC3ED" w14:textId="77777777" w:rsidR="003C07FD" w:rsidRPr="00231D87" w:rsidRDefault="003C07FD" w:rsidP="00C64FB5">
            <w:pPr>
              <w:keepNext/>
              <w:spacing w:before="60" w:after="60"/>
              <w:jc w:val="right"/>
              <w:rPr>
                <w:rFonts w:eastAsia="Times New Roman" w:cstheme="minorHAnsi"/>
                <w:b/>
                <w:bCs/>
                <w:color w:val="000000"/>
                <w:sz w:val="18"/>
                <w:lang w:eastAsia="en-AU"/>
              </w:rPr>
            </w:pPr>
            <w:r w:rsidRPr="00231D87">
              <w:rPr>
                <w:rFonts w:eastAsia="Times New Roman" w:cstheme="minorHAnsi"/>
                <w:b/>
                <w:bCs/>
                <w:color w:val="000000"/>
                <w:sz w:val="18"/>
                <w:lang w:eastAsia="en-AU"/>
              </w:rPr>
              <w:t>385</w:t>
            </w:r>
          </w:p>
        </w:tc>
        <w:tc>
          <w:tcPr>
            <w:tcW w:w="646" w:type="dxa"/>
            <w:shd w:val="clear" w:color="auto" w:fill="D6ECED"/>
            <w:noWrap/>
            <w:vAlign w:val="bottom"/>
            <w:hideMark/>
          </w:tcPr>
          <w:p w14:paraId="0E8F2BA6" w14:textId="77777777" w:rsidR="003C07FD" w:rsidRPr="00231D87" w:rsidRDefault="003C07FD" w:rsidP="00C64FB5">
            <w:pPr>
              <w:keepNext/>
              <w:spacing w:before="60" w:after="60"/>
              <w:jc w:val="right"/>
              <w:rPr>
                <w:rFonts w:eastAsia="Times New Roman" w:cstheme="minorHAnsi"/>
                <w:b/>
                <w:bCs/>
                <w:color w:val="000000"/>
                <w:sz w:val="18"/>
                <w:lang w:eastAsia="en-AU"/>
              </w:rPr>
            </w:pPr>
            <w:r w:rsidRPr="00231D87">
              <w:rPr>
                <w:rFonts w:eastAsia="Times New Roman" w:cstheme="minorHAnsi"/>
                <w:b/>
                <w:bCs/>
                <w:color w:val="000000"/>
                <w:sz w:val="18"/>
                <w:lang w:eastAsia="en-AU"/>
              </w:rPr>
              <w:t>325</w:t>
            </w:r>
          </w:p>
        </w:tc>
        <w:tc>
          <w:tcPr>
            <w:tcW w:w="646" w:type="dxa"/>
            <w:shd w:val="clear" w:color="auto" w:fill="D6ECED"/>
            <w:noWrap/>
            <w:vAlign w:val="bottom"/>
            <w:hideMark/>
          </w:tcPr>
          <w:p w14:paraId="258A3CE6" w14:textId="77777777" w:rsidR="003C07FD" w:rsidRPr="00231D87" w:rsidRDefault="003C07FD" w:rsidP="00C64FB5">
            <w:pPr>
              <w:keepNext/>
              <w:spacing w:before="60" w:after="60"/>
              <w:jc w:val="right"/>
              <w:rPr>
                <w:rFonts w:eastAsia="Times New Roman" w:cstheme="minorHAnsi"/>
                <w:b/>
                <w:bCs/>
                <w:color w:val="000000"/>
                <w:sz w:val="18"/>
                <w:lang w:eastAsia="en-AU"/>
              </w:rPr>
            </w:pPr>
            <w:r w:rsidRPr="00231D87">
              <w:rPr>
                <w:rFonts w:eastAsia="Times New Roman" w:cstheme="minorHAnsi"/>
                <w:b/>
                <w:bCs/>
                <w:color w:val="000000"/>
                <w:sz w:val="18"/>
                <w:lang w:eastAsia="en-AU"/>
              </w:rPr>
              <w:t>323</w:t>
            </w:r>
          </w:p>
        </w:tc>
        <w:tc>
          <w:tcPr>
            <w:tcW w:w="645" w:type="dxa"/>
            <w:shd w:val="clear" w:color="auto" w:fill="D6ECED"/>
            <w:noWrap/>
            <w:vAlign w:val="bottom"/>
            <w:hideMark/>
          </w:tcPr>
          <w:p w14:paraId="434F02DF" w14:textId="77777777" w:rsidR="003C07FD" w:rsidRPr="00231D87" w:rsidRDefault="003C07FD" w:rsidP="00C64FB5">
            <w:pPr>
              <w:keepNext/>
              <w:spacing w:before="60" w:after="60"/>
              <w:jc w:val="right"/>
              <w:rPr>
                <w:rFonts w:eastAsia="Times New Roman" w:cstheme="minorHAnsi"/>
                <w:b/>
                <w:bCs/>
                <w:color w:val="000000"/>
                <w:sz w:val="18"/>
                <w:lang w:eastAsia="en-AU"/>
              </w:rPr>
            </w:pPr>
            <w:r w:rsidRPr="00231D87">
              <w:rPr>
                <w:rFonts w:eastAsia="Times New Roman" w:cstheme="minorHAnsi"/>
                <w:b/>
                <w:bCs/>
                <w:color w:val="000000"/>
                <w:sz w:val="18"/>
                <w:lang w:eastAsia="en-AU"/>
              </w:rPr>
              <w:t>428</w:t>
            </w:r>
          </w:p>
        </w:tc>
        <w:tc>
          <w:tcPr>
            <w:tcW w:w="646" w:type="dxa"/>
            <w:shd w:val="clear" w:color="auto" w:fill="D6ECED"/>
            <w:noWrap/>
            <w:vAlign w:val="bottom"/>
            <w:hideMark/>
          </w:tcPr>
          <w:p w14:paraId="492DEB25" w14:textId="77777777" w:rsidR="003C07FD" w:rsidRPr="00231D87" w:rsidRDefault="003C07FD" w:rsidP="00C64FB5">
            <w:pPr>
              <w:keepNext/>
              <w:spacing w:before="60" w:after="60"/>
              <w:jc w:val="right"/>
              <w:rPr>
                <w:rFonts w:eastAsia="Times New Roman" w:cstheme="minorHAnsi"/>
                <w:b/>
                <w:bCs/>
                <w:color w:val="000000"/>
                <w:sz w:val="18"/>
                <w:lang w:eastAsia="en-AU"/>
              </w:rPr>
            </w:pPr>
            <w:r w:rsidRPr="00231D87">
              <w:rPr>
                <w:rFonts w:eastAsia="Times New Roman" w:cstheme="minorHAnsi"/>
                <w:b/>
                <w:bCs/>
                <w:color w:val="000000"/>
                <w:sz w:val="18"/>
                <w:lang w:eastAsia="en-AU"/>
              </w:rPr>
              <w:t>514</w:t>
            </w:r>
          </w:p>
        </w:tc>
        <w:tc>
          <w:tcPr>
            <w:tcW w:w="646" w:type="dxa"/>
            <w:shd w:val="clear" w:color="auto" w:fill="D6ECED"/>
            <w:noWrap/>
            <w:vAlign w:val="bottom"/>
            <w:hideMark/>
          </w:tcPr>
          <w:p w14:paraId="01A2C4E2" w14:textId="77777777" w:rsidR="003C07FD" w:rsidRPr="00231D87" w:rsidRDefault="003C07FD" w:rsidP="00C64FB5">
            <w:pPr>
              <w:keepNext/>
              <w:spacing w:before="60" w:after="60"/>
              <w:jc w:val="right"/>
              <w:rPr>
                <w:rFonts w:eastAsia="Times New Roman" w:cstheme="minorHAnsi"/>
                <w:b/>
                <w:bCs/>
                <w:color w:val="000000"/>
                <w:sz w:val="18"/>
                <w:lang w:eastAsia="en-AU"/>
              </w:rPr>
            </w:pPr>
            <w:r w:rsidRPr="00231D87">
              <w:rPr>
                <w:rFonts w:eastAsia="Times New Roman" w:cstheme="minorHAnsi"/>
                <w:b/>
                <w:bCs/>
                <w:color w:val="000000"/>
                <w:sz w:val="18"/>
                <w:lang w:eastAsia="en-AU"/>
              </w:rPr>
              <w:t>475</w:t>
            </w:r>
          </w:p>
        </w:tc>
        <w:tc>
          <w:tcPr>
            <w:tcW w:w="646" w:type="dxa"/>
            <w:shd w:val="clear" w:color="auto" w:fill="D6ECED"/>
            <w:noWrap/>
            <w:vAlign w:val="bottom"/>
            <w:hideMark/>
          </w:tcPr>
          <w:p w14:paraId="5C67CECB" w14:textId="77777777" w:rsidR="003C07FD" w:rsidRPr="00231D87" w:rsidRDefault="003C07FD" w:rsidP="00C64FB5">
            <w:pPr>
              <w:keepNext/>
              <w:spacing w:before="60" w:after="60"/>
              <w:jc w:val="right"/>
              <w:rPr>
                <w:rFonts w:eastAsia="Times New Roman" w:cstheme="minorHAnsi"/>
                <w:b/>
                <w:bCs/>
                <w:color w:val="000000"/>
                <w:sz w:val="18"/>
                <w:lang w:eastAsia="en-AU"/>
              </w:rPr>
            </w:pPr>
            <w:r w:rsidRPr="00231D87">
              <w:rPr>
                <w:rFonts w:eastAsia="Times New Roman" w:cstheme="minorHAnsi"/>
                <w:b/>
                <w:bCs/>
                <w:color w:val="000000"/>
                <w:sz w:val="18"/>
                <w:lang w:eastAsia="en-AU"/>
              </w:rPr>
              <w:t>441</w:t>
            </w:r>
          </w:p>
        </w:tc>
        <w:tc>
          <w:tcPr>
            <w:tcW w:w="646" w:type="dxa"/>
            <w:shd w:val="clear" w:color="auto" w:fill="D6ECED"/>
            <w:noWrap/>
            <w:vAlign w:val="bottom"/>
            <w:hideMark/>
          </w:tcPr>
          <w:p w14:paraId="15752089" w14:textId="77777777" w:rsidR="003C07FD" w:rsidRPr="00231D87" w:rsidRDefault="003C07FD" w:rsidP="00C64FB5">
            <w:pPr>
              <w:keepNext/>
              <w:spacing w:before="60" w:after="60"/>
              <w:jc w:val="right"/>
              <w:rPr>
                <w:rFonts w:eastAsia="Times New Roman" w:cstheme="minorHAnsi"/>
                <w:b/>
                <w:bCs/>
                <w:color w:val="000000"/>
                <w:sz w:val="18"/>
                <w:lang w:eastAsia="en-AU"/>
              </w:rPr>
            </w:pPr>
            <w:r w:rsidRPr="00231D87">
              <w:rPr>
                <w:rFonts w:eastAsia="Times New Roman" w:cstheme="minorHAnsi"/>
                <w:b/>
                <w:bCs/>
                <w:color w:val="000000"/>
                <w:sz w:val="18"/>
                <w:lang w:eastAsia="en-AU"/>
              </w:rPr>
              <w:t>414</w:t>
            </w:r>
          </w:p>
        </w:tc>
        <w:tc>
          <w:tcPr>
            <w:tcW w:w="734" w:type="dxa"/>
            <w:shd w:val="clear" w:color="auto" w:fill="D6ECED"/>
            <w:noWrap/>
            <w:vAlign w:val="bottom"/>
            <w:hideMark/>
          </w:tcPr>
          <w:p w14:paraId="496DDE18" w14:textId="77777777" w:rsidR="003C07FD" w:rsidRPr="00231D87" w:rsidRDefault="003C07FD" w:rsidP="00C64FB5">
            <w:pPr>
              <w:keepNext/>
              <w:spacing w:before="60" w:after="60"/>
              <w:jc w:val="right"/>
              <w:rPr>
                <w:rFonts w:eastAsia="Times New Roman" w:cstheme="minorHAnsi"/>
                <w:b/>
                <w:bCs/>
                <w:color w:val="000000"/>
                <w:sz w:val="18"/>
                <w:lang w:eastAsia="en-AU"/>
              </w:rPr>
            </w:pPr>
            <w:r w:rsidRPr="00231D87">
              <w:rPr>
                <w:rFonts w:eastAsia="Times New Roman" w:cstheme="minorHAnsi"/>
                <w:b/>
                <w:bCs/>
                <w:color w:val="000000"/>
                <w:sz w:val="18"/>
                <w:lang w:eastAsia="en-AU"/>
              </w:rPr>
              <w:t>3651</w:t>
            </w:r>
          </w:p>
        </w:tc>
        <w:tc>
          <w:tcPr>
            <w:tcW w:w="797" w:type="dxa"/>
            <w:shd w:val="clear" w:color="auto" w:fill="D6ECED"/>
            <w:noWrap/>
            <w:vAlign w:val="bottom"/>
            <w:hideMark/>
          </w:tcPr>
          <w:p w14:paraId="16EE0CA6" w14:textId="77777777" w:rsidR="003C07FD" w:rsidRPr="00231D87" w:rsidRDefault="003C07FD" w:rsidP="00C64FB5">
            <w:pPr>
              <w:keepNext/>
              <w:spacing w:before="60" w:after="60"/>
              <w:jc w:val="right"/>
              <w:rPr>
                <w:rFonts w:eastAsia="Times New Roman" w:cstheme="minorHAnsi"/>
                <w:b/>
                <w:bCs/>
                <w:color w:val="000000"/>
                <w:sz w:val="18"/>
                <w:lang w:eastAsia="en-AU"/>
              </w:rPr>
            </w:pPr>
            <w:r w:rsidRPr="00231D87">
              <w:rPr>
                <w:rFonts w:eastAsia="Times New Roman" w:cstheme="minorHAnsi"/>
                <w:b/>
                <w:bCs/>
                <w:color w:val="000000"/>
                <w:sz w:val="18"/>
                <w:lang w:eastAsia="en-AU"/>
              </w:rPr>
              <w:t>405.7</w:t>
            </w:r>
          </w:p>
        </w:tc>
        <w:tc>
          <w:tcPr>
            <w:tcW w:w="667" w:type="dxa"/>
            <w:shd w:val="clear" w:color="auto" w:fill="D6ECED"/>
            <w:noWrap/>
            <w:vAlign w:val="bottom"/>
            <w:hideMark/>
          </w:tcPr>
          <w:p w14:paraId="4567EC2F" w14:textId="77777777" w:rsidR="003C07FD" w:rsidRPr="00231D87" w:rsidRDefault="003C07FD" w:rsidP="00C64FB5">
            <w:pPr>
              <w:keepNext/>
              <w:spacing w:before="60" w:after="60"/>
              <w:jc w:val="right"/>
              <w:rPr>
                <w:rFonts w:eastAsia="Times New Roman" w:cstheme="minorHAnsi"/>
                <w:b/>
                <w:bCs/>
                <w:color w:val="000000"/>
                <w:sz w:val="18"/>
                <w:lang w:eastAsia="en-AU"/>
              </w:rPr>
            </w:pPr>
            <w:r w:rsidRPr="00231D87">
              <w:rPr>
                <w:rFonts w:eastAsia="Times New Roman" w:cstheme="minorHAnsi"/>
                <w:b/>
                <w:bCs/>
                <w:color w:val="000000"/>
                <w:sz w:val="18"/>
                <w:lang w:eastAsia="en-AU"/>
              </w:rPr>
              <w:t>100</w:t>
            </w:r>
          </w:p>
        </w:tc>
      </w:tr>
    </w:tbl>
    <w:p w14:paraId="0E24E631" w14:textId="5CB5EA1A" w:rsidR="00376752" w:rsidRPr="00376752" w:rsidRDefault="00376752" w:rsidP="00E602CF">
      <w:pPr>
        <w:spacing w:before="40"/>
        <w:rPr>
          <w:sz w:val="16"/>
          <w:szCs w:val="16"/>
        </w:rPr>
      </w:pPr>
      <w:bookmarkStart w:id="217" w:name="_Toc32909785"/>
      <w:r w:rsidRPr="00376752">
        <w:rPr>
          <w:sz w:val="16"/>
          <w:szCs w:val="16"/>
        </w:rPr>
        <w:t>Source: TSV</w:t>
      </w:r>
    </w:p>
    <w:p w14:paraId="7A1D2EEE" w14:textId="7AA45A30" w:rsidR="00A56981" w:rsidRPr="00A345F2" w:rsidRDefault="001033A7" w:rsidP="00A56981">
      <w:r>
        <w:t>D</w:t>
      </w:r>
      <w:r w:rsidR="000A5FBF">
        <w:t>o</w:t>
      </w:r>
      <w:r>
        <w:t>T n</w:t>
      </w:r>
      <w:r w:rsidR="00A56981">
        <w:t>ote</w:t>
      </w:r>
      <w:r>
        <w:t>s</w:t>
      </w:r>
      <w:r w:rsidR="00A56981">
        <w:t xml:space="preserve"> that t</w:t>
      </w:r>
      <w:r w:rsidR="00A56981" w:rsidRPr="00A345F2">
        <w:t xml:space="preserve">he number of </w:t>
      </w:r>
      <w:r w:rsidR="00A56981">
        <w:t>bus safety</w:t>
      </w:r>
      <w:r w:rsidR="00A56981" w:rsidRPr="00A345F2">
        <w:t xml:space="preserve"> incidents</w:t>
      </w:r>
      <w:r w:rsidR="00B36E90">
        <w:t xml:space="preserve"> recorded by TSV</w:t>
      </w:r>
      <w:r w:rsidR="00A56981" w:rsidRPr="00A345F2">
        <w:t xml:space="preserve"> may</w:t>
      </w:r>
      <w:r w:rsidR="00543A47">
        <w:t xml:space="preserve"> be underreported.</w:t>
      </w:r>
      <w:r w:rsidR="00A56981" w:rsidRPr="00A345F2">
        <w:t xml:space="preserve"> In addition, some types of incidents are more likely to be underreported than other types of incidents. For example, </w:t>
      </w:r>
      <w:r w:rsidR="008D0DDD" w:rsidRPr="00A345F2">
        <w:t xml:space="preserve">there may be high cases of underreporting for incidents </w:t>
      </w:r>
      <w:r w:rsidR="008D0DDD">
        <w:t>involving ‘</w:t>
      </w:r>
      <w:r w:rsidR="008D0DDD" w:rsidRPr="00A345F2">
        <w:t>near misses</w:t>
      </w:r>
      <w:r w:rsidR="008D0DDD">
        <w:t>’</w:t>
      </w:r>
      <w:r w:rsidR="008D0DDD" w:rsidRPr="00A345F2">
        <w:t xml:space="preserve">. As near misses do not necessarily cause material consequences (a near misses </w:t>
      </w:r>
      <w:r w:rsidR="008D0DDD">
        <w:t xml:space="preserve">generally </w:t>
      </w:r>
      <w:r w:rsidR="00B24A61">
        <w:t>does</w:t>
      </w:r>
      <w:r w:rsidR="008D0DDD" w:rsidRPr="00A345F2">
        <w:t xml:space="preserve"> no</w:t>
      </w:r>
      <w:r w:rsidR="00B24A61">
        <w:t>t involve a</w:t>
      </w:r>
      <w:r w:rsidR="008D0DDD" w:rsidRPr="00A345F2">
        <w:t xml:space="preserve"> collision or injury </w:t>
      </w:r>
      <w:r w:rsidR="00B24A61">
        <w:t>to a person</w:t>
      </w:r>
      <w:r w:rsidR="008D0DDD" w:rsidRPr="00A345F2">
        <w:t xml:space="preserve">), there </w:t>
      </w:r>
      <w:r w:rsidR="00F3339A">
        <w:t>may be</w:t>
      </w:r>
      <w:r w:rsidR="008D0DDD" w:rsidRPr="00A345F2">
        <w:t xml:space="preserve"> </w:t>
      </w:r>
      <w:r w:rsidR="00F3339A">
        <w:t xml:space="preserve">an </w:t>
      </w:r>
      <w:r w:rsidR="008D0DDD" w:rsidRPr="00A345F2">
        <w:t xml:space="preserve">incentive for </w:t>
      </w:r>
      <w:r w:rsidR="00F3339A">
        <w:t xml:space="preserve">a </w:t>
      </w:r>
      <w:r w:rsidR="008D0DDD" w:rsidRPr="00A345F2">
        <w:t>bus driver to</w:t>
      </w:r>
      <w:r w:rsidR="00F3339A">
        <w:t xml:space="preserve"> avoid</w:t>
      </w:r>
      <w:r w:rsidR="008D0DDD" w:rsidRPr="00A345F2">
        <w:t xml:space="preserve"> report</w:t>
      </w:r>
      <w:r w:rsidR="00F3339A">
        <w:t>ing</w:t>
      </w:r>
      <w:r w:rsidR="008D0DDD" w:rsidRPr="00A345F2">
        <w:t xml:space="preserve"> these types of incidents</w:t>
      </w:r>
      <w:r w:rsidR="00F3339A">
        <w:t xml:space="preserve">. </w:t>
      </w:r>
      <w:r w:rsidR="00F3339A" w:rsidRPr="00A345F2">
        <w:t>In contrast,</w:t>
      </w:r>
      <w:r w:rsidR="00F3339A">
        <w:t xml:space="preserve"> </w:t>
      </w:r>
      <w:r w:rsidR="00A56981" w:rsidRPr="00A345F2">
        <w:t xml:space="preserve">it is unlikely that there is a widespread underreporting of collisions given the </w:t>
      </w:r>
      <w:r w:rsidR="00C06C0C">
        <w:t xml:space="preserve">nature </w:t>
      </w:r>
      <w:r w:rsidR="00A56981" w:rsidRPr="00A345F2">
        <w:t>of collisions and likelihood of other parties (such as pedestrians and other motorists) reporting the collision to the authorities (e.g. police, TSV)</w:t>
      </w:r>
      <w:r w:rsidR="0024395D">
        <w:t xml:space="preserve"> or to their insurance company</w:t>
      </w:r>
      <w:r w:rsidR="00A56981" w:rsidRPr="00A345F2">
        <w:t xml:space="preserve">. In these </w:t>
      </w:r>
      <w:r w:rsidR="00A56981" w:rsidRPr="00A345F2">
        <w:lastRenderedPageBreak/>
        <w:t>cases, drivers are likely to report collisions</w:t>
      </w:r>
      <w:r w:rsidR="00136C40">
        <w:t xml:space="preserve"> to the bus operator</w:t>
      </w:r>
      <w:r w:rsidR="00A56981" w:rsidRPr="00A345F2">
        <w:t xml:space="preserve"> as there are other methods for bus operators to verify whether a collision has taken place. </w:t>
      </w:r>
    </w:p>
    <w:p w14:paraId="726BDA9C" w14:textId="4F21B82A" w:rsidR="00A56981" w:rsidRDefault="00A56981" w:rsidP="00A56981">
      <w:r w:rsidRPr="00A345F2">
        <w:t xml:space="preserve">Taken together, the true rate of bus incidents occurring </w:t>
      </w:r>
      <w:r w:rsidR="00B41D8E">
        <w:t>may</w:t>
      </w:r>
      <w:r w:rsidRPr="00A345F2">
        <w:t xml:space="preserve"> not </w:t>
      </w:r>
      <w:r w:rsidR="00B41D8E">
        <w:t xml:space="preserve">be </w:t>
      </w:r>
      <w:r w:rsidRPr="00A345F2">
        <w:t>known.</w:t>
      </w:r>
      <w:r>
        <w:t xml:space="preserve"> </w:t>
      </w:r>
      <w:r w:rsidR="003D03D3">
        <w:t xml:space="preserve">However, the data in </w:t>
      </w:r>
      <w:r w:rsidR="003D03D3" w:rsidRPr="00854A2A">
        <w:fldChar w:fldCharType="begin"/>
      </w:r>
      <w:r w:rsidR="003D03D3" w:rsidRPr="002E08DB">
        <w:instrText xml:space="preserve"> REF _Ref24967234 \h </w:instrText>
      </w:r>
      <w:r w:rsidR="002E08DB" w:rsidRPr="00D955B0">
        <w:instrText xml:space="preserve"> \* MERGEFORMAT </w:instrText>
      </w:r>
      <w:r w:rsidR="003D03D3" w:rsidRPr="00854A2A">
        <w:fldChar w:fldCharType="separate"/>
      </w:r>
      <w:r w:rsidR="00277F6E" w:rsidRPr="00277F6E">
        <w:t>Table 3</w:t>
      </w:r>
      <w:r w:rsidR="00277F6E" w:rsidRPr="00277F6E">
        <w:noBreakHyphen/>
        <w:t>2</w:t>
      </w:r>
      <w:r w:rsidR="003D03D3" w:rsidRPr="00854A2A">
        <w:fldChar w:fldCharType="end"/>
      </w:r>
      <w:r w:rsidR="003D03D3">
        <w:t xml:space="preserve"> is the best available information</w:t>
      </w:r>
      <w:r w:rsidR="005D4C3F">
        <w:t xml:space="preserve"> collected by TSV.</w:t>
      </w:r>
    </w:p>
    <w:p w14:paraId="68528B30" w14:textId="6B620207" w:rsidR="003E5C54" w:rsidRPr="00E40596" w:rsidRDefault="003E5C54" w:rsidP="003E5C54">
      <w:pPr>
        <w:pStyle w:val="Heading3"/>
      </w:pPr>
      <w:bookmarkStart w:id="218" w:name="_Toc45704334"/>
      <w:r>
        <w:t>Bus-related f</w:t>
      </w:r>
      <w:r w:rsidRPr="00E40596">
        <w:t>atalities</w:t>
      </w:r>
      <w:bookmarkEnd w:id="217"/>
      <w:bookmarkEnd w:id="218"/>
      <w:r w:rsidRPr="00E40596">
        <w:t xml:space="preserve"> </w:t>
      </w:r>
    </w:p>
    <w:p w14:paraId="7F07170F" w14:textId="384A07B3" w:rsidR="003E5C54" w:rsidRPr="006374ED" w:rsidRDefault="00BA22C0" w:rsidP="00CB77AF">
      <w:r w:rsidRPr="00F87034">
        <w:fldChar w:fldCharType="begin"/>
      </w:r>
      <w:r w:rsidRPr="00B51BF8">
        <w:instrText xml:space="preserve"> REF _Ref30492759 \h </w:instrText>
      </w:r>
      <w:r w:rsidR="00F87034" w:rsidRPr="008E56CA">
        <w:instrText xml:space="preserve"> \* MERGEFORMAT </w:instrText>
      </w:r>
      <w:r w:rsidRPr="00F87034">
        <w:fldChar w:fldCharType="separate"/>
      </w:r>
      <w:r w:rsidR="00277F6E" w:rsidRPr="00277F6E">
        <w:t>Table 3</w:t>
      </w:r>
      <w:r w:rsidR="00277F6E" w:rsidRPr="00277F6E">
        <w:noBreakHyphen/>
        <w:t>3</w:t>
      </w:r>
      <w:r w:rsidRPr="00F87034">
        <w:fldChar w:fldCharType="end"/>
      </w:r>
      <w:r>
        <w:t xml:space="preserve"> </w:t>
      </w:r>
      <w:r w:rsidR="00C854AB">
        <w:t>shows the number of bus related fatalities</w:t>
      </w:r>
      <w:r w:rsidR="00AF053F">
        <w:t xml:space="preserve"> from 2011 to 2019 by the cause of the fatality. </w:t>
      </w:r>
      <w:bookmarkStart w:id="219" w:name="_Ref24967654"/>
    </w:p>
    <w:p w14:paraId="4E0C872B" w14:textId="4C9EC860" w:rsidR="00E1170B" w:rsidRDefault="003E5C54" w:rsidP="005E479A">
      <w:pPr>
        <w:pStyle w:val="Caption"/>
        <w:keepNext/>
        <w:spacing w:after="60"/>
        <w:rPr>
          <w:b/>
          <w:i w:val="0"/>
        </w:rPr>
      </w:pPr>
      <w:bookmarkStart w:id="220" w:name="_Ref30492759"/>
      <w:bookmarkStart w:id="221" w:name="_Toc44603380"/>
      <w:bookmarkStart w:id="222" w:name="_Toc44437355"/>
      <w:bookmarkStart w:id="223" w:name="_Toc44597426"/>
      <w:bookmarkStart w:id="224" w:name="_Toc44597490"/>
      <w:bookmarkStart w:id="225" w:name="_Toc44600060"/>
      <w:bookmarkStart w:id="226" w:name="_Toc44600515"/>
      <w:bookmarkStart w:id="227" w:name="_Toc44600682"/>
      <w:bookmarkStart w:id="228" w:name="_Toc44601179"/>
      <w:bookmarkStart w:id="229" w:name="_Toc44601232"/>
      <w:bookmarkStart w:id="230" w:name="_Toc45704428"/>
      <w:r w:rsidRPr="001A6CEA">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3</w:t>
      </w:r>
      <w:r w:rsidR="00D2483C">
        <w:rPr>
          <w:b/>
          <w:i w:val="0"/>
        </w:rPr>
        <w:fldChar w:fldCharType="end"/>
      </w:r>
      <w:bookmarkEnd w:id="219"/>
      <w:bookmarkEnd w:id="220"/>
      <w:r w:rsidRPr="001A6CEA">
        <w:rPr>
          <w:b/>
          <w:i w:val="0"/>
        </w:rPr>
        <w:t xml:space="preserve">: Fatalities by occurrence type </w:t>
      </w:r>
      <w:r w:rsidR="00287399">
        <w:rPr>
          <w:b/>
          <w:i w:val="0"/>
        </w:rPr>
        <w:t>– 2011-2019</w:t>
      </w:r>
      <w:bookmarkEnd w:id="221"/>
      <w:bookmarkEnd w:id="222"/>
      <w:bookmarkEnd w:id="223"/>
      <w:bookmarkEnd w:id="224"/>
      <w:bookmarkEnd w:id="225"/>
      <w:bookmarkEnd w:id="226"/>
      <w:bookmarkEnd w:id="227"/>
      <w:bookmarkEnd w:id="228"/>
      <w:bookmarkEnd w:id="229"/>
      <w:bookmarkEnd w:id="230"/>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702"/>
        <w:gridCol w:w="702"/>
        <w:gridCol w:w="702"/>
        <w:gridCol w:w="702"/>
        <w:gridCol w:w="702"/>
        <w:gridCol w:w="702"/>
        <w:gridCol w:w="702"/>
        <w:gridCol w:w="702"/>
        <w:gridCol w:w="702"/>
        <w:gridCol w:w="702"/>
      </w:tblGrid>
      <w:tr w:rsidR="002A558B" w:rsidRPr="001A6CEA" w14:paraId="199E62D6" w14:textId="77777777" w:rsidTr="00352F0E">
        <w:trPr>
          <w:cantSplit/>
          <w:trHeight w:val="288"/>
          <w:tblHeader/>
        </w:trPr>
        <w:tc>
          <w:tcPr>
            <w:tcW w:w="2012" w:type="dxa"/>
            <w:shd w:val="clear" w:color="auto" w:fill="D6ECED"/>
            <w:noWrap/>
            <w:vAlign w:val="bottom"/>
            <w:hideMark/>
          </w:tcPr>
          <w:p w14:paraId="01D8BE1D" w14:textId="7837AC87" w:rsidR="00632589" w:rsidRPr="001A6CEA" w:rsidRDefault="001A6CEA" w:rsidP="00352F0E">
            <w:pPr>
              <w:keepNext/>
              <w:spacing w:before="60" w:after="60"/>
              <w:rPr>
                <w:rFonts w:eastAsia="Times New Roman" w:cstheme="minorHAnsi"/>
                <w:b/>
                <w:color w:val="000000"/>
                <w:sz w:val="18"/>
                <w:lang w:eastAsia="en-AU"/>
              </w:rPr>
            </w:pPr>
            <w:r w:rsidRPr="001A6CEA">
              <w:rPr>
                <w:rFonts w:eastAsia="Times New Roman" w:cstheme="minorHAnsi"/>
                <w:b/>
                <w:bCs/>
                <w:color w:val="000000"/>
                <w:sz w:val="18"/>
                <w:lang w:eastAsia="en-AU"/>
              </w:rPr>
              <w:t xml:space="preserve">Incident </w:t>
            </w:r>
            <w:r w:rsidR="00455326">
              <w:rPr>
                <w:rFonts w:eastAsia="Times New Roman" w:cstheme="minorHAnsi"/>
                <w:b/>
                <w:bCs/>
                <w:color w:val="000000"/>
                <w:sz w:val="18"/>
                <w:lang w:eastAsia="en-AU"/>
              </w:rPr>
              <w:t>t</w:t>
            </w:r>
            <w:r w:rsidRPr="001A6CEA">
              <w:rPr>
                <w:rFonts w:eastAsia="Times New Roman" w:cstheme="minorHAnsi"/>
                <w:b/>
                <w:bCs/>
                <w:color w:val="000000"/>
                <w:sz w:val="18"/>
                <w:lang w:eastAsia="en-AU"/>
              </w:rPr>
              <w:t>ype</w:t>
            </w:r>
          </w:p>
        </w:tc>
        <w:tc>
          <w:tcPr>
            <w:tcW w:w="706" w:type="dxa"/>
            <w:shd w:val="clear" w:color="auto" w:fill="D6ECED"/>
            <w:noWrap/>
            <w:vAlign w:val="bottom"/>
            <w:hideMark/>
          </w:tcPr>
          <w:p w14:paraId="73021ED2"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2011</w:t>
            </w:r>
          </w:p>
        </w:tc>
        <w:tc>
          <w:tcPr>
            <w:tcW w:w="706" w:type="dxa"/>
            <w:shd w:val="clear" w:color="auto" w:fill="D6ECED"/>
            <w:noWrap/>
            <w:vAlign w:val="bottom"/>
            <w:hideMark/>
          </w:tcPr>
          <w:p w14:paraId="336558A7"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2012</w:t>
            </w:r>
          </w:p>
        </w:tc>
        <w:tc>
          <w:tcPr>
            <w:tcW w:w="706" w:type="dxa"/>
            <w:shd w:val="clear" w:color="auto" w:fill="D6ECED"/>
            <w:noWrap/>
            <w:vAlign w:val="bottom"/>
            <w:hideMark/>
          </w:tcPr>
          <w:p w14:paraId="5206BA89"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2013</w:t>
            </w:r>
          </w:p>
        </w:tc>
        <w:tc>
          <w:tcPr>
            <w:tcW w:w="706" w:type="dxa"/>
            <w:shd w:val="clear" w:color="auto" w:fill="D6ECED"/>
            <w:noWrap/>
            <w:vAlign w:val="bottom"/>
            <w:hideMark/>
          </w:tcPr>
          <w:p w14:paraId="672EF8A0"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2014</w:t>
            </w:r>
          </w:p>
        </w:tc>
        <w:tc>
          <w:tcPr>
            <w:tcW w:w="706" w:type="dxa"/>
            <w:shd w:val="clear" w:color="auto" w:fill="D6ECED"/>
            <w:noWrap/>
            <w:vAlign w:val="bottom"/>
            <w:hideMark/>
          </w:tcPr>
          <w:p w14:paraId="100510AF"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2015</w:t>
            </w:r>
          </w:p>
        </w:tc>
        <w:tc>
          <w:tcPr>
            <w:tcW w:w="706" w:type="dxa"/>
            <w:shd w:val="clear" w:color="auto" w:fill="D6ECED"/>
            <w:noWrap/>
            <w:vAlign w:val="bottom"/>
            <w:hideMark/>
          </w:tcPr>
          <w:p w14:paraId="2D5DB509"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2016</w:t>
            </w:r>
          </w:p>
        </w:tc>
        <w:tc>
          <w:tcPr>
            <w:tcW w:w="706" w:type="dxa"/>
            <w:shd w:val="clear" w:color="auto" w:fill="D6ECED"/>
            <w:noWrap/>
            <w:vAlign w:val="bottom"/>
            <w:hideMark/>
          </w:tcPr>
          <w:p w14:paraId="7EF6DB3B"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2017</w:t>
            </w:r>
          </w:p>
        </w:tc>
        <w:tc>
          <w:tcPr>
            <w:tcW w:w="706" w:type="dxa"/>
            <w:shd w:val="clear" w:color="auto" w:fill="D6ECED"/>
            <w:noWrap/>
            <w:vAlign w:val="bottom"/>
            <w:hideMark/>
          </w:tcPr>
          <w:p w14:paraId="5F4552C7"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2018</w:t>
            </w:r>
          </w:p>
        </w:tc>
        <w:tc>
          <w:tcPr>
            <w:tcW w:w="706" w:type="dxa"/>
            <w:shd w:val="clear" w:color="auto" w:fill="D6ECED"/>
            <w:noWrap/>
            <w:vAlign w:val="bottom"/>
            <w:hideMark/>
          </w:tcPr>
          <w:p w14:paraId="01858F50"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2019</w:t>
            </w:r>
          </w:p>
        </w:tc>
        <w:tc>
          <w:tcPr>
            <w:tcW w:w="706" w:type="dxa"/>
            <w:shd w:val="clear" w:color="auto" w:fill="D6ECED"/>
            <w:noWrap/>
            <w:vAlign w:val="bottom"/>
            <w:hideMark/>
          </w:tcPr>
          <w:p w14:paraId="7BD79C91" w14:textId="63F2B8EC" w:rsidR="00632589" w:rsidRPr="005D01D9" w:rsidRDefault="00632589" w:rsidP="00352F0E">
            <w:pPr>
              <w:keepNext/>
              <w:spacing w:before="60" w:after="60"/>
              <w:rPr>
                <w:rFonts w:eastAsia="Times New Roman" w:cstheme="minorHAnsi"/>
                <w:b/>
                <w:color w:val="000000"/>
                <w:sz w:val="18"/>
                <w:lang w:eastAsia="en-AU"/>
              </w:rPr>
            </w:pPr>
            <w:r w:rsidRPr="005D01D9">
              <w:rPr>
                <w:rFonts w:eastAsia="Times New Roman" w:cstheme="minorHAnsi"/>
                <w:b/>
                <w:color w:val="000000"/>
                <w:sz w:val="18"/>
                <w:lang w:eastAsia="en-AU"/>
              </w:rPr>
              <w:t>Total</w:t>
            </w:r>
          </w:p>
        </w:tc>
      </w:tr>
      <w:tr w:rsidR="00632589" w:rsidRPr="001A6CEA" w14:paraId="616D407E" w14:textId="77777777" w:rsidTr="00352F0E">
        <w:trPr>
          <w:cantSplit/>
          <w:trHeight w:val="288"/>
        </w:trPr>
        <w:tc>
          <w:tcPr>
            <w:tcW w:w="2012" w:type="dxa"/>
            <w:shd w:val="clear" w:color="auto" w:fill="auto"/>
            <w:noWrap/>
            <w:vAlign w:val="bottom"/>
            <w:hideMark/>
          </w:tcPr>
          <w:p w14:paraId="6C426A01" w14:textId="77777777" w:rsidR="00632589" w:rsidRPr="001A6CEA" w:rsidRDefault="00632589" w:rsidP="00352F0E">
            <w:pPr>
              <w:keepNext/>
              <w:spacing w:before="60" w:after="60"/>
              <w:rPr>
                <w:rFonts w:eastAsia="Times New Roman" w:cstheme="minorHAnsi"/>
                <w:color w:val="000000"/>
                <w:sz w:val="18"/>
                <w:lang w:eastAsia="en-AU"/>
              </w:rPr>
            </w:pPr>
            <w:r w:rsidRPr="001A6CEA">
              <w:rPr>
                <w:rFonts w:eastAsia="Times New Roman" w:cstheme="minorHAnsi"/>
                <w:color w:val="000000"/>
                <w:sz w:val="18"/>
                <w:lang w:eastAsia="en-AU"/>
              </w:rPr>
              <w:t>Alleged Assault</w:t>
            </w:r>
          </w:p>
        </w:tc>
        <w:tc>
          <w:tcPr>
            <w:tcW w:w="706" w:type="dxa"/>
            <w:shd w:val="clear" w:color="auto" w:fill="auto"/>
            <w:noWrap/>
            <w:vAlign w:val="bottom"/>
            <w:hideMark/>
          </w:tcPr>
          <w:p w14:paraId="4AE9A664" w14:textId="77777777" w:rsidR="00632589" w:rsidRPr="001A6CEA" w:rsidRDefault="00632589" w:rsidP="00352F0E">
            <w:pPr>
              <w:keepNext/>
              <w:spacing w:before="60" w:after="60"/>
              <w:rPr>
                <w:rFonts w:eastAsia="Times New Roman" w:cstheme="minorHAnsi"/>
                <w:color w:val="000000"/>
                <w:sz w:val="18"/>
                <w:lang w:eastAsia="en-AU"/>
              </w:rPr>
            </w:pPr>
          </w:p>
        </w:tc>
        <w:tc>
          <w:tcPr>
            <w:tcW w:w="706" w:type="dxa"/>
            <w:shd w:val="clear" w:color="auto" w:fill="auto"/>
            <w:noWrap/>
            <w:vAlign w:val="bottom"/>
            <w:hideMark/>
          </w:tcPr>
          <w:p w14:paraId="00A13841"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43F7B4A2"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10D98C56"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04E98A40"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0E6965E9"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7C775902"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099E98DE"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245B28EF"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583E19B6" w14:textId="77777777" w:rsidR="00632589" w:rsidRPr="005D01D9" w:rsidRDefault="00632589" w:rsidP="00352F0E">
            <w:pPr>
              <w:keepNext/>
              <w:spacing w:before="60" w:after="60"/>
              <w:jc w:val="right"/>
              <w:rPr>
                <w:rFonts w:eastAsia="Times New Roman" w:cstheme="minorHAnsi"/>
                <w:b/>
                <w:color w:val="000000"/>
                <w:sz w:val="18"/>
                <w:lang w:eastAsia="en-AU"/>
              </w:rPr>
            </w:pPr>
            <w:r w:rsidRPr="005D01D9">
              <w:rPr>
                <w:rFonts w:eastAsia="Times New Roman" w:cstheme="minorHAnsi"/>
                <w:b/>
                <w:color w:val="000000"/>
                <w:sz w:val="18"/>
                <w:lang w:eastAsia="en-AU"/>
              </w:rPr>
              <w:t>1</w:t>
            </w:r>
          </w:p>
        </w:tc>
      </w:tr>
      <w:tr w:rsidR="00632589" w:rsidRPr="001A6CEA" w14:paraId="0BD4D877" w14:textId="77777777" w:rsidTr="00352F0E">
        <w:trPr>
          <w:cantSplit/>
          <w:trHeight w:val="288"/>
        </w:trPr>
        <w:tc>
          <w:tcPr>
            <w:tcW w:w="2012" w:type="dxa"/>
            <w:shd w:val="clear" w:color="auto" w:fill="auto"/>
            <w:noWrap/>
            <w:vAlign w:val="bottom"/>
            <w:hideMark/>
          </w:tcPr>
          <w:p w14:paraId="375018C3" w14:textId="77777777" w:rsidR="00632589" w:rsidRPr="001A6CEA" w:rsidRDefault="00632589" w:rsidP="00352F0E">
            <w:pPr>
              <w:keepNext/>
              <w:spacing w:before="60" w:after="60"/>
              <w:rPr>
                <w:rFonts w:eastAsia="Times New Roman" w:cstheme="minorHAnsi"/>
                <w:color w:val="000000"/>
                <w:sz w:val="18"/>
                <w:lang w:eastAsia="en-AU"/>
              </w:rPr>
            </w:pPr>
            <w:r w:rsidRPr="001A6CEA">
              <w:rPr>
                <w:rFonts w:eastAsia="Times New Roman" w:cstheme="minorHAnsi"/>
                <w:color w:val="000000"/>
                <w:sz w:val="18"/>
                <w:lang w:eastAsia="en-AU"/>
              </w:rPr>
              <w:t>Collision - Bicycle</w:t>
            </w:r>
          </w:p>
        </w:tc>
        <w:tc>
          <w:tcPr>
            <w:tcW w:w="706" w:type="dxa"/>
            <w:shd w:val="clear" w:color="auto" w:fill="auto"/>
            <w:noWrap/>
            <w:vAlign w:val="bottom"/>
            <w:hideMark/>
          </w:tcPr>
          <w:p w14:paraId="16D2B567"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2C85EB9D"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28ACAC8B"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2</w:t>
            </w:r>
          </w:p>
        </w:tc>
        <w:tc>
          <w:tcPr>
            <w:tcW w:w="706" w:type="dxa"/>
            <w:shd w:val="clear" w:color="auto" w:fill="auto"/>
            <w:noWrap/>
            <w:vAlign w:val="bottom"/>
            <w:hideMark/>
          </w:tcPr>
          <w:p w14:paraId="0364276B"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3448DBF5"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6A2B26A9"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14770760"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3562A985"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250E1D46"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2985C49F" w14:textId="77777777" w:rsidR="00632589" w:rsidRPr="005D01D9" w:rsidRDefault="00632589" w:rsidP="00352F0E">
            <w:pPr>
              <w:keepNext/>
              <w:spacing w:before="60" w:after="60"/>
              <w:jc w:val="right"/>
              <w:rPr>
                <w:rFonts w:eastAsia="Times New Roman" w:cstheme="minorHAnsi"/>
                <w:b/>
                <w:color w:val="000000"/>
                <w:sz w:val="18"/>
                <w:lang w:eastAsia="en-AU"/>
              </w:rPr>
            </w:pPr>
            <w:r w:rsidRPr="005D01D9">
              <w:rPr>
                <w:rFonts w:eastAsia="Times New Roman" w:cstheme="minorHAnsi"/>
                <w:b/>
                <w:color w:val="000000"/>
                <w:sz w:val="18"/>
                <w:lang w:eastAsia="en-AU"/>
              </w:rPr>
              <w:t>3</w:t>
            </w:r>
          </w:p>
        </w:tc>
      </w:tr>
      <w:tr w:rsidR="00632589" w:rsidRPr="001A6CEA" w14:paraId="7CAD870C" w14:textId="77777777" w:rsidTr="00352F0E">
        <w:trPr>
          <w:cantSplit/>
          <w:trHeight w:val="288"/>
        </w:trPr>
        <w:tc>
          <w:tcPr>
            <w:tcW w:w="2012" w:type="dxa"/>
            <w:shd w:val="clear" w:color="auto" w:fill="auto"/>
            <w:noWrap/>
            <w:vAlign w:val="bottom"/>
            <w:hideMark/>
          </w:tcPr>
          <w:p w14:paraId="7F80F264" w14:textId="77777777" w:rsidR="00632589" w:rsidRPr="001A6CEA" w:rsidRDefault="00632589" w:rsidP="00352F0E">
            <w:pPr>
              <w:keepNext/>
              <w:spacing w:before="60" w:after="60"/>
              <w:rPr>
                <w:rFonts w:eastAsia="Times New Roman" w:cstheme="minorHAnsi"/>
                <w:color w:val="000000"/>
                <w:sz w:val="18"/>
                <w:lang w:eastAsia="en-AU"/>
              </w:rPr>
            </w:pPr>
            <w:r w:rsidRPr="001A6CEA">
              <w:rPr>
                <w:rFonts w:eastAsia="Times New Roman" w:cstheme="minorHAnsi"/>
                <w:color w:val="000000"/>
                <w:sz w:val="18"/>
                <w:lang w:eastAsia="en-AU"/>
              </w:rPr>
              <w:t>Collision - Car</w:t>
            </w:r>
          </w:p>
        </w:tc>
        <w:tc>
          <w:tcPr>
            <w:tcW w:w="706" w:type="dxa"/>
            <w:shd w:val="clear" w:color="auto" w:fill="auto"/>
            <w:noWrap/>
            <w:vAlign w:val="bottom"/>
            <w:hideMark/>
          </w:tcPr>
          <w:p w14:paraId="10DFEA21" w14:textId="77777777" w:rsidR="00632589" w:rsidRPr="001A6CEA" w:rsidRDefault="00632589" w:rsidP="00352F0E">
            <w:pPr>
              <w:keepNext/>
              <w:spacing w:before="60" w:after="60"/>
              <w:rPr>
                <w:rFonts w:eastAsia="Times New Roman" w:cstheme="minorHAnsi"/>
                <w:color w:val="000000"/>
                <w:sz w:val="18"/>
                <w:lang w:eastAsia="en-AU"/>
              </w:rPr>
            </w:pPr>
          </w:p>
        </w:tc>
        <w:tc>
          <w:tcPr>
            <w:tcW w:w="706" w:type="dxa"/>
            <w:shd w:val="clear" w:color="auto" w:fill="auto"/>
            <w:noWrap/>
            <w:vAlign w:val="bottom"/>
            <w:hideMark/>
          </w:tcPr>
          <w:p w14:paraId="7925BAF1"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3781B047"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05547009"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135AAD63"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6</w:t>
            </w:r>
          </w:p>
        </w:tc>
        <w:tc>
          <w:tcPr>
            <w:tcW w:w="706" w:type="dxa"/>
            <w:shd w:val="clear" w:color="auto" w:fill="auto"/>
            <w:noWrap/>
            <w:vAlign w:val="bottom"/>
            <w:hideMark/>
          </w:tcPr>
          <w:p w14:paraId="18BA7793"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4489F641"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4</w:t>
            </w:r>
          </w:p>
        </w:tc>
        <w:tc>
          <w:tcPr>
            <w:tcW w:w="706" w:type="dxa"/>
            <w:shd w:val="clear" w:color="auto" w:fill="auto"/>
            <w:noWrap/>
            <w:vAlign w:val="bottom"/>
            <w:hideMark/>
          </w:tcPr>
          <w:p w14:paraId="7BB8E9C3"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7FECC8FC"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39E76229" w14:textId="77777777" w:rsidR="00632589" w:rsidRPr="005D01D9" w:rsidRDefault="00632589" w:rsidP="00352F0E">
            <w:pPr>
              <w:keepNext/>
              <w:spacing w:before="60" w:after="60"/>
              <w:jc w:val="right"/>
              <w:rPr>
                <w:rFonts w:eastAsia="Times New Roman" w:cstheme="minorHAnsi"/>
                <w:b/>
                <w:color w:val="000000"/>
                <w:sz w:val="18"/>
                <w:lang w:eastAsia="en-AU"/>
              </w:rPr>
            </w:pPr>
            <w:r w:rsidRPr="005D01D9">
              <w:rPr>
                <w:rFonts w:eastAsia="Times New Roman" w:cstheme="minorHAnsi"/>
                <w:b/>
                <w:color w:val="000000"/>
                <w:sz w:val="18"/>
                <w:lang w:eastAsia="en-AU"/>
              </w:rPr>
              <w:t>13</w:t>
            </w:r>
          </w:p>
        </w:tc>
      </w:tr>
      <w:tr w:rsidR="00632589" w:rsidRPr="001A6CEA" w14:paraId="6961675E" w14:textId="77777777" w:rsidTr="00352F0E">
        <w:trPr>
          <w:cantSplit/>
          <w:trHeight w:val="288"/>
        </w:trPr>
        <w:tc>
          <w:tcPr>
            <w:tcW w:w="2012" w:type="dxa"/>
            <w:shd w:val="clear" w:color="auto" w:fill="auto"/>
            <w:noWrap/>
            <w:vAlign w:val="bottom"/>
            <w:hideMark/>
          </w:tcPr>
          <w:p w14:paraId="2822D47E" w14:textId="77777777" w:rsidR="00632589" w:rsidRPr="001A6CEA" w:rsidRDefault="00632589" w:rsidP="00352F0E">
            <w:pPr>
              <w:keepNext/>
              <w:spacing w:before="60" w:after="60"/>
              <w:rPr>
                <w:rFonts w:eastAsia="Times New Roman" w:cstheme="minorHAnsi"/>
                <w:color w:val="000000"/>
                <w:sz w:val="18"/>
                <w:lang w:eastAsia="en-AU"/>
              </w:rPr>
            </w:pPr>
            <w:r w:rsidRPr="001A6CEA">
              <w:rPr>
                <w:rFonts w:eastAsia="Times New Roman" w:cstheme="minorHAnsi"/>
                <w:color w:val="000000"/>
                <w:sz w:val="18"/>
                <w:lang w:eastAsia="en-AU"/>
              </w:rPr>
              <w:t>Collision - Motorbike</w:t>
            </w:r>
          </w:p>
        </w:tc>
        <w:tc>
          <w:tcPr>
            <w:tcW w:w="706" w:type="dxa"/>
            <w:shd w:val="clear" w:color="auto" w:fill="auto"/>
            <w:noWrap/>
            <w:vAlign w:val="bottom"/>
            <w:hideMark/>
          </w:tcPr>
          <w:p w14:paraId="5B3EA66F" w14:textId="77777777" w:rsidR="00632589" w:rsidRPr="001A6CEA" w:rsidRDefault="00632589" w:rsidP="00352F0E">
            <w:pPr>
              <w:keepNext/>
              <w:spacing w:before="60" w:after="60"/>
              <w:rPr>
                <w:rFonts w:eastAsia="Times New Roman" w:cstheme="minorHAnsi"/>
                <w:color w:val="000000"/>
                <w:sz w:val="18"/>
                <w:lang w:eastAsia="en-AU"/>
              </w:rPr>
            </w:pPr>
          </w:p>
        </w:tc>
        <w:tc>
          <w:tcPr>
            <w:tcW w:w="706" w:type="dxa"/>
            <w:shd w:val="clear" w:color="auto" w:fill="auto"/>
            <w:noWrap/>
            <w:vAlign w:val="bottom"/>
            <w:hideMark/>
          </w:tcPr>
          <w:p w14:paraId="0D83E72A"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1847ECE2"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1A575D8A"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24AC3CE5"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7EA8D4C9"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2DF81AAE"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22246233"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68D801F6"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41D0267D" w14:textId="77777777" w:rsidR="00632589" w:rsidRPr="005D01D9" w:rsidRDefault="00632589" w:rsidP="00352F0E">
            <w:pPr>
              <w:keepNext/>
              <w:spacing w:before="60" w:after="60"/>
              <w:jc w:val="right"/>
              <w:rPr>
                <w:rFonts w:eastAsia="Times New Roman" w:cstheme="minorHAnsi"/>
                <w:b/>
                <w:color w:val="000000"/>
                <w:sz w:val="18"/>
                <w:lang w:eastAsia="en-AU"/>
              </w:rPr>
            </w:pPr>
            <w:r w:rsidRPr="005D01D9">
              <w:rPr>
                <w:rFonts w:eastAsia="Times New Roman" w:cstheme="minorHAnsi"/>
                <w:b/>
                <w:color w:val="000000"/>
                <w:sz w:val="18"/>
                <w:lang w:eastAsia="en-AU"/>
              </w:rPr>
              <w:t>4</w:t>
            </w:r>
          </w:p>
        </w:tc>
      </w:tr>
      <w:tr w:rsidR="00632589" w:rsidRPr="001A6CEA" w14:paraId="00302FA8" w14:textId="77777777" w:rsidTr="00352F0E">
        <w:trPr>
          <w:cantSplit/>
          <w:trHeight w:val="288"/>
        </w:trPr>
        <w:tc>
          <w:tcPr>
            <w:tcW w:w="2012" w:type="dxa"/>
            <w:shd w:val="clear" w:color="auto" w:fill="auto"/>
            <w:noWrap/>
            <w:vAlign w:val="bottom"/>
            <w:hideMark/>
          </w:tcPr>
          <w:p w14:paraId="58C778CF" w14:textId="77777777" w:rsidR="00632589" w:rsidRPr="001A6CEA" w:rsidRDefault="00632589" w:rsidP="00352F0E">
            <w:pPr>
              <w:keepNext/>
              <w:spacing w:before="60" w:after="60"/>
              <w:rPr>
                <w:rFonts w:eastAsia="Times New Roman" w:cstheme="minorHAnsi"/>
                <w:color w:val="000000"/>
                <w:sz w:val="18"/>
                <w:lang w:eastAsia="en-AU"/>
              </w:rPr>
            </w:pPr>
            <w:r w:rsidRPr="001A6CEA">
              <w:rPr>
                <w:rFonts w:eastAsia="Times New Roman" w:cstheme="minorHAnsi"/>
                <w:color w:val="000000"/>
                <w:sz w:val="18"/>
                <w:lang w:eastAsia="en-AU"/>
              </w:rPr>
              <w:t>Collision - Person</w:t>
            </w:r>
          </w:p>
        </w:tc>
        <w:tc>
          <w:tcPr>
            <w:tcW w:w="706" w:type="dxa"/>
            <w:shd w:val="clear" w:color="auto" w:fill="auto"/>
            <w:noWrap/>
            <w:vAlign w:val="bottom"/>
            <w:hideMark/>
          </w:tcPr>
          <w:p w14:paraId="77727A1B"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7DC36700"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2</w:t>
            </w:r>
          </w:p>
        </w:tc>
        <w:tc>
          <w:tcPr>
            <w:tcW w:w="706" w:type="dxa"/>
            <w:shd w:val="clear" w:color="auto" w:fill="auto"/>
            <w:noWrap/>
            <w:vAlign w:val="bottom"/>
            <w:hideMark/>
          </w:tcPr>
          <w:p w14:paraId="4C535B51"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34E3170E"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06F84BC1"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7E7EF284"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672AB620"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6C99D359"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2</w:t>
            </w:r>
          </w:p>
        </w:tc>
        <w:tc>
          <w:tcPr>
            <w:tcW w:w="706" w:type="dxa"/>
            <w:shd w:val="clear" w:color="auto" w:fill="auto"/>
            <w:noWrap/>
            <w:vAlign w:val="bottom"/>
            <w:hideMark/>
          </w:tcPr>
          <w:p w14:paraId="644DE27C"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2</w:t>
            </w:r>
          </w:p>
        </w:tc>
        <w:tc>
          <w:tcPr>
            <w:tcW w:w="706" w:type="dxa"/>
            <w:shd w:val="clear" w:color="auto" w:fill="auto"/>
            <w:noWrap/>
            <w:vAlign w:val="bottom"/>
            <w:hideMark/>
          </w:tcPr>
          <w:p w14:paraId="1AF69148" w14:textId="77777777" w:rsidR="00632589" w:rsidRPr="005D01D9" w:rsidRDefault="00632589" w:rsidP="00352F0E">
            <w:pPr>
              <w:keepNext/>
              <w:spacing w:before="60" w:after="60"/>
              <w:jc w:val="right"/>
              <w:rPr>
                <w:rFonts w:eastAsia="Times New Roman" w:cstheme="minorHAnsi"/>
                <w:b/>
                <w:color w:val="000000"/>
                <w:sz w:val="18"/>
                <w:lang w:eastAsia="en-AU"/>
              </w:rPr>
            </w:pPr>
            <w:r w:rsidRPr="005D01D9">
              <w:rPr>
                <w:rFonts w:eastAsia="Times New Roman" w:cstheme="minorHAnsi"/>
                <w:b/>
                <w:color w:val="000000"/>
                <w:sz w:val="18"/>
                <w:lang w:eastAsia="en-AU"/>
              </w:rPr>
              <w:t>12</w:t>
            </w:r>
          </w:p>
        </w:tc>
      </w:tr>
      <w:tr w:rsidR="00632589" w:rsidRPr="001A6CEA" w14:paraId="7ECB696F" w14:textId="77777777" w:rsidTr="00352F0E">
        <w:trPr>
          <w:cantSplit/>
          <w:trHeight w:val="288"/>
        </w:trPr>
        <w:tc>
          <w:tcPr>
            <w:tcW w:w="2012" w:type="dxa"/>
            <w:shd w:val="clear" w:color="auto" w:fill="auto"/>
            <w:noWrap/>
            <w:vAlign w:val="bottom"/>
            <w:hideMark/>
          </w:tcPr>
          <w:p w14:paraId="53A0F1DC" w14:textId="77777777" w:rsidR="00632589" w:rsidRPr="001A6CEA" w:rsidRDefault="00632589" w:rsidP="00352F0E">
            <w:pPr>
              <w:keepNext/>
              <w:spacing w:before="60" w:after="60"/>
              <w:rPr>
                <w:rFonts w:eastAsia="Times New Roman" w:cstheme="minorHAnsi"/>
                <w:color w:val="000000"/>
                <w:sz w:val="18"/>
                <w:lang w:eastAsia="en-AU"/>
              </w:rPr>
            </w:pPr>
            <w:r w:rsidRPr="001A6CEA">
              <w:rPr>
                <w:rFonts w:eastAsia="Times New Roman" w:cstheme="minorHAnsi"/>
                <w:color w:val="000000"/>
                <w:sz w:val="18"/>
                <w:lang w:eastAsia="en-AU"/>
              </w:rPr>
              <w:t>Collision - Truck</w:t>
            </w:r>
          </w:p>
        </w:tc>
        <w:tc>
          <w:tcPr>
            <w:tcW w:w="706" w:type="dxa"/>
            <w:shd w:val="clear" w:color="auto" w:fill="auto"/>
            <w:noWrap/>
            <w:vAlign w:val="bottom"/>
            <w:hideMark/>
          </w:tcPr>
          <w:p w14:paraId="606B56BE" w14:textId="77777777" w:rsidR="00632589" w:rsidRPr="001A6CEA" w:rsidRDefault="00632589" w:rsidP="00352F0E">
            <w:pPr>
              <w:keepNext/>
              <w:spacing w:before="60" w:after="60"/>
              <w:rPr>
                <w:rFonts w:eastAsia="Times New Roman" w:cstheme="minorHAnsi"/>
                <w:color w:val="000000"/>
                <w:sz w:val="18"/>
                <w:lang w:eastAsia="en-AU"/>
              </w:rPr>
            </w:pPr>
          </w:p>
        </w:tc>
        <w:tc>
          <w:tcPr>
            <w:tcW w:w="706" w:type="dxa"/>
            <w:shd w:val="clear" w:color="auto" w:fill="auto"/>
            <w:noWrap/>
            <w:vAlign w:val="bottom"/>
            <w:hideMark/>
          </w:tcPr>
          <w:p w14:paraId="10EBACBD"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3C4E8FD9"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2CF152B9"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40FF4359"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1BC77364"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4DA296CC"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717FF748"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553E89EE"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5B3E4434" w14:textId="77777777" w:rsidR="00632589" w:rsidRPr="005D01D9" w:rsidRDefault="00632589" w:rsidP="00352F0E">
            <w:pPr>
              <w:keepNext/>
              <w:spacing w:before="60" w:after="60"/>
              <w:jc w:val="right"/>
              <w:rPr>
                <w:rFonts w:eastAsia="Times New Roman" w:cstheme="minorHAnsi"/>
                <w:b/>
                <w:color w:val="000000"/>
                <w:sz w:val="18"/>
                <w:lang w:eastAsia="en-AU"/>
              </w:rPr>
            </w:pPr>
            <w:r w:rsidRPr="005D01D9">
              <w:rPr>
                <w:rFonts w:eastAsia="Times New Roman" w:cstheme="minorHAnsi"/>
                <w:b/>
                <w:color w:val="000000"/>
                <w:sz w:val="18"/>
                <w:lang w:eastAsia="en-AU"/>
              </w:rPr>
              <w:t>2</w:t>
            </w:r>
          </w:p>
        </w:tc>
      </w:tr>
      <w:tr w:rsidR="00632589" w:rsidRPr="001A6CEA" w14:paraId="1385FA7E" w14:textId="77777777" w:rsidTr="00352F0E">
        <w:trPr>
          <w:cantSplit/>
          <w:trHeight w:val="288"/>
        </w:trPr>
        <w:tc>
          <w:tcPr>
            <w:tcW w:w="2012" w:type="dxa"/>
            <w:shd w:val="clear" w:color="auto" w:fill="auto"/>
            <w:noWrap/>
            <w:vAlign w:val="bottom"/>
            <w:hideMark/>
          </w:tcPr>
          <w:p w14:paraId="5C98D2C4" w14:textId="77777777" w:rsidR="00632589" w:rsidRPr="001A6CEA" w:rsidRDefault="00632589" w:rsidP="00352F0E">
            <w:pPr>
              <w:keepNext/>
              <w:spacing w:before="60" w:after="60"/>
              <w:rPr>
                <w:rFonts w:eastAsia="Times New Roman" w:cstheme="minorHAnsi"/>
                <w:color w:val="000000"/>
                <w:sz w:val="18"/>
                <w:lang w:eastAsia="en-AU"/>
              </w:rPr>
            </w:pPr>
            <w:r w:rsidRPr="001A6CEA">
              <w:rPr>
                <w:rFonts w:eastAsia="Times New Roman" w:cstheme="minorHAnsi"/>
                <w:color w:val="000000"/>
                <w:sz w:val="18"/>
                <w:lang w:eastAsia="en-AU"/>
              </w:rPr>
              <w:t>Employee Other Than Driver Injury</w:t>
            </w:r>
          </w:p>
        </w:tc>
        <w:tc>
          <w:tcPr>
            <w:tcW w:w="706" w:type="dxa"/>
            <w:shd w:val="clear" w:color="auto" w:fill="auto"/>
            <w:noWrap/>
            <w:vAlign w:val="bottom"/>
            <w:hideMark/>
          </w:tcPr>
          <w:p w14:paraId="6DDA8463" w14:textId="77777777" w:rsidR="00632589" w:rsidRPr="001A6CEA" w:rsidRDefault="00632589" w:rsidP="00352F0E">
            <w:pPr>
              <w:keepNext/>
              <w:spacing w:before="60" w:after="60"/>
              <w:rPr>
                <w:rFonts w:eastAsia="Times New Roman" w:cstheme="minorHAnsi"/>
                <w:color w:val="000000"/>
                <w:sz w:val="18"/>
                <w:lang w:eastAsia="en-AU"/>
              </w:rPr>
            </w:pPr>
          </w:p>
        </w:tc>
        <w:tc>
          <w:tcPr>
            <w:tcW w:w="706" w:type="dxa"/>
            <w:shd w:val="clear" w:color="auto" w:fill="auto"/>
            <w:noWrap/>
            <w:vAlign w:val="bottom"/>
            <w:hideMark/>
          </w:tcPr>
          <w:p w14:paraId="7315CC56"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264D018B"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73410689"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20A4BC31"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6AD4788B"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7421570B"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3E15263A"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4C6841D5"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56B25C26" w14:textId="77777777" w:rsidR="00632589" w:rsidRPr="005D01D9" w:rsidRDefault="00632589" w:rsidP="00352F0E">
            <w:pPr>
              <w:keepNext/>
              <w:spacing w:before="60" w:after="60"/>
              <w:jc w:val="right"/>
              <w:rPr>
                <w:rFonts w:eastAsia="Times New Roman" w:cstheme="minorHAnsi"/>
                <w:b/>
                <w:color w:val="000000"/>
                <w:sz w:val="18"/>
                <w:lang w:eastAsia="en-AU"/>
              </w:rPr>
            </w:pPr>
            <w:r w:rsidRPr="005D01D9">
              <w:rPr>
                <w:rFonts w:eastAsia="Times New Roman" w:cstheme="minorHAnsi"/>
                <w:b/>
                <w:color w:val="000000"/>
                <w:sz w:val="18"/>
                <w:lang w:eastAsia="en-AU"/>
              </w:rPr>
              <w:t>1</w:t>
            </w:r>
          </w:p>
        </w:tc>
      </w:tr>
      <w:tr w:rsidR="00632589" w:rsidRPr="001A6CEA" w14:paraId="456E7FF9" w14:textId="77777777" w:rsidTr="00352F0E">
        <w:trPr>
          <w:cantSplit/>
          <w:trHeight w:val="288"/>
        </w:trPr>
        <w:tc>
          <w:tcPr>
            <w:tcW w:w="2012" w:type="dxa"/>
            <w:shd w:val="clear" w:color="auto" w:fill="auto"/>
            <w:noWrap/>
            <w:vAlign w:val="bottom"/>
            <w:hideMark/>
          </w:tcPr>
          <w:p w14:paraId="15E781B4" w14:textId="77777777" w:rsidR="00632589" w:rsidRPr="001A6CEA" w:rsidRDefault="00632589" w:rsidP="00352F0E">
            <w:pPr>
              <w:keepNext/>
              <w:spacing w:before="60" w:after="60"/>
              <w:rPr>
                <w:rFonts w:eastAsia="Times New Roman" w:cstheme="minorHAnsi"/>
                <w:color w:val="000000"/>
                <w:sz w:val="18"/>
                <w:lang w:eastAsia="en-AU"/>
              </w:rPr>
            </w:pPr>
            <w:r w:rsidRPr="001A6CEA">
              <w:rPr>
                <w:rFonts w:eastAsia="Times New Roman" w:cstheme="minorHAnsi"/>
                <w:color w:val="000000"/>
                <w:sz w:val="18"/>
                <w:lang w:eastAsia="en-AU"/>
              </w:rPr>
              <w:t>Medical Episode</w:t>
            </w:r>
          </w:p>
        </w:tc>
        <w:tc>
          <w:tcPr>
            <w:tcW w:w="706" w:type="dxa"/>
            <w:shd w:val="clear" w:color="auto" w:fill="auto"/>
            <w:noWrap/>
            <w:vAlign w:val="bottom"/>
            <w:hideMark/>
          </w:tcPr>
          <w:p w14:paraId="6D678644"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3</w:t>
            </w:r>
          </w:p>
        </w:tc>
        <w:tc>
          <w:tcPr>
            <w:tcW w:w="706" w:type="dxa"/>
            <w:shd w:val="clear" w:color="auto" w:fill="auto"/>
            <w:noWrap/>
            <w:vAlign w:val="bottom"/>
            <w:hideMark/>
          </w:tcPr>
          <w:p w14:paraId="3796E187"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3256D794"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2</w:t>
            </w:r>
          </w:p>
        </w:tc>
        <w:tc>
          <w:tcPr>
            <w:tcW w:w="706" w:type="dxa"/>
            <w:shd w:val="clear" w:color="auto" w:fill="auto"/>
            <w:noWrap/>
            <w:vAlign w:val="bottom"/>
            <w:hideMark/>
          </w:tcPr>
          <w:p w14:paraId="489912F2"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3</w:t>
            </w:r>
          </w:p>
        </w:tc>
        <w:tc>
          <w:tcPr>
            <w:tcW w:w="706" w:type="dxa"/>
            <w:shd w:val="clear" w:color="auto" w:fill="auto"/>
            <w:noWrap/>
            <w:vAlign w:val="bottom"/>
            <w:hideMark/>
          </w:tcPr>
          <w:p w14:paraId="3378A103"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35C5B46D"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3</w:t>
            </w:r>
          </w:p>
        </w:tc>
        <w:tc>
          <w:tcPr>
            <w:tcW w:w="706" w:type="dxa"/>
            <w:shd w:val="clear" w:color="auto" w:fill="auto"/>
            <w:noWrap/>
            <w:vAlign w:val="bottom"/>
            <w:hideMark/>
          </w:tcPr>
          <w:p w14:paraId="7CA7863F"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2</w:t>
            </w:r>
          </w:p>
        </w:tc>
        <w:tc>
          <w:tcPr>
            <w:tcW w:w="706" w:type="dxa"/>
            <w:shd w:val="clear" w:color="auto" w:fill="auto"/>
            <w:noWrap/>
            <w:vAlign w:val="bottom"/>
            <w:hideMark/>
          </w:tcPr>
          <w:p w14:paraId="41D6181F"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4D683334"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318138D8" w14:textId="77777777" w:rsidR="00632589" w:rsidRPr="005D01D9" w:rsidRDefault="00632589" w:rsidP="00352F0E">
            <w:pPr>
              <w:keepNext/>
              <w:spacing w:before="60" w:after="60"/>
              <w:jc w:val="right"/>
              <w:rPr>
                <w:rFonts w:eastAsia="Times New Roman" w:cstheme="minorHAnsi"/>
                <w:b/>
                <w:color w:val="000000"/>
                <w:sz w:val="18"/>
                <w:lang w:eastAsia="en-AU"/>
              </w:rPr>
            </w:pPr>
            <w:r w:rsidRPr="005D01D9">
              <w:rPr>
                <w:rFonts w:eastAsia="Times New Roman" w:cstheme="minorHAnsi"/>
                <w:b/>
                <w:color w:val="000000"/>
                <w:sz w:val="18"/>
                <w:lang w:eastAsia="en-AU"/>
              </w:rPr>
              <w:t>15</w:t>
            </w:r>
          </w:p>
        </w:tc>
      </w:tr>
      <w:tr w:rsidR="00632589" w:rsidRPr="001A6CEA" w14:paraId="5529F31C" w14:textId="77777777" w:rsidTr="00352F0E">
        <w:trPr>
          <w:cantSplit/>
          <w:trHeight w:val="288"/>
        </w:trPr>
        <w:tc>
          <w:tcPr>
            <w:tcW w:w="2012" w:type="dxa"/>
            <w:shd w:val="clear" w:color="auto" w:fill="auto"/>
            <w:noWrap/>
            <w:vAlign w:val="bottom"/>
            <w:hideMark/>
          </w:tcPr>
          <w:p w14:paraId="3B305491" w14:textId="77777777" w:rsidR="00632589" w:rsidRPr="001A6CEA" w:rsidRDefault="00632589" w:rsidP="00352F0E">
            <w:pPr>
              <w:keepNext/>
              <w:spacing w:before="60" w:after="60"/>
              <w:rPr>
                <w:rFonts w:eastAsia="Times New Roman" w:cstheme="minorHAnsi"/>
                <w:color w:val="000000"/>
                <w:sz w:val="18"/>
                <w:lang w:eastAsia="en-AU"/>
              </w:rPr>
            </w:pPr>
            <w:r w:rsidRPr="001A6CEA">
              <w:rPr>
                <w:rFonts w:eastAsia="Times New Roman" w:cstheme="minorHAnsi"/>
                <w:color w:val="000000"/>
                <w:sz w:val="18"/>
                <w:lang w:eastAsia="en-AU"/>
              </w:rPr>
              <w:t>Slip, Trip or Fall - Heavy Braking</w:t>
            </w:r>
          </w:p>
        </w:tc>
        <w:tc>
          <w:tcPr>
            <w:tcW w:w="706" w:type="dxa"/>
            <w:shd w:val="clear" w:color="auto" w:fill="auto"/>
            <w:noWrap/>
            <w:vAlign w:val="bottom"/>
            <w:hideMark/>
          </w:tcPr>
          <w:p w14:paraId="482901BD" w14:textId="77777777" w:rsidR="00632589" w:rsidRPr="001A6CEA" w:rsidRDefault="00632589" w:rsidP="00352F0E">
            <w:pPr>
              <w:keepNext/>
              <w:spacing w:before="60" w:after="60"/>
              <w:rPr>
                <w:rFonts w:eastAsia="Times New Roman" w:cstheme="minorHAnsi"/>
                <w:color w:val="000000"/>
                <w:sz w:val="18"/>
                <w:lang w:eastAsia="en-AU"/>
              </w:rPr>
            </w:pPr>
          </w:p>
        </w:tc>
        <w:tc>
          <w:tcPr>
            <w:tcW w:w="706" w:type="dxa"/>
            <w:shd w:val="clear" w:color="auto" w:fill="auto"/>
            <w:noWrap/>
            <w:vAlign w:val="bottom"/>
            <w:hideMark/>
          </w:tcPr>
          <w:p w14:paraId="683478F0"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401081C1"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544E9889"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663EAE49"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0DB123A7"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5FB17E2E"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3742939D"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1025ACE7"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1066DC9B" w14:textId="77777777" w:rsidR="00632589" w:rsidRPr="005D01D9" w:rsidRDefault="00632589" w:rsidP="00352F0E">
            <w:pPr>
              <w:keepNext/>
              <w:spacing w:before="60" w:after="60"/>
              <w:jc w:val="right"/>
              <w:rPr>
                <w:rFonts w:eastAsia="Times New Roman" w:cstheme="minorHAnsi"/>
                <w:b/>
                <w:color w:val="000000"/>
                <w:sz w:val="18"/>
                <w:lang w:eastAsia="en-AU"/>
              </w:rPr>
            </w:pPr>
            <w:r w:rsidRPr="005D01D9">
              <w:rPr>
                <w:rFonts w:eastAsia="Times New Roman" w:cstheme="minorHAnsi"/>
                <w:b/>
                <w:color w:val="000000"/>
                <w:sz w:val="18"/>
                <w:lang w:eastAsia="en-AU"/>
              </w:rPr>
              <w:t>1</w:t>
            </w:r>
          </w:p>
        </w:tc>
      </w:tr>
      <w:tr w:rsidR="00632589" w:rsidRPr="001A6CEA" w14:paraId="19035337" w14:textId="77777777" w:rsidTr="00352F0E">
        <w:trPr>
          <w:cantSplit/>
          <w:trHeight w:val="288"/>
        </w:trPr>
        <w:tc>
          <w:tcPr>
            <w:tcW w:w="2012" w:type="dxa"/>
            <w:shd w:val="clear" w:color="auto" w:fill="auto"/>
            <w:noWrap/>
            <w:vAlign w:val="bottom"/>
            <w:hideMark/>
          </w:tcPr>
          <w:p w14:paraId="456059FB" w14:textId="77777777" w:rsidR="00632589" w:rsidRPr="001A6CEA" w:rsidRDefault="00632589" w:rsidP="00352F0E">
            <w:pPr>
              <w:keepNext/>
              <w:spacing w:before="60" w:after="60"/>
              <w:rPr>
                <w:rFonts w:eastAsia="Times New Roman" w:cstheme="minorHAnsi"/>
                <w:color w:val="000000"/>
                <w:sz w:val="18"/>
                <w:lang w:eastAsia="en-AU"/>
              </w:rPr>
            </w:pPr>
            <w:r w:rsidRPr="001A6CEA">
              <w:rPr>
                <w:rFonts w:eastAsia="Times New Roman" w:cstheme="minorHAnsi"/>
                <w:color w:val="000000"/>
                <w:sz w:val="18"/>
                <w:lang w:eastAsia="en-AU"/>
              </w:rPr>
              <w:t>Vehicle Left Road</w:t>
            </w:r>
          </w:p>
        </w:tc>
        <w:tc>
          <w:tcPr>
            <w:tcW w:w="706" w:type="dxa"/>
            <w:shd w:val="clear" w:color="auto" w:fill="auto"/>
            <w:noWrap/>
            <w:vAlign w:val="bottom"/>
            <w:hideMark/>
          </w:tcPr>
          <w:p w14:paraId="1C68BFBD" w14:textId="77777777" w:rsidR="00632589" w:rsidRPr="001A6CEA" w:rsidRDefault="00632589" w:rsidP="00352F0E">
            <w:pPr>
              <w:keepNext/>
              <w:spacing w:before="60" w:after="60"/>
              <w:rPr>
                <w:rFonts w:eastAsia="Times New Roman" w:cstheme="minorHAnsi"/>
                <w:color w:val="000000"/>
                <w:sz w:val="18"/>
                <w:lang w:eastAsia="en-AU"/>
              </w:rPr>
            </w:pPr>
          </w:p>
        </w:tc>
        <w:tc>
          <w:tcPr>
            <w:tcW w:w="706" w:type="dxa"/>
            <w:shd w:val="clear" w:color="auto" w:fill="auto"/>
            <w:noWrap/>
            <w:vAlign w:val="bottom"/>
            <w:hideMark/>
          </w:tcPr>
          <w:p w14:paraId="7990690F"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341B5584"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17AC868B"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1</w:t>
            </w:r>
          </w:p>
        </w:tc>
        <w:tc>
          <w:tcPr>
            <w:tcW w:w="706" w:type="dxa"/>
            <w:shd w:val="clear" w:color="auto" w:fill="auto"/>
            <w:noWrap/>
            <w:vAlign w:val="bottom"/>
            <w:hideMark/>
          </w:tcPr>
          <w:p w14:paraId="50B230F3"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5F0CCBCB"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08F30BB5" w14:textId="77777777" w:rsidR="00632589" w:rsidRPr="001A6CEA" w:rsidRDefault="00632589" w:rsidP="00352F0E">
            <w:pPr>
              <w:keepNext/>
              <w:spacing w:before="60" w:after="60"/>
              <w:jc w:val="right"/>
              <w:rPr>
                <w:rFonts w:eastAsia="Times New Roman" w:cstheme="minorHAnsi"/>
                <w:color w:val="000000"/>
                <w:sz w:val="18"/>
                <w:lang w:eastAsia="en-AU"/>
              </w:rPr>
            </w:pPr>
            <w:r w:rsidRPr="001A6CEA">
              <w:rPr>
                <w:rFonts w:eastAsia="Times New Roman" w:cstheme="minorHAnsi"/>
                <w:color w:val="000000"/>
                <w:sz w:val="18"/>
                <w:lang w:eastAsia="en-AU"/>
              </w:rPr>
              <w:t>2</w:t>
            </w:r>
          </w:p>
        </w:tc>
        <w:tc>
          <w:tcPr>
            <w:tcW w:w="706" w:type="dxa"/>
            <w:shd w:val="clear" w:color="auto" w:fill="auto"/>
            <w:noWrap/>
            <w:vAlign w:val="bottom"/>
            <w:hideMark/>
          </w:tcPr>
          <w:p w14:paraId="6F14D3E0" w14:textId="77777777" w:rsidR="00632589" w:rsidRPr="001A6CEA" w:rsidRDefault="00632589" w:rsidP="00352F0E">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0D113044" w14:textId="77777777" w:rsidR="00632589" w:rsidRPr="001A6CEA" w:rsidRDefault="00632589" w:rsidP="00352F0E">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677545CA" w14:textId="77777777" w:rsidR="00632589" w:rsidRPr="005D01D9" w:rsidRDefault="00632589" w:rsidP="00352F0E">
            <w:pPr>
              <w:keepNext/>
              <w:spacing w:before="60" w:after="60"/>
              <w:jc w:val="right"/>
              <w:rPr>
                <w:rFonts w:eastAsia="Times New Roman" w:cstheme="minorHAnsi"/>
                <w:b/>
                <w:color w:val="000000"/>
                <w:sz w:val="18"/>
                <w:lang w:eastAsia="en-AU"/>
              </w:rPr>
            </w:pPr>
            <w:r w:rsidRPr="005D01D9">
              <w:rPr>
                <w:rFonts w:eastAsia="Times New Roman" w:cstheme="minorHAnsi"/>
                <w:b/>
                <w:color w:val="000000"/>
                <w:sz w:val="18"/>
                <w:lang w:eastAsia="en-AU"/>
              </w:rPr>
              <w:t>4</w:t>
            </w:r>
          </w:p>
        </w:tc>
      </w:tr>
      <w:tr w:rsidR="002A558B" w:rsidRPr="001A6CEA" w14:paraId="2AB862C7" w14:textId="77777777" w:rsidTr="00352F0E">
        <w:trPr>
          <w:cantSplit/>
          <w:trHeight w:val="288"/>
        </w:trPr>
        <w:tc>
          <w:tcPr>
            <w:tcW w:w="2012" w:type="dxa"/>
            <w:shd w:val="clear" w:color="auto" w:fill="D6ECED"/>
            <w:noWrap/>
            <w:vAlign w:val="bottom"/>
            <w:hideMark/>
          </w:tcPr>
          <w:p w14:paraId="2F9C2FFC" w14:textId="1D279AA1" w:rsidR="00632589" w:rsidRPr="001A6CEA" w:rsidRDefault="00632589" w:rsidP="00352F0E">
            <w:pPr>
              <w:keepNext/>
              <w:spacing w:before="60" w:after="60"/>
              <w:rPr>
                <w:rFonts w:eastAsia="Times New Roman" w:cstheme="minorHAnsi"/>
                <w:b/>
                <w:color w:val="000000"/>
                <w:sz w:val="18"/>
                <w:lang w:eastAsia="en-AU"/>
              </w:rPr>
            </w:pPr>
            <w:r w:rsidRPr="001A6CEA">
              <w:rPr>
                <w:rFonts w:eastAsia="Times New Roman" w:cstheme="minorHAnsi"/>
                <w:b/>
                <w:color w:val="000000"/>
                <w:sz w:val="18"/>
                <w:lang w:eastAsia="en-AU"/>
              </w:rPr>
              <w:t>Total</w:t>
            </w:r>
          </w:p>
        </w:tc>
        <w:tc>
          <w:tcPr>
            <w:tcW w:w="706" w:type="dxa"/>
            <w:shd w:val="clear" w:color="auto" w:fill="D6ECED"/>
            <w:noWrap/>
            <w:vAlign w:val="bottom"/>
            <w:hideMark/>
          </w:tcPr>
          <w:p w14:paraId="15E9A992"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5</w:t>
            </w:r>
          </w:p>
        </w:tc>
        <w:tc>
          <w:tcPr>
            <w:tcW w:w="706" w:type="dxa"/>
            <w:shd w:val="clear" w:color="auto" w:fill="D6ECED"/>
            <w:noWrap/>
            <w:vAlign w:val="bottom"/>
            <w:hideMark/>
          </w:tcPr>
          <w:p w14:paraId="401B0368"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7</w:t>
            </w:r>
          </w:p>
        </w:tc>
        <w:tc>
          <w:tcPr>
            <w:tcW w:w="706" w:type="dxa"/>
            <w:shd w:val="clear" w:color="auto" w:fill="D6ECED"/>
            <w:noWrap/>
            <w:vAlign w:val="bottom"/>
            <w:hideMark/>
          </w:tcPr>
          <w:p w14:paraId="675E7D8D"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7</w:t>
            </w:r>
          </w:p>
        </w:tc>
        <w:tc>
          <w:tcPr>
            <w:tcW w:w="706" w:type="dxa"/>
            <w:shd w:val="clear" w:color="auto" w:fill="D6ECED"/>
            <w:noWrap/>
            <w:vAlign w:val="bottom"/>
            <w:hideMark/>
          </w:tcPr>
          <w:p w14:paraId="2F038315"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6</w:t>
            </w:r>
          </w:p>
        </w:tc>
        <w:tc>
          <w:tcPr>
            <w:tcW w:w="706" w:type="dxa"/>
            <w:shd w:val="clear" w:color="auto" w:fill="D6ECED"/>
            <w:noWrap/>
            <w:vAlign w:val="bottom"/>
            <w:hideMark/>
          </w:tcPr>
          <w:p w14:paraId="34C895F2"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7</w:t>
            </w:r>
          </w:p>
        </w:tc>
        <w:tc>
          <w:tcPr>
            <w:tcW w:w="706" w:type="dxa"/>
            <w:shd w:val="clear" w:color="auto" w:fill="D6ECED"/>
            <w:noWrap/>
            <w:vAlign w:val="bottom"/>
            <w:hideMark/>
          </w:tcPr>
          <w:p w14:paraId="0E2D2C2D"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5</w:t>
            </w:r>
          </w:p>
        </w:tc>
        <w:tc>
          <w:tcPr>
            <w:tcW w:w="706" w:type="dxa"/>
            <w:shd w:val="clear" w:color="auto" w:fill="D6ECED"/>
            <w:noWrap/>
            <w:vAlign w:val="bottom"/>
            <w:hideMark/>
          </w:tcPr>
          <w:p w14:paraId="760463DB"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10</w:t>
            </w:r>
          </w:p>
        </w:tc>
        <w:tc>
          <w:tcPr>
            <w:tcW w:w="706" w:type="dxa"/>
            <w:shd w:val="clear" w:color="auto" w:fill="D6ECED"/>
            <w:noWrap/>
            <w:vAlign w:val="bottom"/>
            <w:hideMark/>
          </w:tcPr>
          <w:p w14:paraId="2177BA87"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5</w:t>
            </w:r>
          </w:p>
        </w:tc>
        <w:tc>
          <w:tcPr>
            <w:tcW w:w="706" w:type="dxa"/>
            <w:shd w:val="clear" w:color="auto" w:fill="D6ECED"/>
            <w:noWrap/>
            <w:vAlign w:val="bottom"/>
            <w:hideMark/>
          </w:tcPr>
          <w:p w14:paraId="093B8B2A"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5</w:t>
            </w:r>
          </w:p>
        </w:tc>
        <w:tc>
          <w:tcPr>
            <w:tcW w:w="706" w:type="dxa"/>
            <w:shd w:val="clear" w:color="auto" w:fill="D6ECED"/>
            <w:noWrap/>
            <w:vAlign w:val="bottom"/>
            <w:hideMark/>
          </w:tcPr>
          <w:p w14:paraId="4C566DA0" w14:textId="77777777" w:rsidR="00632589" w:rsidRPr="001A6CEA" w:rsidRDefault="00632589" w:rsidP="00352F0E">
            <w:pPr>
              <w:keepNext/>
              <w:spacing w:before="60" w:after="60"/>
              <w:jc w:val="right"/>
              <w:rPr>
                <w:rFonts w:eastAsia="Times New Roman" w:cstheme="minorHAnsi"/>
                <w:b/>
                <w:color w:val="000000"/>
                <w:sz w:val="18"/>
                <w:lang w:eastAsia="en-AU"/>
              </w:rPr>
            </w:pPr>
            <w:r w:rsidRPr="001A6CEA">
              <w:rPr>
                <w:rFonts w:eastAsia="Times New Roman" w:cstheme="minorHAnsi"/>
                <w:b/>
                <w:color w:val="000000"/>
                <w:sz w:val="18"/>
                <w:lang w:eastAsia="en-AU"/>
              </w:rPr>
              <w:t>57</w:t>
            </w:r>
          </w:p>
        </w:tc>
      </w:tr>
    </w:tbl>
    <w:p w14:paraId="6EFA3418" w14:textId="02FB5FD8" w:rsidR="00821520" w:rsidRPr="00821520" w:rsidRDefault="00821520" w:rsidP="00E602CF">
      <w:pPr>
        <w:spacing w:before="40"/>
        <w:rPr>
          <w:sz w:val="16"/>
          <w:szCs w:val="16"/>
        </w:rPr>
      </w:pPr>
      <w:r w:rsidRPr="00821520">
        <w:rPr>
          <w:sz w:val="16"/>
          <w:szCs w:val="16"/>
        </w:rPr>
        <w:t>Source: TSV</w:t>
      </w:r>
    </w:p>
    <w:p w14:paraId="466BAEC3" w14:textId="22FD6AE2" w:rsidR="00340F8C" w:rsidRDefault="00B3476B" w:rsidP="00907E6D">
      <w:r>
        <w:t>T</w:t>
      </w:r>
      <w:r w:rsidR="0079255E">
        <w:t xml:space="preserve">here </w:t>
      </w:r>
      <w:r w:rsidR="00ED663F">
        <w:t>was</w:t>
      </w:r>
      <w:r w:rsidR="0079255E">
        <w:t xml:space="preserve"> a total of 57 recorded bus fatalities for the period 2011 to 2019. </w:t>
      </w:r>
      <w:r w:rsidR="00907E6D">
        <w:t>C</w:t>
      </w:r>
      <w:r w:rsidR="0078674E" w:rsidRPr="006374ED">
        <w:t xml:space="preserve">ollisions are associated with </w:t>
      </w:r>
      <w:r w:rsidR="00595D9A">
        <w:t xml:space="preserve">most </w:t>
      </w:r>
      <w:r w:rsidR="0078674E" w:rsidRPr="006374ED">
        <w:t>fatalities</w:t>
      </w:r>
      <w:r w:rsidR="00EC2A3E">
        <w:t xml:space="preserve"> (34 </w:t>
      </w:r>
      <w:r w:rsidR="00762086">
        <w:t xml:space="preserve">fatalities </w:t>
      </w:r>
      <w:r w:rsidR="00EC2A3E">
        <w:t>in total)</w:t>
      </w:r>
      <w:r w:rsidR="0078674E" w:rsidRPr="006374ED">
        <w:t>.</w:t>
      </w:r>
      <w:r w:rsidR="00907E6D">
        <w:t xml:space="preserve"> Collisions are related to human error. Broadly, collisions signify the role buses play in being a factor of fatalities on the roads. </w:t>
      </w:r>
      <w:bookmarkStart w:id="231" w:name="_Hlk43359557"/>
      <w:r w:rsidR="00311D6B">
        <w:t>H</w:t>
      </w:r>
      <w:r w:rsidR="00907E6D">
        <w:t xml:space="preserve">owever, </w:t>
      </w:r>
      <w:r w:rsidR="002E679A">
        <w:t>Do</w:t>
      </w:r>
      <w:r w:rsidR="001264EC">
        <w:t>T</w:t>
      </w:r>
      <w:r w:rsidR="002E679A">
        <w:t xml:space="preserve"> </w:t>
      </w:r>
      <w:r w:rsidR="007A5BAF">
        <w:t>did not collect</w:t>
      </w:r>
      <w:r w:rsidR="002E679A">
        <w:t xml:space="preserve"> aggregated </w:t>
      </w:r>
      <w:r w:rsidR="00907E6D">
        <w:t xml:space="preserve">information relating to whether it is the fault of the bus driver, other driver, cyclist etc. </w:t>
      </w:r>
      <w:r w:rsidR="00547DA2">
        <w:t>to allow analysis in any meaningful way in this RIS</w:t>
      </w:r>
      <w:r w:rsidR="00473D84">
        <w:t>. Therefore</w:t>
      </w:r>
      <w:r w:rsidR="00547DA2">
        <w:t>, D</w:t>
      </w:r>
      <w:r w:rsidR="004645BA">
        <w:t>o</w:t>
      </w:r>
      <w:r w:rsidR="00547DA2">
        <w:t xml:space="preserve">T </w:t>
      </w:r>
      <w:r w:rsidR="004645BA">
        <w:t xml:space="preserve">is unable </w:t>
      </w:r>
      <w:r w:rsidR="00907E6D">
        <w:t>to determine the full extent to which the bus operation contribute</w:t>
      </w:r>
      <w:r w:rsidR="00FB4DA0">
        <w:t>d</w:t>
      </w:r>
      <w:r w:rsidR="00907E6D">
        <w:t xml:space="preserve"> to the fatality</w:t>
      </w:r>
      <w:r w:rsidR="00A3350B">
        <w:t>.</w:t>
      </w:r>
      <w:r w:rsidR="00340F8C">
        <w:t xml:space="preserve"> </w:t>
      </w:r>
      <w:bookmarkEnd w:id="231"/>
    </w:p>
    <w:p w14:paraId="20BDDE57" w14:textId="4141878B" w:rsidR="009504B5" w:rsidRPr="009504B5" w:rsidRDefault="00340F8C" w:rsidP="009504B5">
      <w:r>
        <w:t xml:space="preserve">The second highest cause for fatalities relates to medical episodes (15 </w:t>
      </w:r>
      <w:r w:rsidR="00C35D5F">
        <w:t>fatalities</w:t>
      </w:r>
      <w:r>
        <w:t xml:space="preserve">). Medical episodes include incidents which involve either a medical episode suffered by a driver or a passenger. Bus operators have little control of medical episodes that cause a passenger fatality (i.e. operators have little control over the fitness of their passengers), although there may be a role in </w:t>
      </w:r>
      <w:r w:rsidR="00ED663F">
        <w:t xml:space="preserve">putting </w:t>
      </w:r>
      <w:r>
        <w:t>procedures in place by bus operators to minimise the risk to life if a medical episode did occur. In the case of medical episodes for bus drivers, bus operators may have a role in ensuring medical fitness via bus driver accreditation</w:t>
      </w:r>
      <w:r w:rsidRPr="006374ED">
        <w:t>.</w:t>
      </w:r>
    </w:p>
    <w:p w14:paraId="302DF3D4" w14:textId="432F157F" w:rsidR="003E5C54" w:rsidRPr="00864064" w:rsidRDefault="007A575B" w:rsidP="003E5C54">
      <w:r>
        <w:fldChar w:fldCharType="begin"/>
      </w:r>
      <w:r>
        <w:instrText xml:space="preserve"> REF _Ref24967761 \h  \* MERGEFORMAT </w:instrText>
      </w:r>
      <w:r>
        <w:fldChar w:fldCharType="separate"/>
      </w:r>
      <w:r w:rsidR="00277F6E" w:rsidRPr="00277F6E">
        <w:t>Table 3</w:t>
      </w:r>
      <w:r w:rsidR="00277F6E" w:rsidRPr="00277F6E">
        <w:noBreakHyphen/>
        <w:t>4</w:t>
      </w:r>
      <w:r>
        <w:fldChar w:fldCharType="end"/>
      </w:r>
      <w:r>
        <w:t xml:space="preserve"> </w:t>
      </w:r>
      <w:r w:rsidR="003E5C54" w:rsidRPr="00864064">
        <w:t xml:space="preserve">shows that </w:t>
      </w:r>
      <w:r w:rsidR="002C553B">
        <w:t>t</w:t>
      </w:r>
      <w:r w:rsidR="00F81956">
        <w:t>he highest number of fatalities are suffered by passengers (27 fatalities), follow</w:t>
      </w:r>
      <w:r w:rsidR="00DD0691">
        <w:t xml:space="preserve">ed </w:t>
      </w:r>
      <w:r w:rsidR="00F81956">
        <w:t xml:space="preserve">by drivers of other </w:t>
      </w:r>
      <w:r w:rsidR="00A83073">
        <w:t xml:space="preserve">motor </w:t>
      </w:r>
      <w:r w:rsidR="00F81956">
        <w:t>vehicles</w:t>
      </w:r>
      <w:r w:rsidR="00DF7768">
        <w:t xml:space="preserve"> (11 fatalities) and pedestrians (10 fatalities).</w:t>
      </w:r>
      <w:r w:rsidR="003E5C54" w:rsidRPr="00864064">
        <w:t xml:space="preserve">  </w:t>
      </w:r>
    </w:p>
    <w:p w14:paraId="6DEFE973" w14:textId="1CA624E2" w:rsidR="003E5C54" w:rsidRDefault="003E5C54" w:rsidP="005E479A">
      <w:pPr>
        <w:pStyle w:val="Caption"/>
        <w:keepNext/>
        <w:spacing w:after="60"/>
        <w:rPr>
          <w:b/>
          <w:i w:val="0"/>
        </w:rPr>
      </w:pPr>
      <w:bookmarkStart w:id="232" w:name="_Ref24967761"/>
      <w:bookmarkStart w:id="233" w:name="_Toc44603381"/>
      <w:bookmarkStart w:id="234" w:name="_Toc44437356"/>
      <w:bookmarkStart w:id="235" w:name="_Toc44597427"/>
      <w:bookmarkStart w:id="236" w:name="_Toc44597491"/>
      <w:bookmarkStart w:id="237" w:name="_Toc44600061"/>
      <w:bookmarkStart w:id="238" w:name="_Toc44600516"/>
      <w:bookmarkStart w:id="239" w:name="_Toc44600683"/>
      <w:bookmarkStart w:id="240" w:name="_Toc44601180"/>
      <w:bookmarkStart w:id="241" w:name="_Toc44601233"/>
      <w:bookmarkStart w:id="242" w:name="_Toc45704429"/>
      <w:r w:rsidRPr="00864064">
        <w:rPr>
          <w:b/>
          <w:i w:val="0"/>
        </w:rPr>
        <w:lastRenderedPageBreak/>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4</w:t>
      </w:r>
      <w:r w:rsidR="00D2483C">
        <w:rPr>
          <w:b/>
          <w:i w:val="0"/>
        </w:rPr>
        <w:fldChar w:fldCharType="end"/>
      </w:r>
      <w:bookmarkEnd w:id="232"/>
      <w:r w:rsidRPr="00864064">
        <w:rPr>
          <w:b/>
          <w:i w:val="0"/>
        </w:rPr>
        <w:t xml:space="preserve">: </w:t>
      </w:r>
      <w:r w:rsidR="00173EC5">
        <w:rPr>
          <w:b/>
          <w:i w:val="0"/>
        </w:rPr>
        <w:t xml:space="preserve">Number of </w:t>
      </w:r>
      <w:r w:rsidR="0050327C">
        <w:rPr>
          <w:b/>
          <w:i w:val="0"/>
        </w:rPr>
        <w:t>f</w:t>
      </w:r>
      <w:r w:rsidRPr="00864064">
        <w:rPr>
          <w:b/>
          <w:i w:val="0"/>
        </w:rPr>
        <w:t>atalities by person type</w:t>
      </w:r>
      <w:r>
        <w:rPr>
          <w:b/>
          <w:i w:val="0"/>
        </w:rPr>
        <w:t xml:space="preserve"> </w:t>
      </w:r>
      <w:r w:rsidR="00287399">
        <w:rPr>
          <w:b/>
          <w:i w:val="0"/>
        </w:rPr>
        <w:t>– 2011-2019</w:t>
      </w:r>
      <w:bookmarkEnd w:id="233"/>
      <w:bookmarkEnd w:id="234"/>
      <w:bookmarkEnd w:id="235"/>
      <w:bookmarkEnd w:id="236"/>
      <w:bookmarkEnd w:id="237"/>
      <w:bookmarkEnd w:id="238"/>
      <w:bookmarkEnd w:id="239"/>
      <w:bookmarkEnd w:id="240"/>
      <w:bookmarkEnd w:id="241"/>
      <w:bookmarkEnd w:id="242"/>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4"/>
        <w:gridCol w:w="702"/>
        <w:gridCol w:w="702"/>
        <w:gridCol w:w="702"/>
        <w:gridCol w:w="702"/>
        <w:gridCol w:w="702"/>
        <w:gridCol w:w="702"/>
        <w:gridCol w:w="702"/>
        <w:gridCol w:w="702"/>
        <w:gridCol w:w="702"/>
        <w:gridCol w:w="703"/>
      </w:tblGrid>
      <w:tr w:rsidR="002A558B" w:rsidRPr="00EE6426" w14:paraId="09265609" w14:textId="77777777" w:rsidTr="00C64FB5">
        <w:trPr>
          <w:cantSplit/>
          <w:trHeight w:val="288"/>
        </w:trPr>
        <w:tc>
          <w:tcPr>
            <w:tcW w:w="2011" w:type="dxa"/>
            <w:shd w:val="clear" w:color="auto" w:fill="D6ECED"/>
            <w:noWrap/>
            <w:vAlign w:val="bottom"/>
            <w:hideMark/>
          </w:tcPr>
          <w:p w14:paraId="3D912E72" w14:textId="77777777" w:rsidR="00EE6426" w:rsidRPr="00EE6426" w:rsidRDefault="00EE6426" w:rsidP="00C64FB5">
            <w:pPr>
              <w:keepNext/>
              <w:spacing w:before="60" w:after="60"/>
              <w:rPr>
                <w:rFonts w:eastAsia="Times New Roman" w:cstheme="minorHAnsi"/>
                <w:b/>
                <w:bCs/>
                <w:color w:val="000000"/>
                <w:sz w:val="18"/>
                <w:lang w:eastAsia="en-AU"/>
              </w:rPr>
            </w:pPr>
            <w:r w:rsidRPr="00EE6426">
              <w:rPr>
                <w:rFonts w:eastAsia="Times New Roman" w:cstheme="minorHAnsi"/>
                <w:b/>
                <w:bCs/>
                <w:color w:val="000000"/>
                <w:sz w:val="18"/>
                <w:lang w:eastAsia="en-AU"/>
              </w:rPr>
              <w:t>Person type</w:t>
            </w:r>
          </w:p>
        </w:tc>
        <w:tc>
          <w:tcPr>
            <w:tcW w:w="706" w:type="dxa"/>
            <w:shd w:val="clear" w:color="auto" w:fill="D6ECED"/>
            <w:noWrap/>
            <w:vAlign w:val="bottom"/>
            <w:hideMark/>
          </w:tcPr>
          <w:p w14:paraId="05AF9C44" w14:textId="77777777" w:rsidR="00EE6426" w:rsidRPr="00EE6426" w:rsidRDefault="00EE6426" w:rsidP="00C64FB5">
            <w:pPr>
              <w:keepNext/>
              <w:spacing w:before="60" w:after="60"/>
              <w:jc w:val="center"/>
              <w:rPr>
                <w:rFonts w:eastAsia="Times New Roman" w:cstheme="minorHAnsi"/>
                <w:b/>
                <w:bCs/>
                <w:color w:val="000000"/>
                <w:sz w:val="18"/>
                <w:lang w:eastAsia="en-AU"/>
              </w:rPr>
            </w:pPr>
            <w:r w:rsidRPr="00EE6426">
              <w:rPr>
                <w:rFonts w:eastAsia="Times New Roman" w:cstheme="minorHAnsi"/>
                <w:b/>
                <w:bCs/>
                <w:color w:val="000000"/>
                <w:sz w:val="18"/>
                <w:lang w:eastAsia="en-AU"/>
              </w:rPr>
              <w:t>2011</w:t>
            </w:r>
          </w:p>
        </w:tc>
        <w:tc>
          <w:tcPr>
            <w:tcW w:w="706" w:type="dxa"/>
            <w:shd w:val="clear" w:color="auto" w:fill="D6ECED"/>
            <w:noWrap/>
            <w:vAlign w:val="bottom"/>
            <w:hideMark/>
          </w:tcPr>
          <w:p w14:paraId="3D0A8FCE" w14:textId="77777777" w:rsidR="00EE6426" w:rsidRPr="00EE6426" w:rsidRDefault="00EE6426" w:rsidP="00C64FB5">
            <w:pPr>
              <w:keepNext/>
              <w:spacing w:before="60" w:after="60"/>
              <w:jc w:val="center"/>
              <w:rPr>
                <w:rFonts w:eastAsia="Times New Roman" w:cstheme="minorHAnsi"/>
                <w:b/>
                <w:bCs/>
                <w:color w:val="000000"/>
                <w:sz w:val="18"/>
                <w:lang w:eastAsia="en-AU"/>
              </w:rPr>
            </w:pPr>
            <w:r w:rsidRPr="00EE6426">
              <w:rPr>
                <w:rFonts w:eastAsia="Times New Roman" w:cstheme="minorHAnsi"/>
                <w:b/>
                <w:bCs/>
                <w:color w:val="000000"/>
                <w:sz w:val="18"/>
                <w:lang w:eastAsia="en-AU"/>
              </w:rPr>
              <w:t>2012</w:t>
            </w:r>
          </w:p>
        </w:tc>
        <w:tc>
          <w:tcPr>
            <w:tcW w:w="706" w:type="dxa"/>
            <w:shd w:val="clear" w:color="auto" w:fill="D6ECED"/>
            <w:noWrap/>
            <w:vAlign w:val="bottom"/>
            <w:hideMark/>
          </w:tcPr>
          <w:p w14:paraId="593BA707" w14:textId="77777777" w:rsidR="00EE6426" w:rsidRPr="00EE6426" w:rsidRDefault="00EE6426" w:rsidP="00C64FB5">
            <w:pPr>
              <w:keepNext/>
              <w:spacing w:before="60" w:after="60"/>
              <w:jc w:val="center"/>
              <w:rPr>
                <w:rFonts w:eastAsia="Times New Roman" w:cstheme="minorHAnsi"/>
                <w:b/>
                <w:bCs/>
                <w:color w:val="000000"/>
                <w:sz w:val="18"/>
                <w:lang w:eastAsia="en-AU"/>
              </w:rPr>
            </w:pPr>
            <w:r w:rsidRPr="00EE6426">
              <w:rPr>
                <w:rFonts w:eastAsia="Times New Roman" w:cstheme="minorHAnsi"/>
                <w:b/>
                <w:bCs/>
                <w:color w:val="000000"/>
                <w:sz w:val="18"/>
                <w:lang w:eastAsia="en-AU"/>
              </w:rPr>
              <w:t>2013</w:t>
            </w:r>
          </w:p>
        </w:tc>
        <w:tc>
          <w:tcPr>
            <w:tcW w:w="706" w:type="dxa"/>
            <w:shd w:val="clear" w:color="auto" w:fill="D6ECED"/>
            <w:noWrap/>
            <w:vAlign w:val="bottom"/>
            <w:hideMark/>
          </w:tcPr>
          <w:p w14:paraId="6083A589" w14:textId="77777777" w:rsidR="00EE6426" w:rsidRPr="00EE6426" w:rsidRDefault="00EE6426" w:rsidP="00C64FB5">
            <w:pPr>
              <w:keepNext/>
              <w:spacing w:before="60" w:after="60"/>
              <w:jc w:val="center"/>
              <w:rPr>
                <w:rFonts w:eastAsia="Times New Roman" w:cstheme="minorHAnsi"/>
                <w:b/>
                <w:bCs/>
                <w:color w:val="000000"/>
                <w:sz w:val="18"/>
                <w:lang w:eastAsia="en-AU"/>
              </w:rPr>
            </w:pPr>
            <w:r w:rsidRPr="00EE6426">
              <w:rPr>
                <w:rFonts w:eastAsia="Times New Roman" w:cstheme="minorHAnsi"/>
                <w:b/>
                <w:bCs/>
                <w:color w:val="000000"/>
                <w:sz w:val="18"/>
                <w:lang w:eastAsia="en-AU"/>
              </w:rPr>
              <w:t>2014</w:t>
            </w:r>
          </w:p>
        </w:tc>
        <w:tc>
          <w:tcPr>
            <w:tcW w:w="706" w:type="dxa"/>
            <w:shd w:val="clear" w:color="auto" w:fill="D6ECED"/>
            <w:noWrap/>
            <w:vAlign w:val="bottom"/>
            <w:hideMark/>
          </w:tcPr>
          <w:p w14:paraId="35726B7C" w14:textId="77777777" w:rsidR="00EE6426" w:rsidRPr="00EE6426" w:rsidRDefault="00EE6426" w:rsidP="00C64FB5">
            <w:pPr>
              <w:keepNext/>
              <w:spacing w:before="60" w:after="60"/>
              <w:jc w:val="center"/>
              <w:rPr>
                <w:rFonts w:eastAsia="Times New Roman" w:cstheme="minorHAnsi"/>
                <w:b/>
                <w:bCs/>
                <w:color w:val="000000"/>
                <w:sz w:val="18"/>
                <w:lang w:eastAsia="en-AU"/>
              </w:rPr>
            </w:pPr>
            <w:r w:rsidRPr="00EE6426">
              <w:rPr>
                <w:rFonts w:eastAsia="Times New Roman" w:cstheme="minorHAnsi"/>
                <w:b/>
                <w:bCs/>
                <w:color w:val="000000"/>
                <w:sz w:val="18"/>
                <w:lang w:eastAsia="en-AU"/>
              </w:rPr>
              <w:t>2015</w:t>
            </w:r>
          </w:p>
        </w:tc>
        <w:tc>
          <w:tcPr>
            <w:tcW w:w="706" w:type="dxa"/>
            <w:shd w:val="clear" w:color="auto" w:fill="D6ECED"/>
            <w:noWrap/>
            <w:vAlign w:val="bottom"/>
            <w:hideMark/>
          </w:tcPr>
          <w:p w14:paraId="01925169" w14:textId="77777777" w:rsidR="00EE6426" w:rsidRPr="00EE6426" w:rsidRDefault="00EE6426" w:rsidP="00C64FB5">
            <w:pPr>
              <w:keepNext/>
              <w:spacing w:before="60" w:after="60"/>
              <w:jc w:val="center"/>
              <w:rPr>
                <w:rFonts w:eastAsia="Times New Roman" w:cstheme="minorHAnsi"/>
                <w:b/>
                <w:bCs/>
                <w:color w:val="000000"/>
                <w:sz w:val="18"/>
                <w:lang w:eastAsia="en-AU"/>
              </w:rPr>
            </w:pPr>
            <w:r w:rsidRPr="00EE6426">
              <w:rPr>
                <w:rFonts w:eastAsia="Times New Roman" w:cstheme="minorHAnsi"/>
                <w:b/>
                <w:bCs/>
                <w:color w:val="000000"/>
                <w:sz w:val="18"/>
                <w:lang w:eastAsia="en-AU"/>
              </w:rPr>
              <w:t>2016</w:t>
            </w:r>
          </w:p>
        </w:tc>
        <w:tc>
          <w:tcPr>
            <w:tcW w:w="706" w:type="dxa"/>
            <w:shd w:val="clear" w:color="auto" w:fill="D6ECED"/>
            <w:noWrap/>
            <w:vAlign w:val="bottom"/>
            <w:hideMark/>
          </w:tcPr>
          <w:p w14:paraId="6549E90E" w14:textId="77777777" w:rsidR="00EE6426" w:rsidRPr="00EE6426" w:rsidRDefault="00EE6426" w:rsidP="00C64FB5">
            <w:pPr>
              <w:keepNext/>
              <w:spacing w:before="60" w:after="60"/>
              <w:jc w:val="center"/>
              <w:rPr>
                <w:rFonts w:eastAsia="Times New Roman" w:cstheme="minorHAnsi"/>
                <w:b/>
                <w:bCs/>
                <w:color w:val="000000"/>
                <w:sz w:val="18"/>
                <w:lang w:eastAsia="en-AU"/>
              </w:rPr>
            </w:pPr>
            <w:r w:rsidRPr="00EE6426">
              <w:rPr>
                <w:rFonts w:eastAsia="Times New Roman" w:cstheme="minorHAnsi"/>
                <w:b/>
                <w:bCs/>
                <w:color w:val="000000"/>
                <w:sz w:val="18"/>
                <w:lang w:eastAsia="en-AU"/>
              </w:rPr>
              <w:t>2017</w:t>
            </w:r>
          </w:p>
        </w:tc>
        <w:tc>
          <w:tcPr>
            <w:tcW w:w="706" w:type="dxa"/>
            <w:shd w:val="clear" w:color="auto" w:fill="D6ECED"/>
            <w:noWrap/>
            <w:vAlign w:val="bottom"/>
            <w:hideMark/>
          </w:tcPr>
          <w:p w14:paraId="5F7EBBF7" w14:textId="77777777" w:rsidR="00EE6426" w:rsidRPr="00EE6426" w:rsidRDefault="00EE6426" w:rsidP="00C64FB5">
            <w:pPr>
              <w:keepNext/>
              <w:spacing w:before="60" w:after="60"/>
              <w:jc w:val="center"/>
              <w:rPr>
                <w:rFonts w:eastAsia="Times New Roman" w:cstheme="minorHAnsi"/>
                <w:b/>
                <w:bCs/>
                <w:color w:val="000000"/>
                <w:sz w:val="18"/>
                <w:lang w:eastAsia="en-AU"/>
              </w:rPr>
            </w:pPr>
            <w:r w:rsidRPr="00EE6426">
              <w:rPr>
                <w:rFonts w:eastAsia="Times New Roman" w:cstheme="minorHAnsi"/>
                <w:b/>
                <w:bCs/>
                <w:color w:val="000000"/>
                <w:sz w:val="18"/>
                <w:lang w:eastAsia="en-AU"/>
              </w:rPr>
              <w:t>2018</w:t>
            </w:r>
          </w:p>
        </w:tc>
        <w:tc>
          <w:tcPr>
            <w:tcW w:w="706" w:type="dxa"/>
            <w:shd w:val="clear" w:color="auto" w:fill="D6ECED"/>
            <w:noWrap/>
            <w:vAlign w:val="bottom"/>
            <w:hideMark/>
          </w:tcPr>
          <w:p w14:paraId="1BFDDE08" w14:textId="77777777" w:rsidR="00EE6426" w:rsidRPr="00EE6426" w:rsidRDefault="00EE6426" w:rsidP="00C64FB5">
            <w:pPr>
              <w:keepNext/>
              <w:spacing w:before="60" w:after="60"/>
              <w:jc w:val="center"/>
              <w:rPr>
                <w:rFonts w:eastAsia="Times New Roman" w:cstheme="minorHAnsi"/>
                <w:b/>
                <w:bCs/>
                <w:color w:val="000000"/>
                <w:sz w:val="18"/>
                <w:lang w:eastAsia="en-AU"/>
              </w:rPr>
            </w:pPr>
            <w:r w:rsidRPr="00EE6426">
              <w:rPr>
                <w:rFonts w:eastAsia="Times New Roman" w:cstheme="minorHAnsi"/>
                <w:b/>
                <w:bCs/>
                <w:color w:val="000000"/>
                <w:sz w:val="18"/>
                <w:lang w:eastAsia="en-AU"/>
              </w:rPr>
              <w:t>2019</w:t>
            </w:r>
          </w:p>
        </w:tc>
        <w:tc>
          <w:tcPr>
            <w:tcW w:w="707" w:type="dxa"/>
            <w:shd w:val="clear" w:color="auto" w:fill="D6ECED"/>
            <w:noWrap/>
            <w:vAlign w:val="bottom"/>
            <w:hideMark/>
          </w:tcPr>
          <w:p w14:paraId="753B9093" w14:textId="77777777" w:rsidR="00EE6426" w:rsidRPr="005D01D9" w:rsidRDefault="00EE6426" w:rsidP="00C64FB5">
            <w:pPr>
              <w:keepNext/>
              <w:spacing w:before="60" w:after="60"/>
              <w:jc w:val="center"/>
              <w:rPr>
                <w:rFonts w:eastAsia="Times New Roman" w:cstheme="minorHAnsi"/>
                <w:b/>
                <w:bCs/>
                <w:color w:val="000000"/>
                <w:sz w:val="18"/>
                <w:lang w:eastAsia="en-AU"/>
              </w:rPr>
            </w:pPr>
            <w:r w:rsidRPr="005D01D9">
              <w:rPr>
                <w:rFonts w:eastAsia="Times New Roman" w:cstheme="minorHAnsi"/>
                <w:b/>
                <w:bCs/>
                <w:color w:val="000000"/>
                <w:sz w:val="18"/>
                <w:lang w:eastAsia="en-AU"/>
              </w:rPr>
              <w:t>Total</w:t>
            </w:r>
          </w:p>
        </w:tc>
      </w:tr>
      <w:tr w:rsidR="00EE6426" w:rsidRPr="00EE6426" w14:paraId="5D8CC59B" w14:textId="77777777" w:rsidTr="00C64FB5">
        <w:trPr>
          <w:cantSplit/>
          <w:trHeight w:val="288"/>
        </w:trPr>
        <w:tc>
          <w:tcPr>
            <w:tcW w:w="2011" w:type="dxa"/>
            <w:shd w:val="clear" w:color="auto" w:fill="auto"/>
            <w:noWrap/>
            <w:vAlign w:val="bottom"/>
            <w:hideMark/>
          </w:tcPr>
          <w:p w14:paraId="1EBF49D9" w14:textId="77777777" w:rsidR="00EE6426" w:rsidRPr="00EE6426" w:rsidRDefault="00EE6426" w:rsidP="00C64FB5">
            <w:pPr>
              <w:keepNext/>
              <w:spacing w:before="60" w:after="60"/>
              <w:rPr>
                <w:rFonts w:eastAsia="Times New Roman" w:cstheme="minorHAnsi"/>
                <w:color w:val="000000"/>
                <w:sz w:val="18"/>
                <w:lang w:eastAsia="en-AU"/>
              </w:rPr>
            </w:pPr>
            <w:r w:rsidRPr="00EE6426">
              <w:rPr>
                <w:rFonts w:eastAsia="Times New Roman" w:cstheme="minorHAnsi"/>
                <w:color w:val="000000"/>
                <w:sz w:val="18"/>
                <w:lang w:eastAsia="en-AU"/>
              </w:rPr>
              <w:t>Bus Driver</w:t>
            </w:r>
          </w:p>
        </w:tc>
        <w:tc>
          <w:tcPr>
            <w:tcW w:w="706" w:type="dxa"/>
            <w:shd w:val="clear" w:color="auto" w:fill="auto"/>
            <w:noWrap/>
            <w:vAlign w:val="bottom"/>
            <w:hideMark/>
          </w:tcPr>
          <w:p w14:paraId="2B80D49D" w14:textId="77777777" w:rsidR="00EE6426" w:rsidRPr="00EE6426" w:rsidRDefault="00EE6426" w:rsidP="00C64FB5">
            <w:pPr>
              <w:keepNext/>
              <w:spacing w:before="60" w:after="60"/>
              <w:rPr>
                <w:rFonts w:eastAsia="Times New Roman" w:cstheme="minorHAnsi"/>
                <w:color w:val="000000"/>
                <w:sz w:val="18"/>
                <w:lang w:eastAsia="en-AU"/>
              </w:rPr>
            </w:pPr>
          </w:p>
        </w:tc>
        <w:tc>
          <w:tcPr>
            <w:tcW w:w="706" w:type="dxa"/>
            <w:shd w:val="clear" w:color="auto" w:fill="auto"/>
            <w:noWrap/>
            <w:vAlign w:val="bottom"/>
            <w:hideMark/>
          </w:tcPr>
          <w:p w14:paraId="08694928"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4A2826E6"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01691535"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375F48F4"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5D7E830B"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59763076" w14:textId="77777777" w:rsidR="00EE6426" w:rsidRPr="00EE6426" w:rsidRDefault="00EE6426" w:rsidP="00C64FB5">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262DF530"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4C23EF81"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7" w:type="dxa"/>
            <w:shd w:val="clear" w:color="auto" w:fill="auto"/>
            <w:noWrap/>
            <w:vAlign w:val="bottom"/>
            <w:hideMark/>
          </w:tcPr>
          <w:p w14:paraId="19A80321" w14:textId="77777777" w:rsidR="00EE6426" w:rsidRPr="005D01D9" w:rsidRDefault="00EE6426"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3</w:t>
            </w:r>
          </w:p>
        </w:tc>
      </w:tr>
      <w:tr w:rsidR="00EE6426" w:rsidRPr="00EE6426" w14:paraId="60A49CC0" w14:textId="77777777" w:rsidTr="00C64FB5">
        <w:trPr>
          <w:cantSplit/>
          <w:trHeight w:val="288"/>
        </w:trPr>
        <w:tc>
          <w:tcPr>
            <w:tcW w:w="2011" w:type="dxa"/>
            <w:shd w:val="clear" w:color="auto" w:fill="auto"/>
            <w:noWrap/>
            <w:vAlign w:val="bottom"/>
            <w:hideMark/>
          </w:tcPr>
          <w:p w14:paraId="7C85A31F" w14:textId="77777777" w:rsidR="00EE6426" w:rsidRPr="00EE6426" w:rsidRDefault="00EE6426" w:rsidP="00C64FB5">
            <w:pPr>
              <w:keepNext/>
              <w:spacing w:before="60" w:after="60"/>
              <w:rPr>
                <w:rFonts w:eastAsia="Times New Roman" w:cstheme="minorHAnsi"/>
                <w:color w:val="000000"/>
                <w:sz w:val="18"/>
                <w:lang w:eastAsia="en-AU"/>
              </w:rPr>
            </w:pPr>
            <w:r w:rsidRPr="00EE6426">
              <w:rPr>
                <w:rFonts w:eastAsia="Times New Roman" w:cstheme="minorHAnsi"/>
                <w:color w:val="000000"/>
                <w:sz w:val="18"/>
                <w:lang w:eastAsia="en-AU"/>
              </w:rPr>
              <w:t>Bus Employee</w:t>
            </w:r>
          </w:p>
        </w:tc>
        <w:tc>
          <w:tcPr>
            <w:tcW w:w="706" w:type="dxa"/>
            <w:shd w:val="clear" w:color="auto" w:fill="auto"/>
            <w:noWrap/>
            <w:vAlign w:val="bottom"/>
            <w:hideMark/>
          </w:tcPr>
          <w:p w14:paraId="2DCFD7F8" w14:textId="77777777" w:rsidR="00EE6426" w:rsidRPr="00EE6426" w:rsidRDefault="00EE6426" w:rsidP="00C64FB5">
            <w:pPr>
              <w:keepNext/>
              <w:spacing w:before="60" w:after="60"/>
              <w:rPr>
                <w:rFonts w:eastAsia="Times New Roman" w:cstheme="minorHAnsi"/>
                <w:color w:val="000000"/>
                <w:sz w:val="18"/>
                <w:lang w:eastAsia="en-AU"/>
              </w:rPr>
            </w:pPr>
          </w:p>
        </w:tc>
        <w:tc>
          <w:tcPr>
            <w:tcW w:w="706" w:type="dxa"/>
            <w:shd w:val="clear" w:color="auto" w:fill="auto"/>
            <w:noWrap/>
            <w:vAlign w:val="bottom"/>
            <w:hideMark/>
          </w:tcPr>
          <w:p w14:paraId="199D1ABD"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3B178FBD"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11F21FA7" w14:textId="77777777" w:rsidR="00EE6426" w:rsidRPr="00EE6426" w:rsidRDefault="00EE6426" w:rsidP="00C64FB5">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10B502EB"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0B3D9C29"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559C7981"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6EEE34EF"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4371A451" w14:textId="77777777" w:rsidR="00EE6426" w:rsidRPr="00EE6426" w:rsidRDefault="00EE6426" w:rsidP="00C64FB5">
            <w:pPr>
              <w:keepNext/>
              <w:spacing w:before="60" w:after="60"/>
              <w:rPr>
                <w:rFonts w:eastAsia="Times New Roman" w:cstheme="minorHAnsi"/>
                <w:color w:val="auto"/>
                <w:sz w:val="18"/>
                <w:lang w:eastAsia="en-AU"/>
              </w:rPr>
            </w:pPr>
          </w:p>
        </w:tc>
        <w:tc>
          <w:tcPr>
            <w:tcW w:w="707" w:type="dxa"/>
            <w:shd w:val="clear" w:color="auto" w:fill="auto"/>
            <w:noWrap/>
            <w:vAlign w:val="bottom"/>
            <w:hideMark/>
          </w:tcPr>
          <w:p w14:paraId="79B99C0D" w14:textId="77777777" w:rsidR="00EE6426" w:rsidRPr="005D01D9" w:rsidRDefault="00EE6426"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w:t>
            </w:r>
          </w:p>
        </w:tc>
      </w:tr>
      <w:tr w:rsidR="00EE6426" w:rsidRPr="00EE6426" w14:paraId="1F63A2D1" w14:textId="77777777" w:rsidTr="00C64FB5">
        <w:trPr>
          <w:cantSplit/>
          <w:trHeight w:val="288"/>
        </w:trPr>
        <w:tc>
          <w:tcPr>
            <w:tcW w:w="2011" w:type="dxa"/>
            <w:shd w:val="clear" w:color="auto" w:fill="auto"/>
            <w:noWrap/>
            <w:vAlign w:val="bottom"/>
            <w:hideMark/>
          </w:tcPr>
          <w:p w14:paraId="261E5FAC" w14:textId="77777777" w:rsidR="00EE6426" w:rsidRPr="00EE6426" w:rsidRDefault="00EE6426" w:rsidP="00C64FB5">
            <w:pPr>
              <w:keepNext/>
              <w:spacing w:before="60" w:after="60"/>
              <w:rPr>
                <w:rFonts w:eastAsia="Times New Roman" w:cstheme="minorHAnsi"/>
                <w:color w:val="000000"/>
                <w:sz w:val="18"/>
                <w:lang w:eastAsia="en-AU"/>
              </w:rPr>
            </w:pPr>
            <w:r w:rsidRPr="00EE6426">
              <w:rPr>
                <w:rFonts w:eastAsia="Times New Roman" w:cstheme="minorHAnsi"/>
                <w:color w:val="000000"/>
                <w:sz w:val="18"/>
                <w:lang w:eastAsia="en-AU"/>
              </w:rPr>
              <w:t>Bus Passenger</w:t>
            </w:r>
          </w:p>
        </w:tc>
        <w:tc>
          <w:tcPr>
            <w:tcW w:w="706" w:type="dxa"/>
            <w:shd w:val="clear" w:color="auto" w:fill="auto"/>
            <w:noWrap/>
            <w:vAlign w:val="bottom"/>
            <w:hideMark/>
          </w:tcPr>
          <w:p w14:paraId="76490EDD"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3</w:t>
            </w:r>
          </w:p>
        </w:tc>
        <w:tc>
          <w:tcPr>
            <w:tcW w:w="706" w:type="dxa"/>
            <w:shd w:val="clear" w:color="auto" w:fill="auto"/>
            <w:noWrap/>
            <w:vAlign w:val="bottom"/>
            <w:hideMark/>
          </w:tcPr>
          <w:p w14:paraId="6BCC3C21"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3</w:t>
            </w:r>
          </w:p>
        </w:tc>
        <w:tc>
          <w:tcPr>
            <w:tcW w:w="706" w:type="dxa"/>
            <w:shd w:val="clear" w:color="auto" w:fill="auto"/>
            <w:noWrap/>
            <w:vAlign w:val="bottom"/>
            <w:hideMark/>
          </w:tcPr>
          <w:p w14:paraId="152BA3F8"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2</w:t>
            </w:r>
          </w:p>
        </w:tc>
        <w:tc>
          <w:tcPr>
            <w:tcW w:w="706" w:type="dxa"/>
            <w:shd w:val="clear" w:color="auto" w:fill="auto"/>
            <w:noWrap/>
            <w:vAlign w:val="bottom"/>
            <w:hideMark/>
          </w:tcPr>
          <w:p w14:paraId="463E1CD0"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5</w:t>
            </w:r>
          </w:p>
        </w:tc>
        <w:tc>
          <w:tcPr>
            <w:tcW w:w="706" w:type="dxa"/>
            <w:shd w:val="clear" w:color="auto" w:fill="auto"/>
            <w:noWrap/>
            <w:vAlign w:val="bottom"/>
            <w:hideMark/>
          </w:tcPr>
          <w:p w14:paraId="57E4287C"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2</w:t>
            </w:r>
          </w:p>
        </w:tc>
        <w:tc>
          <w:tcPr>
            <w:tcW w:w="706" w:type="dxa"/>
            <w:shd w:val="clear" w:color="auto" w:fill="auto"/>
            <w:noWrap/>
            <w:vAlign w:val="bottom"/>
            <w:hideMark/>
          </w:tcPr>
          <w:p w14:paraId="66F1FD7A"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2</w:t>
            </w:r>
          </w:p>
        </w:tc>
        <w:tc>
          <w:tcPr>
            <w:tcW w:w="706" w:type="dxa"/>
            <w:shd w:val="clear" w:color="auto" w:fill="auto"/>
            <w:noWrap/>
            <w:vAlign w:val="bottom"/>
            <w:hideMark/>
          </w:tcPr>
          <w:p w14:paraId="6C9628C1"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7</w:t>
            </w:r>
          </w:p>
        </w:tc>
        <w:tc>
          <w:tcPr>
            <w:tcW w:w="706" w:type="dxa"/>
            <w:shd w:val="clear" w:color="auto" w:fill="auto"/>
            <w:noWrap/>
            <w:vAlign w:val="bottom"/>
            <w:hideMark/>
          </w:tcPr>
          <w:p w14:paraId="57A6627B"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251CF7F4"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2</w:t>
            </w:r>
          </w:p>
        </w:tc>
        <w:tc>
          <w:tcPr>
            <w:tcW w:w="707" w:type="dxa"/>
            <w:shd w:val="clear" w:color="auto" w:fill="auto"/>
            <w:noWrap/>
            <w:vAlign w:val="bottom"/>
            <w:hideMark/>
          </w:tcPr>
          <w:p w14:paraId="63611B5D" w14:textId="77777777" w:rsidR="00EE6426" w:rsidRPr="005D01D9" w:rsidRDefault="00EE6426"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27</w:t>
            </w:r>
          </w:p>
        </w:tc>
      </w:tr>
      <w:tr w:rsidR="00EE6426" w:rsidRPr="00EE6426" w14:paraId="388E1D13" w14:textId="77777777" w:rsidTr="00C64FB5">
        <w:trPr>
          <w:cantSplit/>
          <w:trHeight w:val="288"/>
        </w:trPr>
        <w:tc>
          <w:tcPr>
            <w:tcW w:w="2011" w:type="dxa"/>
            <w:shd w:val="clear" w:color="auto" w:fill="auto"/>
            <w:noWrap/>
            <w:vAlign w:val="bottom"/>
            <w:hideMark/>
          </w:tcPr>
          <w:p w14:paraId="4C69F235" w14:textId="77777777" w:rsidR="00EE6426" w:rsidRPr="00EE6426" w:rsidRDefault="00EE6426" w:rsidP="00C64FB5">
            <w:pPr>
              <w:keepNext/>
              <w:spacing w:before="60" w:after="60"/>
              <w:rPr>
                <w:rFonts w:eastAsia="Times New Roman" w:cstheme="minorHAnsi"/>
                <w:color w:val="000000"/>
                <w:sz w:val="18"/>
                <w:lang w:eastAsia="en-AU"/>
              </w:rPr>
            </w:pPr>
            <w:r w:rsidRPr="00EE6426">
              <w:rPr>
                <w:rFonts w:eastAsia="Times New Roman" w:cstheme="minorHAnsi"/>
                <w:color w:val="000000"/>
                <w:sz w:val="18"/>
                <w:lang w:eastAsia="en-AU"/>
              </w:rPr>
              <w:t>Cyclist</w:t>
            </w:r>
          </w:p>
        </w:tc>
        <w:tc>
          <w:tcPr>
            <w:tcW w:w="706" w:type="dxa"/>
            <w:shd w:val="clear" w:color="auto" w:fill="auto"/>
            <w:noWrap/>
            <w:vAlign w:val="bottom"/>
            <w:hideMark/>
          </w:tcPr>
          <w:p w14:paraId="177DC3A2"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4EC6D24D" w14:textId="77777777" w:rsidR="00EE6426" w:rsidRPr="00EE6426" w:rsidRDefault="00EE6426" w:rsidP="00C64FB5">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3C7EB382"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2</w:t>
            </w:r>
          </w:p>
        </w:tc>
        <w:tc>
          <w:tcPr>
            <w:tcW w:w="706" w:type="dxa"/>
            <w:shd w:val="clear" w:color="auto" w:fill="auto"/>
            <w:noWrap/>
            <w:vAlign w:val="bottom"/>
            <w:hideMark/>
          </w:tcPr>
          <w:p w14:paraId="63B94C67" w14:textId="77777777" w:rsidR="00EE6426" w:rsidRPr="00EE6426" w:rsidRDefault="00EE6426" w:rsidP="00C64FB5">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56B504E0"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7988F012"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156ED58F"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58037B88"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18A6ED2C" w14:textId="77777777" w:rsidR="00EE6426" w:rsidRPr="00EE6426" w:rsidRDefault="00EE6426" w:rsidP="00C64FB5">
            <w:pPr>
              <w:keepNext/>
              <w:spacing w:before="60" w:after="60"/>
              <w:rPr>
                <w:rFonts w:eastAsia="Times New Roman" w:cstheme="minorHAnsi"/>
                <w:color w:val="auto"/>
                <w:sz w:val="18"/>
                <w:lang w:eastAsia="en-AU"/>
              </w:rPr>
            </w:pPr>
          </w:p>
        </w:tc>
        <w:tc>
          <w:tcPr>
            <w:tcW w:w="707" w:type="dxa"/>
            <w:shd w:val="clear" w:color="auto" w:fill="auto"/>
            <w:noWrap/>
            <w:vAlign w:val="bottom"/>
            <w:hideMark/>
          </w:tcPr>
          <w:p w14:paraId="56E55F84" w14:textId="77777777" w:rsidR="00EE6426" w:rsidRPr="005D01D9" w:rsidRDefault="00EE6426"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3</w:t>
            </w:r>
          </w:p>
        </w:tc>
      </w:tr>
      <w:tr w:rsidR="00EE6426" w:rsidRPr="00EE6426" w14:paraId="650E3C22" w14:textId="77777777" w:rsidTr="00C64FB5">
        <w:trPr>
          <w:cantSplit/>
          <w:trHeight w:val="288"/>
        </w:trPr>
        <w:tc>
          <w:tcPr>
            <w:tcW w:w="2011" w:type="dxa"/>
            <w:shd w:val="clear" w:color="auto" w:fill="auto"/>
            <w:noWrap/>
            <w:vAlign w:val="bottom"/>
            <w:hideMark/>
          </w:tcPr>
          <w:p w14:paraId="3EFE3EBD" w14:textId="77777777" w:rsidR="00EE6426" w:rsidRPr="00EE6426" w:rsidRDefault="00EE6426" w:rsidP="00C64FB5">
            <w:pPr>
              <w:keepNext/>
              <w:spacing w:before="60" w:after="60"/>
              <w:rPr>
                <w:rFonts w:eastAsia="Times New Roman" w:cstheme="minorHAnsi"/>
                <w:color w:val="000000"/>
                <w:sz w:val="18"/>
                <w:lang w:eastAsia="en-AU"/>
              </w:rPr>
            </w:pPr>
            <w:r w:rsidRPr="00EE6426">
              <w:rPr>
                <w:rFonts w:eastAsia="Times New Roman" w:cstheme="minorHAnsi"/>
                <w:color w:val="000000"/>
                <w:sz w:val="18"/>
                <w:lang w:eastAsia="en-AU"/>
              </w:rPr>
              <w:t>Other Vehicle Driver</w:t>
            </w:r>
          </w:p>
        </w:tc>
        <w:tc>
          <w:tcPr>
            <w:tcW w:w="706" w:type="dxa"/>
            <w:shd w:val="clear" w:color="auto" w:fill="auto"/>
            <w:noWrap/>
            <w:vAlign w:val="bottom"/>
            <w:hideMark/>
          </w:tcPr>
          <w:p w14:paraId="3AB9B486" w14:textId="77777777" w:rsidR="00EE6426" w:rsidRPr="00EE6426" w:rsidRDefault="00EE6426" w:rsidP="00C64FB5">
            <w:pPr>
              <w:keepNext/>
              <w:spacing w:before="60" w:after="60"/>
              <w:rPr>
                <w:rFonts w:eastAsia="Times New Roman" w:cstheme="minorHAnsi"/>
                <w:color w:val="000000"/>
                <w:sz w:val="18"/>
                <w:lang w:eastAsia="en-AU"/>
              </w:rPr>
            </w:pPr>
          </w:p>
        </w:tc>
        <w:tc>
          <w:tcPr>
            <w:tcW w:w="706" w:type="dxa"/>
            <w:shd w:val="clear" w:color="auto" w:fill="auto"/>
            <w:noWrap/>
            <w:vAlign w:val="bottom"/>
            <w:hideMark/>
          </w:tcPr>
          <w:p w14:paraId="014F46AF"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2</w:t>
            </w:r>
          </w:p>
        </w:tc>
        <w:tc>
          <w:tcPr>
            <w:tcW w:w="706" w:type="dxa"/>
            <w:shd w:val="clear" w:color="auto" w:fill="auto"/>
            <w:noWrap/>
            <w:vAlign w:val="bottom"/>
            <w:hideMark/>
          </w:tcPr>
          <w:p w14:paraId="59575E6C"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07CE2D94" w14:textId="77777777" w:rsidR="00EE6426" w:rsidRPr="00EE6426" w:rsidRDefault="00EE6426" w:rsidP="00C64FB5">
            <w:pPr>
              <w:keepNext/>
              <w:spacing w:before="60" w:after="60"/>
              <w:jc w:val="right"/>
              <w:rPr>
                <w:rFonts w:eastAsia="Times New Roman" w:cstheme="minorHAnsi"/>
                <w:color w:val="000000"/>
                <w:sz w:val="18"/>
                <w:lang w:eastAsia="en-AU"/>
              </w:rPr>
            </w:pPr>
          </w:p>
        </w:tc>
        <w:tc>
          <w:tcPr>
            <w:tcW w:w="706" w:type="dxa"/>
            <w:shd w:val="clear" w:color="auto" w:fill="auto"/>
            <w:noWrap/>
            <w:vAlign w:val="bottom"/>
            <w:hideMark/>
          </w:tcPr>
          <w:p w14:paraId="0BB74BA1"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3</w:t>
            </w:r>
          </w:p>
        </w:tc>
        <w:tc>
          <w:tcPr>
            <w:tcW w:w="706" w:type="dxa"/>
            <w:shd w:val="clear" w:color="auto" w:fill="auto"/>
            <w:noWrap/>
            <w:vAlign w:val="bottom"/>
            <w:hideMark/>
          </w:tcPr>
          <w:p w14:paraId="11DD1032"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68C3042F"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2</w:t>
            </w:r>
          </w:p>
        </w:tc>
        <w:tc>
          <w:tcPr>
            <w:tcW w:w="706" w:type="dxa"/>
            <w:shd w:val="clear" w:color="auto" w:fill="auto"/>
            <w:noWrap/>
            <w:vAlign w:val="bottom"/>
            <w:hideMark/>
          </w:tcPr>
          <w:p w14:paraId="1C847DDB"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2</w:t>
            </w:r>
          </w:p>
        </w:tc>
        <w:tc>
          <w:tcPr>
            <w:tcW w:w="706" w:type="dxa"/>
            <w:shd w:val="clear" w:color="auto" w:fill="auto"/>
            <w:noWrap/>
            <w:vAlign w:val="bottom"/>
            <w:hideMark/>
          </w:tcPr>
          <w:p w14:paraId="21DCFAED" w14:textId="77777777" w:rsidR="00EE6426" w:rsidRPr="00EE6426" w:rsidRDefault="00EE6426" w:rsidP="00C64FB5">
            <w:pPr>
              <w:keepNext/>
              <w:spacing w:before="60" w:after="60"/>
              <w:jc w:val="right"/>
              <w:rPr>
                <w:rFonts w:eastAsia="Times New Roman" w:cstheme="minorHAnsi"/>
                <w:color w:val="000000"/>
                <w:sz w:val="18"/>
                <w:lang w:eastAsia="en-AU"/>
              </w:rPr>
            </w:pPr>
          </w:p>
        </w:tc>
        <w:tc>
          <w:tcPr>
            <w:tcW w:w="707" w:type="dxa"/>
            <w:shd w:val="clear" w:color="auto" w:fill="auto"/>
            <w:noWrap/>
            <w:vAlign w:val="bottom"/>
            <w:hideMark/>
          </w:tcPr>
          <w:p w14:paraId="35930AB3" w14:textId="77777777" w:rsidR="00EE6426" w:rsidRPr="005D01D9" w:rsidRDefault="00EE6426"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11</w:t>
            </w:r>
          </w:p>
        </w:tc>
      </w:tr>
      <w:tr w:rsidR="00EE6426" w:rsidRPr="00EE6426" w14:paraId="47223E37" w14:textId="77777777" w:rsidTr="00C64FB5">
        <w:trPr>
          <w:cantSplit/>
          <w:trHeight w:val="288"/>
        </w:trPr>
        <w:tc>
          <w:tcPr>
            <w:tcW w:w="2011" w:type="dxa"/>
            <w:shd w:val="clear" w:color="auto" w:fill="auto"/>
            <w:noWrap/>
            <w:vAlign w:val="bottom"/>
            <w:hideMark/>
          </w:tcPr>
          <w:p w14:paraId="6E25CCA6" w14:textId="77777777" w:rsidR="00EE6426" w:rsidRPr="00EE6426" w:rsidRDefault="00EE6426" w:rsidP="00C64FB5">
            <w:pPr>
              <w:keepNext/>
              <w:spacing w:before="60" w:after="60"/>
              <w:rPr>
                <w:rFonts w:eastAsia="Times New Roman" w:cstheme="minorHAnsi"/>
                <w:color w:val="000000"/>
                <w:sz w:val="18"/>
                <w:lang w:eastAsia="en-AU"/>
              </w:rPr>
            </w:pPr>
            <w:r w:rsidRPr="00EE6426">
              <w:rPr>
                <w:rFonts w:eastAsia="Times New Roman" w:cstheme="minorHAnsi"/>
                <w:color w:val="000000"/>
                <w:sz w:val="18"/>
                <w:lang w:eastAsia="en-AU"/>
              </w:rPr>
              <w:t>Pedestrian</w:t>
            </w:r>
          </w:p>
        </w:tc>
        <w:tc>
          <w:tcPr>
            <w:tcW w:w="706" w:type="dxa"/>
            <w:shd w:val="clear" w:color="auto" w:fill="auto"/>
            <w:noWrap/>
            <w:vAlign w:val="bottom"/>
            <w:hideMark/>
          </w:tcPr>
          <w:p w14:paraId="3B28F683"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2D85E352"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2</w:t>
            </w:r>
          </w:p>
        </w:tc>
        <w:tc>
          <w:tcPr>
            <w:tcW w:w="706" w:type="dxa"/>
            <w:shd w:val="clear" w:color="auto" w:fill="auto"/>
            <w:noWrap/>
            <w:vAlign w:val="bottom"/>
            <w:hideMark/>
          </w:tcPr>
          <w:p w14:paraId="046E9191"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20D313D0"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5CABC583"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44C52036"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5971877D"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7367B860"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6D191F47"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7" w:type="dxa"/>
            <w:shd w:val="clear" w:color="auto" w:fill="auto"/>
            <w:noWrap/>
            <w:vAlign w:val="bottom"/>
            <w:hideMark/>
          </w:tcPr>
          <w:p w14:paraId="77D1CFEA" w14:textId="77777777" w:rsidR="00EE6426" w:rsidRPr="005D01D9" w:rsidRDefault="00EE6426"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10</w:t>
            </w:r>
          </w:p>
        </w:tc>
      </w:tr>
      <w:tr w:rsidR="00EE6426" w:rsidRPr="00EE6426" w14:paraId="2CC7EC62" w14:textId="77777777" w:rsidTr="00C64FB5">
        <w:trPr>
          <w:cantSplit/>
          <w:trHeight w:val="288"/>
        </w:trPr>
        <w:tc>
          <w:tcPr>
            <w:tcW w:w="2011" w:type="dxa"/>
            <w:shd w:val="clear" w:color="auto" w:fill="auto"/>
            <w:noWrap/>
            <w:vAlign w:val="bottom"/>
            <w:hideMark/>
          </w:tcPr>
          <w:p w14:paraId="07B9A7B7" w14:textId="77777777" w:rsidR="00EE6426" w:rsidRPr="00EE6426" w:rsidRDefault="00EE6426" w:rsidP="00C64FB5">
            <w:pPr>
              <w:keepNext/>
              <w:spacing w:before="60" w:after="60"/>
              <w:rPr>
                <w:rFonts w:eastAsia="Times New Roman" w:cstheme="minorHAnsi"/>
                <w:color w:val="000000"/>
                <w:sz w:val="18"/>
                <w:lang w:eastAsia="en-AU"/>
              </w:rPr>
            </w:pPr>
            <w:r w:rsidRPr="00EE6426">
              <w:rPr>
                <w:rFonts w:eastAsia="Times New Roman" w:cstheme="minorHAnsi"/>
                <w:color w:val="000000"/>
                <w:sz w:val="18"/>
                <w:lang w:eastAsia="en-AU"/>
              </w:rPr>
              <w:t>Trespasser</w:t>
            </w:r>
          </w:p>
        </w:tc>
        <w:tc>
          <w:tcPr>
            <w:tcW w:w="706" w:type="dxa"/>
            <w:shd w:val="clear" w:color="auto" w:fill="auto"/>
            <w:noWrap/>
            <w:vAlign w:val="bottom"/>
            <w:hideMark/>
          </w:tcPr>
          <w:p w14:paraId="7863C1E3" w14:textId="77777777" w:rsidR="00EE6426" w:rsidRPr="00EE6426" w:rsidRDefault="00EE6426" w:rsidP="00C64FB5">
            <w:pPr>
              <w:keepNext/>
              <w:spacing w:before="60" w:after="60"/>
              <w:rPr>
                <w:rFonts w:eastAsia="Times New Roman" w:cstheme="minorHAnsi"/>
                <w:color w:val="000000"/>
                <w:sz w:val="18"/>
                <w:lang w:eastAsia="en-AU"/>
              </w:rPr>
            </w:pPr>
          </w:p>
        </w:tc>
        <w:tc>
          <w:tcPr>
            <w:tcW w:w="706" w:type="dxa"/>
            <w:shd w:val="clear" w:color="auto" w:fill="auto"/>
            <w:noWrap/>
            <w:vAlign w:val="bottom"/>
            <w:hideMark/>
          </w:tcPr>
          <w:p w14:paraId="26121A53"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1F88BB8B"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5B8F91B8"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2DD631F6"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0D477659"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0993EEDB" w14:textId="77777777" w:rsidR="00EE6426" w:rsidRPr="00EE6426" w:rsidRDefault="00EE6426" w:rsidP="00C64FB5">
            <w:pPr>
              <w:keepNext/>
              <w:spacing w:before="60" w:after="60"/>
              <w:rPr>
                <w:rFonts w:eastAsia="Times New Roman" w:cstheme="minorHAnsi"/>
                <w:color w:val="auto"/>
                <w:sz w:val="18"/>
                <w:lang w:eastAsia="en-AU"/>
              </w:rPr>
            </w:pPr>
          </w:p>
        </w:tc>
        <w:tc>
          <w:tcPr>
            <w:tcW w:w="706" w:type="dxa"/>
            <w:shd w:val="clear" w:color="auto" w:fill="auto"/>
            <w:noWrap/>
            <w:vAlign w:val="bottom"/>
            <w:hideMark/>
          </w:tcPr>
          <w:p w14:paraId="0B3EF5B8"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6" w:type="dxa"/>
            <w:shd w:val="clear" w:color="auto" w:fill="auto"/>
            <w:noWrap/>
            <w:vAlign w:val="bottom"/>
            <w:hideMark/>
          </w:tcPr>
          <w:p w14:paraId="09654321" w14:textId="77777777" w:rsidR="00EE6426" w:rsidRPr="00EE6426" w:rsidRDefault="00EE6426" w:rsidP="00C64FB5">
            <w:pPr>
              <w:keepNext/>
              <w:spacing w:before="60" w:after="60"/>
              <w:jc w:val="right"/>
              <w:rPr>
                <w:rFonts w:eastAsia="Times New Roman" w:cstheme="minorHAnsi"/>
                <w:color w:val="000000"/>
                <w:sz w:val="18"/>
                <w:lang w:eastAsia="en-AU"/>
              </w:rPr>
            </w:pPr>
            <w:r w:rsidRPr="00EE6426">
              <w:rPr>
                <w:rFonts w:eastAsia="Times New Roman" w:cstheme="minorHAnsi"/>
                <w:color w:val="000000"/>
                <w:sz w:val="18"/>
                <w:lang w:eastAsia="en-AU"/>
              </w:rPr>
              <w:t>1</w:t>
            </w:r>
          </w:p>
        </w:tc>
        <w:tc>
          <w:tcPr>
            <w:tcW w:w="707" w:type="dxa"/>
            <w:shd w:val="clear" w:color="auto" w:fill="auto"/>
            <w:noWrap/>
            <w:vAlign w:val="bottom"/>
            <w:hideMark/>
          </w:tcPr>
          <w:p w14:paraId="0CCCEDB5" w14:textId="77777777" w:rsidR="00EE6426" w:rsidRPr="005D01D9" w:rsidRDefault="00EE6426"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w:t>
            </w:r>
          </w:p>
        </w:tc>
      </w:tr>
      <w:tr w:rsidR="002A558B" w:rsidRPr="00EE6426" w14:paraId="26C0228B" w14:textId="77777777" w:rsidTr="00C64FB5">
        <w:trPr>
          <w:cantSplit/>
          <w:trHeight w:val="288"/>
        </w:trPr>
        <w:tc>
          <w:tcPr>
            <w:tcW w:w="2011" w:type="dxa"/>
            <w:shd w:val="clear" w:color="auto" w:fill="D6ECED"/>
            <w:noWrap/>
            <w:vAlign w:val="bottom"/>
            <w:hideMark/>
          </w:tcPr>
          <w:p w14:paraId="0CC424DA" w14:textId="77777777" w:rsidR="00EE6426" w:rsidRPr="00EE6426" w:rsidRDefault="00EE6426" w:rsidP="00C64FB5">
            <w:pPr>
              <w:keepNext/>
              <w:spacing w:before="60" w:after="60"/>
              <w:rPr>
                <w:rFonts w:eastAsia="Times New Roman" w:cstheme="minorHAnsi"/>
                <w:b/>
                <w:bCs/>
                <w:color w:val="000000"/>
                <w:sz w:val="18"/>
                <w:lang w:eastAsia="en-AU"/>
              </w:rPr>
            </w:pPr>
            <w:r w:rsidRPr="00EE6426">
              <w:rPr>
                <w:rFonts w:eastAsia="Times New Roman" w:cstheme="minorHAnsi"/>
                <w:b/>
                <w:bCs/>
                <w:color w:val="000000"/>
                <w:sz w:val="18"/>
                <w:lang w:eastAsia="en-AU"/>
              </w:rPr>
              <w:t>Total</w:t>
            </w:r>
          </w:p>
        </w:tc>
        <w:tc>
          <w:tcPr>
            <w:tcW w:w="706" w:type="dxa"/>
            <w:shd w:val="clear" w:color="auto" w:fill="D6ECED"/>
            <w:noWrap/>
            <w:vAlign w:val="bottom"/>
            <w:hideMark/>
          </w:tcPr>
          <w:p w14:paraId="5BC669FA" w14:textId="77777777" w:rsidR="00EE6426" w:rsidRPr="00EE6426" w:rsidRDefault="00EE6426" w:rsidP="00C64FB5">
            <w:pPr>
              <w:keepNext/>
              <w:spacing w:before="60" w:after="60"/>
              <w:jc w:val="right"/>
              <w:rPr>
                <w:rFonts w:eastAsia="Times New Roman" w:cstheme="minorHAnsi"/>
                <w:b/>
                <w:bCs/>
                <w:color w:val="000000"/>
                <w:sz w:val="18"/>
                <w:lang w:eastAsia="en-AU"/>
              </w:rPr>
            </w:pPr>
            <w:r w:rsidRPr="00EE6426">
              <w:rPr>
                <w:rFonts w:eastAsia="Times New Roman" w:cstheme="minorHAnsi"/>
                <w:b/>
                <w:bCs/>
                <w:color w:val="000000"/>
                <w:sz w:val="18"/>
                <w:lang w:eastAsia="en-AU"/>
              </w:rPr>
              <w:t>5</w:t>
            </w:r>
          </w:p>
        </w:tc>
        <w:tc>
          <w:tcPr>
            <w:tcW w:w="706" w:type="dxa"/>
            <w:shd w:val="clear" w:color="auto" w:fill="D6ECED"/>
            <w:noWrap/>
            <w:vAlign w:val="bottom"/>
            <w:hideMark/>
          </w:tcPr>
          <w:p w14:paraId="65DC9128" w14:textId="77777777" w:rsidR="00EE6426" w:rsidRPr="00EE6426" w:rsidRDefault="00EE6426" w:rsidP="00C64FB5">
            <w:pPr>
              <w:keepNext/>
              <w:spacing w:before="60" w:after="60"/>
              <w:jc w:val="right"/>
              <w:rPr>
                <w:rFonts w:eastAsia="Times New Roman" w:cstheme="minorHAnsi"/>
                <w:b/>
                <w:bCs/>
                <w:color w:val="000000"/>
                <w:sz w:val="18"/>
                <w:lang w:eastAsia="en-AU"/>
              </w:rPr>
            </w:pPr>
            <w:r w:rsidRPr="00EE6426">
              <w:rPr>
                <w:rFonts w:eastAsia="Times New Roman" w:cstheme="minorHAnsi"/>
                <w:b/>
                <w:bCs/>
                <w:color w:val="000000"/>
                <w:sz w:val="18"/>
                <w:lang w:eastAsia="en-AU"/>
              </w:rPr>
              <w:t>7</w:t>
            </w:r>
          </w:p>
        </w:tc>
        <w:tc>
          <w:tcPr>
            <w:tcW w:w="706" w:type="dxa"/>
            <w:shd w:val="clear" w:color="auto" w:fill="D6ECED"/>
            <w:noWrap/>
            <w:vAlign w:val="bottom"/>
            <w:hideMark/>
          </w:tcPr>
          <w:p w14:paraId="59B9969A" w14:textId="77777777" w:rsidR="00EE6426" w:rsidRPr="00EE6426" w:rsidRDefault="00EE6426" w:rsidP="00C64FB5">
            <w:pPr>
              <w:keepNext/>
              <w:spacing w:before="60" w:after="60"/>
              <w:jc w:val="right"/>
              <w:rPr>
                <w:rFonts w:eastAsia="Times New Roman" w:cstheme="minorHAnsi"/>
                <w:b/>
                <w:bCs/>
                <w:color w:val="000000"/>
                <w:sz w:val="18"/>
                <w:lang w:eastAsia="en-AU"/>
              </w:rPr>
            </w:pPr>
            <w:r w:rsidRPr="00EE6426">
              <w:rPr>
                <w:rFonts w:eastAsia="Times New Roman" w:cstheme="minorHAnsi"/>
                <w:b/>
                <w:bCs/>
                <w:color w:val="000000"/>
                <w:sz w:val="18"/>
                <w:lang w:eastAsia="en-AU"/>
              </w:rPr>
              <w:t>7</w:t>
            </w:r>
          </w:p>
        </w:tc>
        <w:tc>
          <w:tcPr>
            <w:tcW w:w="706" w:type="dxa"/>
            <w:shd w:val="clear" w:color="auto" w:fill="D6ECED"/>
            <w:noWrap/>
            <w:vAlign w:val="bottom"/>
            <w:hideMark/>
          </w:tcPr>
          <w:p w14:paraId="3FD38170" w14:textId="77777777" w:rsidR="00EE6426" w:rsidRPr="00EE6426" w:rsidRDefault="00EE6426" w:rsidP="00C64FB5">
            <w:pPr>
              <w:keepNext/>
              <w:spacing w:before="60" w:after="60"/>
              <w:jc w:val="right"/>
              <w:rPr>
                <w:rFonts w:eastAsia="Times New Roman" w:cstheme="minorHAnsi"/>
                <w:b/>
                <w:bCs/>
                <w:color w:val="000000"/>
                <w:sz w:val="18"/>
                <w:lang w:eastAsia="en-AU"/>
              </w:rPr>
            </w:pPr>
            <w:r w:rsidRPr="00EE6426">
              <w:rPr>
                <w:rFonts w:eastAsia="Times New Roman" w:cstheme="minorHAnsi"/>
                <w:b/>
                <w:bCs/>
                <w:color w:val="000000"/>
                <w:sz w:val="18"/>
                <w:lang w:eastAsia="en-AU"/>
              </w:rPr>
              <w:t>6</w:t>
            </w:r>
          </w:p>
        </w:tc>
        <w:tc>
          <w:tcPr>
            <w:tcW w:w="706" w:type="dxa"/>
            <w:shd w:val="clear" w:color="auto" w:fill="D6ECED"/>
            <w:noWrap/>
            <w:vAlign w:val="bottom"/>
            <w:hideMark/>
          </w:tcPr>
          <w:p w14:paraId="30198A51" w14:textId="77777777" w:rsidR="00EE6426" w:rsidRPr="00EE6426" w:rsidRDefault="00EE6426" w:rsidP="00C64FB5">
            <w:pPr>
              <w:keepNext/>
              <w:spacing w:before="60" w:after="60"/>
              <w:jc w:val="right"/>
              <w:rPr>
                <w:rFonts w:eastAsia="Times New Roman" w:cstheme="minorHAnsi"/>
                <w:b/>
                <w:bCs/>
                <w:color w:val="000000"/>
                <w:sz w:val="18"/>
                <w:lang w:eastAsia="en-AU"/>
              </w:rPr>
            </w:pPr>
            <w:r w:rsidRPr="00EE6426">
              <w:rPr>
                <w:rFonts w:eastAsia="Times New Roman" w:cstheme="minorHAnsi"/>
                <w:b/>
                <w:bCs/>
                <w:color w:val="000000"/>
                <w:sz w:val="18"/>
                <w:lang w:eastAsia="en-AU"/>
              </w:rPr>
              <w:t>7</w:t>
            </w:r>
          </w:p>
        </w:tc>
        <w:tc>
          <w:tcPr>
            <w:tcW w:w="706" w:type="dxa"/>
            <w:shd w:val="clear" w:color="auto" w:fill="D6ECED"/>
            <w:noWrap/>
            <w:vAlign w:val="bottom"/>
            <w:hideMark/>
          </w:tcPr>
          <w:p w14:paraId="5EDC1D17" w14:textId="77777777" w:rsidR="00EE6426" w:rsidRPr="00EE6426" w:rsidRDefault="00EE6426" w:rsidP="00C64FB5">
            <w:pPr>
              <w:keepNext/>
              <w:spacing w:before="60" w:after="60"/>
              <w:jc w:val="right"/>
              <w:rPr>
                <w:rFonts w:eastAsia="Times New Roman" w:cstheme="minorHAnsi"/>
                <w:b/>
                <w:bCs/>
                <w:color w:val="000000"/>
                <w:sz w:val="18"/>
                <w:lang w:eastAsia="en-AU"/>
              </w:rPr>
            </w:pPr>
            <w:r w:rsidRPr="00EE6426">
              <w:rPr>
                <w:rFonts w:eastAsia="Times New Roman" w:cstheme="minorHAnsi"/>
                <w:b/>
                <w:bCs/>
                <w:color w:val="000000"/>
                <w:sz w:val="18"/>
                <w:lang w:eastAsia="en-AU"/>
              </w:rPr>
              <w:t>5</w:t>
            </w:r>
          </w:p>
        </w:tc>
        <w:tc>
          <w:tcPr>
            <w:tcW w:w="706" w:type="dxa"/>
            <w:shd w:val="clear" w:color="auto" w:fill="D6ECED"/>
            <w:noWrap/>
            <w:vAlign w:val="bottom"/>
            <w:hideMark/>
          </w:tcPr>
          <w:p w14:paraId="3D54E920" w14:textId="77777777" w:rsidR="00EE6426" w:rsidRPr="00EE6426" w:rsidRDefault="00EE6426" w:rsidP="00C64FB5">
            <w:pPr>
              <w:keepNext/>
              <w:spacing w:before="60" w:after="60"/>
              <w:jc w:val="right"/>
              <w:rPr>
                <w:rFonts w:eastAsia="Times New Roman" w:cstheme="minorHAnsi"/>
                <w:b/>
                <w:bCs/>
                <w:color w:val="000000"/>
                <w:sz w:val="18"/>
                <w:lang w:eastAsia="en-AU"/>
              </w:rPr>
            </w:pPr>
            <w:r w:rsidRPr="00EE6426">
              <w:rPr>
                <w:rFonts w:eastAsia="Times New Roman" w:cstheme="minorHAnsi"/>
                <w:b/>
                <w:bCs/>
                <w:color w:val="000000"/>
                <w:sz w:val="18"/>
                <w:lang w:eastAsia="en-AU"/>
              </w:rPr>
              <w:t>10</w:t>
            </w:r>
          </w:p>
        </w:tc>
        <w:tc>
          <w:tcPr>
            <w:tcW w:w="706" w:type="dxa"/>
            <w:shd w:val="clear" w:color="auto" w:fill="D6ECED"/>
            <w:noWrap/>
            <w:vAlign w:val="bottom"/>
            <w:hideMark/>
          </w:tcPr>
          <w:p w14:paraId="7D804E6F" w14:textId="77777777" w:rsidR="00EE6426" w:rsidRPr="00EE6426" w:rsidRDefault="00EE6426" w:rsidP="00C64FB5">
            <w:pPr>
              <w:keepNext/>
              <w:spacing w:before="60" w:after="60"/>
              <w:jc w:val="right"/>
              <w:rPr>
                <w:rFonts w:eastAsia="Times New Roman" w:cstheme="minorHAnsi"/>
                <w:b/>
                <w:bCs/>
                <w:color w:val="000000"/>
                <w:sz w:val="18"/>
                <w:lang w:eastAsia="en-AU"/>
              </w:rPr>
            </w:pPr>
            <w:r w:rsidRPr="00EE6426">
              <w:rPr>
                <w:rFonts w:eastAsia="Times New Roman" w:cstheme="minorHAnsi"/>
                <w:b/>
                <w:bCs/>
                <w:color w:val="000000"/>
                <w:sz w:val="18"/>
                <w:lang w:eastAsia="en-AU"/>
              </w:rPr>
              <w:t>5</w:t>
            </w:r>
          </w:p>
        </w:tc>
        <w:tc>
          <w:tcPr>
            <w:tcW w:w="706" w:type="dxa"/>
            <w:shd w:val="clear" w:color="auto" w:fill="D6ECED"/>
            <w:noWrap/>
            <w:vAlign w:val="bottom"/>
            <w:hideMark/>
          </w:tcPr>
          <w:p w14:paraId="3E4DE20C" w14:textId="77777777" w:rsidR="00EE6426" w:rsidRPr="00EE6426" w:rsidRDefault="00EE6426" w:rsidP="00C64FB5">
            <w:pPr>
              <w:keepNext/>
              <w:spacing w:before="60" w:after="60"/>
              <w:jc w:val="right"/>
              <w:rPr>
                <w:rFonts w:eastAsia="Times New Roman" w:cstheme="minorHAnsi"/>
                <w:b/>
                <w:bCs/>
                <w:color w:val="000000"/>
                <w:sz w:val="18"/>
                <w:lang w:eastAsia="en-AU"/>
              </w:rPr>
            </w:pPr>
            <w:r w:rsidRPr="00EE6426">
              <w:rPr>
                <w:rFonts w:eastAsia="Times New Roman" w:cstheme="minorHAnsi"/>
                <w:b/>
                <w:bCs/>
                <w:color w:val="000000"/>
                <w:sz w:val="18"/>
                <w:lang w:eastAsia="en-AU"/>
              </w:rPr>
              <w:t>5</w:t>
            </w:r>
          </w:p>
        </w:tc>
        <w:tc>
          <w:tcPr>
            <w:tcW w:w="707" w:type="dxa"/>
            <w:shd w:val="clear" w:color="auto" w:fill="D6ECED"/>
            <w:noWrap/>
            <w:vAlign w:val="bottom"/>
            <w:hideMark/>
          </w:tcPr>
          <w:p w14:paraId="4CE5CB96" w14:textId="77777777" w:rsidR="00EE6426" w:rsidRPr="005D01D9" w:rsidRDefault="00EE6426" w:rsidP="00C64FB5">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57</w:t>
            </w:r>
          </w:p>
        </w:tc>
      </w:tr>
    </w:tbl>
    <w:p w14:paraId="78A69369" w14:textId="703B2369" w:rsidR="00E602CF" w:rsidRPr="00E602CF" w:rsidRDefault="00E602CF" w:rsidP="00E602CF">
      <w:pPr>
        <w:spacing w:before="40"/>
        <w:rPr>
          <w:sz w:val="16"/>
          <w:szCs w:val="16"/>
        </w:rPr>
      </w:pPr>
      <w:r w:rsidRPr="00E602CF">
        <w:rPr>
          <w:sz w:val="16"/>
          <w:szCs w:val="16"/>
        </w:rPr>
        <w:t>Source: TSV</w:t>
      </w:r>
    </w:p>
    <w:p w14:paraId="483206FA" w14:textId="7D27BDBA" w:rsidR="003E5C54" w:rsidRPr="006374ED" w:rsidRDefault="004A4AF6" w:rsidP="003E5C54">
      <w:r>
        <w:t xml:space="preserve">These figures </w:t>
      </w:r>
      <w:r w:rsidR="00472821">
        <w:t xml:space="preserve">highlight </w:t>
      </w:r>
      <w:r>
        <w:t xml:space="preserve">the </w:t>
      </w:r>
      <w:r w:rsidR="003E5C54">
        <w:t>relative negative externalities</w:t>
      </w:r>
      <w:r w:rsidR="00001368">
        <w:t xml:space="preserve"> </w:t>
      </w:r>
      <w:r w:rsidR="00472821">
        <w:t xml:space="preserve">of bus services </w:t>
      </w:r>
      <w:r w:rsidR="00001368">
        <w:t xml:space="preserve">– as </w:t>
      </w:r>
      <w:r w:rsidR="00DD0691">
        <w:t>evidence</w:t>
      </w:r>
      <w:r w:rsidR="0034100C">
        <w:t>d</w:t>
      </w:r>
      <w:r w:rsidR="00DD0691">
        <w:t xml:space="preserve"> by the </w:t>
      </w:r>
      <w:r w:rsidR="00001368">
        <w:t xml:space="preserve">fatalities suffered </w:t>
      </w:r>
      <w:r w:rsidR="00DC793B">
        <w:t>by those not directly engaging with the bus service (e.g. occupants of other vehicles, pedestrians etc.)</w:t>
      </w:r>
      <w:r w:rsidR="00472821">
        <w:t xml:space="preserve"> </w:t>
      </w:r>
      <w:r w:rsidR="008E2A52">
        <w:t xml:space="preserve">– </w:t>
      </w:r>
      <w:r w:rsidR="003E5C54">
        <w:t xml:space="preserve">and the </w:t>
      </w:r>
      <w:r w:rsidR="003E5C54" w:rsidRPr="006374ED">
        <w:t xml:space="preserve">importance </w:t>
      </w:r>
      <w:r w:rsidR="003E5C54">
        <w:t xml:space="preserve">of considering the </w:t>
      </w:r>
      <w:r w:rsidR="003E5C54" w:rsidRPr="006374ED">
        <w:t xml:space="preserve">operating environment of buses – such as interaction with </w:t>
      </w:r>
      <w:r w:rsidR="003E5C54">
        <w:t xml:space="preserve">other road users and </w:t>
      </w:r>
      <w:r w:rsidR="003E5C54" w:rsidRPr="006374ED">
        <w:t>bus stop locations.</w:t>
      </w:r>
    </w:p>
    <w:p w14:paraId="42427BD0" w14:textId="77777777" w:rsidR="003E5C54" w:rsidRDefault="003E5C54" w:rsidP="003E5C54">
      <w:pPr>
        <w:pStyle w:val="Heading3"/>
        <w:rPr>
          <w:rFonts w:eastAsiaTheme="minorHAnsi"/>
        </w:rPr>
      </w:pPr>
      <w:bookmarkStart w:id="243" w:name="_Toc32909786"/>
      <w:bookmarkStart w:id="244" w:name="_Toc45704335"/>
      <w:r>
        <w:t>Bus-related serious injuries</w:t>
      </w:r>
      <w:bookmarkEnd w:id="243"/>
      <w:bookmarkEnd w:id="244"/>
    </w:p>
    <w:p w14:paraId="0B94AFFC" w14:textId="23DAE7EF" w:rsidR="003E5C54" w:rsidRPr="006374ED" w:rsidRDefault="00C64862" w:rsidP="003E5C54">
      <w:r>
        <w:fldChar w:fldCharType="begin"/>
      </w:r>
      <w:r>
        <w:instrText xml:space="preserve"> REF _Ref24967982 \h  \* MERGEFORMAT </w:instrText>
      </w:r>
      <w:r>
        <w:fldChar w:fldCharType="separate"/>
      </w:r>
      <w:r w:rsidR="00277F6E" w:rsidRPr="00277F6E">
        <w:t>Table 3</w:t>
      </w:r>
      <w:r w:rsidR="00277F6E" w:rsidRPr="00277F6E">
        <w:noBreakHyphen/>
        <w:t>5</w:t>
      </w:r>
      <w:r>
        <w:fldChar w:fldCharType="end"/>
      </w:r>
      <w:r>
        <w:t xml:space="preserve"> </w:t>
      </w:r>
      <w:r w:rsidR="003E5C54" w:rsidRPr="006374ED">
        <w:t>shows serious injuries by occurrence type and category</w:t>
      </w:r>
      <w:r w:rsidR="003E5C54">
        <w:t xml:space="preserve"> that occurred each</w:t>
      </w:r>
      <w:r w:rsidR="00226745">
        <w:t xml:space="preserve"> calendar</w:t>
      </w:r>
      <w:r w:rsidR="003E5C54">
        <w:t xml:space="preserve"> year from 201</w:t>
      </w:r>
      <w:r w:rsidR="00836299">
        <w:t>1</w:t>
      </w:r>
      <w:r w:rsidR="003E5C54">
        <w:t xml:space="preserve"> to </w:t>
      </w:r>
      <w:r w:rsidR="002B6F51">
        <w:t>2019</w:t>
      </w:r>
      <w:r w:rsidR="003E5C54" w:rsidRPr="006374ED">
        <w:t>.</w:t>
      </w:r>
      <w:r w:rsidR="003E2E4A">
        <w:rPr>
          <w:rStyle w:val="FootnoteReference"/>
        </w:rPr>
        <w:footnoteReference w:id="4"/>
      </w:r>
      <w:r w:rsidR="003E5C54">
        <w:t xml:space="preserve"> </w:t>
      </w:r>
      <w:r w:rsidR="009E032C">
        <w:t xml:space="preserve">There </w:t>
      </w:r>
      <w:r w:rsidR="004645BA">
        <w:t xml:space="preserve">were </w:t>
      </w:r>
      <w:r w:rsidR="009E032C">
        <w:t xml:space="preserve">a total of 534 serious injuries recorded </w:t>
      </w:r>
      <w:r w:rsidR="00287399">
        <w:t xml:space="preserve">for </w:t>
      </w:r>
      <w:r w:rsidR="009E032C">
        <w:t>the period 2011 to 2019.</w:t>
      </w:r>
      <w:r w:rsidR="003E5C54">
        <w:t xml:space="preserve"> </w:t>
      </w:r>
      <w:r w:rsidR="006463CB">
        <w:t>C</w:t>
      </w:r>
      <w:r w:rsidR="003E5C54" w:rsidRPr="006374ED">
        <w:t>ollisions</w:t>
      </w:r>
      <w:r w:rsidR="00764BFC">
        <w:t xml:space="preserve"> (273 serious injuries)</w:t>
      </w:r>
      <w:r w:rsidR="003E5C54" w:rsidRPr="006374ED">
        <w:t xml:space="preserve"> make up the greatest proportion of causes for serious injuries, followed by slip, trip or fall</w:t>
      </w:r>
      <w:r w:rsidR="00764BFC">
        <w:t xml:space="preserve"> (172 serious injuries)</w:t>
      </w:r>
      <w:r w:rsidR="003E5C54" w:rsidRPr="006374ED">
        <w:t xml:space="preserve">. </w:t>
      </w:r>
    </w:p>
    <w:p w14:paraId="62300CB8" w14:textId="7C24D06E" w:rsidR="00A91472" w:rsidRPr="00A91472" w:rsidRDefault="003E5C54" w:rsidP="005E479A">
      <w:pPr>
        <w:pStyle w:val="Caption"/>
        <w:keepNext/>
        <w:spacing w:after="60"/>
        <w:rPr>
          <w:b/>
          <w:i w:val="0"/>
          <w:highlight w:val="yellow"/>
        </w:rPr>
      </w:pPr>
      <w:bookmarkStart w:id="245" w:name="_Ref24967982"/>
      <w:bookmarkStart w:id="246" w:name="_Toc44603382"/>
      <w:bookmarkStart w:id="247" w:name="_Toc44437357"/>
      <w:bookmarkStart w:id="248" w:name="_Toc44597428"/>
      <w:bookmarkStart w:id="249" w:name="_Toc44597492"/>
      <w:bookmarkStart w:id="250" w:name="_Toc44600062"/>
      <w:bookmarkStart w:id="251" w:name="_Toc44600517"/>
      <w:bookmarkStart w:id="252" w:name="_Toc44600684"/>
      <w:bookmarkStart w:id="253" w:name="_Toc44601181"/>
      <w:bookmarkStart w:id="254" w:name="_Toc44601234"/>
      <w:bookmarkStart w:id="255" w:name="_Toc45704430"/>
      <w:r w:rsidRPr="00021E76">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5</w:t>
      </w:r>
      <w:r w:rsidR="00D2483C">
        <w:rPr>
          <w:b/>
          <w:i w:val="0"/>
        </w:rPr>
        <w:fldChar w:fldCharType="end"/>
      </w:r>
      <w:bookmarkEnd w:id="245"/>
      <w:r w:rsidRPr="00021E76">
        <w:rPr>
          <w:b/>
          <w:i w:val="0"/>
        </w:rPr>
        <w:t>: Serious injur</w:t>
      </w:r>
      <w:r w:rsidR="00437C2F">
        <w:rPr>
          <w:b/>
          <w:i w:val="0"/>
        </w:rPr>
        <w:t>ies</w:t>
      </w:r>
      <w:r w:rsidRPr="00021E76">
        <w:rPr>
          <w:b/>
          <w:i w:val="0"/>
        </w:rPr>
        <w:t xml:space="preserve"> by occurrence type </w:t>
      </w:r>
      <w:r w:rsidR="00287399">
        <w:rPr>
          <w:b/>
          <w:i w:val="0"/>
        </w:rPr>
        <w:t>– 2011-2019</w:t>
      </w:r>
      <w:bookmarkEnd w:id="246"/>
      <w:bookmarkEnd w:id="247"/>
      <w:bookmarkEnd w:id="248"/>
      <w:bookmarkEnd w:id="249"/>
      <w:bookmarkEnd w:id="250"/>
      <w:bookmarkEnd w:id="251"/>
      <w:bookmarkEnd w:id="252"/>
      <w:bookmarkEnd w:id="253"/>
      <w:bookmarkEnd w:id="254"/>
      <w:bookmarkEnd w:id="255"/>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7"/>
        <w:gridCol w:w="705"/>
        <w:gridCol w:w="705"/>
        <w:gridCol w:w="705"/>
        <w:gridCol w:w="704"/>
        <w:gridCol w:w="705"/>
        <w:gridCol w:w="705"/>
        <w:gridCol w:w="704"/>
        <w:gridCol w:w="705"/>
        <w:gridCol w:w="705"/>
        <w:gridCol w:w="705"/>
      </w:tblGrid>
      <w:tr w:rsidR="00021E76" w:rsidRPr="00F94423" w14:paraId="292EFFDF" w14:textId="77777777" w:rsidTr="00352F0E">
        <w:trPr>
          <w:cantSplit/>
          <w:trHeight w:val="288"/>
          <w:tblHeader/>
        </w:trPr>
        <w:tc>
          <w:tcPr>
            <w:tcW w:w="1980" w:type="dxa"/>
            <w:shd w:val="clear" w:color="auto" w:fill="D6ECED"/>
            <w:noWrap/>
            <w:vAlign w:val="bottom"/>
            <w:hideMark/>
          </w:tcPr>
          <w:p w14:paraId="2D03E63B" w14:textId="359FC904" w:rsidR="00021E76" w:rsidRPr="00F94423" w:rsidRDefault="00021E76" w:rsidP="00352F0E">
            <w:pPr>
              <w:keepNext/>
              <w:spacing w:before="60" w:after="60"/>
              <w:rPr>
                <w:rFonts w:eastAsia="Times New Roman" w:cstheme="minorHAnsi"/>
                <w:b/>
                <w:color w:val="000000"/>
                <w:sz w:val="18"/>
                <w:lang w:eastAsia="en-AU"/>
              </w:rPr>
            </w:pPr>
            <w:r w:rsidRPr="00F94423">
              <w:rPr>
                <w:rFonts w:eastAsia="Times New Roman" w:cstheme="minorHAnsi"/>
                <w:b/>
                <w:color w:val="000000"/>
                <w:sz w:val="18"/>
                <w:lang w:eastAsia="en-AU"/>
              </w:rPr>
              <w:t xml:space="preserve">Incident </w:t>
            </w:r>
            <w:r w:rsidR="00455326">
              <w:rPr>
                <w:rFonts w:eastAsia="Times New Roman" w:cstheme="minorHAnsi"/>
                <w:b/>
                <w:color w:val="000000"/>
                <w:sz w:val="18"/>
                <w:lang w:eastAsia="en-AU"/>
              </w:rPr>
              <w:t>t</w:t>
            </w:r>
            <w:r w:rsidRPr="00F94423">
              <w:rPr>
                <w:rFonts w:eastAsia="Times New Roman" w:cstheme="minorHAnsi"/>
                <w:b/>
                <w:color w:val="000000"/>
                <w:sz w:val="18"/>
                <w:lang w:eastAsia="en-AU"/>
              </w:rPr>
              <w:t>ype</w:t>
            </w:r>
          </w:p>
        </w:tc>
        <w:tc>
          <w:tcPr>
            <w:tcW w:w="708" w:type="dxa"/>
            <w:shd w:val="clear" w:color="auto" w:fill="D6ECED"/>
            <w:noWrap/>
            <w:vAlign w:val="bottom"/>
            <w:hideMark/>
          </w:tcPr>
          <w:p w14:paraId="09A44319"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2011</w:t>
            </w:r>
          </w:p>
        </w:tc>
        <w:tc>
          <w:tcPr>
            <w:tcW w:w="709" w:type="dxa"/>
            <w:shd w:val="clear" w:color="auto" w:fill="D6ECED"/>
            <w:noWrap/>
            <w:vAlign w:val="bottom"/>
            <w:hideMark/>
          </w:tcPr>
          <w:p w14:paraId="7DAECB81"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2012</w:t>
            </w:r>
          </w:p>
        </w:tc>
        <w:tc>
          <w:tcPr>
            <w:tcW w:w="709" w:type="dxa"/>
            <w:shd w:val="clear" w:color="auto" w:fill="D6ECED"/>
            <w:noWrap/>
            <w:vAlign w:val="bottom"/>
            <w:hideMark/>
          </w:tcPr>
          <w:p w14:paraId="35C20142"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2013</w:t>
            </w:r>
          </w:p>
        </w:tc>
        <w:tc>
          <w:tcPr>
            <w:tcW w:w="708" w:type="dxa"/>
            <w:shd w:val="clear" w:color="auto" w:fill="D6ECED"/>
            <w:noWrap/>
            <w:vAlign w:val="bottom"/>
            <w:hideMark/>
          </w:tcPr>
          <w:p w14:paraId="6EB7224E"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2014</w:t>
            </w:r>
          </w:p>
        </w:tc>
        <w:tc>
          <w:tcPr>
            <w:tcW w:w="709" w:type="dxa"/>
            <w:shd w:val="clear" w:color="auto" w:fill="D6ECED"/>
            <w:noWrap/>
            <w:vAlign w:val="bottom"/>
            <w:hideMark/>
          </w:tcPr>
          <w:p w14:paraId="02AC08AB"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2015</w:t>
            </w:r>
          </w:p>
        </w:tc>
        <w:tc>
          <w:tcPr>
            <w:tcW w:w="709" w:type="dxa"/>
            <w:shd w:val="clear" w:color="auto" w:fill="D6ECED"/>
            <w:noWrap/>
            <w:vAlign w:val="bottom"/>
            <w:hideMark/>
          </w:tcPr>
          <w:p w14:paraId="1CD54531"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2016</w:t>
            </w:r>
          </w:p>
        </w:tc>
        <w:tc>
          <w:tcPr>
            <w:tcW w:w="708" w:type="dxa"/>
            <w:shd w:val="clear" w:color="auto" w:fill="D6ECED"/>
            <w:noWrap/>
            <w:vAlign w:val="bottom"/>
            <w:hideMark/>
          </w:tcPr>
          <w:p w14:paraId="3CCC1DB4"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2017</w:t>
            </w:r>
          </w:p>
        </w:tc>
        <w:tc>
          <w:tcPr>
            <w:tcW w:w="709" w:type="dxa"/>
            <w:shd w:val="clear" w:color="auto" w:fill="D6ECED"/>
            <w:noWrap/>
            <w:vAlign w:val="bottom"/>
            <w:hideMark/>
          </w:tcPr>
          <w:p w14:paraId="7D9C5602"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2018</w:t>
            </w:r>
          </w:p>
        </w:tc>
        <w:tc>
          <w:tcPr>
            <w:tcW w:w="709" w:type="dxa"/>
            <w:shd w:val="clear" w:color="auto" w:fill="D6ECED"/>
            <w:noWrap/>
            <w:vAlign w:val="bottom"/>
            <w:hideMark/>
          </w:tcPr>
          <w:p w14:paraId="719C7FD6"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2019</w:t>
            </w:r>
          </w:p>
        </w:tc>
        <w:tc>
          <w:tcPr>
            <w:tcW w:w="709" w:type="dxa"/>
            <w:shd w:val="clear" w:color="auto" w:fill="D6ECED"/>
            <w:noWrap/>
            <w:vAlign w:val="bottom"/>
            <w:hideMark/>
          </w:tcPr>
          <w:p w14:paraId="1BE1315A" w14:textId="77777777" w:rsidR="00021E76" w:rsidRPr="00F94423" w:rsidRDefault="00021E76" w:rsidP="00352F0E">
            <w:pPr>
              <w:keepNext/>
              <w:spacing w:before="60" w:after="60"/>
              <w:rPr>
                <w:rFonts w:eastAsia="Times New Roman" w:cstheme="minorHAnsi"/>
                <w:b/>
                <w:color w:val="000000"/>
                <w:sz w:val="18"/>
                <w:lang w:eastAsia="en-AU"/>
              </w:rPr>
            </w:pPr>
            <w:r w:rsidRPr="00F94423">
              <w:rPr>
                <w:rFonts w:eastAsia="Times New Roman" w:cstheme="minorHAnsi"/>
                <w:b/>
                <w:color w:val="000000"/>
                <w:sz w:val="18"/>
                <w:lang w:eastAsia="en-AU"/>
              </w:rPr>
              <w:t>Total</w:t>
            </w:r>
          </w:p>
        </w:tc>
      </w:tr>
      <w:tr w:rsidR="00021E76" w:rsidRPr="00F94423" w14:paraId="1B397106" w14:textId="77777777" w:rsidTr="00352F0E">
        <w:trPr>
          <w:cantSplit/>
          <w:trHeight w:val="288"/>
          <w:tblHeader/>
        </w:trPr>
        <w:tc>
          <w:tcPr>
            <w:tcW w:w="1980" w:type="dxa"/>
            <w:shd w:val="clear" w:color="auto" w:fill="auto"/>
            <w:noWrap/>
            <w:vAlign w:val="bottom"/>
            <w:hideMark/>
          </w:tcPr>
          <w:p w14:paraId="0B1ACE01" w14:textId="77777777" w:rsidR="00021E76" w:rsidRPr="00F94423" w:rsidRDefault="00021E76" w:rsidP="00352F0E">
            <w:pPr>
              <w:keepNext/>
              <w:spacing w:before="60" w:after="60"/>
              <w:rPr>
                <w:rFonts w:eastAsia="Times New Roman" w:cstheme="minorHAnsi"/>
                <w:color w:val="000000"/>
                <w:sz w:val="18"/>
                <w:lang w:eastAsia="en-AU"/>
              </w:rPr>
            </w:pPr>
            <w:r w:rsidRPr="00F94423">
              <w:rPr>
                <w:rFonts w:eastAsia="Times New Roman" w:cstheme="minorHAnsi"/>
                <w:color w:val="000000"/>
                <w:sz w:val="18"/>
                <w:lang w:eastAsia="en-AU"/>
              </w:rPr>
              <w:t>Alleged Assault</w:t>
            </w:r>
          </w:p>
        </w:tc>
        <w:tc>
          <w:tcPr>
            <w:tcW w:w="708" w:type="dxa"/>
            <w:shd w:val="clear" w:color="auto" w:fill="auto"/>
            <w:noWrap/>
            <w:vAlign w:val="bottom"/>
            <w:hideMark/>
          </w:tcPr>
          <w:p w14:paraId="1E5DB47D"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6</w:t>
            </w:r>
          </w:p>
        </w:tc>
        <w:tc>
          <w:tcPr>
            <w:tcW w:w="709" w:type="dxa"/>
            <w:shd w:val="clear" w:color="auto" w:fill="auto"/>
            <w:noWrap/>
            <w:vAlign w:val="bottom"/>
            <w:hideMark/>
          </w:tcPr>
          <w:p w14:paraId="0BE1D4C3"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4</w:t>
            </w:r>
          </w:p>
        </w:tc>
        <w:tc>
          <w:tcPr>
            <w:tcW w:w="709" w:type="dxa"/>
            <w:shd w:val="clear" w:color="auto" w:fill="auto"/>
            <w:noWrap/>
            <w:vAlign w:val="bottom"/>
            <w:hideMark/>
          </w:tcPr>
          <w:p w14:paraId="71ABFCE7"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5</w:t>
            </w:r>
          </w:p>
        </w:tc>
        <w:tc>
          <w:tcPr>
            <w:tcW w:w="708" w:type="dxa"/>
            <w:shd w:val="clear" w:color="auto" w:fill="auto"/>
            <w:noWrap/>
            <w:vAlign w:val="bottom"/>
            <w:hideMark/>
          </w:tcPr>
          <w:p w14:paraId="6E120F5E"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4</w:t>
            </w:r>
          </w:p>
        </w:tc>
        <w:tc>
          <w:tcPr>
            <w:tcW w:w="709" w:type="dxa"/>
            <w:shd w:val="clear" w:color="auto" w:fill="auto"/>
            <w:noWrap/>
            <w:vAlign w:val="bottom"/>
            <w:hideMark/>
          </w:tcPr>
          <w:p w14:paraId="45E48741"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5</w:t>
            </w:r>
          </w:p>
        </w:tc>
        <w:tc>
          <w:tcPr>
            <w:tcW w:w="709" w:type="dxa"/>
            <w:shd w:val="clear" w:color="auto" w:fill="auto"/>
            <w:noWrap/>
            <w:vAlign w:val="bottom"/>
            <w:hideMark/>
          </w:tcPr>
          <w:p w14:paraId="6B259710"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4</w:t>
            </w:r>
          </w:p>
        </w:tc>
        <w:tc>
          <w:tcPr>
            <w:tcW w:w="708" w:type="dxa"/>
            <w:shd w:val="clear" w:color="auto" w:fill="auto"/>
            <w:noWrap/>
            <w:vAlign w:val="bottom"/>
            <w:hideMark/>
          </w:tcPr>
          <w:p w14:paraId="1C212179"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4</w:t>
            </w:r>
          </w:p>
        </w:tc>
        <w:tc>
          <w:tcPr>
            <w:tcW w:w="709" w:type="dxa"/>
            <w:shd w:val="clear" w:color="auto" w:fill="auto"/>
            <w:noWrap/>
            <w:vAlign w:val="bottom"/>
            <w:hideMark/>
          </w:tcPr>
          <w:p w14:paraId="3E0DDEB9"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5</w:t>
            </w:r>
          </w:p>
        </w:tc>
        <w:tc>
          <w:tcPr>
            <w:tcW w:w="709" w:type="dxa"/>
            <w:shd w:val="clear" w:color="auto" w:fill="auto"/>
            <w:noWrap/>
            <w:vAlign w:val="bottom"/>
            <w:hideMark/>
          </w:tcPr>
          <w:p w14:paraId="352628CA"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9" w:type="dxa"/>
            <w:shd w:val="clear" w:color="auto" w:fill="auto"/>
            <w:noWrap/>
            <w:vAlign w:val="bottom"/>
            <w:hideMark/>
          </w:tcPr>
          <w:p w14:paraId="13F78F19" w14:textId="77777777" w:rsidR="00021E76" w:rsidRPr="005D01D9" w:rsidRDefault="00021E76"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38</w:t>
            </w:r>
          </w:p>
        </w:tc>
      </w:tr>
      <w:tr w:rsidR="00021E76" w:rsidRPr="00F94423" w14:paraId="181BE79F" w14:textId="77777777" w:rsidTr="00352F0E">
        <w:trPr>
          <w:cantSplit/>
          <w:trHeight w:val="288"/>
          <w:tblHeader/>
        </w:trPr>
        <w:tc>
          <w:tcPr>
            <w:tcW w:w="1980" w:type="dxa"/>
            <w:shd w:val="clear" w:color="auto" w:fill="auto"/>
            <w:noWrap/>
            <w:vAlign w:val="bottom"/>
            <w:hideMark/>
          </w:tcPr>
          <w:p w14:paraId="05B1BCD7" w14:textId="77777777" w:rsidR="00021E76" w:rsidRPr="00F94423" w:rsidRDefault="00021E76" w:rsidP="00352F0E">
            <w:pPr>
              <w:keepNext/>
              <w:spacing w:before="60" w:after="60"/>
              <w:rPr>
                <w:rFonts w:eastAsia="Times New Roman" w:cstheme="minorHAnsi"/>
                <w:color w:val="000000"/>
                <w:sz w:val="18"/>
                <w:lang w:eastAsia="en-AU"/>
              </w:rPr>
            </w:pPr>
            <w:r w:rsidRPr="00F94423">
              <w:rPr>
                <w:rFonts w:eastAsia="Times New Roman" w:cstheme="minorHAnsi"/>
                <w:color w:val="000000"/>
                <w:sz w:val="18"/>
                <w:lang w:eastAsia="en-AU"/>
              </w:rPr>
              <w:t>Collision</w:t>
            </w:r>
          </w:p>
        </w:tc>
        <w:tc>
          <w:tcPr>
            <w:tcW w:w="708" w:type="dxa"/>
            <w:shd w:val="clear" w:color="auto" w:fill="auto"/>
            <w:noWrap/>
            <w:vAlign w:val="bottom"/>
            <w:hideMark/>
          </w:tcPr>
          <w:p w14:paraId="0EA6266D"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37</w:t>
            </w:r>
          </w:p>
        </w:tc>
        <w:tc>
          <w:tcPr>
            <w:tcW w:w="709" w:type="dxa"/>
            <w:shd w:val="clear" w:color="auto" w:fill="auto"/>
            <w:noWrap/>
            <w:vAlign w:val="bottom"/>
            <w:hideMark/>
          </w:tcPr>
          <w:p w14:paraId="171CDE6B"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31</w:t>
            </w:r>
          </w:p>
        </w:tc>
        <w:tc>
          <w:tcPr>
            <w:tcW w:w="709" w:type="dxa"/>
            <w:shd w:val="clear" w:color="auto" w:fill="auto"/>
            <w:noWrap/>
            <w:vAlign w:val="bottom"/>
            <w:hideMark/>
          </w:tcPr>
          <w:p w14:paraId="498D78E6"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23</w:t>
            </w:r>
          </w:p>
        </w:tc>
        <w:tc>
          <w:tcPr>
            <w:tcW w:w="708" w:type="dxa"/>
            <w:shd w:val="clear" w:color="auto" w:fill="auto"/>
            <w:noWrap/>
            <w:vAlign w:val="bottom"/>
            <w:hideMark/>
          </w:tcPr>
          <w:p w14:paraId="5363FB13"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27</w:t>
            </w:r>
          </w:p>
        </w:tc>
        <w:tc>
          <w:tcPr>
            <w:tcW w:w="709" w:type="dxa"/>
            <w:shd w:val="clear" w:color="auto" w:fill="auto"/>
            <w:noWrap/>
            <w:vAlign w:val="bottom"/>
            <w:hideMark/>
          </w:tcPr>
          <w:p w14:paraId="3DA3FAD8"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44</w:t>
            </w:r>
          </w:p>
        </w:tc>
        <w:tc>
          <w:tcPr>
            <w:tcW w:w="709" w:type="dxa"/>
            <w:shd w:val="clear" w:color="auto" w:fill="auto"/>
            <w:noWrap/>
            <w:vAlign w:val="bottom"/>
            <w:hideMark/>
          </w:tcPr>
          <w:p w14:paraId="56DAFC5F"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30</w:t>
            </w:r>
          </w:p>
        </w:tc>
        <w:tc>
          <w:tcPr>
            <w:tcW w:w="708" w:type="dxa"/>
            <w:shd w:val="clear" w:color="auto" w:fill="auto"/>
            <w:noWrap/>
            <w:vAlign w:val="bottom"/>
            <w:hideMark/>
          </w:tcPr>
          <w:p w14:paraId="2A10A26D"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27</w:t>
            </w:r>
          </w:p>
        </w:tc>
        <w:tc>
          <w:tcPr>
            <w:tcW w:w="709" w:type="dxa"/>
            <w:shd w:val="clear" w:color="auto" w:fill="auto"/>
            <w:noWrap/>
            <w:vAlign w:val="bottom"/>
            <w:hideMark/>
          </w:tcPr>
          <w:p w14:paraId="5B34083D"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28</w:t>
            </w:r>
          </w:p>
        </w:tc>
        <w:tc>
          <w:tcPr>
            <w:tcW w:w="709" w:type="dxa"/>
            <w:shd w:val="clear" w:color="auto" w:fill="auto"/>
            <w:noWrap/>
            <w:vAlign w:val="bottom"/>
            <w:hideMark/>
          </w:tcPr>
          <w:p w14:paraId="762CE16D"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26</w:t>
            </w:r>
          </w:p>
        </w:tc>
        <w:tc>
          <w:tcPr>
            <w:tcW w:w="709" w:type="dxa"/>
            <w:shd w:val="clear" w:color="auto" w:fill="auto"/>
            <w:noWrap/>
            <w:vAlign w:val="bottom"/>
            <w:hideMark/>
          </w:tcPr>
          <w:p w14:paraId="32D10790" w14:textId="77777777" w:rsidR="00021E76" w:rsidRPr="005D01D9" w:rsidRDefault="00021E76"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273</w:t>
            </w:r>
          </w:p>
        </w:tc>
      </w:tr>
      <w:tr w:rsidR="00021E76" w:rsidRPr="00F94423" w14:paraId="5345B33D" w14:textId="77777777" w:rsidTr="00352F0E">
        <w:trPr>
          <w:cantSplit/>
          <w:trHeight w:val="288"/>
          <w:tblHeader/>
        </w:trPr>
        <w:tc>
          <w:tcPr>
            <w:tcW w:w="1980" w:type="dxa"/>
            <w:shd w:val="clear" w:color="auto" w:fill="auto"/>
            <w:noWrap/>
            <w:vAlign w:val="bottom"/>
            <w:hideMark/>
          </w:tcPr>
          <w:p w14:paraId="01917D1B" w14:textId="77777777" w:rsidR="00021E76" w:rsidRPr="00F94423" w:rsidRDefault="00021E76" w:rsidP="00352F0E">
            <w:pPr>
              <w:keepNext/>
              <w:spacing w:before="60" w:after="60"/>
              <w:rPr>
                <w:rFonts w:eastAsia="Times New Roman" w:cstheme="minorHAnsi"/>
                <w:color w:val="000000"/>
                <w:sz w:val="18"/>
                <w:lang w:eastAsia="en-AU"/>
              </w:rPr>
            </w:pPr>
            <w:r w:rsidRPr="00F94423">
              <w:rPr>
                <w:rFonts w:eastAsia="Times New Roman" w:cstheme="minorHAnsi"/>
                <w:color w:val="000000"/>
                <w:sz w:val="18"/>
                <w:lang w:eastAsia="en-AU"/>
              </w:rPr>
              <w:t>Mechanical Failure</w:t>
            </w:r>
          </w:p>
        </w:tc>
        <w:tc>
          <w:tcPr>
            <w:tcW w:w="708" w:type="dxa"/>
            <w:shd w:val="clear" w:color="auto" w:fill="auto"/>
            <w:noWrap/>
            <w:vAlign w:val="bottom"/>
            <w:hideMark/>
          </w:tcPr>
          <w:p w14:paraId="45792D14"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9" w:type="dxa"/>
            <w:shd w:val="clear" w:color="auto" w:fill="auto"/>
            <w:noWrap/>
            <w:vAlign w:val="bottom"/>
            <w:hideMark/>
          </w:tcPr>
          <w:p w14:paraId="54C341EA"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9" w:type="dxa"/>
            <w:shd w:val="clear" w:color="auto" w:fill="auto"/>
            <w:noWrap/>
            <w:vAlign w:val="bottom"/>
            <w:hideMark/>
          </w:tcPr>
          <w:p w14:paraId="61C497A8" w14:textId="77777777" w:rsidR="00021E76" w:rsidRPr="00F94423" w:rsidRDefault="00021E76" w:rsidP="00352F0E">
            <w:pPr>
              <w:keepNext/>
              <w:spacing w:before="60" w:after="60"/>
              <w:jc w:val="right"/>
              <w:rPr>
                <w:rFonts w:eastAsia="Times New Roman" w:cstheme="minorHAnsi"/>
                <w:color w:val="000000"/>
                <w:sz w:val="18"/>
                <w:lang w:eastAsia="en-AU"/>
              </w:rPr>
            </w:pPr>
          </w:p>
        </w:tc>
        <w:tc>
          <w:tcPr>
            <w:tcW w:w="708" w:type="dxa"/>
            <w:shd w:val="clear" w:color="auto" w:fill="auto"/>
            <w:noWrap/>
            <w:vAlign w:val="bottom"/>
            <w:hideMark/>
          </w:tcPr>
          <w:p w14:paraId="4DFAE637"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2D5EB22F"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24E685A0" w14:textId="77777777" w:rsidR="00021E76" w:rsidRPr="00F94423" w:rsidRDefault="00021E76" w:rsidP="00352F0E">
            <w:pPr>
              <w:keepNext/>
              <w:spacing w:before="60" w:after="60"/>
              <w:rPr>
                <w:rFonts w:eastAsia="Times New Roman" w:cstheme="minorHAnsi"/>
                <w:color w:val="auto"/>
                <w:sz w:val="18"/>
                <w:lang w:eastAsia="en-AU"/>
              </w:rPr>
            </w:pPr>
          </w:p>
        </w:tc>
        <w:tc>
          <w:tcPr>
            <w:tcW w:w="708" w:type="dxa"/>
            <w:shd w:val="clear" w:color="auto" w:fill="auto"/>
            <w:noWrap/>
            <w:vAlign w:val="bottom"/>
            <w:hideMark/>
          </w:tcPr>
          <w:p w14:paraId="3AA108B7"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4ED83A28"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9" w:type="dxa"/>
            <w:shd w:val="clear" w:color="auto" w:fill="auto"/>
            <w:noWrap/>
            <w:vAlign w:val="bottom"/>
            <w:hideMark/>
          </w:tcPr>
          <w:p w14:paraId="583BFD07" w14:textId="77777777" w:rsidR="00021E76" w:rsidRPr="00F94423" w:rsidRDefault="00021E76"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1066CFFC" w14:textId="77777777" w:rsidR="00021E76" w:rsidRPr="005D01D9" w:rsidRDefault="00021E76"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3</w:t>
            </w:r>
          </w:p>
        </w:tc>
      </w:tr>
      <w:tr w:rsidR="00021E76" w:rsidRPr="00F94423" w14:paraId="5BCC034A" w14:textId="77777777" w:rsidTr="00352F0E">
        <w:trPr>
          <w:cantSplit/>
          <w:trHeight w:val="288"/>
          <w:tblHeader/>
        </w:trPr>
        <w:tc>
          <w:tcPr>
            <w:tcW w:w="1980" w:type="dxa"/>
            <w:shd w:val="clear" w:color="auto" w:fill="auto"/>
            <w:noWrap/>
            <w:vAlign w:val="bottom"/>
            <w:hideMark/>
          </w:tcPr>
          <w:p w14:paraId="33FA09F2" w14:textId="77777777" w:rsidR="00021E76" w:rsidRPr="00F94423" w:rsidRDefault="00021E76" w:rsidP="00352F0E">
            <w:pPr>
              <w:keepNext/>
              <w:spacing w:before="60" w:after="60"/>
              <w:rPr>
                <w:rFonts w:eastAsia="Times New Roman" w:cstheme="minorHAnsi"/>
                <w:color w:val="000000"/>
                <w:sz w:val="18"/>
                <w:lang w:eastAsia="en-AU"/>
              </w:rPr>
            </w:pPr>
            <w:r w:rsidRPr="00F94423">
              <w:rPr>
                <w:rFonts w:eastAsia="Times New Roman" w:cstheme="minorHAnsi"/>
                <w:color w:val="000000"/>
                <w:sz w:val="18"/>
                <w:lang w:eastAsia="en-AU"/>
              </w:rPr>
              <w:t>Medical Episode</w:t>
            </w:r>
          </w:p>
        </w:tc>
        <w:tc>
          <w:tcPr>
            <w:tcW w:w="708" w:type="dxa"/>
            <w:shd w:val="clear" w:color="auto" w:fill="auto"/>
            <w:noWrap/>
            <w:vAlign w:val="bottom"/>
            <w:hideMark/>
          </w:tcPr>
          <w:p w14:paraId="1A5C5A24"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2</w:t>
            </w:r>
          </w:p>
        </w:tc>
        <w:tc>
          <w:tcPr>
            <w:tcW w:w="709" w:type="dxa"/>
            <w:shd w:val="clear" w:color="auto" w:fill="auto"/>
            <w:noWrap/>
            <w:vAlign w:val="bottom"/>
            <w:hideMark/>
          </w:tcPr>
          <w:p w14:paraId="63FAC6A8"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4</w:t>
            </w:r>
          </w:p>
        </w:tc>
        <w:tc>
          <w:tcPr>
            <w:tcW w:w="709" w:type="dxa"/>
            <w:shd w:val="clear" w:color="auto" w:fill="auto"/>
            <w:noWrap/>
            <w:vAlign w:val="bottom"/>
            <w:hideMark/>
          </w:tcPr>
          <w:p w14:paraId="26A401FC"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8" w:type="dxa"/>
            <w:shd w:val="clear" w:color="auto" w:fill="auto"/>
            <w:noWrap/>
            <w:vAlign w:val="bottom"/>
            <w:hideMark/>
          </w:tcPr>
          <w:p w14:paraId="7CECEA0C"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9" w:type="dxa"/>
            <w:shd w:val="clear" w:color="auto" w:fill="auto"/>
            <w:noWrap/>
            <w:vAlign w:val="bottom"/>
            <w:hideMark/>
          </w:tcPr>
          <w:p w14:paraId="27DBD5D5"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2</w:t>
            </w:r>
          </w:p>
        </w:tc>
        <w:tc>
          <w:tcPr>
            <w:tcW w:w="709" w:type="dxa"/>
            <w:shd w:val="clear" w:color="auto" w:fill="auto"/>
            <w:noWrap/>
            <w:vAlign w:val="bottom"/>
            <w:hideMark/>
          </w:tcPr>
          <w:p w14:paraId="37A70F71"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4</w:t>
            </w:r>
          </w:p>
        </w:tc>
        <w:tc>
          <w:tcPr>
            <w:tcW w:w="708" w:type="dxa"/>
            <w:shd w:val="clear" w:color="auto" w:fill="auto"/>
            <w:noWrap/>
            <w:vAlign w:val="bottom"/>
            <w:hideMark/>
          </w:tcPr>
          <w:p w14:paraId="1F082B55" w14:textId="77777777" w:rsidR="00021E76" w:rsidRPr="00F94423" w:rsidRDefault="00021E76"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17732815"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9" w:type="dxa"/>
            <w:shd w:val="clear" w:color="auto" w:fill="auto"/>
            <w:noWrap/>
            <w:vAlign w:val="bottom"/>
            <w:hideMark/>
          </w:tcPr>
          <w:p w14:paraId="37D57D0E" w14:textId="77777777" w:rsidR="00021E76" w:rsidRPr="00F94423" w:rsidRDefault="00021E76"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142B4A3F" w14:textId="77777777" w:rsidR="00021E76" w:rsidRPr="005D01D9" w:rsidRDefault="00021E76"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15</w:t>
            </w:r>
          </w:p>
        </w:tc>
      </w:tr>
      <w:tr w:rsidR="00021E76" w:rsidRPr="00F94423" w14:paraId="0450A6F7" w14:textId="77777777" w:rsidTr="00352F0E">
        <w:trPr>
          <w:cantSplit/>
          <w:trHeight w:val="288"/>
          <w:tblHeader/>
        </w:trPr>
        <w:tc>
          <w:tcPr>
            <w:tcW w:w="1980" w:type="dxa"/>
            <w:shd w:val="clear" w:color="auto" w:fill="auto"/>
            <w:noWrap/>
            <w:vAlign w:val="bottom"/>
            <w:hideMark/>
          </w:tcPr>
          <w:p w14:paraId="3CA714C3" w14:textId="77777777" w:rsidR="00021E76" w:rsidRPr="00F94423" w:rsidRDefault="00021E76" w:rsidP="00352F0E">
            <w:pPr>
              <w:keepNext/>
              <w:spacing w:before="60" w:after="60"/>
              <w:rPr>
                <w:rFonts w:eastAsia="Times New Roman" w:cstheme="minorHAnsi"/>
                <w:color w:val="000000"/>
                <w:sz w:val="18"/>
                <w:lang w:eastAsia="en-AU"/>
              </w:rPr>
            </w:pPr>
            <w:r w:rsidRPr="00F94423">
              <w:rPr>
                <w:rFonts w:eastAsia="Times New Roman" w:cstheme="minorHAnsi"/>
                <w:color w:val="000000"/>
                <w:sz w:val="18"/>
                <w:lang w:eastAsia="en-AU"/>
              </w:rPr>
              <w:t>Near Miss</w:t>
            </w:r>
          </w:p>
        </w:tc>
        <w:tc>
          <w:tcPr>
            <w:tcW w:w="708" w:type="dxa"/>
            <w:shd w:val="clear" w:color="auto" w:fill="auto"/>
            <w:noWrap/>
            <w:vAlign w:val="bottom"/>
            <w:hideMark/>
          </w:tcPr>
          <w:p w14:paraId="70D43F60" w14:textId="77777777" w:rsidR="00021E76" w:rsidRPr="00F94423" w:rsidRDefault="00021E76" w:rsidP="00352F0E">
            <w:pPr>
              <w:keepNext/>
              <w:spacing w:before="60" w:after="60"/>
              <w:rPr>
                <w:rFonts w:eastAsia="Times New Roman" w:cstheme="minorHAnsi"/>
                <w:color w:val="000000"/>
                <w:sz w:val="18"/>
                <w:lang w:eastAsia="en-AU"/>
              </w:rPr>
            </w:pPr>
          </w:p>
        </w:tc>
        <w:tc>
          <w:tcPr>
            <w:tcW w:w="709" w:type="dxa"/>
            <w:shd w:val="clear" w:color="auto" w:fill="auto"/>
            <w:noWrap/>
            <w:vAlign w:val="bottom"/>
            <w:hideMark/>
          </w:tcPr>
          <w:p w14:paraId="19902B1B"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4AD26D92" w14:textId="77777777" w:rsidR="00021E76" w:rsidRPr="00F94423" w:rsidRDefault="00021E76" w:rsidP="00352F0E">
            <w:pPr>
              <w:keepNext/>
              <w:spacing w:before="60" w:after="60"/>
              <w:rPr>
                <w:rFonts w:eastAsia="Times New Roman" w:cstheme="minorHAnsi"/>
                <w:color w:val="auto"/>
                <w:sz w:val="18"/>
                <w:lang w:eastAsia="en-AU"/>
              </w:rPr>
            </w:pPr>
          </w:p>
        </w:tc>
        <w:tc>
          <w:tcPr>
            <w:tcW w:w="708" w:type="dxa"/>
            <w:shd w:val="clear" w:color="auto" w:fill="auto"/>
            <w:noWrap/>
            <w:vAlign w:val="bottom"/>
            <w:hideMark/>
          </w:tcPr>
          <w:p w14:paraId="05C24DD0"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9" w:type="dxa"/>
            <w:shd w:val="clear" w:color="auto" w:fill="auto"/>
            <w:noWrap/>
            <w:vAlign w:val="bottom"/>
            <w:hideMark/>
          </w:tcPr>
          <w:p w14:paraId="0A2FDAE4" w14:textId="77777777" w:rsidR="00021E76" w:rsidRPr="00F94423" w:rsidRDefault="00021E76"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68ED0463" w14:textId="77777777" w:rsidR="00021E76" w:rsidRPr="00F94423" w:rsidRDefault="00021E76" w:rsidP="00352F0E">
            <w:pPr>
              <w:keepNext/>
              <w:spacing w:before="60" w:after="60"/>
              <w:rPr>
                <w:rFonts w:eastAsia="Times New Roman" w:cstheme="minorHAnsi"/>
                <w:color w:val="auto"/>
                <w:sz w:val="18"/>
                <w:lang w:eastAsia="en-AU"/>
              </w:rPr>
            </w:pPr>
          </w:p>
        </w:tc>
        <w:tc>
          <w:tcPr>
            <w:tcW w:w="708" w:type="dxa"/>
            <w:shd w:val="clear" w:color="auto" w:fill="auto"/>
            <w:noWrap/>
            <w:vAlign w:val="bottom"/>
            <w:hideMark/>
          </w:tcPr>
          <w:p w14:paraId="67CE4692"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6F762B7F"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236FACE3"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0E483CC9" w14:textId="77777777" w:rsidR="00021E76" w:rsidRPr="005D01D9" w:rsidRDefault="00021E76"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w:t>
            </w:r>
          </w:p>
        </w:tc>
      </w:tr>
      <w:tr w:rsidR="00021E76" w:rsidRPr="00F94423" w14:paraId="54E5E034" w14:textId="77777777" w:rsidTr="00352F0E">
        <w:trPr>
          <w:cantSplit/>
          <w:trHeight w:val="288"/>
          <w:tblHeader/>
        </w:trPr>
        <w:tc>
          <w:tcPr>
            <w:tcW w:w="1980" w:type="dxa"/>
            <w:shd w:val="clear" w:color="auto" w:fill="auto"/>
            <w:noWrap/>
            <w:vAlign w:val="bottom"/>
            <w:hideMark/>
          </w:tcPr>
          <w:p w14:paraId="25221132" w14:textId="77777777" w:rsidR="00021E76" w:rsidRPr="00F94423" w:rsidRDefault="00021E76" w:rsidP="00352F0E">
            <w:pPr>
              <w:keepNext/>
              <w:spacing w:before="60" w:after="60"/>
              <w:rPr>
                <w:rFonts w:eastAsia="Times New Roman" w:cstheme="minorHAnsi"/>
                <w:color w:val="000000"/>
                <w:sz w:val="18"/>
                <w:lang w:eastAsia="en-AU"/>
              </w:rPr>
            </w:pPr>
            <w:r w:rsidRPr="00F94423">
              <w:rPr>
                <w:rFonts w:eastAsia="Times New Roman" w:cstheme="minorHAnsi"/>
                <w:color w:val="000000"/>
                <w:sz w:val="18"/>
                <w:lang w:eastAsia="en-AU"/>
              </w:rPr>
              <w:t>Other Road Vehicle Collision with Person</w:t>
            </w:r>
          </w:p>
        </w:tc>
        <w:tc>
          <w:tcPr>
            <w:tcW w:w="708" w:type="dxa"/>
            <w:shd w:val="clear" w:color="auto" w:fill="auto"/>
            <w:noWrap/>
            <w:vAlign w:val="bottom"/>
            <w:hideMark/>
          </w:tcPr>
          <w:p w14:paraId="26FA7F3C"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4</w:t>
            </w:r>
          </w:p>
        </w:tc>
        <w:tc>
          <w:tcPr>
            <w:tcW w:w="709" w:type="dxa"/>
            <w:shd w:val="clear" w:color="auto" w:fill="auto"/>
            <w:noWrap/>
            <w:vAlign w:val="bottom"/>
            <w:hideMark/>
          </w:tcPr>
          <w:p w14:paraId="72EFF2FE"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9" w:type="dxa"/>
            <w:shd w:val="clear" w:color="auto" w:fill="auto"/>
            <w:noWrap/>
            <w:vAlign w:val="bottom"/>
            <w:hideMark/>
          </w:tcPr>
          <w:p w14:paraId="7A49DE13"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8" w:type="dxa"/>
            <w:shd w:val="clear" w:color="auto" w:fill="auto"/>
            <w:noWrap/>
            <w:vAlign w:val="bottom"/>
            <w:hideMark/>
          </w:tcPr>
          <w:p w14:paraId="7ED97D01" w14:textId="77777777" w:rsidR="00021E76" w:rsidRPr="00F94423" w:rsidRDefault="00021E76"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789D842C"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5</w:t>
            </w:r>
          </w:p>
        </w:tc>
        <w:tc>
          <w:tcPr>
            <w:tcW w:w="709" w:type="dxa"/>
            <w:shd w:val="clear" w:color="auto" w:fill="auto"/>
            <w:noWrap/>
            <w:vAlign w:val="bottom"/>
            <w:hideMark/>
          </w:tcPr>
          <w:p w14:paraId="4DE49314"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2</w:t>
            </w:r>
          </w:p>
        </w:tc>
        <w:tc>
          <w:tcPr>
            <w:tcW w:w="708" w:type="dxa"/>
            <w:shd w:val="clear" w:color="auto" w:fill="auto"/>
            <w:noWrap/>
            <w:vAlign w:val="bottom"/>
            <w:hideMark/>
          </w:tcPr>
          <w:p w14:paraId="54EB5349"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9" w:type="dxa"/>
            <w:shd w:val="clear" w:color="auto" w:fill="auto"/>
            <w:noWrap/>
            <w:vAlign w:val="bottom"/>
            <w:hideMark/>
          </w:tcPr>
          <w:p w14:paraId="62E6FC5F"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9" w:type="dxa"/>
            <w:shd w:val="clear" w:color="auto" w:fill="auto"/>
            <w:noWrap/>
            <w:vAlign w:val="bottom"/>
            <w:hideMark/>
          </w:tcPr>
          <w:p w14:paraId="526CB515" w14:textId="77777777" w:rsidR="00021E76" w:rsidRPr="00F94423" w:rsidRDefault="00021E76"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2F6BC809" w14:textId="77777777" w:rsidR="00021E76" w:rsidRPr="005D01D9" w:rsidRDefault="00021E76"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15</w:t>
            </w:r>
          </w:p>
        </w:tc>
      </w:tr>
      <w:tr w:rsidR="00021E76" w:rsidRPr="00F94423" w14:paraId="02745A25" w14:textId="77777777" w:rsidTr="00352F0E">
        <w:trPr>
          <w:cantSplit/>
          <w:trHeight w:val="288"/>
          <w:tblHeader/>
        </w:trPr>
        <w:tc>
          <w:tcPr>
            <w:tcW w:w="1980" w:type="dxa"/>
            <w:shd w:val="clear" w:color="auto" w:fill="auto"/>
            <w:noWrap/>
            <w:vAlign w:val="bottom"/>
            <w:hideMark/>
          </w:tcPr>
          <w:p w14:paraId="11D70A0D" w14:textId="77777777" w:rsidR="00021E76" w:rsidRPr="00F94423" w:rsidRDefault="00021E76" w:rsidP="00352F0E">
            <w:pPr>
              <w:keepNext/>
              <w:spacing w:before="60" w:after="60"/>
              <w:rPr>
                <w:rFonts w:eastAsia="Times New Roman" w:cstheme="minorHAnsi"/>
                <w:color w:val="000000"/>
                <w:sz w:val="18"/>
                <w:lang w:eastAsia="en-AU"/>
              </w:rPr>
            </w:pPr>
            <w:r w:rsidRPr="00F94423">
              <w:rPr>
                <w:rFonts w:eastAsia="Times New Roman" w:cstheme="minorHAnsi"/>
                <w:color w:val="000000"/>
                <w:sz w:val="18"/>
                <w:lang w:eastAsia="en-AU"/>
              </w:rPr>
              <w:t>Passenger Injury by Object in Bus</w:t>
            </w:r>
          </w:p>
        </w:tc>
        <w:tc>
          <w:tcPr>
            <w:tcW w:w="708" w:type="dxa"/>
            <w:shd w:val="clear" w:color="auto" w:fill="auto"/>
            <w:noWrap/>
            <w:vAlign w:val="bottom"/>
            <w:hideMark/>
          </w:tcPr>
          <w:p w14:paraId="01A9626D" w14:textId="77777777" w:rsidR="00021E76" w:rsidRPr="00F94423" w:rsidRDefault="00021E76" w:rsidP="00352F0E">
            <w:pPr>
              <w:keepNext/>
              <w:spacing w:before="60" w:after="60"/>
              <w:rPr>
                <w:rFonts w:eastAsia="Times New Roman" w:cstheme="minorHAnsi"/>
                <w:color w:val="000000"/>
                <w:sz w:val="18"/>
                <w:lang w:eastAsia="en-AU"/>
              </w:rPr>
            </w:pPr>
          </w:p>
        </w:tc>
        <w:tc>
          <w:tcPr>
            <w:tcW w:w="709" w:type="dxa"/>
            <w:shd w:val="clear" w:color="auto" w:fill="auto"/>
            <w:noWrap/>
            <w:vAlign w:val="bottom"/>
            <w:hideMark/>
          </w:tcPr>
          <w:p w14:paraId="5A31B0EF"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3F5DA9A7"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8" w:type="dxa"/>
            <w:shd w:val="clear" w:color="auto" w:fill="auto"/>
            <w:noWrap/>
            <w:vAlign w:val="bottom"/>
            <w:hideMark/>
          </w:tcPr>
          <w:p w14:paraId="07422F08"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9" w:type="dxa"/>
            <w:shd w:val="clear" w:color="auto" w:fill="auto"/>
            <w:noWrap/>
            <w:vAlign w:val="bottom"/>
            <w:hideMark/>
          </w:tcPr>
          <w:p w14:paraId="111304B3" w14:textId="77777777" w:rsidR="00021E76" w:rsidRPr="00F94423" w:rsidRDefault="00021E76"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21A802BF" w14:textId="77777777" w:rsidR="00021E76" w:rsidRPr="00F94423" w:rsidRDefault="00021E76" w:rsidP="00352F0E">
            <w:pPr>
              <w:keepNext/>
              <w:spacing w:before="60" w:after="60"/>
              <w:rPr>
                <w:rFonts w:eastAsia="Times New Roman" w:cstheme="minorHAnsi"/>
                <w:color w:val="auto"/>
                <w:sz w:val="18"/>
                <w:lang w:eastAsia="en-AU"/>
              </w:rPr>
            </w:pPr>
          </w:p>
        </w:tc>
        <w:tc>
          <w:tcPr>
            <w:tcW w:w="708" w:type="dxa"/>
            <w:shd w:val="clear" w:color="auto" w:fill="auto"/>
            <w:noWrap/>
            <w:vAlign w:val="bottom"/>
            <w:hideMark/>
          </w:tcPr>
          <w:p w14:paraId="457E2A4F"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1429F923"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29475E6D"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31FE439B" w14:textId="77777777" w:rsidR="00021E76" w:rsidRPr="005D01D9" w:rsidRDefault="00021E76"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w:t>
            </w:r>
          </w:p>
        </w:tc>
      </w:tr>
      <w:tr w:rsidR="00021E76" w:rsidRPr="00F94423" w14:paraId="10B39F5A" w14:textId="77777777" w:rsidTr="00352F0E">
        <w:trPr>
          <w:cantSplit/>
          <w:trHeight w:val="288"/>
          <w:tblHeader/>
        </w:trPr>
        <w:tc>
          <w:tcPr>
            <w:tcW w:w="1980" w:type="dxa"/>
            <w:shd w:val="clear" w:color="auto" w:fill="auto"/>
            <w:noWrap/>
            <w:vAlign w:val="bottom"/>
            <w:hideMark/>
          </w:tcPr>
          <w:p w14:paraId="44B2DFD5" w14:textId="77777777" w:rsidR="00021E76" w:rsidRPr="00F94423" w:rsidRDefault="00021E76" w:rsidP="00352F0E">
            <w:pPr>
              <w:keepNext/>
              <w:spacing w:before="60" w:after="60"/>
              <w:rPr>
                <w:rFonts w:eastAsia="Times New Roman" w:cstheme="minorHAnsi"/>
                <w:color w:val="000000"/>
                <w:sz w:val="18"/>
                <w:lang w:eastAsia="en-AU"/>
              </w:rPr>
            </w:pPr>
            <w:r w:rsidRPr="00F94423">
              <w:rPr>
                <w:rFonts w:eastAsia="Times New Roman" w:cstheme="minorHAnsi"/>
                <w:color w:val="000000"/>
                <w:sz w:val="18"/>
                <w:lang w:eastAsia="en-AU"/>
              </w:rPr>
              <w:t>Roll-away</w:t>
            </w:r>
          </w:p>
        </w:tc>
        <w:tc>
          <w:tcPr>
            <w:tcW w:w="708" w:type="dxa"/>
            <w:shd w:val="clear" w:color="auto" w:fill="auto"/>
            <w:noWrap/>
            <w:vAlign w:val="bottom"/>
            <w:hideMark/>
          </w:tcPr>
          <w:p w14:paraId="1D41D689" w14:textId="77777777" w:rsidR="00021E76" w:rsidRPr="00F94423" w:rsidRDefault="00021E76" w:rsidP="00352F0E">
            <w:pPr>
              <w:keepNext/>
              <w:spacing w:before="60" w:after="60"/>
              <w:rPr>
                <w:rFonts w:eastAsia="Times New Roman" w:cstheme="minorHAnsi"/>
                <w:color w:val="000000"/>
                <w:sz w:val="18"/>
                <w:lang w:eastAsia="en-AU"/>
              </w:rPr>
            </w:pPr>
          </w:p>
        </w:tc>
        <w:tc>
          <w:tcPr>
            <w:tcW w:w="709" w:type="dxa"/>
            <w:shd w:val="clear" w:color="auto" w:fill="auto"/>
            <w:noWrap/>
            <w:vAlign w:val="bottom"/>
            <w:hideMark/>
          </w:tcPr>
          <w:p w14:paraId="01CFFC52"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230F9242" w14:textId="77777777" w:rsidR="00021E76" w:rsidRPr="00F94423" w:rsidRDefault="00021E76" w:rsidP="00352F0E">
            <w:pPr>
              <w:keepNext/>
              <w:spacing w:before="60" w:after="60"/>
              <w:rPr>
                <w:rFonts w:eastAsia="Times New Roman" w:cstheme="minorHAnsi"/>
                <w:color w:val="auto"/>
                <w:sz w:val="18"/>
                <w:lang w:eastAsia="en-AU"/>
              </w:rPr>
            </w:pPr>
          </w:p>
        </w:tc>
        <w:tc>
          <w:tcPr>
            <w:tcW w:w="708" w:type="dxa"/>
            <w:shd w:val="clear" w:color="auto" w:fill="auto"/>
            <w:noWrap/>
            <w:vAlign w:val="bottom"/>
            <w:hideMark/>
          </w:tcPr>
          <w:p w14:paraId="276AB7DC"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441C4126"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0AFC1A90" w14:textId="77777777" w:rsidR="00021E76" w:rsidRPr="00F94423" w:rsidRDefault="00021E76" w:rsidP="00352F0E">
            <w:pPr>
              <w:keepNext/>
              <w:spacing w:before="60" w:after="60"/>
              <w:rPr>
                <w:rFonts w:eastAsia="Times New Roman" w:cstheme="minorHAnsi"/>
                <w:color w:val="auto"/>
                <w:sz w:val="18"/>
                <w:lang w:eastAsia="en-AU"/>
              </w:rPr>
            </w:pPr>
          </w:p>
        </w:tc>
        <w:tc>
          <w:tcPr>
            <w:tcW w:w="708" w:type="dxa"/>
            <w:shd w:val="clear" w:color="auto" w:fill="auto"/>
            <w:noWrap/>
            <w:vAlign w:val="bottom"/>
            <w:hideMark/>
          </w:tcPr>
          <w:p w14:paraId="0493ABEE"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303783FB"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5CCF08B4"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9" w:type="dxa"/>
            <w:shd w:val="clear" w:color="auto" w:fill="auto"/>
            <w:noWrap/>
            <w:vAlign w:val="bottom"/>
            <w:hideMark/>
          </w:tcPr>
          <w:p w14:paraId="0D8DB709" w14:textId="77777777" w:rsidR="00021E76" w:rsidRPr="005D01D9" w:rsidRDefault="00021E76"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w:t>
            </w:r>
          </w:p>
        </w:tc>
      </w:tr>
      <w:tr w:rsidR="00021E76" w:rsidRPr="00F94423" w14:paraId="27A73FD4" w14:textId="77777777" w:rsidTr="00352F0E">
        <w:trPr>
          <w:cantSplit/>
          <w:trHeight w:val="288"/>
          <w:tblHeader/>
        </w:trPr>
        <w:tc>
          <w:tcPr>
            <w:tcW w:w="1980" w:type="dxa"/>
            <w:shd w:val="clear" w:color="auto" w:fill="auto"/>
            <w:noWrap/>
            <w:vAlign w:val="bottom"/>
            <w:hideMark/>
          </w:tcPr>
          <w:p w14:paraId="55F4F352" w14:textId="77777777" w:rsidR="00021E76" w:rsidRPr="00F94423" w:rsidRDefault="00021E76" w:rsidP="00352F0E">
            <w:pPr>
              <w:keepNext/>
              <w:spacing w:before="60" w:after="60"/>
              <w:rPr>
                <w:rFonts w:eastAsia="Times New Roman" w:cstheme="minorHAnsi"/>
                <w:color w:val="000000"/>
                <w:sz w:val="18"/>
                <w:lang w:eastAsia="en-AU"/>
              </w:rPr>
            </w:pPr>
            <w:r w:rsidRPr="00F94423">
              <w:rPr>
                <w:rFonts w:eastAsia="Times New Roman" w:cstheme="minorHAnsi"/>
                <w:color w:val="000000"/>
                <w:sz w:val="18"/>
                <w:lang w:eastAsia="en-AU"/>
              </w:rPr>
              <w:t>Slip, Trip or Fall</w:t>
            </w:r>
          </w:p>
        </w:tc>
        <w:tc>
          <w:tcPr>
            <w:tcW w:w="708" w:type="dxa"/>
            <w:shd w:val="clear" w:color="auto" w:fill="auto"/>
            <w:noWrap/>
            <w:vAlign w:val="bottom"/>
            <w:hideMark/>
          </w:tcPr>
          <w:p w14:paraId="31277066"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32</w:t>
            </w:r>
          </w:p>
        </w:tc>
        <w:tc>
          <w:tcPr>
            <w:tcW w:w="709" w:type="dxa"/>
            <w:shd w:val="clear" w:color="auto" w:fill="auto"/>
            <w:noWrap/>
            <w:vAlign w:val="bottom"/>
            <w:hideMark/>
          </w:tcPr>
          <w:p w14:paraId="510FCA34"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21</w:t>
            </w:r>
          </w:p>
        </w:tc>
        <w:tc>
          <w:tcPr>
            <w:tcW w:w="709" w:type="dxa"/>
            <w:shd w:val="clear" w:color="auto" w:fill="auto"/>
            <w:noWrap/>
            <w:vAlign w:val="bottom"/>
            <w:hideMark/>
          </w:tcPr>
          <w:p w14:paraId="65CCFBDD"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20</w:t>
            </w:r>
          </w:p>
        </w:tc>
        <w:tc>
          <w:tcPr>
            <w:tcW w:w="708" w:type="dxa"/>
            <w:shd w:val="clear" w:color="auto" w:fill="auto"/>
            <w:noWrap/>
            <w:vAlign w:val="bottom"/>
            <w:hideMark/>
          </w:tcPr>
          <w:p w14:paraId="03E7385D"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13</w:t>
            </w:r>
          </w:p>
        </w:tc>
        <w:tc>
          <w:tcPr>
            <w:tcW w:w="709" w:type="dxa"/>
            <w:shd w:val="clear" w:color="auto" w:fill="auto"/>
            <w:noWrap/>
            <w:vAlign w:val="bottom"/>
            <w:hideMark/>
          </w:tcPr>
          <w:p w14:paraId="5869EA8D"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14</w:t>
            </w:r>
          </w:p>
        </w:tc>
        <w:tc>
          <w:tcPr>
            <w:tcW w:w="709" w:type="dxa"/>
            <w:shd w:val="clear" w:color="auto" w:fill="auto"/>
            <w:noWrap/>
            <w:vAlign w:val="bottom"/>
            <w:hideMark/>
          </w:tcPr>
          <w:p w14:paraId="725807D9"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26</w:t>
            </w:r>
          </w:p>
        </w:tc>
        <w:tc>
          <w:tcPr>
            <w:tcW w:w="708" w:type="dxa"/>
            <w:shd w:val="clear" w:color="auto" w:fill="auto"/>
            <w:noWrap/>
            <w:vAlign w:val="bottom"/>
            <w:hideMark/>
          </w:tcPr>
          <w:p w14:paraId="36320DDD"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12</w:t>
            </w:r>
          </w:p>
        </w:tc>
        <w:tc>
          <w:tcPr>
            <w:tcW w:w="709" w:type="dxa"/>
            <w:shd w:val="clear" w:color="auto" w:fill="auto"/>
            <w:noWrap/>
            <w:vAlign w:val="bottom"/>
            <w:hideMark/>
          </w:tcPr>
          <w:p w14:paraId="394A9ED8"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20</w:t>
            </w:r>
          </w:p>
        </w:tc>
        <w:tc>
          <w:tcPr>
            <w:tcW w:w="709" w:type="dxa"/>
            <w:shd w:val="clear" w:color="auto" w:fill="auto"/>
            <w:noWrap/>
            <w:vAlign w:val="bottom"/>
            <w:hideMark/>
          </w:tcPr>
          <w:p w14:paraId="7EBC89D9"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14</w:t>
            </w:r>
          </w:p>
        </w:tc>
        <w:tc>
          <w:tcPr>
            <w:tcW w:w="709" w:type="dxa"/>
            <w:shd w:val="clear" w:color="auto" w:fill="auto"/>
            <w:noWrap/>
            <w:vAlign w:val="bottom"/>
            <w:hideMark/>
          </w:tcPr>
          <w:p w14:paraId="220151AE" w14:textId="77777777" w:rsidR="00021E76" w:rsidRPr="005D01D9" w:rsidRDefault="00021E76"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172</w:t>
            </w:r>
          </w:p>
        </w:tc>
      </w:tr>
      <w:tr w:rsidR="00021E76" w:rsidRPr="00F94423" w14:paraId="755BA90C" w14:textId="77777777" w:rsidTr="00352F0E">
        <w:trPr>
          <w:cantSplit/>
          <w:trHeight w:val="288"/>
          <w:tblHeader/>
        </w:trPr>
        <w:tc>
          <w:tcPr>
            <w:tcW w:w="1980" w:type="dxa"/>
            <w:shd w:val="clear" w:color="auto" w:fill="auto"/>
            <w:noWrap/>
            <w:vAlign w:val="bottom"/>
            <w:hideMark/>
          </w:tcPr>
          <w:p w14:paraId="564863A8" w14:textId="77777777" w:rsidR="00021E76" w:rsidRPr="00F94423" w:rsidRDefault="00021E76" w:rsidP="00352F0E">
            <w:pPr>
              <w:keepNext/>
              <w:spacing w:before="60" w:after="60"/>
              <w:rPr>
                <w:rFonts w:eastAsia="Times New Roman" w:cstheme="minorHAnsi"/>
                <w:color w:val="000000"/>
                <w:sz w:val="18"/>
                <w:lang w:eastAsia="en-AU"/>
              </w:rPr>
            </w:pPr>
            <w:r w:rsidRPr="00F94423">
              <w:rPr>
                <w:rFonts w:eastAsia="Times New Roman" w:cstheme="minorHAnsi"/>
                <w:color w:val="000000"/>
                <w:sz w:val="18"/>
                <w:lang w:eastAsia="en-AU"/>
              </w:rPr>
              <w:t>Vehicle Left Road</w:t>
            </w:r>
          </w:p>
        </w:tc>
        <w:tc>
          <w:tcPr>
            <w:tcW w:w="708" w:type="dxa"/>
            <w:shd w:val="clear" w:color="auto" w:fill="auto"/>
            <w:noWrap/>
            <w:vAlign w:val="bottom"/>
            <w:hideMark/>
          </w:tcPr>
          <w:p w14:paraId="3224145A"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1</w:t>
            </w:r>
          </w:p>
        </w:tc>
        <w:tc>
          <w:tcPr>
            <w:tcW w:w="709" w:type="dxa"/>
            <w:shd w:val="clear" w:color="auto" w:fill="auto"/>
            <w:noWrap/>
            <w:vAlign w:val="bottom"/>
            <w:hideMark/>
          </w:tcPr>
          <w:p w14:paraId="2D2D7EE3" w14:textId="77777777" w:rsidR="00021E76" w:rsidRPr="00F94423" w:rsidRDefault="00021E76"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45699B2A" w14:textId="77777777" w:rsidR="00021E76" w:rsidRPr="00F94423" w:rsidRDefault="00021E76" w:rsidP="00352F0E">
            <w:pPr>
              <w:keepNext/>
              <w:spacing w:before="60" w:after="60"/>
              <w:rPr>
                <w:rFonts w:eastAsia="Times New Roman" w:cstheme="minorHAnsi"/>
                <w:color w:val="auto"/>
                <w:sz w:val="18"/>
                <w:lang w:eastAsia="en-AU"/>
              </w:rPr>
            </w:pPr>
          </w:p>
        </w:tc>
        <w:tc>
          <w:tcPr>
            <w:tcW w:w="708" w:type="dxa"/>
            <w:shd w:val="clear" w:color="auto" w:fill="auto"/>
            <w:noWrap/>
            <w:vAlign w:val="bottom"/>
            <w:hideMark/>
          </w:tcPr>
          <w:p w14:paraId="7F7265C8"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6</w:t>
            </w:r>
          </w:p>
        </w:tc>
        <w:tc>
          <w:tcPr>
            <w:tcW w:w="709" w:type="dxa"/>
            <w:shd w:val="clear" w:color="auto" w:fill="auto"/>
            <w:noWrap/>
            <w:vAlign w:val="bottom"/>
            <w:hideMark/>
          </w:tcPr>
          <w:p w14:paraId="62B7AD74"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2</w:t>
            </w:r>
          </w:p>
        </w:tc>
        <w:tc>
          <w:tcPr>
            <w:tcW w:w="709" w:type="dxa"/>
            <w:shd w:val="clear" w:color="auto" w:fill="auto"/>
            <w:noWrap/>
            <w:vAlign w:val="bottom"/>
            <w:hideMark/>
          </w:tcPr>
          <w:p w14:paraId="3B862876" w14:textId="77777777" w:rsidR="00021E76" w:rsidRPr="00F94423" w:rsidRDefault="00021E76" w:rsidP="00352F0E">
            <w:pPr>
              <w:keepNext/>
              <w:spacing w:before="60" w:after="60"/>
              <w:jc w:val="right"/>
              <w:rPr>
                <w:rFonts w:eastAsia="Times New Roman" w:cstheme="minorHAnsi"/>
                <w:color w:val="000000"/>
                <w:sz w:val="18"/>
                <w:lang w:eastAsia="en-AU"/>
              </w:rPr>
            </w:pPr>
          </w:p>
        </w:tc>
        <w:tc>
          <w:tcPr>
            <w:tcW w:w="708" w:type="dxa"/>
            <w:shd w:val="clear" w:color="auto" w:fill="auto"/>
            <w:noWrap/>
            <w:vAlign w:val="bottom"/>
            <w:hideMark/>
          </w:tcPr>
          <w:p w14:paraId="24CB113C" w14:textId="77777777" w:rsidR="00021E76" w:rsidRPr="00F94423" w:rsidRDefault="00021E76" w:rsidP="00352F0E">
            <w:pPr>
              <w:keepNext/>
              <w:spacing w:before="60" w:after="60"/>
              <w:jc w:val="right"/>
              <w:rPr>
                <w:rFonts w:eastAsia="Times New Roman" w:cstheme="minorHAnsi"/>
                <w:color w:val="000000"/>
                <w:sz w:val="18"/>
                <w:lang w:eastAsia="en-AU"/>
              </w:rPr>
            </w:pPr>
            <w:r w:rsidRPr="00F94423">
              <w:rPr>
                <w:rFonts w:eastAsia="Times New Roman" w:cstheme="minorHAnsi"/>
                <w:color w:val="000000"/>
                <w:sz w:val="18"/>
                <w:lang w:eastAsia="en-AU"/>
              </w:rPr>
              <w:t>5</w:t>
            </w:r>
          </w:p>
        </w:tc>
        <w:tc>
          <w:tcPr>
            <w:tcW w:w="709" w:type="dxa"/>
            <w:shd w:val="clear" w:color="auto" w:fill="auto"/>
            <w:noWrap/>
            <w:vAlign w:val="bottom"/>
            <w:hideMark/>
          </w:tcPr>
          <w:p w14:paraId="1D60E086" w14:textId="77777777" w:rsidR="00021E76" w:rsidRPr="00F94423" w:rsidRDefault="00021E76"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28923139" w14:textId="77777777" w:rsidR="00021E76" w:rsidRPr="00F94423" w:rsidRDefault="00021E76" w:rsidP="00352F0E">
            <w:pPr>
              <w:keepNext/>
              <w:spacing w:before="60" w:after="60"/>
              <w:rPr>
                <w:rFonts w:eastAsia="Times New Roman" w:cstheme="minorHAnsi"/>
                <w:color w:val="auto"/>
                <w:sz w:val="18"/>
                <w:lang w:eastAsia="en-AU"/>
              </w:rPr>
            </w:pPr>
          </w:p>
        </w:tc>
        <w:tc>
          <w:tcPr>
            <w:tcW w:w="709" w:type="dxa"/>
            <w:shd w:val="clear" w:color="auto" w:fill="auto"/>
            <w:noWrap/>
            <w:vAlign w:val="bottom"/>
            <w:hideMark/>
          </w:tcPr>
          <w:p w14:paraId="0B77288F" w14:textId="77777777" w:rsidR="00021E76" w:rsidRPr="005D01D9" w:rsidRDefault="00021E76"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14</w:t>
            </w:r>
          </w:p>
        </w:tc>
      </w:tr>
      <w:tr w:rsidR="00021E76" w:rsidRPr="00F94423" w14:paraId="6625816B" w14:textId="77777777" w:rsidTr="00352F0E">
        <w:trPr>
          <w:cantSplit/>
          <w:trHeight w:val="288"/>
          <w:tblHeader/>
        </w:trPr>
        <w:tc>
          <w:tcPr>
            <w:tcW w:w="1980" w:type="dxa"/>
            <w:shd w:val="clear" w:color="auto" w:fill="D6ECED"/>
            <w:noWrap/>
            <w:vAlign w:val="bottom"/>
            <w:hideMark/>
          </w:tcPr>
          <w:p w14:paraId="58712CEA" w14:textId="3F69D154" w:rsidR="00021E76" w:rsidRPr="00F94423" w:rsidRDefault="00021E76" w:rsidP="00352F0E">
            <w:pPr>
              <w:keepNext/>
              <w:spacing w:before="60" w:after="60"/>
              <w:rPr>
                <w:rFonts w:eastAsia="Times New Roman" w:cstheme="minorHAnsi"/>
                <w:b/>
                <w:color w:val="000000"/>
                <w:sz w:val="18"/>
                <w:lang w:eastAsia="en-AU"/>
              </w:rPr>
            </w:pPr>
            <w:r w:rsidRPr="00F94423">
              <w:rPr>
                <w:rFonts w:eastAsia="Times New Roman" w:cstheme="minorHAnsi"/>
                <w:b/>
                <w:color w:val="000000"/>
                <w:sz w:val="18"/>
                <w:lang w:eastAsia="en-AU"/>
              </w:rPr>
              <w:t>Total</w:t>
            </w:r>
          </w:p>
        </w:tc>
        <w:tc>
          <w:tcPr>
            <w:tcW w:w="708" w:type="dxa"/>
            <w:shd w:val="clear" w:color="auto" w:fill="D6ECED"/>
            <w:noWrap/>
            <w:vAlign w:val="bottom"/>
            <w:hideMark/>
          </w:tcPr>
          <w:p w14:paraId="08D4FB15"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83</w:t>
            </w:r>
          </w:p>
        </w:tc>
        <w:tc>
          <w:tcPr>
            <w:tcW w:w="709" w:type="dxa"/>
            <w:shd w:val="clear" w:color="auto" w:fill="D6ECED"/>
            <w:noWrap/>
            <w:vAlign w:val="bottom"/>
            <w:hideMark/>
          </w:tcPr>
          <w:p w14:paraId="6DB10195"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62</w:t>
            </w:r>
          </w:p>
        </w:tc>
        <w:tc>
          <w:tcPr>
            <w:tcW w:w="709" w:type="dxa"/>
            <w:shd w:val="clear" w:color="auto" w:fill="D6ECED"/>
            <w:noWrap/>
            <w:vAlign w:val="bottom"/>
            <w:hideMark/>
          </w:tcPr>
          <w:p w14:paraId="3A96B0BC"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51</w:t>
            </w:r>
          </w:p>
        </w:tc>
        <w:tc>
          <w:tcPr>
            <w:tcW w:w="708" w:type="dxa"/>
            <w:shd w:val="clear" w:color="auto" w:fill="D6ECED"/>
            <w:noWrap/>
            <w:vAlign w:val="bottom"/>
            <w:hideMark/>
          </w:tcPr>
          <w:p w14:paraId="4206DCA9"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53</w:t>
            </w:r>
          </w:p>
        </w:tc>
        <w:tc>
          <w:tcPr>
            <w:tcW w:w="709" w:type="dxa"/>
            <w:shd w:val="clear" w:color="auto" w:fill="D6ECED"/>
            <w:noWrap/>
            <w:vAlign w:val="bottom"/>
            <w:hideMark/>
          </w:tcPr>
          <w:p w14:paraId="1C4C1A5C"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72</w:t>
            </w:r>
          </w:p>
        </w:tc>
        <w:tc>
          <w:tcPr>
            <w:tcW w:w="709" w:type="dxa"/>
            <w:shd w:val="clear" w:color="auto" w:fill="D6ECED"/>
            <w:noWrap/>
            <w:vAlign w:val="bottom"/>
            <w:hideMark/>
          </w:tcPr>
          <w:p w14:paraId="2E9C0288"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66</w:t>
            </w:r>
          </w:p>
        </w:tc>
        <w:tc>
          <w:tcPr>
            <w:tcW w:w="708" w:type="dxa"/>
            <w:shd w:val="clear" w:color="auto" w:fill="D6ECED"/>
            <w:noWrap/>
            <w:vAlign w:val="bottom"/>
            <w:hideMark/>
          </w:tcPr>
          <w:p w14:paraId="3219DD58"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49</w:t>
            </w:r>
          </w:p>
        </w:tc>
        <w:tc>
          <w:tcPr>
            <w:tcW w:w="709" w:type="dxa"/>
            <w:shd w:val="clear" w:color="auto" w:fill="D6ECED"/>
            <w:noWrap/>
            <w:vAlign w:val="bottom"/>
            <w:hideMark/>
          </w:tcPr>
          <w:p w14:paraId="254D4CD1"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56</w:t>
            </w:r>
          </w:p>
        </w:tc>
        <w:tc>
          <w:tcPr>
            <w:tcW w:w="709" w:type="dxa"/>
            <w:shd w:val="clear" w:color="auto" w:fill="D6ECED"/>
            <w:noWrap/>
            <w:vAlign w:val="bottom"/>
            <w:hideMark/>
          </w:tcPr>
          <w:p w14:paraId="2188AB38"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42</w:t>
            </w:r>
          </w:p>
        </w:tc>
        <w:tc>
          <w:tcPr>
            <w:tcW w:w="709" w:type="dxa"/>
            <w:shd w:val="clear" w:color="auto" w:fill="D6ECED"/>
            <w:noWrap/>
            <w:vAlign w:val="bottom"/>
            <w:hideMark/>
          </w:tcPr>
          <w:p w14:paraId="131D4D27" w14:textId="77777777" w:rsidR="00021E76" w:rsidRPr="00F94423" w:rsidRDefault="00021E76" w:rsidP="00352F0E">
            <w:pPr>
              <w:keepNext/>
              <w:spacing w:before="60" w:after="60"/>
              <w:jc w:val="right"/>
              <w:rPr>
                <w:rFonts w:eastAsia="Times New Roman" w:cstheme="minorHAnsi"/>
                <w:b/>
                <w:color w:val="000000"/>
                <w:sz w:val="18"/>
                <w:lang w:eastAsia="en-AU"/>
              </w:rPr>
            </w:pPr>
            <w:r w:rsidRPr="00F94423">
              <w:rPr>
                <w:rFonts w:eastAsia="Times New Roman" w:cstheme="minorHAnsi"/>
                <w:b/>
                <w:color w:val="000000"/>
                <w:sz w:val="18"/>
                <w:lang w:eastAsia="en-AU"/>
              </w:rPr>
              <w:t>534</w:t>
            </w:r>
          </w:p>
        </w:tc>
      </w:tr>
    </w:tbl>
    <w:p w14:paraId="130928E7" w14:textId="773EFA66" w:rsidR="00E602CF" w:rsidRPr="00E602CF" w:rsidRDefault="00E602CF" w:rsidP="00E602CF">
      <w:pPr>
        <w:spacing w:before="40"/>
        <w:rPr>
          <w:sz w:val="16"/>
          <w:szCs w:val="16"/>
        </w:rPr>
      </w:pPr>
      <w:bookmarkStart w:id="256" w:name="_Toc483227502"/>
      <w:r w:rsidRPr="00E602CF">
        <w:rPr>
          <w:sz w:val="16"/>
          <w:szCs w:val="16"/>
        </w:rPr>
        <w:t>Source: TSV</w:t>
      </w:r>
    </w:p>
    <w:p w14:paraId="31CA49B9" w14:textId="6E055D1A" w:rsidR="003E5C54" w:rsidRPr="006374ED" w:rsidRDefault="00C64862" w:rsidP="003E5C54">
      <w:r w:rsidRPr="00C64862">
        <w:fldChar w:fldCharType="begin"/>
      </w:r>
      <w:r w:rsidRPr="00C64862">
        <w:instrText xml:space="preserve"> REF _Ref24967929 \h  \* MERGEFORMAT </w:instrText>
      </w:r>
      <w:r w:rsidRPr="00C64862">
        <w:fldChar w:fldCharType="separate"/>
      </w:r>
      <w:r w:rsidR="00277F6E" w:rsidRPr="00277F6E">
        <w:t xml:space="preserve">Table </w:t>
      </w:r>
      <w:r w:rsidR="00277F6E" w:rsidRPr="00277F6E">
        <w:rPr>
          <w:noProof/>
        </w:rPr>
        <w:t>3</w:t>
      </w:r>
      <w:r w:rsidR="00277F6E" w:rsidRPr="00277F6E">
        <w:rPr>
          <w:noProof/>
        </w:rPr>
        <w:noBreakHyphen/>
        <w:t>6</w:t>
      </w:r>
      <w:r w:rsidRPr="00C64862">
        <w:fldChar w:fldCharType="end"/>
      </w:r>
      <w:r>
        <w:t xml:space="preserve"> </w:t>
      </w:r>
      <w:r w:rsidR="003E5C54" w:rsidRPr="006374ED">
        <w:t>shows that</w:t>
      </w:r>
      <w:r w:rsidR="00F52989">
        <w:t>,</w:t>
      </w:r>
      <w:r w:rsidR="003E5C54" w:rsidRPr="006374ED">
        <w:t xml:space="preserve"> as with fatalities, bus </w:t>
      </w:r>
      <w:r w:rsidR="001A60A6">
        <w:t>passengers</w:t>
      </w:r>
      <w:r w:rsidR="003E5C54" w:rsidRPr="006374ED">
        <w:t xml:space="preserve"> suffer the majority of serious injuries</w:t>
      </w:r>
      <w:r w:rsidR="009263AC">
        <w:t xml:space="preserve"> (311 serious injuries)</w:t>
      </w:r>
      <w:r w:rsidR="00A342BB">
        <w:t>, followed by drivers of other vehicles</w:t>
      </w:r>
      <w:r w:rsidR="009263AC">
        <w:t xml:space="preserve"> (84 serious </w:t>
      </w:r>
      <w:r w:rsidR="00C71073">
        <w:t>injuries)</w:t>
      </w:r>
      <w:r w:rsidR="00C71073" w:rsidRPr="006374ED">
        <w:t xml:space="preserve"> </w:t>
      </w:r>
      <w:r w:rsidR="00C71073">
        <w:t>and</w:t>
      </w:r>
      <w:r w:rsidR="00A342BB">
        <w:t xml:space="preserve"> bus drivers </w:t>
      </w:r>
      <w:r w:rsidR="009263AC">
        <w:t>(62 serious injuries)</w:t>
      </w:r>
      <w:r w:rsidR="00C51BF1">
        <w:t>.</w:t>
      </w:r>
    </w:p>
    <w:p w14:paraId="387B0DEE" w14:textId="6CD7B9B1" w:rsidR="003E5C54" w:rsidRDefault="003E5C54" w:rsidP="005E479A">
      <w:pPr>
        <w:pStyle w:val="Caption"/>
        <w:keepNext/>
        <w:spacing w:after="60"/>
        <w:rPr>
          <w:b/>
          <w:i w:val="0"/>
        </w:rPr>
      </w:pPr>
      <w:bookmarkStart w:id="257" w:name="_Ref24967929"/>
      <w:bookmarkStart w:id="258" w:name="_Toc44603383"/>
      <w:bookmarkStart w:id="259" w:name="_Toc44437358"/>
      <w:bookmarkStart w:id="260" w:name="_Toc44597429"/>
      <w:bookmarkStart w:id="261" w:name="_Toc44597493"/>
      <w:bookmarkStart w:id="262" w:name="_Toc44600063"/>
      <w:bookmarkStart w:id="263" w:name="_Toc44600518"/>
      <w:bookmarkStart w:id="264" w:name="_Toc44600685"/>
      <w:bookmarkStart w:id="265" w:name="_Toc44601182"/>
      <w:bookmarkStart w:id="266" w:name="_Toc44601235"/>
      <w:bookmarkStart w:id="267" w:name="_Toc45704431"/>
      <w:r w:rsidRPr="00C61A60">
        <w:rPr>
          <w:b/>
          <w:i w:val="0"/>
        </w:rPr>
        <w:lastRenderedPageBreak/>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6</w:t>
      </w:r>
      <w:r w:rsidR="00D2483C">
        <w:rPr>
          <w:b/>
          <w:i w:val="0"/>
        </w:rPr>
        <w:fldChar w:fldCharType="end"/>
      </w:r>
      <w:bookmarkEnd w:id="257"/>
      <w:r w:rsidRPr="00C61A60">
        <w:rPr>
          <w:b/>
          <w:i w:val="0"/>
        </w:rPr>
        <w:t xml:space="preserve">: </w:t>
      </w:r>
      <w:r w:rsidR="00606DFC">
        <w:rPr>
          <w:b/>
          <w:i w:val="0"/>
        </w:rPr>
        <w:t>Number of s</w:t>
      </w:r>
      <w:r w:rsidRPr="00C61A60">
        <w:rPr>
          <w:b/>
          <w:i w:val="0"/>
        </w:rPr>
        <w:t>erious injuries by person type</w:t>
      </w:r>
      <w:r w:rsidR="002B6F51">
        <w:rPr>
          <w:b/>
          <w:i w:val="0"/>
        </w:rPr>
        <w:t xml:space="preserve"> – 201</w:t>
      </w:r>
      <w:r w:rsidR="00584741">
        <w:rPr>
          <w:b/>
          <w:i w:val="0"/>
        </w:rPr>
        <w:t>1</w:t>
      </w:r>
      <w:r w:rsidR="002B6F51">
        <w:rPr>
          <w:b/>
          <w:i w:val="0"/>
        </w:rPr>
        <w:t>-2019</w:t>
      </w:r>
      <w:bookmarkEnd w:id="258"/>
      <w:bookmarkEnd w:id="259"/>
      <w:bookmarkEnd w:id="260"/>
      <w:bookmarkEnd w:id="261"/>
      <w:bookmarkEnd w:id="262"/>
      <w:bookmarkEnd w:id="263"/>
      <w:bookmarkEnd w:id="264"/>
      <w:bookmarkEnd w:id="265"/>
      <w:bookmarkEnd w:id="266"/>
      <w:bookmarkEnd w:id="267"/>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09"/>
        <w:gridCol w:w="709"/>
        <w:gridCol w:w="709"/>
        <w:gridCol w:w="709"/>
        <w:gridCol w:w="710"/>
        <w:gridCol w:w="709"/>
        <w:gridCol w:w="709"/>
        <w:gridCol w:w="709"/>
        <w:gridCol w:w="709"/>
        <w:gridCol w:w="710"/>
      </w:tblGrid>
      <w:tr w:rsidR="00D76B9D" w:rsidRPr="00D76B9D" w14:paraId="3BC86017" w14:textId="77777777" w:rsidTr="00352F0E">
        <w:trPr>
          <w:cantSplit/>
          <w:trHeight w:val="288"/>
          <w:tblHeader/>
        </w:trPr>
        <w:tc>
          <w:tcPr>
            <w:tcW w:w="1980" w:type="dxa"/>
            <w:shd w:val="clear" w:color="auto" w:fill="D6ECED"/>
            <w:noWrap/>
            <w:vAlign w:val="bottom"/>
            <w:hideMark/>
          </w:tcPr>
          <w:p w14:paraId="0C3577E5" w14:textId="77777777" w:rsidR="00D76B9D" w:rsidRPr="00D76B9D" w:rsidRDefault="00D76B9D" w:rsidP="00352F0E">
            <w:pPr>
              <w:keepNext/>
              <w:spacing w:before="60" w:after="60"/>
              <w:rPr>
                <w:rFonts w:eastAsia="Times New Roman" w:cstheme="minorHAnsi"/>
                <w:b/>
                <w:bCs/>
                <w:color w:val="000000"/>
                <w:sz w:val="18"/>
                <w:lang w:eastAsia="en-AU"/>
              </w:rPr>
            </w:pPr>
            <w:r w:rsidRPr="00D76B9D">
              <w:rPr>
                <w:rFonts w:eastAsia="Times New Roman" w:cstheme="minorHAnsi"/>
                <w:b/>
                <w:bCs/>
                <w:color w:val="000000"/>
                <w:sz w:val="18"/>
                <w:lang w:eastAsia="en-AU"/>
              </w:rPr>
              <w:t>Person type</w:t>
            </w:r>
          </w:p>
        </w:tc>
        <w:tc>
          <w:tcPr>
            <w:tcW w:w="709" w:type="dxa"/>
            <w:shd w:val="clear" w:color="auto" w:fill="D6ECED"/>
            <w:noWrap/>
            <w:vAlign w:val="bottom"/>
            <w:hideMark/>
          </w:tcPr>
          <w:p w14:paraId="7A454642" w14:textId="77777777" w:rsidR="00D76B9D" w:rsidRPr="00D76B9D" w:rsidRDefault="00D76B9D" w:rsidP="00352F0E">
            <w:pPr>
              <w:keepNext/>
              <w:spacing w:before="60" w:after="60"/>
              <w:jc w:val="center"/>
              <w:rPr>
                <w:rFonts w:eastAsia="Times New Roman" w:cstheme="minorHAnsi"/>
                <w:b/>
                <w:bCs/>
                <w:color w:val="000000"/>
                <w:sz w:val="18"/>
                <w:lang w:eastAsia="en-AU"/>
              </w:rPr>
            </w:pPr>
            <w:r w:rsidRPr="00D76B9D">
              <w:rPr>
                <w:rFonts w:eastAsia="Times New Roman" w:cstheme="minorHAnsi"/>
                <w:b/>
                <w:bCs/>
                <w:color w:val="000000"/>
                <w:sz w:val="18"/>
                <w:lang w:eastAsia="en-AU"/>
              </w:rPr>
              <w:t>2011</w:t>
            </w:r>
          </w:p>
        </w:tc>
        <w:tc>
          <w:tcPr>
            <w:tcW w:w="709" w:type="dxa"/>
            <w:shd w:val="clear" w:color="auto" w:fill="D6ECED"/>
            <w:noWrap/>
            <w:vAlign w:val="bottom"/>
            <w:hideMark/>
          </w:tcPr>
          <w:p w14:paraId="4EA54969" w14:textId="77777777" w:rsidR="00D76B9D" w:rsidRPr="00D76B9D" w:rsidRDefault="00D76B9D" w:rsidP="00352F0E">
            <w:pPr>
              <w:keepNext/>
              <w:spacing w:before="60" w:after="60"/>
              <w:jc w:val="center"/>
              <w:rPr>
                <w:rFonts w:eastAsia="Times New Roman" w:cstheme="minorHAnsi"/>
                <w:b/>
                <w:bCs/>
                <w:color w:val="000000"/>
                <w:sz w:val="18"/>
                <w:lang w:eastAsia="en-AU"/>
              </w:rPr>
            </w:pPr>
            <w:r w:rsidRPr="00D76B9D">
              <w:rPr>
                <w:rFonts w:eastAsia="Times New Roman" w:cstheme="minorHAnsi"/>
                <w:b/>
                <w:bCs/>
                <w:color w:val="000000"/>
                <w:sz w:val="18"/>
                <w:lang w:eastAsia="en-AU"/>
              </w:rPr>
              <w:t>2012</w:t>
            </w:r>
          </w:p>
        </w:tc>
        <w:tc>
          <w:tcPr>
            <w:tcW w:w="709" w:type="dxa"/>
            <w:shd w:val="clear" w:color="auto" w:fill="D6ECED"/>
            <w:noWrap/>
            <w:vAlign w:val="bottom"/>
            <w:hideMark/>
          </w:tcPr>
          <w:p w14:paraId="35FE2FAA" w14:textId="77777777" w:rsidR="00D76B9D" w:rsidRPr="00D76B9D" w:rsidRDefault="00D76B9D" w:rsidP="00352F0E">
            <w:pPr>
              <w:keepNext/>
              <w:spacing w:before="60" w:after="60"/>
              <w:jc w:val="center"/>
              <w:rPr>
                <w:rFonts w:eastAsia="Times New Roman" w:cstheme="minorHAnsi"/>
                <w:b/>
                <w:bCs/>
                <w:color w:val="000000"/>
                <w:sz w:val="18"/>
                <w:lang w:eastAsia="en-AU"/>
              </w:rPr>
            </w:pPr>
            <w:r w:rsidRPr="00D76B9D">
              <w:rPr>
                <w:rFonts w:eastAsia="Times New Roman" w:cstheme="minorHAnsi"/>
                <w:b/>
                <w:bCs/>
                <w:color w:val="000000"/>
                <w:sz w:val="18"/>
                <w:lang w:eastAsia="en-AU"/>
              </w:rPr>
              <w:t>2013</w:t>
            </w:r>
          </w:p>
        </w:tc>
        <w:tc>
          <w:tcPr>
            <w:tcW w:w="709" w:type="dxa"/>
            <w:shd w:val="clear" w:color="auto" w:fill="D6ECED"/>
            <w:noWrap/>
            <w:vAlign w:val="bottom"/>
            <w:hideMark/>
          </w:tcPr>
          <w:p w14:paraId="73776386" w14:textId="77777777" w:rsidR="00D76B9D" w:rsidRPr="00D76B9D" w:rsidRDefault="00D76B9D" w:rsidP="00352F0E">
            <w:pPr>
              <w:keepNext/>
              <w:spacing w:before="60" w:after="60"/>
              <w:jc w:val="center"/>
              <w:rPr>
                <w:rFonts w:eastAsia="Times New Roman" w:cstheme="minorHAnsi"/>
                <w:b/>
                <w:bCs/>
                <w:color w:val="000000"/>
                <w:sz w:val="18"/>
                <w:lang w:eastAsia="en-AU"/>
              </w:rPr>
            </w:pPr>
            <w:r w:rsidRPr="00D76B9D">
              <w:rPr>
                <w:rFonts w:eastAsia="Times New Roman" w:cstheme="minorHAnsi"/>
                <w:b/>
                <w:bCs/>
                <w:color w:val="000000"/>
                <w:sz w:val="18"/>
                <w:lang w:eastAsia="en-AU"/>
              </w:rPr>
              <w:t>2014</w:t>
            </w:r>
          </w:p>
        </w:tc>
        <w:tc>
          <w:tcPr>
            <w:tcW w:w="710" w:type="dxa"/>
            <w:shd w:val="clear" w:color="auto" w:fill="D6ECED"/>
            <w:noWrap/>
            <w:vAlign w:val="bottom"/>
            <w:hideMark/>
          </w:tcPr>
          <w:p w14:paraId="4631F28E" w14:textId="77777777" w:rsidR="00D76B9D" w:rsidRPr="00D76B9D" w:rsidRDefault="00D76B9D" w:rsidP="00352F0E">
            <w:pPr>
              <w:keepNext/>
              <w:spacing w:before="60" w:after="60"/>
              <w:jc w:val="center"/>
              <w:rPr>
                <w:rFonts w:eastAsia="Times New Roman" w:cstheme="minorHAnsi"/>
                <w:b/>
                <w:bCs/>
                <w:color w:val="000000"/>
                <w:sz w:val="18"/>
                <w:lang w:eastAsia="en-AU"/>
              </w:rPr>
            </w:pPr>
            <w:r w:rsidRPr="00D76B9D">
              <w:rPr>
                <w:rFonts w:eastAsia="Times New Roman" w:cstheme="minorHAnsi"/>
                <w:b/>
                <w:bCs/>
                <w:color w:val="000000"/>
                <w:sz w:val="18"/>
                <w:lang w:eastAsia="en-AU"/>
              </w:rPr>
              <w:t>2015</w:t>
            </w:r>
          </w:p>
        </w:tc>
        <w:tc>
          <w:tcPr>
            <w:tcW w:w="709" w:type="dxa"/>
            <w:shd w:val="clear" w:color="auto" w:fill="D6ECED"/>
            <w:noWrap/>
            <w:vAlign w:val="bottom"/>
            <w:hideMark/>
          </w:tcPr>
          <w:p w14:paraId="05331A90" w14:textId="77777777" w:rsidR="00D76B9D" w:rsidRPr="00D76B9D" w:rsidRDefault="00D76B9D" w:rsidP="00352F0E">
            <w:pPr>
              <w:keepNext/>
              <w:spacing w:before="60" w:after="60"/>
              <w:jc w:val="center"/>
              <w:rPr>
                <w:rFonts w:eastAsia="Times New Roman" w:cstheme="minorHAnsi"/>
                <w:b/>
                <w:bCs/>
                <w:color w:val="000000"/>
                <w:sz w:val="18"/>
                <w:lang w:eastAsia="en-AU"/>
              </w:rPr>
            </w:pPr>
            <w:r w:rsidRPr="00D76B9D">
              <w:rPr>
                <w:rFonts w:eastAsia="Times New Roman" w:cstheme="minorHAnsi"/>
                <w:b/>
                <w:bCs/>
                <w:color w:val="000000"/>
                <w:sz w:val="18"/>
                <w:lang w:eastAsia="en-AU"/>
              </w:rPr>
              <w:t>2016</w:t>
            </w:r>
          </w:p>
        </w:tc>
        <w:tc>
          <w:tcPr>
            <w:tcW w:w="709" w:type="dxa"/>
            <w:shd w:val="clear" w:color="auto" w:fill="D6ECED"/>
            <w:noWrap/>
            <w:vAlign w:val="bottom"/>
            <w:hideMark/>
          </w:tcPr>
          <w:p w14:paraId="148ECC26" w14:textId="77777777" w:rsidR="00D76B9D" w:rsidRPr="00D76B9D" w:rsidRDefault="00D76B9D" w:rsidP="00352F0E">
            <w:pPr>
              <w:keepNext/>
              <w:spacing w:before="60" w:after="60"/>
              <w:jc w:val="center"/>
              <w:rPr>
                <w:rFonts w:eastAsia="Times New Roman" w:cstheme="minorHAnsi"/>
                <w:b/>
                <w:bCs/>
                <w:color w:val="000000"/>
                <w:sz w:val="18"/>
                <w:lang w:eastAsia="en-AU"/>
              </w:rPr>
            </w:pPr>
            <w:r w:rsidRPr="00D76B9D">
              <w:rPr>
                <w:rFonts w:eastAsia="Times New Roman" w:cstheme="minorHAnsi"/>
                <w:b/>
                <w:bCs/>
                <w:color w:val="000000"/>
                <w:sz w:val="18"/>
                <w:lang w:eastAsia="en-AU"/>
              </w:rPr>
              <w:t>2017</w:t>
            </w:r>
          </w:p>
        </w:tc>
        <w:tc>
          <w:tcPr>
            <w:tcW w:w="709" w:type="dxa"/>
            <w:shd w:val="clear" w:color="auto" w:fill="D6ECED"/>
            <w:noWrap/>
            <w:vAlign w:val="bottom"/>
            <w:hideMark/>
          </w:tcPr>
          <w:p w14:paraId="453A8C5F" w14:textId="77777777" w:rsidR="00D76B9D" w:rsidRPr="00D76B9D" w:rsidRDefault="00D76B9D" w:rsidP="00352F0E">
            <w:pPr>
              <w:keepNext/>
              <w:spacing w:before="60" w:after="60"/>
              <w:jc w:val="center"/>
              <w:rPr>
                <w:rFonts w:eastAsia="Times New Roman" w:cstheme="minorHAnsi"/>
                <w:b/>
                <w:bCs/>
                <w:color w:val="000000"/>
                <w:sz w:val="18"/>
                <w:lang w:eastAsia="en-AU"/>
              </w:rPr>
            </w:pPr>
            <w:r w:rsidRPr="00D76B9D">
              <w:rPr>
                <w:rFonts w:eastAsia="Times New Roman" w:cstheme="minorHAnsi"/>
                <w:b/>
                <w:bCs/>
                <w:color w:val="000000"/>
                <w:sz w:val="18"/>
                <w:lang w:eastAsia="en-AU"/>
              </w:rPr>
              <w:t>2018</w:t>
            </w:r>
          </w:p>
        </w:tc>
        <w:tc>
          <w:tcPr>
            <w:tcW w:w="709" w:type="dxa"/>
            <w:shd w:val="clear" w:color="auto" w:fill="D6ECED"/>
            <w:noWrap/>
            <w:vAlign w:val="bottom"/>
            <w:hideMark/>
          </w:tcPr>
          <w:p w14:paraId="7227E5AF" w14:textId="77777777" w:rsidR="00D76B9D" w:rsidRPr="00D76B9D" w:rsidRDefault="00D76B9D" w:rsidP="00352F0E">
            <w:pPr>
              <w:keepNext/>
              <w:spacing w:before="60" w:after="60"/>
              <w:jc w:val="center"/>
              <w:rPr>
                <w:rFonts w:eastAsia="Times New Roman" w:cstheme="minorHAnsi"/>
                <w:b/>
                <w:bCs/>
                <w:color w:val="000000"/>
                <w:sz w:val="18"/>
                <w:lang w:eastAsia="en-AU"/>
              </w:rPr>
            </w:pPr>
            <w:r w:rsidRPr="00D76B9D">
              <w:rPr>
                <w:rFonts w:eastAsia="Times New Roman" w:cstheme="minorHAnsi"/>
                <w:b/>
                <w:bCs/>
                <w:color w:val="000000"/>
                <w:sz w:val="18"/>
                <w:lang w:eastAsia="en-AU"/>
              </w:rPr>
              <w:t>2019</w:t>
            </w:r>
          </w:p>
        </w:tc>
        <w:tc>
          <w:tcPr>
            <w:tcW w:w="710" w:type="dxa"/>
            <w:shd w:val="clear" w:color="auto" w:fill="D6ECED"/>
            <w:noWrap/>
            <w:vAlign w:val="bottom"/>
            <w:hideMark/>
          </w:tcPr>
          <w:p w14:paraId="7FA36E38" w14:textId="6D3B667E" w:rsidR="00D76B9D" w:rsidRPr="00D76B9D" w:rsidRDefault="00D76B9D" w:rsidP="00352F0E">
            <w:pPr>
              <w:keepNext/>
              <w:spacing w:before="60" w:after="60"/>
              <w:jc w:val="center"/>
              <w:rPr>
                <w:rFonts w:eastAsia="Times New Roman" w:cstheme="minorHAnsi"/>
                <w:b/>
                <w:bCs/>
                <w:color w:val="000000"/>
                <w:sz w:val="18"/>
                <w:lang w:eastAsia="en-AU"/>
              </w:rPr>
            </w:pPr>
            <w:r w:rsidRPr="00D76B9D">
              <w:rPr>
                <w:rFonts w:eastAsia="Times New Roman" w:cstheme="minorHAnsi"/>
                <w:b/>
                <w:bCs/>
                <w:color w:val="000000"/>
                <w:sz w:val="18"/>
                <w:lang w:eastAsia="en-AU"/>
              </w:rPr>
              <w:t>Total</w:t>
            </w:r>
          </w:p>
        </w:tc>
      </w:tr>
      <w:tr w:rsidR="00D76B9D" w:rsidRPr="00D76B9D" w14:paraId="456A686C" w14:textId="77777777" w:rsidTr="00352F0E">
        <w:trPr>
          <w:cantSplit/>
          <w:trHeight w:val="288"/>
          <w:tblHeader/>
        </w:trPr>
        <w:tc>
          <w:tcPr>
            <w:tcW w:w="1980" w:type="dxa"/>
            <w:shd w:val="clear" w:color="auto" w:fill="auto"/>
            <w:noWrap/>
            <w:vAlign w:val="bottom"/>
            <w:hideMark/>
          </w:tcPr>
          <w:p w14:paraId="111B350A" w14:textId="77777777" w:rsidR="00D76B9D" w:rsidRPr="00D76B9D" w:rsidRDefault="00D76B9D" w:rsidP="00352F0E">
            <w:pPr>
              <w:keepNext/>
              <w:spacing w:before="60" w:after="60"/>
              <w:rPr>
                <w:rFonts w:eastAsia="Times New Roman" w:cstheme="minorHAnsi"/>
                <w:color w:val="000000"/>
                <w:sz w:val="18"/>
                <w:lang w:eastAsia="en-AU"/>
              </w:rPr>
            </w:pPr>
            <w:r w:rsidRPr="00D76B9D">
              <w:rPr>
                <w:rFonts w:eastAsia="Times New Roman" w:cstheme="minorHAnsi"/>
                <w:color w:val="000000"/>
                <w:sz w:val="18"/>
                <w:lang w:eastAsia="en-AU"/>
              </w:rPr>
              <w:t>Bus Driver</w:t>
            </w:r>
          </w:p>
        </w:tc>
        <w:tc>
          <w:tcPr>
            <w:tcW w:w="709" w:type="dxa"/>
            <w:shd w:val="clear" w:color="auto" w:fill="auto"/>
            <w:noWrap/>
            <w:vAlign w:val="bottom"/>
            <w:hideMark/>
          </w:tcPr>
          <w:p w14:paraId="5BCE7C93"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9</w:t>
            </w:r>
          </w:p>
        </w:tc>
        <w:tc>
          <w:tcPr>
            <w:tcW w:w="709" w:type="dxa"/>
            <w:shd w:val="clear" w:color="auto" w:fill="auto"/>
            <w:noWrap/>
            <w:vAlign w:val="bottom"/>
            <w:hideMark/>
          </w:tcPr>
          <w:p w14:paraId="1B8DF93C"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11</w:t>
            </w:r>
          </w:p>
        </w:tc>
        <w:tc>
          <w:tcPr>
            <w:tcW w:w="709" w:type="dxa"/>
            <w:shd w:val="clear" w:color="auto" w:fill="auto"/>
            <w:noWrap/>
            <w:vAlign w:val="bottom"/>
            <w:hideMark/>
          </w:tcPr>
          <w:p w14:paraId="309F2081"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3</w:t>
            </w:r>
          </w:p>
        </w:tc>
        <w:tc>
          <w:tcPr>
            <w:tcW w:w="709" w:type="dxa"/>
            <w:shd w:val="clear" w:color="auto" w:fill="auto"/>
            <w:noWrap/>
            <w:vAlign w:val="bottom"/>
            <w:hideMark/>
          </w:tcPr>
          <w:p w14:paraId="63AEC70F"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9</w:t>
            </w:r>
          </w:p>
        </w:tc>
        <w:tc>
          <w:tcPr>
            <w:tcW w:w="710" w:type="dxa"/>
            <w:shd w:val="clear" w:color="auto" w:fill="auto"/>
            <w:noWrap/>
            <w:vAlign w:val="bottom"/>
            <w:hideMark/>
          </w:tcPr>
          <w:p w14:paraId="43176E41"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6</w:t>
            </w:r>
          </w:p>
        </w:tc>
        <w:tc>
          <w:tcPr>
            <w:tcW w:w="709" w:type="dxa"/>
            <w:shd w:val="clear" w:color="auto" w:fill="auto"/>
            <w:noWrap/>
            <w:vAlign w:val="bottom"/>
            <w:hideMark/>
          </w:tcPr>
          <w:p w14:paraId="74ED8B5A"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10</w:t>
            </w:r>
          </w:p>
        </w:tc>
        <w:tc>
          <w:tcPr>
            <w:tcW w:w="709" w:type="dxa"/>
            <w:shd w:val="clear" w:color="auto" w:fill="auto"/>
            <w:noWrap/>
            <w:vAlign w:val="bottom"/>
            <w:hideMark/>
          </w:tcPr>
          <w:p w14:paraId="5807F06F"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4</w:t>
            </w:r>
          </w:p>
        </w:tc>
        <w:tc>
          <w:tcPr>
            <w:tcW w:w="709" w:type="dxa"/>
            <w:shd w:val="clear" w:color="auto" w:fill="auto"/>
            <w:noWrap/>
            <w:vAlign w:val="bottom"/>
            <w:hideMark/>
          </w:tcPr>
          <w:p w14:paraId="439FAC2A"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6</w:t>
            </w:r>
          </w:p>
        </w:tc>
        <w:tc>
          <w:tcPr>
            <w:tcW w:w="709" w:type="dxa"/>
            <w:shd w:val="clear" w:color="auto" w:fill="auto"/>
            <w:noWrap/>
            <w:vAlign w:val="bottom"/>
            <w:hideMark/>
          </w:tcPr>
          <w:p w14:paraId="5F9C98EE"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4</w:t>
            </w:r>
          </w:p>
        </w:tc>
        <w:tc>
          <w:tcPr>
            <w:tcW w:w="710" w:type="dxa"/>
            <w:shd w:val="clear" w:color="auto" w:fill="auto"/>
            <w:noWrap/>
            <w:vAlign w:val="bottom"/>
            <w:hideMark/>
          </w:tcPr>
          <w:p w14:paraId="15A3BBDA" w14:textId="77777777" w:rsidR="00D76B9D" w:rsidRPr="005D01D9" w:rsidRDefault="00D76B9D"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62</w:t>
            </w:r>
          </w:p>
        </w:tc>
      </w:tr>
      <w:tr w:rsidR="00D76B9D" w:rsidRPr="00D76B9D" w14:paraId="35244C9B" w14:textId="77777777" w:rsidTr="00352F0E">
        <w:trPr>
          <w:cantSplit/>
          <w:trHeight w:val="288"/>
          <w:tblHeader/>
        </w:trPr>
        <w:tc>
          <w:tcPr>
            <w:tcW w:w="1980" w:type="dxa"/>
            <w:shd w:val="clear" w:color="auto" w:fill="auto"/>
            <w:noWrap/>
            <w:vAlign w:val="bottom"/>
            <w:hideMark/>
          </w:tcPr>
          <w:p w14:paraId="1E34C2FD" w14:textId="77777777" w:rsidR="00D76B9D" w:rsidRPr="00D76B9D" w:rsidRDefault="00D76B9D" w:rsidP="00352F0E">
            <w:pPr>
              <w:keepNext/>
              <w:spacing w:before="60" w:after="60"/>
              <w:rPr>
                <w:rFonts w:eastAsia="Times New Roman" w:cstheme="minorHAnsi"/>
                <w:color w:val="000000"/>
                <w:sz w:val="18"/>
                <w:lang w:eastAsia="en-AU"/>
              </w:rPr>
            </w:pPr>
            <w:r w:rsidRPr="00D76B9D">
              <w:rPr>
                <w:rFonts w:eastAsia="Times New Roman" w:cstheme="minorHAnsi"/>
                <w:color w:val="000000"/>
                <w:sz w:val="18"/>
                <w:lang w:eastAsia="en-AU"/>
              </w:rPr>
              <w:t>Bus Employee</w:t>
            </w:r>
          </w:p>
        </w:tc>
        <w:tc>
          <w:tcPr>
            <w:tcW w:w="709" w:type="dxa"/>
            <w:shd w:val="clear" w:color="auto" w:fill="auto"/>
            <w:noWrap/>
            <w:vAlign w:val="bottom"/>
            <w:hideMark/>
          </w:tcPr>
          <w:p w14:paraId="69292FE3"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w:t>
            </w:r>
          </w:p>
        </w:tc>
        <w:tc>
          <w:tcPr>
            <w:tcW w:w="709" w:type="dxa"/>
            <w:shd w:val="clear" w:color="auto" w:fill="auto"/>
            <w:noWrap/>
            <w:vAlign w:val="bottom"/>
            <w:hideMark/>
          </w:tcPr>
          <w:p w14:paraId="6C1EF858" w14:textId="77777777" w:rsidR="00D76B9D" w:rsidRPr="00D76B9D" w:rsidRDefault="00D76B9D"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7B2A42D9" w14:textId="77777777" w:rsidR="00D76B9D" w:rsidRPr="00D76B9D" w:rsidRDefault="00D76B9D" w:rsidP="00352F0E">
            <w:pPr>
              <w:keepNext/>
              <w:spacing w:before="60" w:after="60"/>
              <w:jc w:val="right"/>
              <w:rPr>
                <w:rFonts w:eastAsia="Times New Roman" w:cstheme="minorHAnsi"/>
                <w:color w:val="auto"/>
                <w:sz w:val="18"/>
                <w:lang w:eastAsia="en-AU"/>
              </w:rPr>
            </w:pPr>
          </w:p>
        </w:tc>
        <w:tc>
          <w:tcPr>
            <w:tcW w:w="709" w:type="dxa"/>
            <w:shd w:val="clear" w:color="auto" w:fill="auto"/>
            <w:noWrap/>
            <w:vAlign w:val="bottom"/>
            <w:hideMark/>
          </w:tcPr>
          <w:p w14:paraId="1F537AD7"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w:t>
            </w:r>
          </w:p>
        </w:tc>
        <w:tc>
          <w:tcPr>
            <w:tcW w:w="710" w:type="dxa"/>
            <w:shd w:val="clear" w:color="auto" w:fill="auto"/>
            <w:noWrap/>
            <w:vAlign w:val="bottom"/>
            <w:hideMark/>
          </w:tcPr>
          <w:p w14:paraId="609C5542" w14:textId="77777777" w:rsidR="00D76B9D" w:rsidRPr="00D76B9D" w:rsidRDefault="00D76B9D"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687FA5EE"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2</w:t>
            </w:r>
          </w:p>
        </w:tc>
        <w:tc>
          <w:tcPr>
            <w:tcW w:w="709" w:type="dxa"/>
            <w:shd w:val="clear" w:color="auto" w:fill="auto"/>
            <w:noWrap/>
            <w:vAlign w:val="bottom"/>
            <w:hideMark/>
          </w:tcPr>
          <w:p w14:paraId="040D9D51" w14:textId="77777777" w:rsidR="00D76B9D" w:rsidRPr="00D76B9D" w:rsidRDefault="00D76B9D"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1958D796" w14:textId="77777777" w:rsidR="00D76B9D" w:rsidRPr="00D76B9D" w:rsidRDefault="00D76B9D" w:rsidP="00352F0E">
            <w:pPr>
              <w:keepNext/>
              <w:spacing w:before="60" w:after="60"/>
              <w:jc w:val="right"/>
              <w:rPr>
                <w:rFonts w:eastAsia="Times New Roman" w:cstheme="minorHAnsi"/>
                <w:color w:val="auto"/>
                <w:sz w:val="18"/>
                <w:lang w:eastAsia="en-AU"/>
              </w:rPr>
            </w:pPr>
          </w:p>
        </w:tc>
        <w:tc>
          <w:tcPr>
            <w:tcW w:w="709" w:type="dxa"/>
            <w:shd w:val="clear" w:color="auto" w:fill="auto"/>
            <w:noWrap/>
            <w:vAlign w:val="bottom"/>
            <w:hideMark/>
          </w:tcPr>
          <w:p w14:paraId="005360F3"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w:t>
            </w:r>
          </w:p>
        </w:tc>
        <w:tc>
          <w:tcPr>
            <w:tcW w:w="710" w:type="dxa"/>
            <w:shd w:val="clear" w:color="auto" w:fill="auto"/>
            <w:noWrap/>
            <w:vAlign w:val="bottom"/>
            <w:hideMark/>
          </w:tcPr>
          <w:p w14:paraId="19BAFA62" w14:textId="77777777" w:rsidR="00D76B9D" w:rsidRPr="005D01D9" w:rsidRDefault="00D76B9D"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5</w:t>
            </w:r>
          </w:p>
        </w:tc>
      </w:tr>
      <w:tr w:rsidR="00D76B9D" w:rsidRPr="00D76B9D" w14:paraId="67044FD7" w14:textId="77777777" w:rsidTr="00352F0E">
        <w:trPr>
          <w:cantSplit/>
          <w:trHeight w:val="288"/>
          <w:tblHeader/>
        </w:trPr>
        <w:tc>
          <w:tcPr>
            <w:tcW w:w="1980" w:type="dxa"/>
            <w:shd w:val="clear" w:color="auto" w:fill="auto"/>
            <w:noWrap/>
            <w:vAlign w:val="bottom"/>
            <w:hideMark/>
          </w:tcPr>
          <w:p w14:paraId="4C9BB7B2" w14:textId="77777777" w:rsidR="00D76B9D" w:rsidRPr="00D76B9D" w:rsidRDefault="00D76B9D" w:rsidP="00352F0E">
            <w:pPr>
              <w:keepNext/>
              <w:spacing w:before="60" w:after="60"/>
              <w:rPr>
                <w:rFonts w:eastAsia="Times New Roman" w:cstheme="minorHAnsi"/>
                <w:color w:val="000000"/>
                <w:sz w:val="18"/>
                <w:lang w:eastAsia="en-AU"/>
              </w:rPr>
            </w:pPr>
            <w:r w:rsidRPr="00D76B9D">
              <w:rPr>
                <w:rFonts w:eastAsia="Times New Roman" w:cstheme="minorHAnsi"/>
                <w:color w:val="000000"/>
                <w:sz w:val="18"/>
                <w:lang w:eastAsia="en-AU"/>
              </w:rPr>
              <w:t>Bus Passenger</w:t>
            </w:r>
          </w:p>
        </w:tc>
        <w:tc>
          <w:tcPr>
            <w:tcW w:w="709" w:type="dxa"/>
            <w:shd w:val="clear" w:color="auto" w:fill="auto"/>
            <w:noWrap/>
            <w:vAlign w:val="bottom"/>
            <w:hideMark/>
          </w:tcPr>
          <w:p w14:paraId="0CE30E78"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45</w:t>
            </w:r>
          </w:p>
        </w:tc>
        <w:tc>
          <w:tcPr>
            <w:tcW w:w="709" w:type="dxa"/>
            <w:shd w:val="clear" w:color="auto" w:fill="auto"/>
            <w:noWrap/>
            <w:vAlign w:val="bottom"/>
            <w:hideMark/>
          </w:tcPr>
          <w:p w14:paraId="7DAECD29"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33</w:t>
            </w:r>
          </w:p>
        </w:tc>
        <w:tc>
          <w:tcPr>
            <w:tcW w:w="709" w:type="dxa"/>
            <w:shd w:val="clear" w:color="auto" w:fill="auto"/>
            <w:noWrap/>
            <w:vAlign w:val="bottom"/>
            <w:hideMark/>
          </w:tcPr>
          <w:p w14:paraId="3601873F"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34</w:t>
            </w:r>
          </w:p>
        </w:tc>
        <w:tc>
          <w:tcPr>
            <w:tcW w:w="709" w:type="dxa"/>
            <w:shd w:val="clear" w:color="auto" w:fill="auto"/>
            <w:noWrap/>
            <w:vAlign w:val="bottom"/>
            <w:hideMark/>
          </w:tcPr>
          <w:p w14:paraId="73AE3E58"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28</w:t>
            </w:r>
          </w:p>
        </w:tc>
        <w:tc>
          <w:tcPr>
            <w:tcW w:w="710" w:type="dxa"/>
            <w:shd w:val="clear" w:color="auto" w:fill="auto"/>
            <w:noWrap/>
            <w:vAlign w:val="bottom"/>
            <w:hideMark/>
          </w:tcPr>
          <w:p w14:paraId="7E9ABA97"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40</w:t>
            </w:r>
          </w:p>
        </w:tc>
        <w:tc>
          <w:tcPr>
            <w:tcW w:w="709" w:type="dxa"/>
            <w:shd w:val="clear" w:color="auto" w:fill="auto"/>
            <w:noWrap/>
            <w:vAlign w:val="bottom"/>
            <w:hideMark/>
          </w:tcPr>
          <w:p w14:paraId="10F5202E"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45</w:t>
            </w:r>
          </w:p>
        </w:tc>
        <w:tc>
          <w:tcPr>
            <w:tcW w:w="709" w:type="dxa"/>
            <w:shd w:val="clear" w:color="auto" w:fill="auto"/>
            <w:noWrap/>
            <w:vAlign w:val="bottom"/>
            <w:hideMark/>
          </w:tcPr>
          <w:p w14:paraId="26E038CA"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27</w:t>
            </w:r>
          </w:p>
        </w:tc>
        <w:tc>
          <w:tcPr>
            <w:tcW w:w="709" w:type="dxa"/>
            <w:shd w:val="clear" w:color="auto" w:fill="auto"/>
            <w:noWrap/>
            <w:vAlign w:val="bottom"/>
            <w:hideMark/>
          </w:tcPr>
          <w:p w14:paraId="02EF5A14"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35</w:t>
            </w:r>
          </w:p>
        </w:tc>
        <w:tc>
          <w:tcPr>
            <w:tcW w:w="709" w:type="dxa"/>
            <w:shd w:val="clear" w:color="auto" w:fill="auto"/>
            <w:noWrap/>
            <w:vAlign w:val="bottom"/>
            <w:hideMark/>
          </w:tcPr>
          <w:p w14:paraId="335F69B0"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24</w:t>
            </w:r>
          </w:p>
        </w:tc>
        <w:tc>
          <w:tcPr>
            <w:tcW w:w="710" w:type="dxa"/>
            <w:shd w:val="clear" w:color="auto" w:fill="auto"/>
            <w:noWrap/>
            <w:vAlign w:val="bottom"/>
            <w:hideMark/>
          </w:tcPr>
          <w:p w14:paraId="6E665629" w14:textId="77777777" w:rsidR="00D76B9D" w:rsidRPr="005D01D9" w:rsidRDefault="00D76B9D"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311</w:t>
            </w:r>
          </w:p>
        </w:tc>
      </w:tr>
      <w:tr w:rsidR="00D76B9D" w:rsidRPr="00D76B9D" w14:paraId="5BDAA9D6" w14:textId="77777777" w:rsidTr="00352F0E">
        <w:trPr>
          <w:cantSplit/>
          <w:trHeight w:val="288"/>
          <w:tblHeader/>
        </w:trPr>
        <w:tc>
          <w:tcPr>
            <w:tcW w:w="1980" w:type="dxa"/>
            <w:shd w:val="clear" w:color="auto" w:fill="auto"/>
            <w:noWrap/>
            <w:vAlign w:val="bottom"/>
            <w:hideMark/>
          </w:tcPr>
          <w:p w14:paraId="2B77C924" w14:textId="68065668" w:rsidR="00D76B9D" w:rsidRPr="00D76B9D" w:rsidRDefault="00D76B9D" w:rsidP="00352F0E">
            <w:pPr>
              <w:keepNext/>
              <w:spacing w:before="60" w:after="60"/>
              <w:rPr>
                <w:rFonts w:eastAsia="Times New Roman" w:cstheme="minorHAnsi"/>
                <w:color w:val="000000"/>
                <w:sz w:val="18"/>
                <w:lang w:eastAsia="en-AU"/>
              </w:rPr>
            </w:pPr>
            <w:r w:rsidRPr="00D76B9D">
              <w:rPr>
                <w:rFonts w:eastAsia="Times New Roman" w:cstheme="minorHAnsi"/>
                <w:color w:val="000000"/>
                <w:sz w:val="18"/>
                <w:lang w:eastAsia="en-AU"/>
              </w:rPr>
              <w:t>Cyclist</w:t>
            </w:r>
          </w:p>
        </w:tc>
        <w:tc>
          <w:tcPr>
            <w:tcW w:w="709" w:type="dxa"/>
            <w:shd w:val="clear" w:color="auto" w:fill="auto"/>
            <w:noWrap/>
            <w:vAlign w:val="bottom"/>
            <w:hideMark/>
          </w:tcPr>
          <w:p w14:paraId="2D6C4258"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w:t>
            </w:r>
          </w:p>
        </w:tc>
        <w:tc>
          <w:tcPr>
            <w:tcW w:w="709" w:type="dxa"/>
            <w:shd w:val="clear" w:color="auto" w:fill="auto"/>
            <w:noWrap/>
            <w:vAlign w:val="bottom"/>
            <w:hideMark/>
          </w:tcPr>
          <w:p w14:paraId="2D3A02C3" w14:textId="77777777" w:rsidR="00D76B9D" w:rsidRPr="00D76B9D" w:rsidRDefault="00D76B9D"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2588AFAF"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w:t>
            </w:r>
          </w:p>
        </w:tc>
        <w:tc>
          <w:tcPr>
            <w:tcW w:w="709" w:type="dxa"/>
            <w:shd w:val="clear" w:color="auto" w:fill="auto"/>
            <w:noWrap/>
            <w:vAlign w:val="bottom"/>
            <w:hideMark/>
          </w:tcPr>
          <w:p w14:paraId="07C892F0"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2</w:t>
            </w:r>
          </w:p>
        </w:tc>
        <w:tc>
          <w:tcPr>
            <w:tcW w:w="710" w:type="dxa"/>
            <w:shd w:val="clear" w:color="auto" w:fill="auto"/>
            <w:noWrap/>
            <w:vAlign w:val="bottom"/>
            <w:hideMark/>
          </w:tcPr>
          <w:p w14:paraId="34B9A3CE"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w:t>
            </w:r>
          </w:p>
        </w:tc>
        <w:tc>
          <w:tcPr>
            <w:tcW w:w="709" w:type="dxa"/>
            <w:shd w:val="clear" w:color="auto" w:fill="auto"/>
            <w:noWrap/>
            <w:vAlign w:val="bottom"/>
            <w:hideMark/>
          </w:tcPr>
          <w:p w14:paraId="50CDEC87"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w:t>
            </w:r>
          </w:p>
        </w:tc>
        <w:tc>
          <w:tcPr>
            <w:tcW w:w="709" w:type="dxa"/>
            <w:shd w:val="clear" w:color="auto" w:fill="auto"/>
            <w:noWrap/>
            <w:vAlign w:val="bottom"/>
            <w:hideMark/>
          </w:tcPr>
          <w:p w14:paraId="06F7D6F4"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3</w:t>
            </w:r>
          </w:p>
        </w:tc>
        <w:tc>
          <w:tcPr>
            <w:tcW w:w="709" w:type="dxa"/>
            <w:shd w:val="clear" w:color="auto" w:fill="auto"/>
            <w:noWrap/>
            <w:vAlign w:val="bottom"/>
            <w:hideMark/>
          </w:tcPr>
          <w:p w14:paraId="6CFE154C"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w:t>
            </w:r>
          </w:p>
        </w:tc>
        <w:tc>
          <w:tcPr>
            <w:tcW w:w="709" w:type="dxa"/>
            <w:shd w:val="clear" w:color="auto" w:fill="auto"/>
            <w:noWrap/>
            <w:vAlign w:val="bottom"/>
            <w:hideMark/>
          </w:tcPr>
          <w:p w14:paraId="6A83E976" w14:textId="77777777" w:rsidR="00D76B9D" w:rsidRPr="00D76B9D" w:rsidRDefault="00D76B9D" w:rsidP="00352F0E">
            <w:pPr>
              <w:keepNext/>
              <w:spacing w:before="60" w:after="60"/>
              <w:jc w:val="right"/>
              <w:rPr>
                <w:rFonts w:eastAsia="Times New Roman" w:cstheme="minorHAnsi"/>
                <w:color w:val="000000"/>
                <w:sz w:val="18"/>
                <w:lang w:eastAsia="en-AU"/>
              </w:rPr>
            </w:pPr>
          </w:p>
        </w:tc>
        <w:tc>
          <w:tcPr>
            <w:tcW w:w="710" w:type="dxa"/>
            <w:shd w:val="clear" w:color="auto" w:fill="auto"/>
            <w:noWrap/>
            <w:vAlign w:val="bottom"/>
            <w:hideMark/>
          </w:tcPr>
          <w:p w14:paraId="61A04096" w14:textId="77777777" w:rsidR="00D76B9D" w:rsidRPr="005D01D9" w:rsidRDefault="00D76B9D"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10</w:t>
            </w:r>
          </w:p>
        </w:tc>
      </w:tr>
      <w:tr w:rsidR="00D76B9D" w:rsidRPr="00D76B9D" w14:paraId="3F726090" w14:textId="77777777" w:rsidTr="00352F0E">
        <w:trPr>
          <w:cantSplit/>
          <w:trHeight w:val="288"/>
          <w:tblHeader/>
        </w:trPr>
        <w:tc>
          <w:tcPr>
            <w:tcW w:w="1980" w:type="dxa"/>
            <w:shd w:val="clear" w:color="auto" w:fill="auto"/>
            <w:noWrap/>
            <w:vAlign w:val="bottom"/>
            <w:hideMark/>
          </w:tcPr>
          <w:p w14:paraId="6EB24D6F" w14:textId="77777777" w:rsidR="00D76B9D" w:rsidRPr="00D76B9D" w:rsidRDefault="00D76B9D" w:rsidP="00352F0E">
            <w:pPr>
              <w:keepNext/>
              <w:spacing w:before="60" w:after="60"/>
              <w:rPr>
                <w:rFonts w:eastAsia="Times New Roman" w:cstheme="minorHAnsi"/>
                <w:color w:val="000000"/>
                <w:sz w:val="18"/>
                <w:lang w:eastAsia="en-AU"/>
              </w:rPr>
            </w:pPr>
            <w:r w:rsidRPr="00D76B9D">
              <w:rPr>
                <w:rFonts w:eastAsia="Times New Roman" w:cstheme="minorHAnsi"/>
                <w:color w:val="000000"/>
                <w:sz w:val="18"/>
                <w:lang w:eastAsia="en-AU"/>
              </w:rPr>
              <w:t>Other</w:t>
            </w:r>
          </w:p>
        </w:tc>
        <w:tc>
          <w:tcPr>
            <w:tcW w:w="709" w:type="dxa"/>
            <w:shd w:val="clear" w:color="auto" w:fill="auto"/>
            <w:noWrap/>
            <w:vAlign w:val="bottom"/>
            <w:hideMark/>
          </w:tcPr>
          <w:p w14:paraId="49517B3B" w14:textId="77777777" w:rsidR="00D76B9D" w:rsidRPr="00D76B9D" w:rsidRDefault="00D76B9D"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55F17374" w14:textId="77777777" w:rsidR="00D76B9D" w:rsidRPr="00D76B9D" w:rsidRDefault="00D76B9D" w:rsidP="00352F0E">
            <w:pPr>
              <w:keepNext/>
              <w:spacing w:before="60" w:after="60"/>
              <w:jc w:val="right"/>
              <w:rPr>
                <w:rFonts w:eastAsia="Times New Roman" w:cstheme="minorHAnsi"/>
                <w:color w:val="auto"/>
                <w:sz w:val="18"/>
                <w:lang w:eastAsia="en-AU"/>
              </w:rPr>
            </w:pPr>
          </w:p>
        </w:tc>
        <w:tc>
          <w:tcPr>
            <w:tcW w:w="709" w:type="dxa"/>
            <w:shd w:val="clear" w:color="auto" w:fill="auto"/>
            <w:noWrap/>
            <w:vAlign w:val="bottom"/>
            <w:hideMark/>
          </w:tcPr>
          <w:p w14:paraId="2AE70DFF" w14:textId="77777777" w:rsidR="00D76B9D" w:rsidRPr="00D76B9D" w:rsidRDefault="00D76B9D" w:rsidP="00352F0E">
            <w:pPr>
              <w:keepNext/>
              <w:spacing w:before="60" w:after="60"/>
              <w:jc w:val="right"/>
              <w:rPr>
                <w:rFonts w:eastAsia="Times New Roman" w:cstheme="minorHAnsi"/>
                <w:color w:val="auto"/>
                <w:sz w:val="18"/>
                <w:lang w:eastAsia="en-AU"/>
              </w:rPr>
            </w:pPr>
          </w:p>
        </w:tc>
        <w:tc>
          <w:tcPr>
            <w:tcW w:w="709" w:type="dxa"/>
            <w:shd w:val="clear" w:color="auto" w:fill="auto"/>
            <w:noWrap/>
            <w:vAlign w:val="bottom"/>
            <w:hideMark/>
          </w:tcPr>
          <w:p w14:paraId="7D10B5D7" w14:textId="77777777" w:rsidR="00D76B9D" w:rsidRPr="00D76B9D" w:rsidRDefault="00D76B9D" w:rsidP="00352F0E">
            <w:pPr>
              <w:keepNext/>
              <w:spacing w:before="60" w:after="60"/>
              <w:jc w:val="right"/>
              <w:rPr>
                <w:rFonts w:eastAsia="Times New Roman" w:cstheme="minorHAnsi"/>
                <w:color w:val="auto"/>
                <w:sz w:val="18"/>
                <w:lang w:eastAsia="en-AU"/>
              </w:rPr>
            </w:pPr>
          </w:p>
        </w:tc>
        <w:tc>
          <w:tcPr>
            <w:tcW w:w="710" w:type="dxa"/>
            <w:shd w:val="clear" w:color="auto" w:fill="auto"/>
            <w:noWrap/>
            <w:vAlign w:val="bottom"/>
            <w:hideMark/>
          </w:tcPr>
          <w:p w14:paraId="051D00E1"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w:t>
            </w:r>
          </w:p>
        </w:tc>
        <w:tc>
          <w:tcPr>
            <w:tcW w:w="709" w:type="dxa"/>
            <w:shd w:val="clear" w:color="auto" w:fill="auto"/>
            <w:noWrap/>
            <w:vAlign w:val="bottom"/>
            <w:hideMark/>
          </w:tcPr>
          <w:p w14:paraId="44B7704F" w14:textId="77777777" w:rsidR="00D76B9D" w:rsidRPr="00D76B9D" w:rsidRDefault="00D76B9D"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4C5C65DC" w14:textId="77777777" w:rsidR="00D76B9D" w:rsidRPr="00D76B9D" w:rsidRDefault="00D76B9D" w:rsidP="00352F0E">
            <w:pPr>
              <w:keepNext/>
              <w:spacing w:before="60" w:after="60"/>
              <w:jc w:val="right"/>
              <w:rPr>
                <w:rFonts w:eastAsia="Times New Roman" w:cstheme="minorHAnsi"/>
                <w:color w:val="auto"/>
                <w:sz w:val="18"/>
                <w:lang w:eastAsia="en-AU"/>
              </w:rPr>
            </w:pPr>
          </w:p>
        </w:tc>
        <w:tc>
          <w:tcPr>
            <w:tcW w:w="709" w:type="dxa"/>
            <w:shd w:val="clear" w:color="auto" w:fill="auto"/>
            <w:noWrap/>
            <w:vAlign w:val="bottom"/>
            <w:hideMark/>
          </w:tcPr>
          <w:p w14:paraId="0FBC76A0"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3</w:t>
            </w:r>
          </w:p>
        </w:tc>
        <w:tc>
          <w:tcPr>
            <w:tcW w:w="709" w:type="dxa"/>
            <w:shd w:val="clear" w:color="auto" w:fill="auto"/>
            <w:noWrap/>
            <w:vAlign w:val="bottom"/>
            <w:hideMark/>
          </w:tcPr>
          <w:p w14:paraId="4C1F9976" w14:textId="77777777" w:rsidR="00D76B9D" w:rsidRPr="00D76B9D" w:rsidRDefault="00D76B9D" w:rsidP="00352F0E">
            <w:pPr>
              <w:keepNext/>
              <w:spacing w:before="60" w:after="60"/>
              <w:jc w:val="right"/>
              <w:rPr>
                <w:rFonts w:eastAsia="Times New Roman" w:cstheme="minorHAnsi"/>
                <w:color w:val="000000"/>
                <w:sz w:val="18"/>
                <w:lang w:eastAsia="en-AU"/>
              </w:rPr>
            </w:pPr>
          </w:p>
        </w:tc>
        <w:tc>
          <w:tcPr>
            <w:tcW w:w="710" w:type="dxa"/>
            <w:shd w:val="clear" w:color="auto" w:fill="auto"/>
            <w:noWrap/>
            <w:vAlign w:val="bottom"/>
            <w:hideMark/>
          </w:tcPr>
          <w:p w14:paraId="734F2CB0" w14:textId="77777777" w:rsidR="00D76B9D" w:rsidRPr="005D01D9" w:rsidRDefault="00D76B9D"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4</w:t>
            </w:r>
          </w:p>
        </w:tc>
      </w:tr>
      <w:tr w:rsidR="00D76B9D" w:rsidRPr="00D76B9D" w14:paraId="35EE27EE" w14:textId="77777777" w:rsidTr="00352F0E">
        <w:trPr>
          <w:cantSplit/>
          <w:trHeight w:val="288"/>
          <w:tblHeader/>
        </w:trPr>
        <w:tc>
          <w:tcPr>
            <w:tcW w:w="1980" w:type="dxa"/>
            <w:shd w:val="clear" w:color="auto" w:fill="auto"/>
            <w:noWrap/>
            <w:vAlign w:val="bottom"/>
            <w:hideMark/>
          </w:tcPr>
          <w:p w14:paraId="21EF3B46" w14:textId="77777777" w:rsidR="00D76B9D" w:rsidRPr="00D76B9D" w:rsidRDefault="00D76B9D" w:rsidP="00352F0E">
            <w:pPr>
              <w:keepNext/>
              <w:spacing w:before="60" w:after="60"/>
              <w:rPr>
                <w:rFonts w:eastAsia="Times New Roman" w:cstheme="minorHAnsi"/>
                <w:color w:val="000000"/>
                <w:sz w:val="18"/>
                <w:lang w:eastAsia="en-AU"/>
              </w:rPr>
            </w:pPr>
            <w:r w:rsidRPr="00D76B9D">
              <w:rPr>
                <w:rFonts w:eastAsia="Times New Roman" w:cstheme="minorHAnsi"/>
                <w:color w:val="000000"/>
                <w:sz w:val="18"/>
                <w:lang w:eastAsia="en-AU"/>
              </w:rPr>
              <w:t>Other Vehicle Driver</w:t>
            </w:r>
          </w:p>
        </w:tc>
        <w:tc>
          <w:tcPr>
            <w:tcW w:w="709" w:type="dxa"/>
            <w:shd w:val="clear" w:color="auto" w:fill="auto"/>
            <w:noWrap/>
            <w:vAlign w:val="bottom"/>
            <w:hideMark/>
          </w:tcPr>
          <w:p w14:paraId="71C1A06D"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15</w:t>
            </w:r>
          </w:p>
        </w:tc>
        <w:tc>
          <w:tcPr>
            <w:tcW w:w="709" w:type="dxa"/>
            <w:shd w:val="clear" w:color="auto" w:fill="auto"/>
            <w:noWrap/>
            <w:vAlign w:val="bottom"/>
            <w:hideMark/>
          </w:tcPr>
          <w:p w14:paraId="2C34780D"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8</w:t>
            </w:r>
          </w:p>
        </w:tc>
        <w:tc>
          <w:tcPr>
            <w:tcW w:w="709" w:type="dxa"/>
            <w:shd w:val="clear" w:color="auto" w:fill="auto"/>
            <w:noWrap/>
            <w:vAlign w:val="bottom"/>
            <w:hideMark/>
          </w:tcPr>
          <w:p w14:paraId="73EE4756"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8</w:t>
            </w:r>
          </w:p>
        </w:tc>
        <w:tc>
          <w:tcPr>
            <w:tcW w:w="709" w:type="dxa"/>
            <w:shd w:val="clear" w:color="auto" w:fill="auto"/>
            <w:noWrap/>
            <w:vAlign w:val="bottom"/>
            <w:hideMark/>
          </w:tcPr>
          <w:p w14:paraId="1733AC6D"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11</w:t>
            </w:r>
          </w:p>
        </w:tc>
        <w:tc>
          <w:tcPr>
            <w:tcW w:w="710" w:type="dxa"/>
            <w:shd w:val="clear" w:color="auto" w:fill="auto"/>
            <w:noWrap/>
            <w:vAlign w:val="bottom"/>
            <w:hideMark/>
          </w:tcPr>
          <w:p w14:paraId="346A8094"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15</w:t>
            </w:r>
          </w:p>
        </w:tc>
        <w:tc>
          <w:tcPr>
            <w:tcW w:w="709" w:type="dxa"/>
            <w:shd w:val="clear" w:color="auto" w:fill="auto"/>
            <w:noWrap/>
            <w:vAlign w:val="bottom"/>
            <w:hideMark/>
          </w:tcPr>
          <w:p w14:paraId="74D38355"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7</w:t>
            </w:r>
          </w:p>
        </w:tc>
        <w:tc>
          <w:tcPr>
            <w:tcW w:w="709" w:type="dxa"/>
            <w:shd w:val="clear" w:color="auto" w:fill="auto"/>
            <w:noWrap/>
            <w:vAlign w:val="bottom"/>
            <w:hideMark/>
          </w:tcPr>
          <w:p w14:paraId="71623E59"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5</w:t>
            </w:r>
          </w:p>
        </w:tc>
        <w:tc>
          <w:tcPr>
            <w:tcW w:w="709" w:type="dxa"/>
            <w:shd w:val="clear" w:color="auto" w:fill="auto"/>
            <w:noWrap/>
            <w:vAlign w:val="bottom"/>
            <w:hideMark/>
          </w:tcPr>
          <w:p w14:paraId="60FEE0E1"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6</w:t>
            </w:r>
          </w:p>
        </w:tc>
        <w:tc>
          <w:tcPr>
            <w:tcW w:w="709" w:type="dxa"/>
            <w:shd w:val="clear" w:color="auto" w:fill="auto"/>
            <w:noWrap/>
            <w:vAlign w:val="bottom"/>
            <w:hideMark/>
          </w:tcPr>
          <w:p w14:paraId="2D05FE04"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9</w:t>
            </w:r>
          </w:p>
        </w:tc>
        <w:tc>
          <w:tcPr>
            <w:tcW w:w="710" w:type="dxa"/>
            <w:shd w:val="clear" w:color="auto" w:fill="auto"/>
            <w:noWrap/>
            <w:vAlign w:val="bottom"/>
            <w:hideMark/>
          </w:tcPr>
          <w:p w14:paraId="59EEB6F8" w14:textId="77777777" w:rsidR="00D76B9D" w:rsidRPr="005D01D9" w:rsidRDefault="00D76B9D"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84</w:t>
            </w:r>
          </w:p>
        </w:tc>
      </w:tr>
      <w:tr w:rsidR="00D76B9D" w:rsidRPr="00D76B9D" w14:paraId="449F44F5" w14:textId="77777777" w:rsidTr="00352F0E">
        <w:trPr>
          <w:cantSplit/>
          <w:trHeight w:val="288"/>
          <w:tblHeader/>
        </w:trPr>
        <w:tc>
          <w:tcPr>
            <w:tcW w:w="1980" w:type="dxa"/>
            <w:shd w:val="clear" w:color="auto" w:fill="auto"/>
            <w:noWrap/>
            <w:vAlign w:val="bottom"/>
            <w:hideMark/>
          </w:tcPr>
          <w:p w14:paraId="0C7E9527" w14:textId="77777777" w:rsidR="00D76B9D" w:rsidRPr="00D76B9D" w:rsidRDefault="00D76B9D" w:rsidP="00352F0E">
            <w:pPr>
              <w:keepNext/>
              <w:spacing w:before="60" w:after="60"/>
              <w:rPr>
                <w:rFonts w:eastAsia="Times New Roman" w:cstheme="minorHAnsi"/>
                <w:color w:val="000000"/>
                <w:sz w:val="18"/>
                <w:lang w:eastAsia="en-AU"/>
              </w:rPr>
            </w:pPr>
            <w:r w:rsidRPr="00D76B9D">
              <w:rPr>
                <w:rFonts w:eastAsia="Times New Roman" w:cstheme="minorHAnsi"/>
                <w:color w:val="000000"/>
                <w:sz w:val="18"/>
                <w:lang w:eastAsia="en-AU"/>
              </w:rPr>
              <w:t>Other Vehicle Passenger</w:t>
            </w:r>
          </w:p>
        </w:tc>
        <w:tc>
          <w:tcPr>
            <w:tcW w:w="709" w:type="dxa"/>
            <w:shd w:val="clear" w:color="auto" w:fill="auto"/>
            <w:noWrap/>
            <w:vAlign w:val="bottom"/>
            <w:hideMark/>
          </w:tcPr>
          <w:p w14:paraId="6F2CBBC7"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5</w:t>
            </w:r>
          </w:p>
        </w:tc>
        <w:tc>
          <w:tcPr>
            <w:tcW w:w="709" w:type="dxa"/>
            <w:shd w:val="clear" w:color="auto" w:fill="auto"/>
            <w:noWrap/>
            <w:vAlign w:val="bottom"/>
            <w:hideMark/>
          </w:tcPr>
          <w:p w14:paraId="222CAD7E"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4</w:t>
            </w:r>
          </w:p>
        </w:tc>
        <w:tc>
          <w:tcPr>
            <w:tcW w:w="709" w:type="dxa"/>
            <w:shd w:val="clear" w:color="auto" w:fill="auto"/>
            <w:noWrap/>
            <w:vAlign w:val="bottom"/>
            <w:hideMark/>
          </w:tcPr>
          <w:p w14:paraId="27087957" w14:textId="77777777" w:rsidR="00D76B9D" w:rsidRPr="00D76B9D" w:rsidRDefault="00D76B9D"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0B23CBC9"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w:t>
            </w:r>
          </w:p>
        </w:tc>
        <w:tc>
          <w:tcPr>
            <w:tcW w:w="710" w:type="dxa"/>
            <w:shd w:val="clear" w:color="auto" w:fill="auto"/>
            <w:noWrap/>
            <w:vAlign w:val="bottom"/>
            <w:hideMark/>
          </w:tcPr>
          <w:p w14:paraId="774D94F0"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6</w:t>
            </w:r>
          </w:p>
        </w:tc>
        <w:tc>
          <w:tcPr>
            <w:tcW w:w="709" w:type="dxa"/>
            <w:shd w:val="clear" w:color="auto" w:fill="auto"/>
            <w:noWrap/>
            <w:vAlign w:val="bottom"/>
            <w:hideMark/>
          </w:tcPr>
          <w:p w14:paraId="7657C0DB" w14:textId="77777777" w:rsidR="00D76B9D" w:rsidRPr="00D76B9D" w:rsidRDefault="00D76B9D"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1F8E9390"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5</w:t>
            </w:r>
          </w:p>
        </w:tc>
        <w:tc>
          <w:tcPr>
            <w:tcW w:w="709" w:type="dxa"/>
            <w:shd w:val="clear" w:color="auto" w:fill="auto"/>
            <w:noWrap/>
            <w:vAlign w:val="bottom"/>
            <w:hideMark/>
          </w:tcPr>
          <w:p w14:paraId="3BBFB47C" w14:textId="77777777" w:rsidR="00D76B9D" w:rsidRPr="00D76B9D" w:rsidRDefault="00D76B9D" w:rsidP="00352F0E">
            <w:pPr>
              <w:keepNext/>
              <w:spacing w:before="60" w:after="60"/>
              <w:jc w:val="right"/>
              <w:rPr>
                <w:rFonts w:eastAsia="Times New Roman" w:cstheme="minorHAnsi"/>
                <w:color w:val="000000"/>
                <w:sz w:val="18"/>
                <w:lang w:eastAsia="en-AU"/>
              </w:rPr>
            </w:pPr>
          </w:p>
        </w:tc>
        <w:tc>
          <w:tcPr>
            <w:tcW w:w="709" w:type="dxa"/>
            <w:shd w:val="clear" w:color="auto" w:fill="auto"/>
            <w:noWrap/>
            <w:vAlign w:val="bottom"/>
            <w:hideMark/>
          </w:tcPr>
          <w:p w14:paraId="447BC33A"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w:t>
            </w:r>
          </w:p>
        </w:tc>
        <w:tc>
          <w:tcPr>
            <w:tcW w:w="710" w:type="dxa"/>
            <w:shd w:val="clear" w:color="auto" w:fill="auto"/>
            <w:noWrap/>
            <w:vAlign w:val="bottom"/>
            <w:hideMark/>
          </w:tcPr>
          <w:p w14:paraId="5AFD5B2A" w14:textId="77777777" w:rsidR="00D76B9D" w:rsidRPr="005D01D9" w:rsidRDefault="00D76B9D"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22</w:t>
            </w:r>
          </w:p>
        </w:tc>
      </w:tr>
      <w:tr w:rsidR="00D76B9D" w:rsidRPr="00D76B9D" w14:paraId="069D26E3" w14:textId="77777777" w:rsidTr="00352F0E">
        <w:trPr>
          <w:cantSplit/>
          <w:trHeight w:val="288"/>
          <w:tblHeader/>
        </w:trPr>
        <w:tc>
          <w:tcPr>
            <w:tcW w:w="1980" w:type="dxa"/>
            <w:shd w:val="clear" w:color="auto" w:fill="auto"/>
            <w:noWrap/>
            <w:vAlign w:val="bottom"/>
            <w:hideMark/>
          </w:tcPr>
          <w:p w14:paraId="2D2537A8" w14:textId="77777777" w:rsidR="00D76B9D" w:rsidRPr="00D76B9D" w:rsidRDefault="00D76B9D" w:rsidP="00352F0E">
            <w:pPr>
              <w:keepNext/>
              <w:spacing w:before="60" w:after="60"/>
              <w:rPr>
                <w:rFonts w:eastAsia="Times New Roman" w:cstheme="minorHAnsi"/>
                <w:color w:val="000000"/>
                <w:sz w:val="18"/>
                <w:lang w:eastAsia="en-AU"/>
              </w:rPr>
            </w:pPr>
            <w:r w:rsidRPr="00D76B9D">
              <w:rPr>
                <w:rFonts w:eastAsia="Times New Roman" w:cstheme="minorHAnsi"/>
                <w:color w:val="000000"/>
                <w:sz w:val="18"/>
                <w:lang w:eastAsia="en-AU"/>
              </w:rPr>
              <w:t>Pedestrian</w:t>
            </w:r>
          </w:p>
        </w:tc>
        <w:tc>
          <w:tcPr>
            <w:tcW w:w="709" w:type="dxa"/>
            <w:shd w:val="clear" w:color="auto" w:fill="auto"/>
            <w:noWrap/>
            <w:vAlign w:val="bottom"/>
            <w:hideMark/>
          </w:tcPr>
          <w:p w14:paraId="07D4FAE8"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7</w:t>
            </w:r>
          </w:p>
        </w:tc>
        <w:tc>
          <w:tcPr>
            <w:tcW w:w="709" w:type="dxa"/>
            <w:shd w:val="clear" w:color="auto" w:fill="auto"/>
            <w:noWrap/>
            <w:vAlign w:val="bottom"/>
            <w:hideMark/>
          </w:tcPr>
          <w:p w14:paraId="10AA45B7"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6</w:t>
            </w:r>
          </w:p>
        </w:tc>
        <w:tc>
          <w:tcPr>
            <w:tcW w:w="709" w:type="dxa"/>
            <w:shd w:val="clear" w:color="auto" w:fill="auto"/>
            <w:noWrap/>
            <w:vAlign w:val="bottom"/>
            <w:hideMark/>
          </w:tcPr>
          <w:p w14:paraId="6F413021"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5</w:t>
            </w:r>
          </w:p>
        </w:tc>
        <w:tc>
          <w:tcPr>
            <w:tcW w:w="709" w:type="dxa"/>
            <w:shd w:val="clear" w:color="auto" w:fill="auto"/>
            <w:noWrap/>
            <w:vAlign w:val="bottom"/>
            <w:hideMark/>
          </w:tcPr>
          <w:p w14:paraId="32E05A19"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w:t>
            </w:r>
          </w:p>
        </w:tc>
        <w:tc>
          <w:tcPr>
            <w:tcW w:w="710" w:type="dxa"/>
            <w:shd w:val="clear" w:color="auto" w:fill="auto"/>
            <w:noWrap/>
            <w:vAlign w:val="bottom"/>
            <w:hideMark/>
          </w:tcPr>
          <w:p w14:paraId="63ED5183"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3</w:t>
            </w:r>
          </w:p>
        </w:tc>
        <w:tc>
          <w:tcPr>
            <w:tcW w:w="709" w:type="dxa"/>
            <w:shd w:val="clear" w:color="auto" w:fill="auto"/>
            <w:noWrap/>
            <w:vAlign w:val="bottom"/>
            <w:hideMark/>
          </w:tcPr>
          <w:p w14:paraId="225D0607"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1</w:t>
            </w:r>
          </w:p>
        </w:tc>
        <w:tc>
          <w:tcPr>
            <w:tcW w:w="709" w:type="dxa"/>
            <w:shd w:val="clear" w:color="auto" w:fill="auto"/>
            <w:noWrap/>
            <w:vAlign w:val="bottom"/>
            <w:hideMark/>
          </w:tcPr>
          <w:p w14:paraId="65BD028C"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5</w:t>
            </w:r>
          </w:p>
        </w:tc>
        <w:tc>
          <w:tcPr>
            <w:tcW w:w="709" w:type="dxa"/>
            <w:shd w:val="clear" w:color="auto" w:fill="auto"/>
            <w:noWrap/>
            <w:vAlign w:val="bottom"/>
            <w:hideMark/>
          </w:tcPr>
          <w:p w14:paraId="1F17A40E"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5</w:t>
            </w:r>
          </w:p>
        </w:tc>
        <w:tc>
          <w:tcPr>
            <w:tcW w:w="709" w:type="dxa"/>
            <w:shd w:val="clear" w:color="auto" w:fill="auto"/>
            <w:noWrap/>
            <w:vAlign w:val="bottom"/>
            <w:hideMark/>
          </w:tcPr>
          <w:p w14:paraId="68FD75D7" w14:textId="77777777" w:rsidR="00D76B9D" w:rsidRPr="00D76B9D" w:rsidRDefault="00D76B9D" w:rsidP="00352F0E">
            <w:pPr>
              <w:keepNext/>
              <w:spacing w:before="60" w:after="60"/>
              <w:jc w:val="right"/>
              <w:rPr>
                <w:rFonts w:eastAsia="Times New Roman" w:cstheme="minorHAnsi"/>
                <w:color w:val="000000"/>
                <w:sz w:val="18"/>
                <w:lang w:eastAsia="en-AU"/>
              </w:rPr>
            </w:pPr>
            <w:r w:rsidRPr="00D76B9D">
              <w:rPr>
                <w:rFonts w:eastAsia="Times New Roman" w:cstheme="minorHAnsi"/>
                <w:color w:val="000000"/>
                <w:sz w:val="18"/>
                <w:lang w:eastAsia="en-AU"/>
              </w:rPr>
              <w:t>3</w:t>
            </w:r>
          </w:p>
        </w:tc>
        <w:tc>
          <w:tcPr>
            <w:tcW w:w="710" w:type="dxa"/>
            <w:shd w:val="clear" w:color="auto" w:fill="auto"/>
            <w:noWrap/>
            <w:vAlign w:val="bottom"/>
            <w:hideMark/>
          </w:tcPr>
          <w:p w14:paraId="5E9EA141" w14:textId="77777777" w:rsidR="00D76B9D" w:rsidRPr="005D01D9" w:rsidRDefault="00D76B9D" w:rsidP="00352F0E">
            <w:pPr>
              <w:keepNext/>
              <w:spacing w:before="60" w:after="60"/>
              <w:jc w:val="right"/>
              <w:rPr>
                <w:rFonts w:eastAsia="Times New Roman" w:cstheme="minorHAnsi"/>
                <w:b/>
                <w:bCs/>
                <w:color w:val="000000"/>
                <w:sz w:val="18"/>
                <w:lang w:eastAsia="en-AU"/>
              </w:rPr>
            </w:pPr>
            <w:r w:rsidRPr="005D01D9">
              <w:rPr>
                <w:rFonts w:eastAsia="Times New Roman" w:cstheme="minorHAnsi"/>
                <w:b/>
                <w:bCs/>
                <w:color w:val="000000"/>
                <w:sz w:val="18"/>
                <w:lang w:eastAsia="en-AU"/>
              </w:rPr>
              <w:t>36</w:t>
            </w:r>
          </w:p>
        </w:tc>
      </w:tr>
      <w:tr w:rsidR="00D76B9D" w:rsidRPr="00D76B9D" w14:paraId="6BAE9B3D" w14:textId="77777777" w:rsidTr="00352F0E">
        <w:trPr>
          <w:cantSplit/>
          <w:trHeight w:val="288"/>
          <w:tblHeader/>
        </w:trPr>
        <w:tc>
          <w:tcPr>
            <w:tcW w:w="1980" w:type="dxa"/>
            <w:shd w:val="clear" w:color="auto" w:fill="D6ECED"/>
            <w:noWrap/>
            <w:vAlign w:val="bottom"/>
            <w:hideMark/>
          </w:tcPr>
          <w:p w14:paraId="55E997FF" w14:textId="77777777" w:rsidR="00D76B9D" w:rsidRPr="00D76B9D" w:rsidRDefault="00D76B9D" w:rsidP="00352F0E">
            <w:pPr>
              <w:keepNext/>
              <w:spacing w:before="60" w:after="60"/>
              <w:rPr>
                <w:rFonts w:eastAsia="Times New Roman" w:cstheme="minorHAnsi"/>
                <w:b/>
                <w:bCs/>
                <w:color w:val="000000"/>
                <w:sz w:val="18"/>
                <w:lang w:eastAsia="en-AU"/>
              </w:rPr>
            </w:pPr>
            <w:r w:rsidRPr="00D76B9D">
              <w:rPr>
                <w:rFonts w:eastAsia="Times New Roman" w:cstheme="minorHAnsi"/>
                <w:b/>
                <w:bCs/>
                <w:color w:val="000000"/>
                <w:sz w:val="18"/>
                <w:lang w:eastAsia="en-AU"/>
              </w:rPr>
              <w:t xml:space="preserve"> Total</w:t>
            </w:r>
          </w:p>
        </w:tc>
        <w:tc>
          <w:tcPr>
            <w:tcW w:w="709" w:type="dxa"/>
            <w:shd w:val="clear" w:color="auto" w:fill="D6ECED"/>
            <w:noWrap/>
            <w:vAlign w:val="bottom"/>
            <w:hideMark/>
          </w:tcPr>
          <w:p w14:paraId="7D79010D" w14:textId="77777777" w:rsidR="00D76B9D" w:rsidRPr="00D76B9D" w:rsidRDefault="00D76B9D" w:rsidP="00352F0E">
            <w:pPr>
              <w:keepNext/>
              <w:spacing w:before="60" w:after="60"/>
              <w:jc w:val="right"/>
              <w:rPr>
                <w:rFonts w:eastAsia="Times New Roman" w:cstheme="minorHAnsi"/>
                <w:b/>
                <w:bCs/>
                <w:color w:val="000000"/>
                <w:sz w:val="18"/>
                <w:lang w:eastAsia="en-AU"/>
              </w:rPr>
            </w:pPr>
            <w:r w:rsidRPr="00D76B9D">
              <w:rPr>
                <w:rFonts w:eastAsia="Times New Roman" w:cstheme="minorHAnsi"/>
                <w:b/>
                <w:bCs/>
                <w:color w:val="000000"/>
                <w:sz w:val="18"/>
                <w:lang w:eastAsia="en-AU"/>
              </w:rPr>
              <w:t>83</w:t>
            </w:r>
          </w:p>
        </w:tc>
        <w:tc>
          <w:tcPr>
            <w:tcW w:w="709" w:type="dxa"/>
            <w:shd w:val="clear" w:color="auto" w:fill="D6ECED"/>
            <w:noWrap/>
            <w:vAlign w:val="bottom"/>
            <w:hideMark/>
          </w:tcPr>
          <w:p w14:paraId="262A53C0" w14:textId="77777777" w:rsidR="00D76B9D" w:rsidRPr="00D76B9D" w:rsidRDefault="00D76B9D" w:rsidP="00352F0E">
            <w:pPr>
              <w:keepNext/>
              <w:spacing w:before="60" w:after="60"/>
              <w:jc w:val="right"/>
              <w:rPr>
                <w:rFonts w:eastAsia="Times New Roman" w:cstheme="minorHAnsi"/>
                <w:b/>
                <w:bCs/>
                <w:color w:val="000000"/>
                <w:sz w:val="18"/>
                <w:lang w:eastAsia="en-AU"/>
              </w:rPr>
            </w:pPr>
            <w:r w:rsidRPr="00D76B9D">
              <w:rPr>
                <w:rFonts w:eastAsia="Times New Roman" w:cstheme="minorHAnsi"/>
                <w:b/>
                <w:bCs/>
                <w:color w:val="000000"/>
                <w:sz w:val="18"/>
                <w:lang w:eastAsia="en-AU"/>
              </w:rPr>
              <w:t>62</w:t>
            </w:r>
          </w:p>
        </w:tc>
        <w:tc>
          <w:tcPr>
            <w:tcW w:w="709" w:type="dxa"/>
            <w:shd w:val="clear" w:color="auto" w:fill="D6ECED"/>
            <w:noWrap/>
            <w:vAlign w:val="bottom"/>
            <w:hideMark/>
          </w:tcPr>
          <w:p w14:paraId="40DBA253" w14:textId="77777777" w:rsidR="00D76B9D" w:rsidRPr="00D76B9D" w:rsidRDefault="00D76B9D" w:rsidP="00352F0E">
            <w:pPr>
              <w:keepNext/>
              <w:spacing w:before="60" w:after="60"/>
              <w:jc w:val="right"/>
              <w:rPr>
                <w:rFonts w:eastAsia="Times New Roman" w:cstheme="minorHAnsi"/>
                <w:b/>
                <w:bCs/>
                <w:color w:val="000000"/>
                <w:sz w:val="18"/>
                <w:lang w:eastAsia="en-AU"/>
              </w:rPr>
            </w:pPr>
            <w:r w:rsidRPr="00D76B9D">
              <w:rPr>
                <w:rFonts w:eastAsia="Times New Roman" w:cstheme="minorHAnsi"/>
                <w:b/>
                <w:bCs/>
                <w:color w:val="000000"/>
                <w:sz w:val="18"/>
                <w:lang w:eastAsia="en-AU"/>
              </w:rPr>
              <w:t>51</w:t>
            </w:r>
          </w:p>
        </w:tc>
        <w:tc>
          <w:tcPr>
            <w:tcW w:w="709" w:type="dxa"/>
            <w:shd w:val="clear" w:color="auto" w:fill="D6ECED"/>
            <w:noWrap/>
            <w:vAlign w:val="bottom"/>
            <w:hideMark/>
          </w:tcPr>
          <w:p w14:paraId="44EF1F1F" w14:textId="77777777" w:rsidR="00D76B9D" w:rsidRPr="00D76B9D" w:rsidRDefault="00D76B9D" w:rsidP="00352F0E">
            <w:pPr>
              <w:keepNext/>
              <w:spacing w:before="60" w:after="60"/>
              <w:jc w:val="right"/>
              <w:rPr>
                <w:rFonts w:eastAsia="Times New Roman" w:cstheme="minorHAnsi"/>
                <w:b/>
                <w:bCs/>
                <w:color w:val="000000"/>
                <w:sz w:val="18"/>
                <w:lang w:eastAsia="en-AU"/>
              </w:rPr>
            </w:pPr>
            <w:r w:rsidRPr="00D76B9D">
              <w:rPr>
                <w:rFonts w:eastAsia="Times New Roman" w:cstheme="minorHAnsi"/>
                <w:b/>
                <w:bCs/>
                <w:color w:val="000000"/>
                <w:sz w:val="18"/>
                <w:lang w:eastAsia="en-AU"/>
              </w:rPr>
              <w:t>53</w:t>
            </w:r>
          </w:p>
        </w:tc>
        <w:tc>
          <w:tcPr>
            <w:tcW w:w="710" w:type="dxa"/>
            <w:shd w:val="clear" w:color="auto" w:fill="D6ECED"/>
            <w:noWrap/>
            <w:vAlign w:val="bottom"/>
            <w:hideMark/>
          </w:tcPr>
          <w:p w14:paraId="2489C15A" w14:textId="77777777" w:rsidR="00D76B9D" w:rsidRPr="00D76B9D" w:rsidRDefault="00D76B9D" w:rsidP="00352F0E">
            <w:pPr>
              <w:keepNext/>
              <w:spacing w:before="60" w:after="60"/>
              <w:jc w:val="right"/>
              <w:rPr>
                <w:rFonts w:eastAsia="Times New Roman" w:cstheme="minorHAnsi"/>
                <w:b/>
                <w:bCs/>
                <w:color w:val="000000"/>
                <w:sz w:val="18"/>
                <w:lang w:eastAsia="en-AU"/>
              </w:rPr>
            </w:pPr>
            <w:r w:rsidRPr="00D76B9D">
              <w:rPr>
                <w:rFonts w:eastAsia="Times New Roman" w:cstheme="minorHAnsi"/>
                <w:b/>
                <w:bCs/>
                <w:color w:val="000000"/>
                <w:sz w:val="18"/>
                <w:lang w:eastAsia="en-AU"/>
              </w:rPr>
              <w:t>72</w:t>
            </w:r>
          </w:p>
        </w:tc>
        <w:tc>
          <w:tcPr>
            <w:tcW w:w="709" w:type="dxa"/>
            <w:shd w:val="clear" w:color="auto" w:fill="D6ECED"/>
            <w:noWrap/>
            <w:vAlign w:val="bottom"/>
            <w:hideMark/>
          </w:tcPr>
          <w:p w14:paraId="53CB7269" w14:textId="77777777" w:rsidR="00D76B9D" w:rsidRPr="00D76B9D" w:rsidRDefault="00D76B9D" w:rsidP="00352F0E">
            <w:pPr>
              <w:keepNext/>
              <w:spacing w:before="60" w:after="60"/>
              <w:jc w:val="right"/>
              <w:rPr>
                <w:rFonts w:eastAsia="Times New Roman" w:cstheme="minorHAnsi"/>
                <w:b/>
                <w:bCs/>
                <w:color w:val="000000"/>
                <w:sz w:val="18"/>
                <w:lang w:eastAsia="en-AU"/>
              </w:rPr>
            </w:pPr>
            <w:r w:rsidRPr="00D76B9D">
              <w:rPr>
                <w:rFonts w:eastAsia="Times New Roman" w:cstheme="minorHAnsi"/>
                <w:b/>
                <w:bCs/>
                <w:color w:val="000000"/>
                <w:sz w:val="18"/>
                <w:lang w:eastAsia="en-AU"/>
              </w:rPr>
              <w:t>66</w:t>
            </w:r>
          </w:p>
        </w:tc>
        <w:tc>
          <w:tcPr>
            <w:tcW w:w="709" w:type="dxa"/>
            <w:shd w:val="clear" w:color="auto" w:fill="D6ECED"/>
            <w:noWrap/>
            <w:vAlign w:val="bottom"/>
            <w:hideMark/>
          </w:tcPr>
          <w:p w14:paraId="3EF10262" w14:textId="77777777" w:rsidR="00D76B9D" w:rsidRPr="00D76B9D" w:rsidRDefault="00D76B9D" w:rsidP="00352F0E">
            <w:pPr>
              <w:keepNext/>
              <w:spacing w:before="60" w:after="60"/>
              <w:jc w:val="right"/>
              <w:rPr>
                <w:rFonts w:eastAsia="Times New Roman" w:cstheme="minorHAnsi"/>
                <w:b/>
                <w:bCs/>
                <w:color w:val="000000"/>
                <w:sz w:val="18"/>
                <w:lang w:eastAsia="en-AU"/>
              </w:rPr>
            </w:pPr>
            <w:r w:rsidRPr="00D76B9D">
              <w:rPr>
                <w:rFonts w:eastAsia="Times New Roman" w:cstheme="minorHAnsi"/>
                <w:b/>
                <w:bCs/>
                <w:color w:val="000000"/>
                <w:sz w:val="18"/>
                <w:lang w:eastAsia="en-AU"/>
              </w:rPr>
              <w:t>49</w:t>
            </w:r>
          </w:p>
        </w:tc>
        <w:tc>
          <w:tcPr>
            <w:tcW w:w="709" w:type="dxa"/>
            <w:shd w:val="clear" w:color="auto" w:fill="D6ECED"/>
            <w:noWrap/>
            <w:vAlign w:val="bottom"/>
            <w:hideMark/>
          </w:tcPr>
          <w:p w14:paraId="3EF53415" w14:textId="77777777" w:rsidR="00D76B9D" w:rsidRPr="00D76B9D" w:rsidRDefault="00D76B9D" w:rsidP="00352F0E">
            <w:pPr>
              <w:keepNext/>
              <w:spacing w:before="60" w:after="60"/>
              <w:jc w:val="right"/>
              <w:rPr>
                <w:rFonts w:eastAsia="Times New Roman" w:cstheme="minorHAnsi"/>
                <w:b/>
                <w:bCs/>
                <w:color w:val="000000"/>
                <w:sz w:val="18"/>
                <w:lang w:eastAsia="en-AU"/>
              </w:rPr>
            </w:pPr>
            <w:r w:rsidRPr="00D76B9D">
              <w:rPr>
                <w:rFonts w:eastAsia="Times New Roman" w:cstheme="minorHAnsi"/>
                <w:b/>
                <w:bCs/>
                <w:color w:val="000000"/>
                <w:sz w:val="18"/>
                <w:lang w:eastAsia="en-AU"/>
              </w:rPr>
              <w:t>56</w:t>
            </w:r>
          </w:p>
        </w:tc>
        <w:tc>
          <w:tcPr>
            <w:tcW w:w="709" w:type="dxa"/>
            <w:shd w:val="clear" w:color="auto" w:fill="D6ECED"/>
            <w:noWrap/>
            <w:vAlign w:val="bottom"/>
            <w:hideMark/>
          </w:tcPr>
          <w:p w14:paraId="5FDBD23C" w14:textId="77777777" w:rsidR="00D76B9D" w:rsidRPr="00D76B9D" w:rsidRDefault="00D76B9D" w:rsidP="00352F0E">
            <w:pPr>
              <w:keepNext/>
              <w:spacing w:before="60" w:after="60"/>
              <w:jc w:val="right"/>
              <w:rPr>
                <w:rFonts w:eastAsia="Times New Roman" w:cstheme="minorHAnsi"/>
                <w:b/>
                <w:bCs/>
                <w:color w:val="000000"/>
                <w:sz w:val="18"/>
                <w:lang w:eastAsia="en-AU"/>
              </w:rPr>
            </w:pPr>
            <w:r w:rsidRPr="00D76B9D">
              <w:rPr>
                <w:rFonts w:eastAsia="Times New Roman" w:cstheme="minorHAnsi"/>
                <w:b/>
                <w:bCs/>
                <w:color w:val="000000"/>
                <w:sz w:val="18"/>
                <w:lang w:eastAsia="en-AU"/>
              </w:rPr>
              <w:t>42</w:t>
            </w:r>
          </w:p>
        </w:tc>
        <w:tc>
          <w:tcPr>
            <w:tcW w:w="710" w:type="dxa"/>
            <w:shd w:val="clear" w:color="auto" w:fill="D6ECED"/>
            <w:noWrap/>
            <w:vAlign w:val="bottom"/>
            <w:hideMark/>
          </w:tcPr>
          <w:p w14:paraId="0F1D2204" w14:textId="77777777" w:rsidR="00D76B9D" w:rsidRPr="00D76B9D" w:rsidRDefault="00D76B9D" w:rsidP="00352F0E">
            <w:pPr>
              <w:keepNext/>
              <w:spacing w:before="60" w:after="60"/>
              <w:jc w:val="right"/>
              <w:rPr>
                <w:rFonts w:eastAsia="Times New Roman" w:cstheme="minorHAnsi"/>
                <w:b/>
                <w:bCs/>
                <w:color w:val="000000"/>
                <w:sz w:val="18"/>
                <w:lang w:eastAsia="en-AU"/>
              </w:rPr>
            </w:pPr>
            <w:r w:rsidRPr="00D76B9D">
              <w:rPr>
                <w:rFonts w:eastAsia="Times New Roman" w:cstheme="minorHAnsi"/>
                <w:b/>
                <w:bCs/>
                <w:color w:val="000000"/>
                <w:sz w:val="18"/>
                <w:lang w:eastAsia="en-AU"/>
              </w:rPr>
              <w:t>534</w:t>
            </w:r>
          </w:p>
        </w:tc>
      </w:tr>
    </w:tbl>
    <w:bookmarkEnd w:id="256"/>
    <w:p w14:paraId="5F92CE50" w14:textId="77777777" w:rsidR="00E602CF" w:rsidRPr="00E602CF" w:rsidRDefault="00E602CF" w:rsidP="00E602CF">
      <w:pPr>
        <w:spacing w:before="40"/>
        <w:rPr>
          <w:sz w:val="16"/>
          <w:szCs w:val="16"/>
        </w:rPr>
      </w:pPr>
      <w:r w:rsidRPr="00E602CF">
        <w:rPr>
          <w:sz w:val="16"/>
          <w:szCs w:val="16"/>
        </w:rPr>
        <w:t>Source: TSV</w:t>
      </w:r>
    </w:p>
    <w:p w14:paraId="1FA2C230" w14:textId="34ADA23E" w:rsidR="003C27D7" w:rsidRDefault="00D8010B" w:rsidP="003C27D7">
      <w:pPr>
        <w:pStyle w:val="Heading3"/>
        <w:rPr>
          <w:rFonts w:eastAsiaTheme="minorHAnsi"/>
        </w:rPr>
      </w:pPr>
      <w:bookmarkStart w:id="268" w:name="_Toc45704336"/>
      <w:r>
        <w:t>Comments and observations</w:t>
      </w:r>
      <w:bookmarkEnd w:id="268"/>
    </w:p>
    <w:p w14:paraId="3875FBD7" w14:textId="2CD2D1C1" w:rsidR="006A35AF" w:rsidRDefault="008063AF" w:rsidP="00E07480">
      <w:r>
        <w:t>Overall, D</w:t>
      </w:r>
      <w:r w:rsidR="00A963B6">
        <w:t>o</w:t>
      </w:r>
      <w:r>
        <w:t>T concludes that t</w:t>
      </w:r>
      <w:r w:rsidR="00E406CD">
        <w:t>he safety performance of the industry has been relatively stable over the life of the regulations.</w:t>
      </w:r>
      <w:r w:rsidR="00D85D1A">
        <w:t xml:space="preserve"> There have been no emerging trends that would warrant consideration of </w:t>
      </w:r>
      <w:r w:rsidR="00C90A09">
        <w:t>additional regulatory requirements</w:t>
      </w:r>
      <w:r w:rsidR="00A04B87">
        <w:t>. However, there may be measures or interventions that could be adopted to improve the safety outcomes in the bus industry.</w:t>
      </w:r>
    </w:p>
    <w:p w14:paraId="1F983F78" w14:textId="0A45994D" w:rsidR="00E07480" w:rsidRDefault="00A04B87" w:rsidP="00E07480">
      <w:r>
        <w:t>S</w:t>
      </w:r>
      <w:r w:rsidR="006A35AF">
        <w:t>ince the Bus Safety Regulations will expire in October 2020,</w:t>
      </w:r>
      <w:r w:rsidR="003961B1">
        <w:t xml:space="preserve"> DoT notes that the absence of regulations may</w:t>
      </w:r>
      <w:r>
        <w:t xml:space="preserve"> change operator behaviour. The extent of this change and the likely impact on safety outcomes is not known. Nevertheless, in this RIS, DoT will consider the merits of continuing regulatory requirements in Bus Safety Regulations and whether additional measures to improve safety are worthwhile. </w:t>
      </w:r>
    </w:p>
    <w:p w14:paraId="0286979E" w14:textId="6B132B19" w:rsidR="00E022BD" w:rsidRDefault="00685961" w:rsidP="00E022BD">
      <w:pPr>
        <w:pStyle w:val="Heading2"/>
        <w:tabs>
          <w:tab w:val="num" w:pos="709"/>
        </w:tabs>
        <w:ind w:left="709" w:hanging="709"/>
      </w:pPr>
      <w:bookmarkStart w:id="269" w:name="_Toc32909787"/>
      <w:bookmarkStart w:id="270" w:name="_Ref43233914"/>
      <w:bookmarkStart w:id="271" w:name="_Ref43269054"/>
      <w:bookmarkStart w:id="272" w:name="_Toc45704337"/>
      <w:r>
        <w:t>Vehicle s</w:t>
      </w:r>
      <w:r w:rsidR="00E74686">
        <w:t>afety</w:t>
      </w:r>
      <w:bookmarkEnd w:id="269"/>
      <w:bookmarkEnd w:id="270"/>
      <w:bookmarkEnd w:id="271"/>
      <w:bookmarkEnd w:id="272"/>
    </w:p>
    <w:p w14:paraId="32D5F1A3" w14:textId="39802136" w:rsidR="00CA2F4D" w:rsidRDefault="00585522" w:rsidP="009432FE">
      <w:r w:rsidRPr="00285585">
        <w:t xml:space="preserve">The safety of </w:t>
      </w:r>
      <w:r w:rsidR="00195C84">
        <w:t xml:space="preserve">the </w:t>
      </w:r>
      <w:r w:rsidR="003C6910">
        <w:t>buses</w:t>
      </w:r>
      <w:r w:rsidRPr="00285585">
        <w:t xml:space="preserve">, more generally, </w:t>
      </w:r>
      <w:r w:rsidR="002E5E21">
        <w:t>are</w:t>
      </w:r>
      <w:r w:rsidR="00FE6050">
        <w:t xml:space="preserve"> </w:t>
      </w:r>
      <w:r w:rsidRPr="00285585">
        <w:t xml:space="preserve">regulated </w:t>
      </w:r>
      <w:r w:rsidR="00494F5C">
        <w:t>by a range of</w:t>
      </w:r>
      <w:r w:rsidR="00BE52AE">
        <w:t xml:space="preserve"> regulatory</w:t>
      </w:r>
      <w:r w:rsidR="00494F5C">
        <w:t xml:space="preserve"> instruments</w:t>
      </w:r>
      <w:r w:rsidR="00CA2F4D">
        <w:t>:</w:t>
      </w:r>
    </w:p>
    <w:p w14:paraId="2D9639C8" w14:textId="28CFC0A3" w:rsidR="00CA2F4D" w:rsidRPr="00CA2F4D" w:rsidRDefault="00494F5C" w:rsidP="00405158">
      <w:pPr>
        <w:pStyle w:val="ListParagraph"/>
        <w:numPr>
          <w:ilvl w:val="0"/>
          <w:numId w:val="11"/>
        </w:numPr>
      </w:pPr>
      <w:r w:rsidRPr="00CA2F4D">
        <w:rPr>
          <w:rFonts w:asciiTheme="minorHAnsi" w:eastAsiaTheme="minorHAnsi" w:hAnsiTheme="minorHAnsi" w:cstheme="minorBidi"/>
          <w:color w:val="000000" w:themeColor="text1"/>
          <w:sz w:val="20"/>
          <w:szCs w:val="18"/>
          <w:lang w:eastAsia="en-US"/>
        </w:rPr>
        <w:t xml:space="preserve">the </w:t>
      </w:r>
      <w:bookmarkStart w:id="273" w:name="_Hlk43717444"/>
      <w:r w:rsidR="00585522" w:rsidRPr="00CA2F4D">
        <w:rPr>
          <w:rFonts w:asciiTheme="minorHAnsi" w:eastAsiaTheme="minorHAnsi" w:hAnsiTheme="minorHAnsi" w:cstheme="minorBidi"/>
          <w:color w:val="000000" w:themeColor="text1"/>
          <w:sz w:val="20"/>
          <w:szCs w:val="18"/>
          <w:lang w:eastAsia="en-US"/>
        </w:rPr>
        <w:t>Heavy Vehicle National Law</w:t>
      </w:r>
      <w:r w:rsidR="003E3CF2" w:rsidRPr="00CA2F4D">
        <w:rPr>
          <w:rFonts w:asciiTheme="minorHAnsi" w:eastAsiaTheme="minorHAnsi" w:hAnsiTheme="minorHAnsi" w:cstheme="minorBidi"/>
          <w:color w:val="000000" w:themeColor="text1"/>
          <w:sz w:val="20"/>
          <w:szCs w:val="18"/>
          <w:lang w:eastAsia="en-US"/>
        </w:rPr>
        <w:t xml:space="preserve"> </w:t>
      </w:r>
      <w:bookmarkEnd w:id="273"/>
      <w:r w:rsidR="003E3CF2" w:rsidRPr="00CA2F4D">
        <w:rPr>
          <w:rFonts w:asciiTheme="minorHAnsi" w:eastAsiaTheme="minorHAnsi" w:hAnsiTheme="minorHAnsi" w:cstheme="minorBidi"/>
          <w:color w:val="000000" w:themeColor="text1"/>
          <w:sz w:val="20"/>
          <w:szCs w:val="18"/>
          <w:lang w:eastAsia="en-US"/>
        </w:rPr>
        <w:t>(HVNL)</w:t>
      </w:r>
      <w:r w:rsidR="00CA2F4D">
        <w:rPr>
          <w:rFonts w:asciiTheme="minorHAnsi" w:eastAsiaTheme="minorHAnsi" w:hAnsiTheme="minorHAnsi" w:cstheme="minorBidi"/>
          <w:color w:val="000000" w:themeColor="text1"/>
          <w:sz w:val="20"/>
          <w:szCs w:val="18"/>
          <w:lang w:eastAsia="en-US"/>
        </w:rPr>
        <w:t>,</w:t>
      </w:r>
      <w:r w:rsidR="00B26580">
        <w:rPr>
          <w:rFonts w:asciiTheme="minorHAnsi" w:eastAsiaTheme="minorHAnsi" w:hAnsiTheme="minorHAnsi" w:cstheme="minorBidi"/>
          <w:color w:val="000000" w:themeColor="text1"/>
          <w:sz w:val="20"/>
          <w:szCs w:val="18"/>
          <w:lang w:eastAsia="en-US"/>
        </w:rPr>
        <w:t xml:space="preserve"> where the bus is also a heavy vehicle,</w:t>
      </w:r>
      <w:r w:rsidR="00CA2F4D">
        <w:rPr>
          <w:rFonts w:asciiTheme="minorHAnsi" w:eastAsiaTheme="minorHAnsi" w:hAnsiTheme="minorHAnsi" w:cstheme="minorBidi"/>
          <w:color w:val="000000" w:themeColor="text1"/>
          <w:sz w:val="20"/>
          <w:szCs w:val="18"/>
          <w:lang w:eastAsia="en-US"/>
        </w:rPr>
        <w:t xml:space="preserve"> supported by the </w:t>
      </w:r>
      <w:r w:rsidR="00CA2F4D" w:rsidRPr="00CA2F4D">
        <w:rPr>
          <w:rFonts w:asciiTheme="minorHAnsi" w:eastAsiaTheme="minorHAnsi" w:hAnsiTheme="minorHAnsi" w:cstheme="minorBidi"/>
          <w:color w:val="000000" w:themeColor="text1"/>
          <w:sz w:val="20"/>
          <w:szCs w:val="18"/>
          <w:lang w:eastAsia="en-US"/>
        </w:rPr>
        <w:t>Heavy Vehicle (Vehicle Standards) National Regulation</w:t>
      </w:r>
      <w:r w:rsidR="00D560F2">
        <w:rPr>
          <w:rFonts w:asciiTheme="minorHAnsi" w:eastAsiaTheme="minorHAnsi" w:hAnsiTheme="minorHAnsi" w:cstheme="minorBidi"/>
          <w:color w:val="000000" w:themeColor="text1"/>
          <w:sz w:val="20"/>
          <w:szCs w:val="18"/>
          <w:lang w:eastAsia="en-US"/>
        </w:rPr>
        <w:t>s</w:t>
      </w:r>
      <w:r w:rsidR="0016339C">
        <w:rPr>
          <w:rFonts w:asciiTheme="minorHAnsi" w:eastAsiaTheme="minorHAnsi" w:hAnsiTheme="minorHAnsi" w:cstheme="minorBidi"/>
          <w:color w:val="000000" w:themeColor="text1"/>
          <w:sz w:val="20"/>
          <w:szCs w:val="18"/>
          <w:lang w:eastAsia="en-US"/>
        </w:rPr>
        <w:t>.</w:t>
      </w:r>
    </w:p>
    <w:p w14:paraId="0D9932D0" w14:textId="6B798489" w:rsidR="00703904" w:rsidRPr="00341101" w:rsidRDefault="00CA2F4D" w:rsidP="00405158">
      <w:pPr>
        <w:pStyle w:val="ListParagraph"/>
        <w:numPr>
          <w:ilvl w:val="0"/>
          <w:numId w:val="11"/>
        </w:numPr>
        <w:rPr>
          <w:rFonts w:eastAsiaTheme="minorHAnsi"/>
        </w:rPr>
      </w:pPr>
      <w:r>
        <w:rPr>
          <w:rFonts w:asciiTheme="minorHAnsi" w:eastAsiaTheme="minorHAnsi" w:hAnsiTheme="minorHAnsi" w:cstheme="minorBidi"/>
          <w:color w:val="000000" w:themeColor="text1"/>
          <w:sz w:val="20"/>
          <w:szCs w:val="18"/>
          <w:lang w:eastAsia="en-US"/>
        </w:rPr>
        <w:t>t</w:t>
      </w:r>
      <w:r w:rsidR="00096640" w:rsidRPr="00CA2F4D">
        <w:rPr>
          <w:rFonts w:asciiTheme="minorHAnsi" w:eastAsiaTheme="minorHAnsi" w:hAnsiTheme="minorHAnsi" w:cstheme="minorBidi"/>
          <w:color w:val="000000" w:themeColor="text1"/>
          <w:sz w:val="20"/>
          <w:szCs w:val="18"/>
          <w:lang w:eastAsia="en-US"/>
        </w:rPr>
        <w:t>he</w:t>
      </w:r>
      <w:r w:rsidR="00D841DA" w:rsidRPr="00CA2F4D">
        <w:rPr>
          <w:rFonts w:asciiTheme="minorHAnsi" w:eastAsiaTheme="minorHAnsi" w:hAnsiTheme="minorHAnsi" w:cstheme="minorBidi"/>
          <w:color w:val="000000" w:themeColor="text1"/>
          <w:sz w:val="20"/>
          <w:szCs w:val="18"/>
          <w:lang w:eastAsia="en-US"/>
        </w:rPr>
        <w:t xml:space="preserve"> </w:t>
      </w:r>
      <w:bookmarkStart w:id="274" w:name="_Hlk43717384"/>
      <w:r w:rsidR="00D841DA" w:rsidRPr="00CA2F4D">
        <w:rPr>
          <w:rFonts w:asciiTheme="minorHAnsi" w:eastAsiaTheme="minorHAnsi" w:hAnsiTheme="minorHAnsi" w:cstheme="minorBidi"/>
          <w:color w:val="000000" w:themeColor="text1"/>
          <w:sz w:val="20"/>
          <w:szCs w:val="18"/>
          <w:lang w:eastAsia="en-US"/>
        </w:rPr>
        <w:t>Victorian</w:t>
      </w:r>
      <w:r w:rsidR="00F8693F" w:rsidRPr="00CA2F4D">
        <w:rPr>
          <w:rFonts w:asciiTheme="minorHAnsi" w:eastAsiaTheme="minorHAnsi" w:hAnsiTheme="minorHAnsi" w:cstheme="minorBidi"/>
          <w:color w:val="000000" w:themeColor="text1"/>
          <w:sz w:val="20"/>
          <w:szCs w:val="18"/>
          <w:lang w:eastAsia="en-US"/>
        </w:rPr>
        <w:t xml:space="preserve"> </w:t>
      </w:r>
      <w:r w:rsidR="00F8693F" w:rsidRPr="0002531F">
        <w:rPr>
          <w:rFonts w:asciiTheme="minorHAnsi" w:eastAsiaTheme="minorHAnsi" w:hAnsiTheme="minorHAnsi" w:cstheme="minorBidi"/>
          <w:i/>
          <w:iCs/>
          <w:color w:val="000000" w:themeColor="text1"/>
          <w:sz w:val="20"/>
          <w:szCs w:val="18"/>
          <w:lang w:eastAsia="en-US"/>
        </w:rPr>
        <w:t>Road Safety Act 1986</w:t>
      </w:r>
      <w:bookmarkEnd w:id="274"/>
      <w:r>
        <w:rPr>
          <w:rFonts w:asciiTheme="minorHAnsi" w:eastAsiaTheme="minorHAnsi" w:hAnsiTheme="minorHAnsi" w:cstheme="minorBidi"/>
          <w:color w:val="000000" w:themeColor="text1"/>
          <w:sz w:val="20"/>
          <w:szCs w:val="18"/>
          <w:lang w:eastAsia="en-US"/>
        </w:rPr>
        <w:t>,</w:t>
      </w:r>
      <w:r w:rsidR="00DC4CE8">
        <w:rPr>
          <w:rFonts w:asciiTheme="minorHAnsi" w:eastAsiaTheme="minorHAnsi" w:hAnsiTheme="minorHAnsi" w:cstheme="minorBidi"/>
          <w:color w:val="000000" w:themeColor="text1"/>
          <w:sz w:val="20"/>
          <w:szCs w:val="18"/>
          <w:lang w:eastAsia="en-US"/>
        </w:rPr>
        <w:t xml:space="preserve"> where the bus is a light vehicle,</w:t>
      </w:r>
      <w:r>
        <w:rPr>
          <w:rFonts w:asciiTheme="minorHAnsi" w:eastAsiaTheme="minorHAnsi" w:hAnsiTheme="minorHAnsi" w:cstheme="minorBidi"/>
          <w:color w:val="000000" w:themeColor="text1"/>
          <w:sz w:val="20"/>
          <w:szCs w:val="18"/>
          <w:lang w:eastAsia="en-US"/>
        </w:rPr>
        <w:t xml:space="preserve"> supported by </w:t>
      </w:r>
      <w:r w:rsidRPr="00CA2F4D">
        <w:rPr>
          <w:rFonts w:asciiTheme="minorHAnsi" w:eastAsiaTheme="minorHAnsi" w:hAnsiTheme="minorHAnsi" w:cstheme="minorBidi"/>
          <w:color w:val="000000" w:themeColor="text1"/>
          <w:sz w:val="20"/>
          <w:szCs w:val="18"/>
          <w:lang w:eastAsia="en-US"/>
        </w:rPr>
        <w:t>the Road Safety (Vehicles) Regulations 2009</w:t>
      </w:r>
      <w:r w:rsidR="002248BC">
        <w:rPr>
          <w:rFonts w:asciiTheme="minorHAnsi" w:eastAsiaTheme="minorHAnsi" w:hAnsiTheme="minorHAnsi" w:cstheme="minorBidi"/>
          <w:color w:val="000000" w:themeColor="text1"/>
          <w:sz w:val="20"/>
          <w:szCs w:val="18"/>
          <w:lang w:eastAsia="en-US"/>
        </w:rPr>
        <w:t>.</w:t>
      </w:r>
    </w:p>
    <w:p w14:paraId="26B986BB" w14:textId="6D2683D7" w:rsidR="00A54D50" w:rsidRPr="00A54D50" w:rsidRDefault="00341101" w:rsidP="00405158">
      <w:pPr>
        <w:pStyle w:val="ListParagraph"/>
        <w:numPr>
          <w:ilvl w:val="0"/>
          <w:numId w:val="11"/>
        </w:numPr>
        <w:rPr>
          <w:rFonts w:asciiTheme="minorHAnsi" w:eastAsiaTheme="minorHAnsi" w:hAnsiTheme="minorHAnsi" w:cstheme="minorBidi"/>
          <w:color w:val="000000" w:themeColor="text1"/>
          <w:sz w:val="20"/>
          <w:szCs w:val="18"/>
          <w:lang w:eastAsia="en-US"/>
        </w:rPr>
      </w:pPr>
      <w:r w:rsidRPr="00341101">
        <w:rPr>
          <w:rFonts w:asciiTheme="minorHAnsi" w:eastAsiaTheme="minorHAnsi" w:hAnsiTheme="minorHAnsi" w:cstheme="minorBidi"/>
          <w:color w:val="000000" w:themeColor="text1"/>
          <w:sz w:val="20"/>
          <w:szCs w:val="18"/>
          <w:lang w:eastAsia="en-US"/>
        </w:rPr>
        <w:t xml:space="preserve">the </w:t>
      </w:r>
      <w:bookmarkStart w:id="275" w:name="_Hlk43717421"/>
      <w:r w:rsidRPr="00341101">
        <w:rPr>
          <w:rFonts w:asciiTheme="minorHAnsi" w:eastAsiaTheme="minorHAnsi" w:hAnsiTheme="minorHAnsi" w:cstheme="minorBidi"/>
          <w:color w:val="000000" w:themeColor="text1"/>
          <w:sz w:val="20"/>
          <w:szCs w:val="18"/>
          <w:lang w:eastAsia="en-US"/>
        </w:rPr>
        <w:t>Australian Design Rules</w:t>
      </w:r>
      <w:r w:rsidR="00700D4D">
        <w:rPr>
          <w:rFonts w:asciiTheme="minorHAnsi" w:eastAsiaTheme="minorHAnsi" w:hAnsiTheme="minorHAnsi" w:cstheme="minorBidi"/>
          <w:color w:val="000000" w:themeColor="text1"/>
          <w:sz w:val="20"/>
          <w:szCs w:val="18"/>
          <w:lang w:eastAsia="en-US"/>
        </w:rPr>
        <w:t xml:space="preserve"> </w:t>
      </w:r>
      <w:bookmarkEnd w:id="275"/>
      <w:r w:rsidR="00700D4D">
        <w:rPr>
          <w:rFonts w:asciiTheme="minorHAnsi" w:eastAsiaTheme="minorHAnsi" w:hAnsiTheme="minorHAnsi" w:cstheme="minorBidi"/>
          <w:color w:val="000000" w:themeColor="text1"/>
          <w:sz w:val="20"/>
          <w:szCs w:val="18"/>
          <w:lang w:eastAsia="en-US"/>
        </w:rPr>
        <w:t>(ADRs)</w:t>
      </w:r>
      <w:r w:rsidR="00EF4835">
        <w:rPr>
          <w:rFonts w:asciiTheme="minorHAnsi" w:eastAsiaTheme="minorHAnsi" w:hAnsiTheme="minorHAnsi" w:cstheme="minorBidi"/>
          <w:color w:val="000000" w:themeColor="text1"/>
          <w:sz w:val="20"/>
          <w:szCs w:val="18"/>
          <w:lang w:eastAsia="en-US"/>
        </w:rPr>
        <w:t xml:space="preserve"> </w:t>
      </w:r>
      <w:r w:rsidR="00700D4D">
        <w:rPr>
          <w:rFonts w:asciiTheme="minorHAnsi" w:eastAsiaTheme="minorHAnsi" w:hAnsiTheme="minorHAnsi" w:cstheme="minorBidi"/>
          <w:color w:val="000000" w:themeColor="text1"/>
          <w:sz w:val="20"/>
          <w:szCs w:val="18"/>
          <w:lang w:eastAsia="en-US"/>
        </w:rPr>
        <w:t>are</w:t>
      </w:r>
      <w:r w:rsidR="000D426D">
        <w:rPr>
          <w:rFonts w:asciiTheme="minorHAnsi" w:eastAsiaTheme="minorHAnsi" w:hAnsiTheme="minorHAnsi" w:cstheme="minorBidi"/>
          <w:color w:val="000000" w:themeColor="text1"/>
          <w:sz w:val="20"/>
          <w:szCs w:val="18"/>
          <w:lang w:eastAsia="en-US"/>
        </w:rPr>
        <w:t xml:space="preserve"> administered under the </w:t>
      </w:r>
      <w:r w:rsidR="00341F4B">
        <w:rPr>
          <w:rFonts w:asciiTheme="minorHAnsi" w:eastAsiaTheme="minorHAnsi" w:hAnsiTheme="minorHAnsi" w:cstheme="minorBidi"/>
          <w:color w:val="000000" w:themeColor="text1"/>
          <w:sz w:val="20"/>
          <w:szCs w:val="18"/>
          <w:lang w:eastAsia="en-US"/>
        </w:rPr>
        <w:t>C</w:t>
      </w:r>
      <w:r w:rsidR="00700D4D">
        <w:rPr>
          <w:rFonts w:asciiTheme="minorHAnsi" w:eastAsiaTheme="minorHAnsi" w:hAnsiTheme="minorHAnsi" w:cstheme="minorBidi"/>
          <w:color w:val="000000" w:themeColor="text1"/>
          <w:sz w:val="20"/>
          <w:szCs w:val="18"/>
          <w:lang w:eastAsia="en-US"/>
        </w:rPr>
        <w:t xml:space="preserve">ommonwealth </w:t>
      </w:r>
      <w:r w:rsidR="000D426D" w:rsidRPr="00EF4835">
        <w:rPr>
          <w:rFonts w:asciiTheme="minorHAnsi" w:eastAsiaTheme="minorHAnsi" w:hAnsiTheme="minorHAnsi" w:cstheme="minorBidi"/>
          <w:i/>
          <w:iCs/>
          <w:color w:val="000000" w:themeColor="text1"/>
          <w:sz w:val="20"/>
          <w:szCs w:val="18"/>
          <w:lang w:eastAsia="en-US"/>
        </w:rPr>
        <w:t>Motor Vehicle Standards Act 1989</w:t>
      </w:r>
      <w:r w:rsidR="007522C8">
        <w:rPr>
          <w:rFonts w:asciiTheme="minorHAnsi" w:eastAsiaTheme="minorHAnsi" w:hAnsiTheme="minorHAnsi" w:cstheme="minorBidi"/>
          <w:color w:val="000000" w:themeColor="text1"/>
          <w:sz w:val="20"/>
          <w:szCs w:val="18"/>
          <w:lang w:eastAsia="en-US"/>
        </w:rPr>
        <w:t xml:space="preserve"> and which requir</w:t>
      </w:r>
      <w:r w:rsidR="00934368">
        <w:rPr>
          <w:rFonts w:asciiTheme="minorHAnsi" w:eastAsiaTheme="minorHAnsi" w:hAnsiTheme="minorHAnsi" w:cstheme="minorBidi"/>
          <w:color w:val="000000" w:themeColor="text1"/>
          <w:sz w:val="20"/>
          <w:szCs w:val="18"/>
          <w:lang w:eastAsia="en-US"/>
        </w:rPr>
        <w:t>e</w:t>
      </w:r>
      <w:r w:rsidR="007522C8">
        <w:rPr>
          <w:rFonts w:asciiTheme="minorHAnsi" w:eastAsiaTheme="minorHAnsi" w:hAnsiTheme="minorHAnsi" w:cstheme="minorBidi"/>
          <w:color w:val="000000" w:themeColor="text1"/>
          <w:sz w:val="20"/>
          <w:szCs w:val="18"/>
          <w:lang w:eastAsia="en-US"/>
        </w:rPr>
        <w:t xml:space="preserve"> all road vehicles</w:t>
      </w:r>
      <w:r w:rsidR="001533FC">
        <w:rPr>
          <w:rFonts w:asciiTheme="minorHAnsi" w:eastAsiaTheme="minorHAnsi" w:hAnsiTheme="minorHAnsi" w:cstheme="minorBidi"/>
          <w:color w:val="000000" w:themeColor="text1"/>
          <w:sz w:val="20"/>
          <w:szCs w:val="18"/>
          <w:lang w:eastAsia="en-US"/>
        </w:rPr>
        <w:t xml:space="preserve"> to comply with the relevant ADRs at the time of </w:t>
      </w:r>
      <w:r>
        <w:rPr>
          <w:rFonts w:asciiTheme="minorHAnsi" w:eastAsiaTheme="minorHAnsi" w:hAnsiTheme="minorHAnsi" w:cstheme="minorBidi"/>
          <w:color w:val="000000" w:themeColor="text1"/>
          <w:sz w:val="20"/>
          <w:szCs w:val="18"/>
          <w:lang w:eastAsia="en-US"/>
        </w:rPr>
        <w:t>manufacture</w:t>
      </w:r>
      <w:r w:rsidR="001533FC">
        <w:rPr>
          <w:rFonts w:asciiTheme="minorHAnsi" w:eastAsiaTheme="minorHAnsi" w:hAnsiTheme="minorHAnsi" w:cstheme="minorBidi"/>
          <w:color w:val="000000" w:themeColor="text1"/>
          <w:sz w:val="20"/>
          <w:szCs w:val="18"/>
          <w:lang w:eastAsia="en-US"/>
        </w:rPr>
        <w:t xml:space="preserve"> and supply to the Australian marke</w:t>
      </w:r>
      <w:r>
        <w:rPr>
          <w:rFonts w:asciiTheme="minorHAnsi" w:eastAsiaTheme="minorHAnsi" w:hAnsiTheme="minorHAnsi" w:cstheme="minorBidi"/>
          <w:color w:val="000000" w:themeColor="text1"/>
          <w:sz w:val="20"/>
          <w:szCs w:val="18"/>
          <w:lang w:eastAsia="en-US"/>
        </w:rPr>
        <w:t>t.</w:t>
      </w:r>
      <w:r w:rsidR="00C60270">
        <w:rPr>
          <w:rFonts w:asciiTheme="minorHAnsi" w:eastAsiaTheme="minorHAnsi" w:hAnsiTheme="minorHAnsi" w:cstheme="minorBidi"/>
          <w:color w:val="000000" w:themeColor="text1"/>
          <w:sz w:val="20"/>
          <w:szCs w:val="18"/>
          <w:lang w:eastAsia="en-US"/>
        </w:rPr>
        <w:t xml:space="preserve"> </w:t>
      </w:r>
      <w:r w:rsidR="00C60270" w:rsidRPr="00C60270">
        <w:rPr>
          <w:rFonts w:asciiTheme="minorHAnsi" w:eastAsiaTheme="minorHAnsi" w:hAnsiTheme="minorHAnsi" w:cstheme="minorBidi"/>
          <w:color w:val="000000" w:themeColor="text1"/>
          <w:sz w:val="20"/>
          <w:szCs w:val="18"/>
          <w:lang w:eastAsia="en-US"/>
        </w:rPr>
        <w:t xml:space="preserve">The ADRs cover technical and engineering vehicle standards for buses. Particularly relevant to this RIS are the </w:t>
      </w:r>
      <w:r w:rsidR="00C60270" w:rsidRPr="005258BE">
        <w:rPr>
          <w:rFonts w:asciiTheme="minorHAnsi" w:eastAsiaTheme="minorHAnsi" w:hAnsiTheme="minorHAnsi" w:cstheme="minorBidi"/>
          <w:i/>
          <w:iCs/>
          <w:color w:val="000000" w:themeColor="text1"/>
          <w:sz w:val="20"/>
          <w:szCs w:val="18"/>
          <w:lang w:eastAsia="en-US"/>
        </w:rPr>
        <w:t>Vehicle Standards (Australian Design Rule 58/00 – Requirements for Omnibus Designed for Hire and Reward) 2006</w:t>
      </w:r>
      <w:r w:rsidR="00C60270" w:rsidRPr="00C60270">
        <w:rPr>
          <w:rFonts w:asciiTheme="minorHAnsi" w:eastAsiaTheme="minorHAnsi" w:hAnsiTheme="minorHAnsi" w:cstheme="minorBidi"/>
          <w:color w:val="000000" w:themeColor="text1"/>
          <w:sz w:val="20"/>
          <w:szCs w:val="18"/>
          <w:lang w:eastAsia="en-US"/>
        </w:rPr>
        <w:t xml:space="preserve"> and the </w:t>
      </w:r>
      <w:r w:rsidR="00C60270" w:rsidRPr="005258BE">
        <w:rPr>
          <w:rFonts w:asciiTheme="minorHAnsi" w:eastAsiaTheme="minorHAnsi" w:hAnsiTheme="minorHAnsi" w:cstheme="minorBidi"/>
          <w:i/>
          <w:iCs/>
          <w:color w:val="000000" w:themeColor="text1"/>
          <w:sz w:val="20"/>
          <w:szCs w:val="18"/>
          <w:lang w:eastAsia="en-US"/>
        </w:rPr>
        <w:t>Vehicle Standard (Australian Design Rule 42/05 – General Safety Requirements) 2018</w:t>
      </w:r>
      <w:r w:rsidR="00C60270" w:rsidRPr="00C60270">
        <w:rPr>
          <w:rFonts w:asciiTheme="minorHAnsi" w:eastAsiaTheme="minorHAnsi" w:hAnsiTheme="minorHAnsi" w:cstheme="minorBidi"/>
          <w:color w:val="000000" w:themeColor="text1"/>
          <w:sz w:val="20"/>
          <w:szCs w:val="18"/>
          <w:lang w:eastAsia="en-US"/>
        </w:rPr>
        <w:t>.</w:t>
      </w:r>
      <w:r w:rsidR="00C60270" w:rsidRPr="00565193">
        <w:rPr>
          <w:rFonts w:cstheme="minorHAnsi"/>
          <w:szCs w:val="20"/>
        </w:rPr>
        <w:t xml:space="preserve"> </w:t>
      </w:r>
    </w:p>
    <w:p w14:paraId="215A979C" w14:textId="2FDE61E6" w:rsidR="00C07531" w:rsidRPr="00EA47A7" w:rsidRDefault="00C07531" w:rsidP="00405158">
      <w:pPr>
        <w:pStyle w:val="ListParagraph"/>
        <w:numPr>
          <w:ilvl w:val="0"/>
          <w:numId w:val="11"/>
        </w:numPr>
      </w:pPr>
      <w:r>
        <w:rPr>
          <w:rFonts w:asciiTheme="minorHAnsi" w:eastAsiaTheme="minorHAnsi" w:hAnsiTheme="minorHAnsi" w:cstheme="minorBidi"/>
          <w:color w:val="000000" w:themeColor="text1"/>
          <w:sz w:val="20"/>
          <w:szCs w:val="18"/>
          <w:lang w:eastAsia="en-US"/>
        </w:rPr>
        <w:t>the Australian Light Vehicle Standards Rules (ALV</w:t>
      </w:r>
      <w:r w:rsidR="00D1068D">
        <w:rPr>
          <w:rFonts w:asciiTheme="minorHAnsi" w:eastAsiaTheme="minorHAnsi" w:hAnsiTheme="minorHAnsi" w:cstheme="minorBidi"/>
          <w:color w:val="000000" w:themeColor="text1"/>
          <w:sz w:val="20"/>
          <w:szCs w:val="18"/>
          <w:lang w:eastAsia="en-US"/>
        </w:rPr>
        <w:t>SRs)</w:t>
      </w:r>
      <w:r w:rsidR="00EF4835">
        <w:rPr>
          <w:rFonts w:asciiTheme="minorHAnsi" w:eastAsiaTheme="minorHAnsi" w:hAnsiTheme="minorHAnsi" w:cstheme="minorBidi"/>
          <w:color w:val="000000" w:themeColor="text1"/>
          <w:sz w:val="20"/>
          <w:szCs w:val="18"/>
          <w:lang w:eastAsia="en-US"/>
        </w:rPr>
        <w:t xml:space="preserve"> </w:t>
      </w:r>
      <w:r w:rsidR="0085249C">
        <w:rPr>
          <w:rFonts w:asciiTheme="minorHAnsi" w:eastAsiaTheme="minorHAnsi" w:hAnsiTheme="minorHAnsi" w:cstheme="minorBidi"/>
          <w:color w:val="000000" w:themeColor="text1"/>
          <w:sz w:val="20"/>
          <w:szCs w:val="18"/>
          <w:lang w:eastAsia="en-US"/>
        </w:rPr>
        <w:t>are model rules that regulate in-service vehicle standards for light vehicles</w:t>
      </w:r>
      <w:r w:rsidR="001F6AE8">
        <w:rPr>
          <w:rFonts w:asciiTheme="minorHAnsi" w:eastAsiaTheme="minorHAnsi" w:hAnsiTheme="minorHAnsi" w:cstheme="minorBidi"/>
          <w:color w:val="000000" w:themeColor="text1"/>
          <w:sz w:val="20"/>
          <w:szCs w:val="18"/>
          <w:lang w:eastAsia="en-US"/>
        </w:rPr>
        <w:t>.</w:t>
      </w:r>
      <w:r w:rsidR="002E5D31">
        <w:rPr>
          <w:rFonts w:asciiTheme="minorHAnsi" w:eastAsiaTheme="minorHAnsi" w:hAnsiTheme="minorHAnsi" w:cstheme="minorBidi"/>
          <w:color w:val="000000" w:themeColor="text1"/>
          <w:sz w:val="20"/>
          <w:szCs w:val="18"/>
          <w:lang w:eastAsia="en-US"/>
        </w:rPr>
        <w:t xml:space="preserve"> The ALVSRs require vehicles that are subject to ADRs</w:t>
      </w:r>
      <w:r w:rsidR="006E0547">
        <w:rPr>
          <w:rFonts w:asciiTheme="minorHAnsi" w:eastAsiaTheme="minorHAnsi" w:hAnsiTheme="minorHAnsi" w:cstheme="minorBidi"/>
          <w:color w:val="000000" w:themeColor="text1"/>
          <w:sz w:val="20"/>
          <w:szCs w:val="18"/>
          <w:lang w:eastAsia="en-US"/>
        </w:rPr>
        <w:t xml:space="preserve"> when they are being built or import</w:t>
      </w:r>
      <w:r w:rsidR="00C60270">
        <w:rPr>
          <w:rFonts w:asciiTheme="minorHAnsi" w:eastAsiaTheme="minorHAnsi" w:hAnsiTheme="minorHAnsi" w:cstheme="minorBidi"/>
          <w:color w:val="000000" w:themeColor="text1"/>
          <w:sz w:val="20"/>
          <w:szCs w:val="18"/>
          <w:lang w:eastAsia="en-US"/>
        </w:rPr>
        <w:t>ed</w:t>
      </w:r>
      <w:r w:rsidR="006E0547">
        <w:rPr>
          <w:rFonts w:asciiTheme="minorHAnsi" w:eastAsiaTheme="minorHAnsi" w:hAnsiTheme="minorHAnsi" w:cstheme="minorBidi"/>
          <w:color w:val="000000" w:themeColor="text1"/>
          <w:sz w:val="20"/>
          <w:szCs w:val="18"/>
          <w:lang w:eastAsia="en-US"/>
        </w:rPr>
        <w:t xml:space="preserve"> to continue to comply w</w:t>
      </w:r>
      <w:r w:rsidR="007C7600">
        <w:rPr>
          <w:rFonts w:asciiTheme="minorHAnsi" w:eastAsiaTheme="minorHAnsi" w:hAnsiTheme="minorHAnsi" w:cstheme="minorBidi"/>
          <w:color w:val="000000" w:themeColor="text1"/>
          <w:sz w:val="20"/>
          <w:szCs w:val="18"/>
          <w:lang w:eastAsia="en-US"/>
        </w:rPr>
        <w:t>i</w:t>
      </w:r>
      <w:r w:rsidR="006E0547">
        <w:rPr>
          <w:rFonts w:asciiTheme="minorHAnsi" w:eastAsiaTheme="minorHAnsi" w:hAnsiTheme="minorHAnsi" w:cstheme="minorBidi"/>
          <w:color w:val="000000" w:themeColor="text1"/>
          <w:sz w:val="20"/>
          <w:szCs w:val="18"/>
          <w:lang w:eastAsia="en-US"/>
        </w:rPr>
        <w:t>th the ADRs</w:t>
      </w:r>
      <w:r w:rsidR="00A42676">
        <w:rPr>
          <w:rFonts w:asciiTheme="minorHAnsi" w:eastAsiaTheme="minorHAnsi" w:hAnsiTheme="minorHAnsi" w:cstheme="minorBidi"/>
          <w:color w:val="000000" w:themeColor="text1"/>
          <w:sz w:val="20"/>
          <w:szCs w:val="18"/>
          <w:lang w:eastAsia="en-US"/>
        </w:rPr>
        <w:t xml:space="preserve">. In Victoria, the ALVSRs are </w:t>
      </w:r>
      <w:r w:rsidR="00305D03">
        <w:rPr>
          <w:rFonts w:asciiTheme="minorHAnsi" w:eastAsiaTheme="minorHAnsi" w:hAnsiTheme="minorHAnsi" w:cstheme="minorBidi"/>
          <w:color w:val="000000" w:themeColor="text1"/>
          <w:sz w:val="20"/>
          <w:szCs w:val="18"/>
          <w:lang w:eastAsia="en-US"/>
        </w:rPr>
        <w:t>implemented through the Road Safety (Vehicles) Regulations 2009.</w:t>
      </w:r>
    </w:p>
    <w:p w14:paraId="544E6815" w14:textId="25215CA0" w:rsidR="00CB56B8" w:rsidRDefault="00E265ED" w:rsidP="00CB56B8">
      <w:pPr>
        <w:rPr>
          <w:rFonts w:cstheme="minorHAnsi"/>
          <w:szCs w:val="20"/>
        </w:rPr>
      </w:pPr>
      <w:r w:rsidRPr="00565193">
        <w:rPr>
          <w:rFonts w:cstheme="minorHAnsi"/>
          <w:szCs w:val="20"/>
        </w:rPr>
        <w:t>Given that the vehicle itself is an important input into the provision of a bus service, the condition of the vehicle is naturally an important factor to the safety of the service.</w:t>
      </w:r>
      <w:r w:rsidR="00F708C1" w:rsidRPr="00565193">
        <w:rPr>
          <w:rFonts w:cstheme="minorHAnsi"/>
          <w:szCs w:val="20"/>
        </w:rPr>
        <w:t xml:space="preserve"> T</w:t>
      </w:r>
      <w:r w:rsidR="00CB56B8" w:rsidRPr="00565193">
        <w:rPr>
          <w:rFonts w:cstheme="minorHAnsi"/>
          <w:szCs w:val="20"/>
        </w:rPr>
        <w:t xml:space="preserve">he safety duties under the </w:t>
      </w:r>
      <w:r w:rsidR="00803EBD">
        <w:t>Bus Safety Act</w:t>
      </w:r>
      <w:r w:rsidR="00CB56B8" w:rsidRPr="00565193">
        <w:rPr>
          <w:rFonts w:cstheme="minorHAnsi"/>
          <w:szCs w:val="20"/>
        </w:rPr>
        <w:t xml:space="preserve"> </w:t>
      </w:r>
      <w:r w:rsidR="00CE3A2E">
        <w:rPr>
          <w:rFonts w:cstheme="minorHAnsi"/>
          <w:szCs w:val="20"/>
        </w:rPr>
        <w:t>require bus operators</w:t>
      </w:r>
      <w:r w:rsidR="00F32049">
        <w:rPr>
          <w:rFonts w:cstheme="minorHAnsi"/>
          <w:szCs w:val="20"/>
        </w:rPr>
        <w:t xml:space="preserve"> to ensure</w:t>
      </w:r>
      <w:r w:rsidR="00CE3A2E" w:rsidRPr="00565193">
        <w:rPr>
          <w:rFonts w:cstheme="minorHAnsi"/>
          <w:szCs w:val="20"/>
        </w:rPr>
        <w:t xml:space="preserve"> </w:t>
      </w:r>
      <w:r w:rsidR="00CB56B8" w:rsidRPr="00565193">
        <w:rPr>
          <w:rFonts w:cstheme="minorHAnsi"/>
          <w:szCs w:val="20"/>
        </w:rPr>
        <w:t xml:space="preserve">that </w:t>
      </w:r>
      <w:r w:rsidR="00E7668B">
        <w:rPr>
          <w:rFonts w:cstheme="minorHAnsi"/>
          <w:szCs w:val="20"/>
        </w:rPr>
        <w:t>vehicles used to provide a bus service</w:t>
      </w:r>
      <w:r w:rsidR="00CB56B8" w:rsidRPr="00565193">
        <w:rPr>
          <w:rFonts w:cstheme="minorHAnsi"/>
          <w:szCs w:val="20"/>
        </w:rPr>
        <w:t xml:space="preserve"> </w:t>
      </w:r>
      <w:r w:rsidR="00F32049">
        <w:rPr>
          <w:rFonts w:cstheme="minorHAnsi"/>
          <w:szCs w:val="20"/>
        </w:rPr>
        <w:t xml:space="preserve">are </w:t>
      </w:r>
      <w:r w:rsidR="00CB56B8" w:rsidRPr="00565193">
        <w:rPr>
          <w:rFonts w:cstheme="minorHAnsi"/>
          <w:szCs w:val="20"/>
        </w:rPr>
        <w:t>maintained to a safe standard</w:t>
      </w:r>
      <w:r w:rsidR="00F32049">
        <w:rPr>
          <w:rFonts w:cstheme="minorHAnsi"/>
          <w:szCs w:val="20"/>
        </w:rPr>
        <w:t xml:space="preserve"> as the vehicle </w:t>
      </w:r>
      <w:r w:rsidR="00864D3E">
        <w:rPr>
          <w:rFonts w:cstheme="minorHAnsi"/>
          <w:szCs w:val="20"/>
        </w:rPr>
        <w:t>is a source of safety risk</w:t>
      </w:r>
      <w:r w:rsidR="00CB56B8" w:rsidRPr="00565193">
        <w:rPr>
          <w:rFonts w:cstheme="minorHAnsi"/>
          <w:szCs w:val="20"/>
        </w:rPr>
        <w:t xml:space="preserve">. At a very minimum, the vehicle will need to comply with the </w:t>
      </w:r>
      <w:r w:rsidR="00CB4934" w:rsidRPr="00565193">
        <w:rPr>
          <w:rFonts w:cstheme="minorHAnsi"/>
          <w:szCs w:val="20"/>
        </w:rPr>
        <w:t>HVNL</w:t>
      </w:r>
      <w:r w:rsidR="00F806C9" w:rsidRPr="00565193">
        <w:rPr>
          <w:rFonts w:cstheme="minorHAnsi"/>
          <w:szCs w:val="20"/>
        </w:rPr>
        <w:t xml:space="preserve"> and </w:t>
      </w:r>
      <w:r w:rsidR="00B16348">
        <w:rPr>
          <w:rFonts w:cstheme="minorHAnsi"/>
          <w:szCs w:val="20"/>
        </w:rPr>
        <w:t>Road Safety Act</w:t>
      </w:r>
      <w:r w:rsidR="00CB4934" w:rsidRPr="00565193">
        <w:rPr>
          <w:rFonts w:cstheme="minorHAnsi"/>
          <w:szCs w:val="20"/>
        </w:rPr>
        <w:t xml:space="preserve">, </w:t>
      </w:r>
      <w:r w:rsidR="004C01FA">
        <w:rPr>
          <w:rFonts w:cstheme="minorHAnsi"/>
          <w:szCs w:val="20"/>
        </w:rPr>
        <w:t>their</w:t>
      </w:r>
      <w:r w:rsidR="000C2262" w:rsidRPr="00565193">
        <w:rPr>
          <w:rFonts w:cstheme="minorHAnsi"/>
          <w:szCs w:val="20"/>
        </w:rPr>
        <w:t xml:space="preserve"> </w:t>
      </w:r>
      <w:r w:rsidR="005B275B" w:rsidRPr="00565193">
        <w:rPr>
          <w:rFonts w:cstheme="minorHAnsi"/>
          <w:szCs w:val="20"/>
        </w:rPr>
        <w:t>supporting</w:t>
      </w:r>
      <w:r w:rsidR="00CB4934" w:rsidRPr="00565193">
        <w:rPr>
          <w:rFonts w:cstheme="minorHAnsi"/>
          <w:szCs w:val="20"/>
        </w:rPr>
        <w:t xml:space="preserve"> </w:t>
      </w:r>
      <w:r w:rsidR="00F806C9" w:rsidRPr="00565193">
        <w:rPr>
          <w:rFonts w:cstheme="minorHAnsi"/>
          <w:szCs w:val="20"/>
        </w:rPr>
        <w:t>reg</w:t>
      </w:r>
      <w:r w:rsidR="0006251C" w:rsidRPr="00565193">
        <w:rPr>
          <w:rFonts w:cstheme="minorHAnsi"/>
          <w:szCs w:val="20"/>
        </w:rPr>
        <w:t>ulations</w:t>
      </w:r>
      <w:r w:rsidR="00CB4934" w:rsidRPr="00565193">
        <w:rPr>
          <w:rFonts w:cstheme="minorHAnsi"/>
          <w:szCs w:val="20"/>
        </w:rPr>
        <w:t xml:space="preserve"> </w:t>
      </w:r>
      <w:r w:rsidR="00D24089" w:rsidRPr="00565193">
        <w:rPr>
          <w:rFonts w:cstheme="minorHAnsi"/>
          <w:szCs w:val="20"/>
        </w:rPr>
        <w:t xml:space="preserve">and </w:t>
      </w:r>
      <w:r w:rsidR="00866B60" w:rsidRPr="00565193">
        <w:rPr>
          <w:rFonts w:cstheme="minorHAnsi"/>
          <w:szCs w:val="20"/>
        </w:rPr>
        <w:t xml:space="preserve">the </w:t>
      </w:r>
      <w:r w:rsidR="00D24089" w:rsidRPr="00565193">
        <w:rPr>
          <w:rFonts w:cstheme="minorHAnsi"/>
          <w:szCs w:val="20"/>
        </w:rPr>
        <w:t>ADRs</w:t>
      </w:r>
      <w:r w:rsidR="00CB56B8" w:rsidRPr="00565193">
        <w:rPr>
          <w:rFonts w:cstheme="minorHAnsi"/>
          <w:szCs w:val="20"/>
        </w:rPr>
        <w:t>.</w:t>
      </w:r>
    </w:p>
    <w:p w14:paraId="6B1CE881" w14:textId="060D7FAB" w:rsidR="00D36195" w:rsidRDefault="00C64862" w:rsidP="00CB56B8">
      <w:pPr>
        <w:rPr>
          <w:rFonts w:cstheme="minorHAnsi"/>
          <w:szCs w:val="20"/>
        </w:rPr>
      </w:pPr>
      <w:r w:rsidRPr="00C64862">
        <w:rPr>
          <w:rFonts w:cstheme="minorHAnsi"/>
          <w:szCs w:val="20"/>
        </w:rPr>
        <w:lastRenderedPageBreak/>
        <w:fldChar w:fldCharType="begin"/>
      </w:r>
      <w:r w:rsidRPr="00C64862">
        <w:rPr>
          <w:rFonts w:cstheme="minorHAnsi"/>
          <w:szCs w:val="20"/>
        </w:rPr>
        <w:instrText xml:space="preserve"> REF _Ref30086258 \h  \* MERGEFORMAT </w:instrText>
      </w:r>
      <w:r w:rsidRPr="00C64862">
        <w:rPr>
          <w:rFonts w:cstheme="minorHAnsi"/>
          <w:szCs w:val="20"/>
        </w:rPr>
      </w:r>
      <w:r w:rsidRPr="00C64862">
        <w:rPr>
          <w:rFonts w:cstheme="minorHAnsi"/>
          <w:szCs w:val="20"/>
        </w:rPr>
        <w:fldChar w:fldCharType="separate"/>
      </w:r>
      <w:r w:rsidR="00277F6E" w:rsidRPr="00277F6E" w:rsidDel="00B046A2">
        <w:t xml:space="preserve">Table </w:t>
      </w:r>
      <w:r w:rsidR="00277F6E" w:rsidRPr="00277F6E">
        <w:rPr>
          <w:noProof/>
        </w:rPr>
        <w:t>3</w:t>
      </w:r>
      <w:r w:rsidR="00277F6E" w:rsidRPr="00277F6E">
        <w:rPr>
          <w:noProof/>
        </w:rPr>
        <w:noBreakHyphen/>
        <w:t>7</w:t>
      </w:r>
      <w:r w:rsidRPr="00C64862">
        <w:rPr>
          <w:rFonts w:cstheme="minorHAnsi"/>
          <w:szCs w:val="20"/>
        </w:rPr>
        <w:fldChar w:fldCharType="end"/>
      </w:r>
      <w:r w:rsidRPr="00C64862">
        <w:rPr>
          <w:rFonts w:cstheme="minorHAnsi"/>
          <w:szCs w:val="20"/>
        </w:rPr>
        <w:t xml:space="preserve"> </w:t>
      </w:r>
      <w:r w:rsidR="00D36195" w:rsidRPr="00C64862">
        <w:rPr>
          <w:rFonts w:cstheme="minorHAnsi"/>
          <w:szCs w:val="20"/>
        </w:rPr>
        <w:t>shows</w:t>
      </w:r>
      <w:r w:rsidR="00D36195">
        <w:rPr>
          <w:rFonts w:cstheme="minorHAnsi"/>
          <w:szCs w:val="20"/>
        </w:rPr>
        <w:t xml:space="preserve"> </w:t>
      </w:r>
      <w:r w:rsidR="0003304A">
        <w:rPr>
          <w:rFonts w:cstheme="minorHAnsi"/>
          <w:szCs w:val="20"/>
        </w:rPr>
        <w:t>the</w:t>
      </w:r>
      <w:r w:rsidR="00825743">
        <w:rPr>
          <w:rFonts w:cstheme="minorHAnsi"/>
          <w:szCs w:val="20"/>
        </w:rPr>
        <w:t xml:space="preserve"> number of</w:t>
      </w:r>
      <w:r w:rsidR="0003304A">
        <w:rPr>
          <w:rFonts w:cstheme="minorHAnsi"/>
          <w:szCs w:val="20"/>
        </w:rPr>
        <w:t xml:space="preserve"> inciden</w:t>
      </w:r>
      <w:r w:rsidR="00825743">
        <w:rPr>
          <w:rFonts w:cstheme="minorHAnsi"/>
          <w:szCs w:val="20"/>
        </w:rPr>
        <w:t>ts</w:t>
      </w:r>
      <w:r w:rsidR="0003304A">
        <w:rPr>
          <w:rFonts w:cstheme="minorHAnsi"/>
          <w:szCs w:val="20"/>
        </w:rPr>
        <w:t xml:space="preserve"> of mechanical failures</w:t>
      </w:r>
      <w:r w:rsidR="00FA2B99">
        <w:rPr>
          <w:rFonts w:cstheme="minorHAnsi"/>
          <w:szCs w:val="20"/>
        </w:rPr>
        <w:t xml:space="preserve"> </w:t>
      </w:r>
      <w:r w:rsidR="005C0021">
        <w:rPr>
          <w:rFonts w:cstheme="minorHAnsi"/>
          <w:szCs w:val="20"/>
        </w:rPr>
        <w:t>while</w:t>
      </w:r>
      <w:r w:rsidR="00596D75">
        <w:rPr>
          <w:rFonts w:cstheme="minorHAnsi"/>
          <w:szCs w:val="20"/>
        </w:rPr>
        <w:t xml:space="preserve"> the bus was operating and </w:t>
      </w:r>
      <w:r w:rsidR="00FA2B99">
        <w:rPr>
          <w:rFonts w:cstheme="minorHAnsi"/>
          <w:szCs w:val="20"/>
        </w:rPr>
        <w:t>reported</w:t>
      </w:r>
      <w:r w:rsidR="005C0021">
        <w:rPr>
          <w:rFonts w:cstheme="minorHAnsi"/>
          <w:szCs w:val="20"/>
        </w:rPr>
        <w:t xml:space="preserve"> by the operator</w:t>
      </w:r>
      <w:r w:rsidR="00FA2B99">
        <w:rPr>
          <w:rFonts w:cstheme="minorHAnsi"/>
          <w:szCs w:val="20"/>
        </w:rPr>
        <w:t xml:space="preserve"> to </w:t>
      </w:r>
      <w:r w:rsidR="008C2C9C">
        <w:rPr>
          <w:rFonts w:cstheme="minorHAnsi"/>
          <w:szCs w:val="20"/>
        </w:rPr>
        <w:t>the Safety Director</w:t>
      </w:r>
      <w:r w:rsidR="00FA2B99">
        <w:rPr>
          <w:rFonts w:cstheme="minorHAnsi"/>
          <w:szCs w:val="20"/>
        </w:rPr>
        <w:t xml:space="preserve"> between 2011 and 2019</w:t>
      </w:r>
      <w:r w:rsidR="00AD1B3F">
        <w:rPr>
          <w:rFonts w:cstheme="minorHAnsi"/>
          <w:szCs w:val="20"/>
        </w:rPr>
        <w:t>.</w:t>
      </w:r>
      <w:r w:rsidR="00C66DB7">
        <w:rPr>
          <w:rFonts w:cstheme="minorHAnsi"/>
          <w:szCs w:val="20"/>
        </w:rPr>
        <w:t xml:space="preserve"> Mechanical failures involve failure of the safety of the vehicle, and includes</w:t>
      </w:r>
      <w:r w:rsidR="00E30EBA">
        <w:rPr>
          <w:rFonts w:cstheme="minorHAnsi"/>
          <w:szCs w:val="20"/>
        </w:rPr>
        <w:t xml:space="preserve"> </w:t>
      </w:r>
      <w:r w:rsidR="00C66DB7">
        <w:rPr>
          <w:rFonts w:cstheme="minorHAnsi"/>
          <w:szCs w:val="20"/>
        </w:rPr>
        <w:t>failures in the brake, chassis, doors, drive train, fuel system, steering, tyres and wheel dislodgement.</w:t>
      </w:r>
      <w:r w:rsidR="00AD1B3F">
        <w:rPr>
          <w:rFonts w:cstheme="minorHAnsi"/>
          <w:szCs w:val="20"/>
        </w:rPr>
        <w:t xml:space="preserve"> </w:t>
      </w:r>
      <w:r w:rsidR="00D56E15">
        <w:rPr>
          <w:rFonts w:cstheme="minorHAnsi"/>
          <w:szCs w:val="20"/>
        </w:rPr>
        <w:t>M</w:t>
      </w:r>
      <w:r w:rsidR="00F612DB">
        <w:rPr>
          <w:rFonts w:cstheme="minorHAnsi"/>
          <w:szCs w:val="20"/>
        </w:rPr>
        <w:t xml:space="preserve">echanical failures may increase the </w:t>
      </w:r>
      <w:r w:rsidR="00D67010">
        <w:rPr>
          <w:rFonts w:cstheme="minorHAnsi"/>
          <w:szCs w:val="20"/>
        </w:rPr>
        <w:t xml:space="preserve">risk to </w:t>
      </w:r>
      <w:r w:rsidR="00E44D6F">
        <w:rPr>
          <w:rFonts w:cstheme="minorHAnsi"/>
          <w:szCs w:val="20"/>
        </w:rPr>
        <w:t xml:space="preserve">bus </w:t>
      </w:r>
      <w:r w:rsidR="00D67010">
        <w:rPr>
          <w:rFonts w:cstheme="minorHAnsi"/>
          <w:szCs w:val="20"/>
        </w:rPr>
        <w:t>safety</w:t>
      </w:r>
      <w:r w:rsidR="00896125">
        <w:rPr>
          <w:rFonts w:cstheme="minorHAnsi"/>
          <w:szCs w:val="20"/>
        </w:rPr>
        <w:t xml:space="preserve">. For example, a brake failure may mean that a bus is not able to stop </w:t>
      </w:r>
      <w:r w:rsidR="00DE4444">
        <w:rPr>
          <w:rFonts w:cstheme="minorHAnsi"/>
          <w:szCs w:val="20"/>
        </w:rPr>
        <w:t xml:space="preserve">effectively, increasing the likelihood of a collision </w:t>
      </w:r>
      <w:r w:rsidR="00D56E15">
        <w:rPr>
          <w:rFonts w:cstheme="minorHAnsi"/>
          <w:szCs w:val="20"/>
        </w:rPr>
        <w:t>or</w:t>
      </w:r>
      <w:r w:rsidR="00A42B79">
        <w:rPr>
          <w:rFonts w:cstheme="minorHAnsi"/>
          <w:szCs w:val="20"/>
        </w:rPr>
        <w:t xml:space="preserve"> </w:t>
      </w:r>
      <w:r w:rsidR="00DE4444">
        <w:rPr>
          <w:rFonts w:cstheme="minorHAnsi"/>
          <w:szCs w:val="20"/>
        </w:rPr>
        <w:t>injur</w:t>
      </w:r>
      <w:r w:rsidR="000D5A94">
        <w:rPr>
          <w:rFonts w:cstheme="minorHAnsi"/>
          <w:szCs w:val="20"/>
        </w:rPr>
        <w:t>y</w:t>
      </w:r>
      <w:r w:rsidR="00DE4444">
        <w:rPr>
          <w:rFonts w:cstheme="minorHAnsi"/>
          <w:szCs w:val="20"/>
        </w:rPr>
        <w:t>.</w:t>
      </w:r>
      <w:r w:rsidR="00FF647D">
        <w:rPr>
          <w:rFonts w:cstheme="minorHAnsi"/>
          <w:szCs w:val="20"/>
        </w:rPr>
        <w:t xml:space="preserve"> T</w:t>
      </w:r>
      <w:r w:rsidR="003514FB">
        <w:rPr>
          <w:rFonts w:cstheme="minorHAnsi"/>
          <w:szCs w:val="20"/>
        </w:rPr>
        <w:t xml:space="preserve">here appears to be an </w:t>
      </w:r>
      <w:r w:rsidR="0028653D">
        <w:rPr>
          <w:rFonts w:cstheme="minorHAnsi"/>
          <w:szCs w:val="20"/>
        </w:rPr>
        <w:t>increase</w:t>
      </w:r>
      <w:r w:rsidR="003514FB">
        <w:rPr>
          <w:rFonts w:cstheme="minorHAnsi"/>
          <w:szCs w:val="20"/>
        </w:rPr>
        <w:t xml:space="preserve"> in terms of mechanical failure incidents over </w:t>
      </w:r>
      <w:r w:rsidR="00040C72">
        <w:rPr>
          <w:rFonts w:cstheme="minorHAnsi"/>
          <w:szCs w:val="20"/>
        </w:rPr>
        <w:t>the</w:t>
      </w:r>
      <w:r w:rsidR="00B332E7">
        <w:rPr>
          <w:rFonts w:cstheme="minorHAnsi"/>
          <w:szCs w:val="20"/>
        </w:rPr>
        <w:t xml:space="preserve"> period from 2011 to 2019</w:t>
      </w:r>
      <w:r w:rsidR="00AA1E72">
        <w:rPr>
          <w:rFonts w:cstheme="minorHAnsi"/>
          <w:szCs w:val="20"/>
        </w:rPr>
        <w:t>.</w:t>
      </w:r>
      <w:r w:rsidR="00A34B3E">
        <w:rPr>
          <w:rFonts w:cstheme="minorHAnsi"/>
          <w:szCs w:val="20"/>
        </w:rPr>
        <w:t xml:space="preserve"> </w:t>
      </w:r>
      <w:r w:rsidR="00ED5682">
        <w:rPr>
          <w:rFonts w:cstheme="minorHAnsi"/>
          <w:szCs w:val="20"/>
        </w:rPr>
        <w:t xml:space="preserve">In </w:t>
      </w:r>
      <w:r w:rsidR="00ED5682" w:rsidRPr="003F4F3B">
        <w:rPr>
          <w:rFonts w:cstheme="minorHAnsi"/>
          <w:szCs w:val="20"/>
        </w:rPr>
        <w:fldChar w:fldCharType="begin"/>
      </w:r>
      <w:r w:rsidR="00ED5682" w:rsidRPr="003919A2">
        <w:rPr>
          <w:rFonts w:cstheme="minorHAnsi"/>
          <w:szCs w:val="20"/>
        </w:rPr>
        <w:instrText xml:space="preserve"> REF _Ref43542962 \h </w:instrText>
      </w:r>
      <w:r w:rsidR="002D0436" w:rsidRPr="003919A2">
        <w:rPr>
          <w:rFonts w:cstheme="minorHAnsi"/>
          <w:szCs w:val="20"/>
        </w:rPr>
        <w:instrText xml:space="preserve"> \* MERGEFORMAT </w:instrText>
      </w:r>
      <w:r w:rsidR="00ED5682" w:rsidRPr="003F4F3B">
        <w:rPr>
          <w:rFonts w:cstheme="minorHAnsi"/>
          <w:szCs w:val="20"/>
        </w:rPr>
      </w:r>
      <w:r w:rsidR="00ED5682" w:rsidRPr="003F4F3B">
        <w:rPr>
          <w:rFonts w:cstheme="minorHAnsi"/>
          <w:szCs w:val="20"/>
        </w:rPr>
        <w:fldChar w:fldCharType="separate"/>
      </w:r>
      <w:r w:rsidR="00277F6E" w:rsidRPr="00277F6E">
        <w:t>Table 3</w:t>
      </w:r>
      <w:r w:rsidR="00277F6E" w:rsidRPr="00277F6E">
        <w:noBreakHyphen/>
        <w:t>8</w:t>
      </w:r>
      <w:r w:rsidR="00ED5682" w:rsidRPr="003F4F3B">
        <w:rPr>
          <w:rFonts w:cstheme="minorHAnsi"/>
          <w:szCs w:val="20"/>
        </w:rPr>
        <w:fldChar w:fldCharType="end"/>
      </w:r>
      <w:r w:rsidR="00ED5682">
        <w:rPr>
          <w:rFonts w:cstheme="minorHAnsi"/>
          <w:szCs w:val="20"/>
        </w:rPr>
        <w:t>, DoT has examined whether t</w:t>
      </w:r>
      <w:r w:rsidR="0028653D">
        <w:rPr>
          <w:rFonts w:cstheme="minorHAnsi"/>
          <w:szCs w:val="20"/>
        </w:rPr>
        <w:t>his increase in mechanical failure incidents is attribut</w:t>
      </w:r>
      <w:r w:rsidR="00ED5682">
        <w:rPr>
          <w:rFonts w:cstheme="minorHAnsi"/>
          <w:szCs w:val="20"/>
        </w:rPr>
        <w:t>able</w:t>
      </w:r>
      <w:r w:rsidR="0028653D">
        <w:rPr>
          <w:rFonts w:cstheme="minorHAnsi"/>
          <w:szCs w:val="20"/>
        </w:rPr>
        <w:t xml:space="preserve"> to an increase in the number of buses operating in the bus industry</w:t>
      </w:r>
      <w:r w:rsidR="00ED5682">
        <w:rPr>
          <w:rFonts w:cstheme="minorHAnsi"/>
          <w:szCs w:val="20"/>
        </w:rPr>
        <w:t xml:space="preserve"> or the increase in the aggregate distance travelled by buses in Victoria.</w:t>
      </w:r>
      <w:r w:rsidR="0028653D">
        <w:rPr>
          <w:rFonts w:cstheme="minorHAnsi"/>
          <w:szCs w:val="20"/>
        </w:rPr>
        <w:t xml:space="preserve"> </w:t>
      </w:r>
      <w:r w:rsidR="003F4F3B">
        <w:rPr>
          <w:rFonts w:cstheme="minorHAnsi"/>
          <w:szCs w:val="20"/>
        </w:rPr>
        <w:t>T</w:t>
      </w:r>
      <w:r w:rsidR="002D0436">
        <w:rPr>
          <w:rFonts w:cstheme="minorHAnsi"/>
          <w:szCs w:val="20"/>
        </w:rPr>
        <w:t xml:space="preserve">he increasing number of buses used to provide services in Victoria and the increasing distance travelled by those buses over time </w:t>
      </w:r>
      <w:r w:rsidR="003F4F3B">
        <w:rPr>
          <w:rFonts w:cstheme="minorHAnsi"/>
          <w:szCs w:val="20"/>
        </w:rPr>
        <w:t>could be making a minor contribution to</w:t>
      </w:r>
      <w:r w:rsidR="002D0436">
        <w:rPr>
          <w:rFonts w:cstheme="minorHAnsi"/>
          <w:szCs w:val="20"/>
        </w:rPr>
        <w:t xml:space="preserve"> the increasing number of mechanical failures reported to TSV. R</w:t>
      </w:r>
      <w:r w:rsidR="0028653D">
        <w:rPr>
          <w:rFonts w:cstheme="minorHAnsi"/>
          <w:szCs w:val="20"/>
        </w:rPr>
        <w:t>ather than</w:t>
      </w:r>
      <w:r w:rsidR="002D0436">
        <w:rPr>
          <w:rFonts w:cstheme="minorHAnsi"/>
          <w:szCs w:val="20"/>
        </w:rPr>
        <w:t xml:space="preserve"> being</w:t>
      </w:r>
      <w:r w:rsidR="0028653D">
        <w:rPr>
          <w:rFonts w:cstheme="minorHAnsi"/>
          <w:szCs w:val="20"/>
        </w:rPr>
        <w:t xml:space="preserve"> an indication of an</w:t>
      </w:r>
      <w:r w:rsidR="00C66DB7">
        <w:rPr>
          <w:rFonts w:cstheme="minorHAnsi"/>
          <w:szCs w:val="20"/>
        </w:rPr>
        <w:t>y systemic</w:t>
      </w:r>
      <w:r w:rsidR="0028653D">
        <w:rPr>
          <w:rFonts w:cstheme="minorHAnsi"/>
          <w:szCs w:val="20"/>
        </w:rPr>
        <w:t xml:space="preserve"> underlying failures of </w:t>
      </w:r>
      <w:r w:rsidR="00C66DB7">
        <w:rPr>
          <w:rFonts w:cstheme="minorHAnsi"/>
          <w:szCs w:val="20"/>
        </w:rPr>
        <w:t>vehicle</w:t>
      </w:r>
      <w:r w:rsidR="0028653D">
        <w:rPr>
          <w:rFonts w:cstheme="minorHAnsi"/>
          <w:szCs w:val="20"/>
        </w:rPr>
        <w:t xml:space="preserve"> safety</w:t>
      </w:r>
      <w:r w:rsidR="002D0436">
        <w:rPr>
          <w:rFonts w:cstheme="minorHAnsi"/>
          <w:szCs w:val="20"/>
        </w:rPr>
        <w:t>,</w:t>
      </w:r>
      <w:r w:rsidR="003F4F3B">
        <w:rPr>
          <w:rFonts w:cstheme="minorHAnsi"/>
          <w:szCs w:val="20"/>
        </w:rPr>
        <w:t xml:space="preserve"> this increase could be attributable to greater</w:t>
      </w:r>
      <w:r w:rsidR="003919A2">
        <w:rPr>
          <w:rFonts w:cstheme="minorHAnsi"/>
          <w:szCs w:val="20"/>
        </w:rPr>
        <w:t>, better or more detailed</w:t>
      </w:r>
      <w:r w:rsidR="003F4F3B">
        <w:rPr>
          <w:rFonts w:cstheme="minorHAnsi"/>
          <w:szCs w:val="20"/>
        </w:rPr>
        <w:t xml:space="preserve"> reporting </w:t>
      </w:r>
      <w:r w:rsidR="003919A2">
        <w:rPr>
          <w:rFonts w:cstheme="minorHAnsi"/>
          <w:szCs w:val="20"/>
        </w:rPr>
        <w:t xml:space="preserve">of these incidents </w:t>
      </w:r>
      <w:r w:rsidR="003F4F3B">
        <w:rPr>
          <w:rFonts w:cstheme="minorHAnsi"/>
          <w:szCs w:val="20"/>
        </w:rPr>
        <w:t>to TSV</w:t>
      </w:r>
      <w:r w:rsidR="003919A2">
        <w:rPr>
          <w:rFonts w:cstheme="minorHAnsi"/>
          <w:szCs w:val="20"/>
        </w:rPr>
        <w:t>.</w:t>
      </w:r>
      <w:r w:rsidR="003F4F3B">
        <w:rPr>
          <w:rFonts w:cstheme="minorHAnsi"/>
          <w:szCs w:val="20"/>
        </w:rPr>
        <w:t xml:space="preserve"> </w:t>
      </w:r>
    </w:p>
    <w:p w14:paraId="76A65467" w14:textId="6D12CD44" w:rsidR="00F33C4A" w:rsidRPr="00D36195" w:rsidDel="00B046A2" w:rsidRDefault="00F33C4A" w:rsidP="005E479A">
      <w:pPr>
        <w:pStyle w:val="Caption"/>
        <w:keepNext/>
        <w:spacing w:after="60"/>
        <w:rPr>
          <w:b/>
          <w:i w:val="0"/>
        </w:rPr>
      </w:pPr>
      <w:bookmarkStart w:id="276" w:name="_Ref30086258"/>
      <w:bookmarkStart w:id="277" w:name="_Toc44437359"/>
      <w:bookmarkStart w:id="278" w:name="_Toc44597430"/>
      <w:bookmarkStart w:id="279" w:name="_Toc44597494"/>
      <w:bookmarkStart w:id="280" w:name="_Toc44600064"/>
      <w:bookmarkStart w:id="281" w:name="_Toc44600519"/>
      <w:bookmarkStart w:id="282" w:name="_Toc44600686"/>
      <w:bookmarkStart w:id="283" w:name="_Toc44601183"/>
      <w:bookmarkStart w:id="284" w:name="_Toc44601236"/>
      <w:bookmarkStart w:id="285" w:name="_Toc44603384"/>
      <w:bookmarkStart w:id="286" w:name="_Toc45704432"/>
      <w:r w:rsidRPr="00F33C4A" w:rsidDel="00B046A2">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7</w:t>
      </w:r>
      <w:r w:rsidR="00D2483C">
        <w:rPr>
          <w:b/>
          <w:i w:val="0"/>
        </w:rPr>
        <w:fldChar w:fldCharType="end"/>
      </w:r>
      <w:bookmarkEnd w:id="276"/>
      <w:r w:rsidRPr="00F33C4A" w:rsidDel="00B046A2">
        <w:rPr>
          <w:b/>
          <w:i w:val="0"/>
        </w:rPr>
        <w:t xml:space="preserve">: </w:t>
      </w:r>
      <w:r w:rsidR="003306EA">
        <w:rPr>
          <w:b/>
          <w:i w:val="0"/>
        </w:rPr>
        <w:t>Number</w:t>
      </w:r>
      <w:r w:rsidR="002A1ECB" w:rsidDel="00B046A2">
        <w:rPr>
          <w:b/>
          <w:i w:val="0"/>
        </w:rPr>
        <w:t xml:space="preserve"> of </w:t>
      </w:r>
      <w:r w:rsidRPr="00F33C4A" w:rsidDel="00B046A2">
        <w:rPr>
          <w:b/>
          <w:i w:val="0"/>
        </w:rPr>
        <w:t>mechanical failure</w:t>
      </w:r>
      <w:r w:rsidR="002A1ECB" w:rsidDel="00B046A2">
        <w:rPr>
          <w:b/>
          <w:i w:val="0"/>
        </w:rPr>
        <w:t xml:space="preserve"> incidents</w:t>
      </w:r>
      <w:r w:rsidR="003306EA">
        <w:rPr>
          <w:b/>
          <w:i w:val="0"/>
        </w:rPr>
        <w:t xml:space="preserve"> by type</w:t>
      </w:r>
      <w:r w:rsidRPr="00F33C4A" w:rsidDel="00B046A2">
        <w:rPr>
          <w:b/>
          <w:i w:val="0"/>
        </w:rPr>
        <w:t xml:space="preserve"> </w:t>
      </w:r>
      <w:r w:rsidR="00D36195" w:rsidDel="00B046A2">
        <w:rPr>
          <w:b/>
          <w:i w:val="0"/>
        </w:rPr>
        <w:t>–</w:t>
      </w:r>
      <w:r w:rsidRPr="00F33C4A" w:rsidDel="00B046A2">
        <w:rPr>
          <w:b/>
          <w:i w:val="0"/>
        </w:rPr>
        <w:t xml:space="preserve"> 201</w:t>
      </w:r>
      <w:r w:rsidR="00D36195" w:rsidDel="00B046A2">
        <w:rPr>
          <w:b/>
          <w:i w:val="0"/>
        </w:rPr>
        <w:t>1</w:t>
      </w:r>
      <w:r w:rsidRPr="00F33C4A" w:rsidDel="00B046A2">
        <w:rPr>
          <w:b/>
          <w:i w:val="0"/>
        </w:rPr>
        <w:t>-2019</w:t>
      </w:r>
      <w:bookmarkEnd w:id="277"/>
      <w:bookmarkEnd w:id="278"/>
      <w:bookmarkEnd w:id="279"/>
      <w:bookmarkEnd w:id="280"/>
      <w:bookmarkEnd w:id="281"/>
      <w:bookmarkEnd w:id="282"/>
      <w:bookmarkEnd w:id="283"/>
      <w:bookmarkEnd w:id="284"/>
      <w:bookmarkEnd w:id="285"/>
      <w:bookmarkEnd w:id="286"/>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0"/>
        <w:gridCol w:w="673"/>
        <w:gridCol w:w="673"/>
        <w:gridCol w:w="672"/>
        <w:gridCol w:w="673"/>
        <w:gridCol w:w="672"/>
        <w:gridCol w:w="672"/>
        <w:gridCol w:w="673"/>
        <w:gridCol w:w="672"/>
        <w:gridCol w:w="672"/>
        <w:gridCol w:w="673"/>
      </w:tblGrid>
      <w:tr w:rsidR="00F33C4A" w:rsidRPr="004D3B5C" w:rsidDel="00B046A2" w14:paraId="39C8650F" w14:textId="4BC3DEA1" w:rsidTr="00352F0E">
        <w:trPr>
          <w:cantSplit/>
          <w:trHeight w:val="288"/>
          <w:tblHeader/>
        </w:trPr>
        <w:tc>
          <w:tcPr>
            <w:tcW w:w="2268" w:type="dxa"/>
            <w:shd w:val="clear" w:color="auto" w:fill="D6ECED"/>
            <w:noWrap/>
            <w:vAlign w:val="bottom"/>
            <w:hideMark/>
          </w:tcPr>
          <w:p w14:paraId="6600E562" w14:textId="746B599B" w:rsidR="00F33C4A" w:rsidRPr="004D3B5C" w:rsidDel="00B046A2" w:rsidRDefault="00F33C4A" w:rsidP="00352F0E">
            <w:pPr>
              <w:keepNext/>
              <w:spacing w:before="60" w:after="60"/>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Type of failure</w:t>
            </w:r>
          </w:p>
        </w:tc>
        <w:tc>
          <w:tcPr>
            <w:tcW w:w="666" w:type="dxa"/>
            <w:shd w:val="clear" w:color="auto" w:fill="D6ECED"/>
            <w:noWrap/>
            <w:vAlign w:val="bottom"/>
            <w:hideMark/>
          </w:tcPr>
          <w:p w14:paraId="4B6CC514" w14:textId="6542C499" w:rsidR="00F33C4A" w:rsidRPr="004D3B5C" w:rsidDel="00B046A2" w:rsidRDefault="00F33C4A" w:rsidP="00352F0E">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2011</w:t>
            </w:r>
          </w:p>
        </w:tc>
        <w:tc>
          <w:tcPr>
            <w:tcW w:w="666" w:type="dxa"/>
            <w:shd w:val="clear" w:color="auto" w:fill="D6ECED"/>
            <w:noWrap/>
            <w:vAlign w:val="bottom"/>
            <w:hideMark/>
          </w:tcPr>
          <w:p w14:paraId="26D1805C" w14:textId="50897B9A" w:rsidR="00F33C4A" w:rsidRPr="004D3B5C" w:rsidDel="00B046A2" w:rsidRDefault="00F33C4A" w:rsidP="00352F0E">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2012</w:t>
            </w:r>
          </w:p>
        </w:tc>
        <w:tc>
          <w:tcPr>
            <w:tcW w:w="666" w:type="dxa"/>
            <w:shd w:val="clear" w:color="auto" w:fill="D6ECED"/>
            <w:noWrap/>
            <w:vAlign w:val="bottom"/>
            <w:hideMark/>
          </w:tcPr>
          <w:p w14:paraId="4E361912" w14:textId="4DDBB48B" w:rsidR="00F33C4A" w:rsidRPr="004D3B5C" w:rsidDel="00B046A2" w:rsidRDefault="00F33C4A" w:rsidP="00352F0E">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2013</w:t>
            </w:r>
          </w:p>
        </w:tc>
        <w:tc>
          <w:tcPr>
            <w:tcW w:w="667" w:type="dxa"/>
            <w:shd w:val="clear" w:color="auto" w:fill="D6ECED"/>
            <w:noWrap/>
            <w:vAlign w:val="bottom"/>
            <w:hideMark/>
          </w:tcPr>
          <w:p w14:paraId="0C6CA49A" w14:textId="18D3104E" w:rsidR="00F33C4A" w:rsidRPr="004D3B5C" w:rsidDel="00B046A2" w:rsidRDefault="00F33C4A" w:rsidP="00352F0E">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2014</w:t>
            </w:r>
          </w:p>
        </w:tc>
        <w:tc>
          <w:tcPr>
            <w:tcW w:w="666" w:type="dxa"/>
            <w:shd w:val="clear" w:color="auto" w:fill="D6ECED"/>
            <w:noWrap/>
            <w:vAlign w:val="bottom"/>
            <w:hideMark/>
          </w:tcPr>
          <w:p w14:paraId="3EF37259" w14:textId="516439B1" w:rsidR="00F33C4A" w:rsidRPr="004D3B5C" w:rsidDel="00B046A2" w:rsidRDefault="00F33C4A" w:rsidP="00352F0E">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2015</w:t>
            </w:r>
          </w:p>
        </w:tc>
        <w:tc>
          <w:tcPr>
            <w:tcW w:w="666" w:type="dxa"/>
            <w:shd w:val="clear" w:color="auto" w:fill="D6ECED"/>
            <w:noWrap/>
            <w:vAlign w:val="bottom"/>
            <w:hideMark/>
          </w:tcPr>
          <w:p w14:paraId="1C76A856" w14:textId="411A6D13" w:rsidR="00F33C4A" w:rsidRPr="004D3B5C" w:rsidDel="00B046A2" w:rsidRDefault="00F33C4A" w:rsidP="00352F0E">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2016</w:t>
            </w:r>
          </w:p>
        </w:tc>
        <w:tc>
          <w:tcPr>
            <w:tcW w:w="667" w:type="dxa"/>
            <w:shd w:val="clear" w:color="auto" w:fill="D6ECED"/>
            <w:noWrap/>
            <w:vAlign w:val="bottom"/>
            <w:hideMark/>
          </w:tcPr>
          <w:p w14:paraId="0F24A338" w14:textId="34DB2838" w:rsidR="00F33C4A" w:rsidRPr="004D3B5C" w:rsidDel="00B046A2" w:rsidRDefault="00F33C4A" w:rsidP="00352F0E">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2017</w:t>
            </w:r>
          </w:p>
        </w:tc>
        <w:tc>
          <w:tcPr>
            <w:tcW w:w="666" w:type="dxa"/>
            <w:shd w:val="clear" w:color="auto" w:fill="D6ECED"/>
            <w:noWrap/>
            <w:vAlign w:val="bottom"/>
            <w:hideMark/>
          </w:tcPr>
          <w:p w14:paraId="0B9642C2" w14:textId="39CE3675" w:rsidR="00F33C4A" w:rsidRPr="004D3B5C" w:rsidDel="00B046A2" w:rsidRDefault="00F33C4A" w:rsidP="00352F0E">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2018</w:t>
            </w:r>
          </w:p>
        </w:tc>
        <w:tc>
          <w:tcPr>
            <w:tcW w:w="666" w:type="dxa"/>
            <w:shd w:val="clear" w:color="auto" w:fill="D6ECED"/>
            <w:noWrap/>
            <w:vAlign w:val="bottom"/>
            <w:hideMark/>
          </w:tcPr>
          <w:p w14:paraId="1E8BD4C9" w14:textId="642AEDFB" w:rsidR="00F33C4A" w:rsidRPr="004D3B5C" w:rsidDel="00B046A2" w:rsidRDefault="00F33C4A" w:rsidP="00352F0E">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2019</w:t>
            </w:r>
          </w:p>
        </w:tc>
        <w:tc>
          <w:tcPr>
            <w:tcW w:w="667" w:type="dxa"/>
            <w:shd w:val="clear" w:color="auto" w:fill="D6ECED"/>
            <w:noWrap/>
            <w:vAlign w:val="bottom"/>
            <w:hideMark/>
          </w:tcPr>
          <w:p w14:paraId="756EE15B" w14:textId="27859C24" w:rsidR="00F33C4A" w:rsidRPr="004D3B5C" w:rsidDel="00B046A2" w:rsidRDefault="00F33C4A" w:rsidP="00352F0E">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Total</w:t>
            </w:r>
          </w:p>
        </w:tc>
      </w:tr>
      <w:tr w:rsidR="00F33C4A" w:rsidRPr="004D3B5C" w:rsidDel="00B046A2" w14:paraId="0F21A2DE" w14:textId="2C4CB565" w:rsidTr="00352F0E">
        <w:trPr>
          <w:cantSplit/>
          <w:trHeight w:val="288"/>
        </w:trPr>
        <w:tc>
          <w:tcPr>
            <w:tcW w:w="2268" w:type="dxa"/>
            <w:shd w:val="clear" w:color="auto" w:fill="auto"/>
            <w:noWrap/>
            <w:vAlign w:val="bottom"/>
            <w:hideMark/>
          </w:tcPr>
          <w:p w14:paraId="57D9B3CF" w14:textId="2E50A851" w:rsidR="00F33C4A" w:rsidRPr="004D3B5C" w:rsidDel="00B046A2" w:rsidRDefault="00F33C4A" w:rsidP="00352F0E">
            <w:pPr>
              <w:keepNext/>
              <w:spacing w:before="60" w:after="60"/>
              <w:rPr>
                <w:rFonts w:eastAsia="Times New Roman" w:cstheme="minorHAnsi"/>
                <w:color w:val="000000"/>
                <w:sz w:val="18"/>
                <w:lang w:eastAsia="en-AU"/>
              </w:rPr>
            </w:pPr>
            <w:r w:rsidRPr="004D3B5C" w:rsidDel="00B046A2">
              <w:rPr>
                <w:rFonts w:eastAsia="Times New Roman" w:cstheme="minorHAnsi"/>
                <w:color w:val="000000"/>
                <w:sz w:val="18"/>
                <w:lang w:eastAsia="en-AU"/>
              </w:rPr>
              <w:t>Brakes</w:t>
            </w:r>
          </w:p>
        </w:tc>
        <w:tc>
          <w:tcPr>
            <w:tcW w:w="666" w:type="dxa"/>
            <w:shd w:val="clear" w:color="auto" w:fill="auto"/>
            <w:noWrap/>
            <w:vAlign w:val="bottom"/>
            <w:hideMark/>
          </w:tcPr>
          <w:p w14:paraId="55D3F15A" w14:textId="6AA1AD09"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6" w:type="dxa"/>
            <w:shd w:val="clear" w:color="auto" w:fill="auto"/>
            <w:noWrap/>
            <w:vAlign w:val="bottom"/>
            <w:hideMark/>
          </w:tcPr>
          <w:p w14:paraId="3EDEEBC7" w14:textId="379FCFDD"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6" w:type="dxa"/>
            <w:shd w:val="clear" w:color="auto" w:fill="auto"/>
            <w:noWrap/>
            <w:vAlign w:val="bottom"/>
            <w:hideMark/>
          </w:tcPr>
          <w:p w14:paraId="09080238" w14:textId="08F6304C"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7" w:type="dxa"/>
            <w:shd w:val="clear" w:color="auto" w:fill="auto"/>
            <w:noWrap/>
            <w:vAlign w:val="bottom"/>
            <w:hideMark/>
          </w:tcPr>
          <w:p w14:paraId="1349D86B" w14:textId="22CD9375"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6" w:type="dxa"/>
            <w:shd w:val="clear" w:color="auto" w:fill="auto"/>
            <w:noWrap/>
            <w:vAlign w:val="bottom"/>
            <w:hideMark/>
          </w:tcPr>
          <w:p w14:paraId="13002B95" w14:textId="3A017049"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6" w:type="dxa"/>
            <w:shd w:val="clear" w:color="auto" w:fill="auto"/>
            <w:noWrap/>
            <w:vAlign w:val="bottom"/>
            <w:hideMark/>
          </w:tcPr>
          <w:p w14:paraId="0894BB24" w14:textId="231F0908"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2</w:t>
            </w:r>
          </w:p>
        </w:tc>
        <w:tc>
          <w:tcPr>
            <w:tcW w:w="667" w:type="dxa"/>
            <w:shd w:val="clear" w:color="auto" w:fill="auto"/>
            <w:noWrap/>
            <w:vAlign w:val="bottom"/>
            <w:hideMark/>
          </w:tcPr>
          <w:p w14:paraId="4CDBF68B" w14:textId="3468D39A"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6</w:t>
            </w:r>
          </w:p>
        </w:tc>
        <w:tc>
          <w:tcPr>
            <w:tcW w:w="666" w:type="dxa"/>
            <w:shd w:val="clear" w:color="auto" w:fill="auto"/>
            <w:noWrap/>
            <w:vAlign w:val="bottom"/>
            <w:hideMark/>
          </w:tcPr>
          <w:p w14:paraId="2D8E219E" w14:textId="40615863"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4</w:t>
            </w:r>
          </w:p>
        </w:tc>
        <w:tc>
          <w:tcPr>
            <w:tcW w:w="666" w:type="dxa"/>
            <w:shd w:val="clear" w:color="auto" w:fill="auto"/>
            <w:noWrap/>
            <w:vAlign w:val="bottom"/>
            <w:hideMark/>
          </w:tcPr>
          <w:p w14:paraId="40AC6C30" w14:textId="2083B391"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3</w:t>
            </w:r>
          </w:p>
        </w:tc>
        <w:tc>
          <w:tcPr>
            <w:tcW w:w="667" w:type="dxa"/>
            <w:shd w:val="clear" w:color="auto" w:fill="auto"/>
            <w:noWrap/>
            <w:vAlign w:val="bottom"/>
            <w:hideMark/>
          </w:tcPr>
          <w:p w14:paraId="31BF3359" w14:textId="62492CE8" w:rsidR="00F33C4A" w:rsidRPr="004D3B5C" w:rsidDel="00B046A2" w:rsidRDefault="00F33C4A"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19</w:t>
            </w:r>
          </w:p>
        </w:tc>
      </w:tr>
      <w:tr w:rsidR="00F33C4A" w:rsidRPr="004D3B5C" w:rsidDel="00B046A2" w14:paraId="3788E4B8" w14:textId="4164CF49" w:rsidTr="00352F0E">
        <w:trPr>
          <w:cantSplit/>
          <w:trHeight w:val="288"/>
        </w:trPr>
        <w:tc>
          <w:tcPr>
            <w:tcW w:w="2268" w:type="dxa"/>
            <w:shd w:val="clear" w:color="auto" w:fill="auto"/>
            <w:noWrap/>
            <w:vAlign w:val="bottom"/>
            <w:hideMark/>
          </w:tcPr>
          <w:p w14:paraId="1871E7B5" w14:textId="1002026B" w:rsidR="00F33C4A" w:rsidRPr="004D3B5C" w:rsidDel="00B046A2" w:rsidRDefault="00F33C4A" w:rsidP="00352F0E">
            <w:pPr>
              <w:keepNext/>
              <w:spacing w:before="60" w:after="60"/>
              <w:rPr>
                <w:rFonts w:eastAsia="Times New Roman" w:cstheme="minorHAnsi"/>
                <w:color w:val="000000"/>
                <w:sz w:val="18"/>
                <w:lang w:eastAsia="en-AU"/>
              </w:rPr>
            </w:pPr>
            <w:r w:rsidRPr="004D3B5C" w:rsidDel="00B046A2">
              <w:rPr>
                <w:rFonts w:eastAsia="Times New Roman" w:cstheme="minorHAnsi"/>
                <w:color w:val="000000"/>
                <w:sz w:val="18"/>
                <w:lang w:eastAsia="en-AU"/>
              </w:rPr>
              <w:t>Chassis</w:t>
            </w:r>
          </w:p>
        </w:tc>
        <w:tc>
          <w:tcPr>
            <w:tcW w:w="666" w:type="dxa"/>
            <w:shd w:val="clear" w:color="auto" w:fill="auto"/>
            <w:noWrap/>
            <w:vAlign w:val="bottom"/>
            <w:hideMark/>
          </w:tcPr>
          <w:p w14:paraId="64D2C20D" w14:textId="38238003"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046B4884" w14:textId="44F2D552"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22C990A0" w14:textId="32EE89A6"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7" w:type="dxa"/>
            <w:shd w:val="clear" w:color="auto" w:fill="auto"/>
            <w:noWrap/>
            <w:vAlign w:val="bottom"/>
            <w:hideMark/>
          </w:tcPr>
          <w:p w14:paraId="29BE0518" w14:textId="04237D80"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79D641AE" w14:textId="609242F5"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2BA2B9DB" w14:textId="6523BADC"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7" w:type="dxa"/>
            <w:shd w:val="clear" w:color="auto" w:fill="auto"/>
            <w:noWrap/>
            <w:vAlign w:val="bottom"/>
            <w:hideMark/>
          </w:tcPr>
          <w:p w14:paraId="1CC0D3F6" w14:textId="26C47CCA"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2C905032" w14:textId="5AF41651"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3761611C" w14:textId="6108FF76"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7" w:type="dxa"/>
            <w:shd w:val="clear" w:color="auto" w:fill="auto"/>
            <w:noWrap/>
            <w:vAlign w:val="bottom"/>
            <w:hideMark/>
          </w:tcPr>
          <w:p w14:paraId="2DD74BEF" w14:textId="12863325" w:rsidR="00F33C4A" w:rsidRPr="004D3B5C" w:rsidDel="00B046A2" w:rsidRDefault="00F33C4A"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1</w:t>
            </w:r>
          </w:p>
        </w:tc>
      </w:tr>
      <w:tr w:rsidR="00F33C4A" w:rsidRPr="004D3B5C" w:rsidDel="00B046A2" w14:paraId="4D1A5093" w14:textId="4BE86A2A" w:rsidTr="00352F0E">
        <w:trPr>
          <w:cantSplit/>
          <w:trHeight w:val="288"/>
        </w:trPr>
        <w:tc>
          <w:tcPr>
            <w:tcW w:w="2268" w:type="dxa"/>
            <w:shd w:val="clear" w:color="auto" w:fill="auto"/>
            <w:noWrap/>
            <w:vAlign w:val="bottom"/>
            <w:hideMark/>
          </w:tcPr>
          <w:p w14:paraId="19BB38F8" w14:textId="2DC925B8" w:rsidR="00F33C4A" w:rsidRPr="004D3B5C" w:rsidDel="00B046A2" w:rsidRDefault="00F33C4A" w:rsidP="00352F0E">
            <w:pPr>
              <w:keepNext/>
              <w:spacing w:before="60" w:after="60"/>
              <w:rPr>
                <w:rFonts w:eastAsia="Times New Roman" w:cstheme="minorHAnsi"/>
                <w:color w:val="000000"/>
                <w:sz w:val="18"/>
                <w:lang w:eastAsia="en-AU"/>
              </w:rPr>
            </w:pPr>
            <w:r w:rsidRPr="004D3B5C" w:rsidDel="00B046A2">
              <w:rPr>
                <w:rFonts w:eastAsia="Times New Roman" w:cstheme="minorHAnsi"/>
                <w:color w:val="000000"/>
                <w:sz w:val="18"/>
                <w:lang w:eastAsia="en-AU"/>
              </w:rPr>
              <w:t>Doors</w:t>
            </w:r>
          </w:p>
        </w:tc>
        <w:tc>
          <w:tcPr>
            <w:tcW w:w="666" w:type="dxa"/>
            <w:shd w:val="clear" w:color="auto" w:fill="auto"/>
            <w:noWrap/>
            <w:vAlign w:val="bottom"/>
            <w:hideMark/>
          </w:tcPr>
          <w:p w14:paraId="3E853891" w14:textId="18B8DA8A"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17D7EE8A" w14:textId="73A86EDE"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6" w:type="dxa"/>
            <w:shd w:val="clear" w:color="auto" w:fill="auto"/>
            <w:noWrap/>
            <w:vAlign w:val="bottom"/>
            <w:hideMark/>
          </w:tcPr>
          <w:p w14:paraId="51E6F222" w14:textId="0F6F5E39"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7" w:type="dxa"/>
            <w:shd w:val="clear" w:color="auto" w:fill="auto"/>
            <w:noWrap/>
            <w:vAlign w:val="bottom"/>
            <w:hideMark/>
          </w:tcPr>
          <w:p w14:paraId="23E3DF90" w14:textId="3E7E79B0"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78046FA6" w14:textId="150F2BA2"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5D3C396D" w14:textId="02099F67"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7" w:type="dxa"/>
            <w:shd w:val="clear" w:color="auto" w:fill="auto"/>
            <w:noWrap/>
            <w:vAlign w:val="bottom"/>
            <w:hideMark/>
          </w:tcPr>
          <w:p w14:paraId="6A73E9D4" w14:textId="738474F8"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6" w:type="dxa"/>
            <w:shd w:val="clear" w:color="auto" w:fill="auto"/>
            <w:noWrap/>
            <w:vAlign w:val="bottom"/>
            <w:hideMark/>
          </w:tcPr>
          <w:p w14:paraId="7BDE650B" w14:textId="3B8851AB"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1DD760F1" w14:textId="77B1E575"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7" w:type="dxa"/>
            <w:shd w:val="clear" w:color="auto" w:fill="auto"/>
            <w:noWrap/>
            <w:vAlign w:val="bottom"/>
            <w:hideMark/>
          </w:tcPr>
          <w:p w14:paraId="6AAEC076" w14:textId="2A103C5C" w:rsidR="00F33C4A" w:rsidRPr="004D3B5C" w:rsidDel="00B046A2" w:rsidRDefault="00F33C4A"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3</w:t>
            </w:r>
          </w:p>
        </w:tc>
      </w:tr>
      <w:tr w:rsidR="00F33C4A" w:rsidRPr="004D3B5C" w:rsidDel="00B046A2" w14:paraId="56318C78" w14:textId="1F695D19" w:rsidTr="00352F0E">
        <w:trPr>
          <w:cantSplit/>
          <w:trHeight w:val="288"/>
        </w:trPr>
        <w:tc>
          <w:tcPr>
            <w:tcW w:w="2268" w:type="dxa"/>
            <w:shd w:val="clear" w:color="auto" w:fill="auto"/>
            <w:noWrap/>
            <w:vAlign w:val="bottom"/>
            <w:hideMark/>
          </w:tcPr>
          <w:p w14:paraId="0591EBDA" w14:textId="10C13EEB" w:rsidR="00F33C4A" w:rsidRPr="004D3B5C" w:rsidDel="00B046A2" w:rsidRDefault="00F33C4A" w:rsidP="00352F0E">
            <w:pPr>
              <w:keepNext/>
              <w:spacing w:before="60" w:after="60"/>
              <w:rPr>
                <w:rFonts w:eastAsia="Times New Roman" w:cstheme="minorHAnsi"/>
                <w:color w:val="000000"/>
                <w:sz w:val="18"/>
                <w:lang w:eastAsia="en-AU"/>
              </w:rPr>
            </w:pPr>
            <w:r w:rsidRPr="004D3B5C" w:rsidDel="00B046A2">
              <w:rPr>
                <w:rFonts w:eastAsia="Times New Roman" w:cstheme="minorHAnsi"/>
                <w:color w:val="000000"/>
                <w:sz w:val="18"/>
                <w:lang w:eastAsia="en-AU"/>
              </w:rPr>
              <w:t>Drive train</w:t>
            </w:r>
          </w:p>
        </w:tc>
        <w:tc>
          <w:tcPr>
            <w:tcW w:w="666" w:type="dxa"/>
            <w:shd w:val="clear" w:color="auto" w:fill="auto"/>
            <w:noWrap/>
            <w:vAlign w:val="bottom"/>
            <w:hideMark/>
          </w:tcPr>
          <w:p w14:paraId="4A11B282" w14:textId="6097721E"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23F9F46E" w14:textId="2D01E44F"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4722D336" w14:textId="70384B48"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7" w:type="dxa"/>
            <w:shd w:val="clear" w:color="auto" w:fill="auto"/>
            <w:noWrap/>
            <w:vAlign w:val="bottom"/>
            <w:hideMark/>
          </w:tcPr>
          <w:p w14:paraId="1E0DA1C0" w14:textId="1BB73B50"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6" w:type="dxa"/>
            <w:shd w:val="clear" w:color="auto" w:fill="auto"/>
            <w:noWrap/>
            <w:vAlign w:val="bottom"/>
            <w:hideMark/>
          </w:tcPr>
          <w:p w14:paraId="0C030225" w14:textId="5F6B2010"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6A75EC2D" w14:textId="151C1777"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7" w:type="dxa"/>
            <w:shd w:val="clear" w:color="auto" w:fill="auto"/>
            <w:noWrap/>
            <w:vAlign w:val="bottom"/>
            <w:hideMark/>
          </w:tcPr>
          <w:p w14:paraId="48F27707" w14:textId="71BCDAB6"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18CD2AFA" w14:textId="751F77F1"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11F66DB9" w14:textId="53495442"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7" w:type="dxa"/>
            <w:shd w:val="clear" w:color="auto" w:fill="auto"/>
            <w:noWrap/>
            <w:vAlign w:val="bottom"/>
            <w:hideMark/>
          </w:tcPr>
          <w:p w14:paraId="35DC0ED3" w14:textId="0572C7D8" w:rsidR="00F33C4A" w:rsidRPr="004D3B5C" w:rsidDel="00B046A2" w:rsidRDefault="00F33C4A"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3</w:t>
            </w:r>
          </w:p>
        </w:tc>
      </w:tr>
      <w:tr w:rsidR="00F33C4A" w:rsidRPr="004D3B5C" w:rsidDel="00B046A2" w14:paraId="232C761A" w14:textId="700FE59D" w:rsidTr="00352F0E">
        <w:trPr>
          <w:cantSplit/>
          <w:trHeight w:val="288"/>
        </w:trPr>
        <w:tc>
          <w:tcPr>
            <w:tcW w:w="2268" w:type="dxa"/>
            <w:shd w:val="clear" w:color="auto" w:fill="auto"/>
            <w:noWrap/>
            <w:vAlign w:val="bottom"/>
            <w:hideMark/>
          </w:tcPr>
          <w:p w14:paraId="45E6ACF0" w14:textId="384804AA" w:rsidR="00F33C4A" w:rsidRPr="004D3B5C" w:rsidDel="00B046A2" w:rsidRDefault="00F33C4A" w:rsidP="00352F0E">
            <w:pPr>
              <w:keepNext/>
              <w:spacing w:before="60" w:after="60"/>
              <w:rPr>
                <w:rFonts w:eastAsia="Times New Roman" w:cstheme="minorHAnsi"/>
                <w:color w:val="000000"/>
                <w:sz w:val="18"/>
                <w:lang w:eastAsia="en-AU"/>
              </w:rPr>
            </w:pPr>
            <w:r w:rsidRPr="004D3B5C" w:rsidDel="00B046A2">
              <w:rPr>
                <w:rFonts w:eastAsia="Times New Roman" w:cstheme="minorHAnsi"/>
                <w:color w:val="000000"/>
                <w:sz w:val="18"/>
                <w:lang w:eastAsia="en-AU"/>
              </w:rPr>
              <w:t>Fuel system</w:t>
            </w:r>
          </w:p>
        </w:tc>
        <w:tc>
          <w:tcPr>
            <w:tcW w:w="666" w:type="dxa"/>
            <w:shd w:val="clear" w:color="auto" w:fill="auto"/>
            <w:noWrap/>
            <w:vAlign w:val="bottom"/>
            <w:hideMark/>
          </w:tcPr>
          <w:p w14:paraId="3D8548C2" w14:textId="6DCAF49F"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3D44FE96" w14:textId="7E403D01"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1AE79E9B" w14:textId="01713EDC"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7" w:type="dxa"/>
            <w:shd w:val="clear" w:color="auto" w:fill="auto"/>
            <w:noWrap/>
            <w:vAlign w:val="bottom"/>
            <w:hideMark/>
          </w:tcPr>
          <w:p w14:paraId="42BC592E" w14:textId="70853C2F"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4EB60E61" w14:textId="4262D51B"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395282D2" w14:textId="64963FC1"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7" w:type="dxa"/>
            <w:shd w:val="clear" w:color="auto" w:fill="auto"/>
            <w:noWrap/>
            <w:vAlign w:val="bottom"/>
            <w:hideMark/>
          </w:tcPr>
          <w:p w14:paraId="2D717520" w14:textId="7318ABDF"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74A7275C" w14:textId="14868546"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4B9DF35A" w14:textId="0B664026"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2</w:t>
            </w:r>
          </w:p>
        </w:tc>
        <w:tc>
          <w:tcPr>
            <w:tcW w:w="667" w:type="dxa"/>
            <w:shd w:val="clear" w:color="auto" w:fill="auto"/>
            <w:noWrap/>
            <w:vAlign w:val="bottom"/>
            <w:hideMark/>
          </w:tcPr>
          <w:p w14:paraId="058D9226" w14:textId="5BFC1073" w:rsidR="00F33C4A" w:rsidRPr="004D3B5C" w:rsidDel="00B046A2" w:rsidRDefault="00F33C4A"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2</w:t>
            </w:r>
          </w:p>
        </w:tc>
      </w:tr>
      <w:tr w:rsidR="00F33C4A" w:rsidRPr="004D3B5C" w:rsidDel="00B046A2" w14:paraId="7F37F6CB" w14:textId="25EBD2CE" w:rsidTr="00352F0E">
        <w:trPr>
          <w:cantSplit/>
          <w:trHeight w:val="288"/>
        </w:trPr>
        <w:tc>
          <w:tcPr>
            <w:tcW w:w="2268" w:type="dxa"/>
            <w:shd w:val="clear" w:color="auto" w:fill="auto"/>
            <w:noWrap/>
            <w:vAlign w:val="bottom"/>
            <w:hideMark/>
          </w:tcPr>
          <w:p w14:paraId="3AC964F0" w14:textId="75B77C13" w:rsidR="00F33C4A" w:rsidRPr="004D3B5C" w:rsidDel="00B046A2" w:rsidRDefault="00F33C4A" w:rsidP="00352F0E">
            <w:pPr>
              <w:keepNext/>
              <w:spacing w:before="60" w:after="60"/>
              <w:rPr>
                <w:rFonts w:eastAsia="Times New Roman" w:cstheme="minorHAnsi"/>
                <w:color w:val="000000"/>
                <w:sz w:val="18"/>
                <w:lang w:eastAsia="en-AU"/>
              </w:rPr>
            </w:pPr>
            <w:r w:rsidRPr="004D3B5C" w:rsidDel="00B046A2">
              <w:rPr>
                <w:rFonts w:eastAsia="Times New Roman" w:cstheme="minorHAnsi"/>
                <w:color w:val="000000"/>
                <w:sz w:val="18"/>
                <w:lang w:eastAsia="en-AU"/>
              </w:rPr>
              <w:t>Steering</w:t>
            </w:r>
          </w:p>
        </w:tc>
        <w:tc>
          <w:tcPr>
            <w:tcW w:w="666" w:type="dxa"/>
            <w:shd w:val="clear" w:color="auto" w:fill="auto"/>
            <w:noWrap/>
            <w:vAlign w:val="bottom"/>
            <w:hideMark/>
          </w:tcPr>
          <w:p w14:paraId="5B3229BF" w14:textId="31FE2A9F"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6" w:type="dxa"/>
            <w:shd w:val="clear" w:color="auto" w:fill="auto"/>
            <w:noWrap/>
            <w:vAlign w:val="bottom"/>
            <w:hideMark/>
          </w:tcPr>
          <w:p w14:paraId="2E786712" w14:textId="7EB5F06C"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5C16D97B" w14:textId="277EEBA9"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7" w:type="dxa"/>
            <w:shd w:val="clear" w:color="auto" w:fill="auto"/>
            <w:noWrap/>
            <w:vAlign w:val="bottom"/>
            <w:hideMark/>
          </w:tcPr>
          <w:p w14:paraId="73A22982" w14:textId="4B238BB5"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2F1F5AA9" w14:textId="5C1D0EBF"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6" w:type="dxa"/>
            <w:shd w:val="clear" w:color="auto" w:fill="auto"/>
            <w:noWrap/>
            <w:vAlign w:val="bottom"/>
            <w:hideMark/>
          </w:tcPr>
          <w:p w14:paraId="60E5D7BD" w14:textId="5CE00C19"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7" w:type="dxa"/>
            <w:shd w:val="clear" w:color="auto" w:fill="auto"/>
            <w:noWrap/>
            <w:vAlign w:val="bottom"/>
            <w:hideMark/>
          </w:tcPr>
          <w:p w14:paraId="6C925F66" w14:textId="31D73906"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6" w:type="dxa"/>
            <w:shd w:val="clear" w:color="auto" w:fill="auto"/>
            <w:noWrap/>
            <w:vAlign w:val="bottom"/>
            <w:hideMark/>
          </w:tcPr>
          <w:p w14:paraId="4662C1EB" w14:textId="28B377DE"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55B62392" w14:textId="080A4D94"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7" w:type="dxa"/>
            <w:shd w:val="clear" w:color="auto" w:fill="auto"/>
            <w:noWrap/>
            <w:vAlign w:val="bottom"/>
            <w:hideMark/>
          </w:tcPr>
          <w:p w14:paraId="477F71A7" w14:textId="018D5468" w:rsidR="00F33C4A" w:rsidRPr="004D3B5C" w:rsidDel="00B046A2" w:rsidRDefault="00F33C4A"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5</w:t>
            </w:r>
          </w:p>
        </w:tc>
      </w:tr>
      <w:tr w:rsidR="00F33C4A" w:rsidRPr="004D3B5C" w:rsidDel="00B046A2" w14:paraId="5B071D42" w14:textId="2F4BC231" w:rsidTr="00352F0E">
        <w:trPr>
          <w:cantSplit/>
          <w:trHeight w:val="288"/>
        </w:trPr>
        <w:tc>
          <w:tcPr>
            <w:tcW w:w="2268" w:type="dxa"/>
            <w:shd w:val="clear" w:color="auto" w:fill="auto"/>
            <w:noWrap/>
            <w:vAlign w:val="bottom"/>
            <w:hideMark/>
          </w:tcPr>
          <w:p w14:paraId="2103D5DD" w14:textId="011B171C" w:rsidR="00F33C4A" w:rsidRPr="004D3B5C" w:rsidDel="00B046A2" w:rsidRDefault="00F33C4A" w:rsidP="00352F0E">
            <w:pPr>
              <w:keepNext/>
              <w:spacing w:before="60" w:after="60"/>
              <w:rPr>
                <w:rFonts w:eastAsia="Times New Roman" w:cstheme="minorHAnsi"/>
                <w:color w:val="000000"/>
                <w:sz w:val="18"/>
                <w:lang w:eastAsia="en-AU"/>
              </w:rPr>
            </w:pPr>
            <w:r w:rsidRPr="004D3B5C" w:rsidDel="00B046A2">
              <w:rPr>
                <w:rFonts w:eastAsia="Times New Roman" w:cstheme="minorHAnsi"/>
                <w:color w:val="000000"/>
                <w:sz w:val="18"/>
                <w:lang w:eastAsia="en-AU"/>
              </w:rPr>
              <w:t>Tyres</w:t>
            </w:r>
          </w:p>
        </w:tc>
        <w:tc>
          <w:tcPr>
            <w:tcW w:w="666" w:type="dxa"/>
            <w:shd w:val="clear" w:color="auto" w:fill="auto"/>
            <w:noWrap/>
            <w:vAlign w:val="bottom"/>
            <w:hideMark/>
          </w:tcPr>
          <w:p w14:paraId="2B304C8A" w14:textId="07523915"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76F50805" w14:textId="473621C1"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3</w:t>
            </w:r>
          </w:p>
        </w:tc>
        <w:tc>
          <w:tcPr>
            <w:tcW w:w="666" w:type="dxa"/>
            <w:shd w:val="clear" w:color="auto" w:fill="auto"/>
            <w:noWrap/>
            <w:vAlign w:val="bottom"/>
            <w:hideMark/>
          </w:tcPr>
          <w:p w14:paraId="3141A95E" w14:textId="2C02D61B"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2</w:t>
            </w:r>
          </w:p>
        </w:tc>
        <w:tc>
          <w:tcPr>
            <w:tcW w:w="667" w:type="dxa"/>
            <w:shd w:val="clear" w:color="auto" w:fill="auto"/>
            <w:noWrap/>
            <w:vAlign w:val="bottom"/>
            <w:hideMark/>
          </w:tcPr>
          <w:p w14:paraId="3F0B573C" w14:textId="4187CB1A"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6" w:type="dxa"/>
            <w:shd w:val="clear" w:color="auto" w:fill="auto"/>
            <w:noWrap/>
            <w:vAlign w:val="bottom"/>
            <w:hideMark/>
          </w:tcPr>
          <w:p w14:paraId="311E7BB4" w14:textId="15F628D7"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6" w:type="dxa"/>
            <w:shd w:val="clear" w:color="auto" w:fill="auto"/>
            <w:noWrap/>
            <w:vAlign w:val="bottom"/>
            <w:hideMark/>
          </w:tcPr>
          <w:p w14:paraId="797C793C" w14:textId="7A292A02"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2</w:t>
            </w:r>
          </w:p>
        </w:tc>
        <w:tc>
          <w:tcPr>
            <w:tcW w:w="667" w:type="dxa"/>
            <w:shd w:val="clear" w:color="auto" w:fill="auto"/>
            <w:noWrap/>
            <w:vAlign w:val="bottom"/>
            <w:hideMark/>
          </w:tcPr>
          <w:p w14:paraId="3743F2A0" w14:textId="0D282C35"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3</w:t>
            </w:r>
          </w:p>
        </w:tc>
        <w:tc>
          <w:tcPr>
            <w:tcW w:w="666" w:type="dxa"/>
            <w:shd w:val="clear" w:color="auto" w:fill="auto"/>
            <w:noWrap/>
            <w:vAlign w:val="bottom"/>
            <w:hideMark/>
          </w:tcPr>
          <w:p w14:paraId="44BFB978" w14:textId="54C4838F"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5</w:t>
            </w:r>
          </w:p>
        </w:tc>
        <w:tc>
          <w:tcPr>
            <w:tcW w:w="666" w:type="dxa"/>
            <w:shd w:val="clear" w:color="auto" w:fill="auto"/>
            <w:noWrap/>
            <w:vAlign w:val="bottom"/>
            <w:hideMark/>
          </w:tcPr>
          <w:p w14:paraId="0A3B062A" w14:textId="6F1C06AE"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2</w:t>
            </w:r>
          </w:p>
        </w:tc>
        <w:tc>
          <w:tcPr>
            <w:tcW w:w="667" w:type="dxa"/>
            <w:shd w:val="clear" w:color="auto" w:fill="auto"/>
            <w:noWrap/>
            <w:vAlign w:val="bottom"/>
            <w:hideMark/>
          </w:tcPr>
          <w:p w14:paraId="15683D5F" w14:textId="292298C7" w:rsidR="00F33C4A" w:rsidRPr="004D3B5C" w:rsidDel="00B046A2" w:rsidRDefault="00F33C4A"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19</w:t>
            </w:r>
          </w:p>
        </w:tc>
      </w:tr>
      <w:tr w:rsidR="00F33C4A" w:rsidRPr="004D3B5C" w:rsidDel="00B046A2" w14:paraId="16242125" w14:textId="5F7E39ED" w:rsidTr="00352F0E">
        <w:trPr>
          <w:cantSplit/>
          <w:trHeight w:val="288"/>
        </w:trPr>
        <w:tc>
          <w:tcPr>
            <w:tcW w:w="2268" w:type="dxa"/>
            <w:shd w:val="clear" w:color="auto" w:fill="auto"/>
            <w:noWrap/>
            <w:vAlign w:val="bottom"/>
            <w:hideMark/>
          </w:tcPr>
          <w:p w14:paraId="3AFA4C36" w14:textId="56DF5469" w:rsidR="00F33C4A" w:rsidRPr="004D3B5C" w:rsidDel="00B046A2" w:rsidRDefault="00F33C4A" w:rsidP="00352F0E">
            <w:pPr>
              <w:keepNext/>
              <w:spacing w:before="60" w:after="60"/>
              <w:rPr>
                <w:rFonts w:eastAsia="Times New Roman" w:cstheme="minorHAnsi"/>
                <w:color w:val="000000"/>
                <w:sz w:val="18"/>
                <w:lang w:eastAsia="en-AU"/>
              </w:rPr>
            </w:pPr>
            <w:r w:rsidRPr="004D3B5C" w:rsidDel="00B046A2">
              <w:rPr>
                <w:rFonts w:eastAsia="Times New Roman" w:cstheme="minorHAnsi"/>
                <w:color w:val="000000"/>
                <w:sz w:val="18"/>
                <w:lang w:eastAsia="en-AU"/>
              </w:rPr>
              <w:t>Wheel dislodgement</w:t>
            </w:r>
          </w:p>
        </w:tc>
        <w:tc>
          <w:tcPr>
            <w:tcW w:w="666" w:type="dxa"/>
            <w:shd w:val="clear" w:color="auto" w:fill="auto"/>
            <w:noWrap/>
            <w:vAlign w:val="bottom"/>
            <w:hideMark/>
          </w:tcPr>
          <w:p w14:paraId="2F4A884A" w14:textId="50B6224D" w:rsidR="00F33C4A" w:rsidRPr="004D3B5C" w:rsidDel="00B046A2" w:rsidRDefault="00F33C4A" w:rsidP="00352F0E">
            <w:pPr>
              <w:keepNext/>
              <w:spacing w:before="60" w:after="60"/>
              <w:jc w:val="right"/>
              <w:rPr>
                <w:rFonts w:eastAsia="Times New Roman" w:cstheme="minorHAnsi"/>
                <w:color w:val="000000"/>
                <w:sz w:val="18"/>
                <w:lang w:eastAsia="en-AU"/>
              </w:rPr>
            </w:pPr>
          </w:p>
        </w:tc>
        <w:tc>
          <w:tcPr>
            <w:tcW w:w="666" w:type="dxa"/>
            <w:shd w:val="clear" w:color="auto" w:fill="auto"/>
            <w:noWrap/>
            <w:vAlign w:val="bottom"/>
            <w:hideMark/>
          </w:tcPr>
          <w:p w14:paraId="595B3C19" w14:textId="764EBBDC"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1C1D7449" w14:textId="4589E999"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7" w:type="dxa"/>
            <w:shd w:val="clear" w:color="auto" w:fill="auto"/>
            <w:noWrap/>
            <w:vAlign w:val="bottom"/>
            <w:hideMark/>
          </w:tcPr>
          <w:p w14:paraId="3102C8E5" w14:textId="56D36407"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52E1D1C1" w14:textId="06B14B65"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3C38CDC7" w14:textId="5AA615EA"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7" w:type="dxa"/>
            <w:shd w:val="clear" w:color="auto" w:fill="auto"/>
            <w:noWrap/>
            <w:vAlign w:val="bottom"/>
            <w:hideMark/>
          </w:tcPr>
          <w:p w14:paraId="6A3B1E03" w14:textId="30A3A300"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78FB474E" w14:textId="10B10D8C" w:rsidR="00F33C4A" w:rsidRPr="004D3B5C" w:rsidDel="00B046A2" w:rsidRDefault="00F33C4A" w:rsidP="00352F0E">
            <w:pPr>
              <w:keepNext/>
              <w:spacing w:before="60" w:after="60"/>
              <w:jc w:val="right"/>
              <w:rPr>
                <w:rFonts w:eastAsia="Times New Roman" w:cstheme="minorHAnsi"/>
                <w:color w:val="auto"/>
                <w:sz w:val="18"/>
                <w:lang w:eastAsia="en-AU"/>
              </w:rPr>
            </w:pPr>
          </w:p>
        </w:tc>
        <w:tc>
          <w:tcPr>
            <w:tcW w:w="666" w:type="dxa"/>
            <w:shd w:val="clear" w:color="auto" w:fill="auto"/>
            <w:noWrap/>
            <w:vAlign w:val="bottom"/>
            <w:hideMark/>
          </w:tcPr>
          <w:p w14:paraId="5AEB82F4" w14:textId="79984D7D" w:rsidR="00F33C4A" w:rsidRPr="004D3B5C" w:rsidDel="00B046A2" w:rsidRDefault="00F33C4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w:t>
            </w:r>
          </w:p>
        </w:tc>
        <w:tc>
          <w:tcPr>
            <w:tcW w:w="667" w:type="dxa"/>
            <w:shd w:val="clear" w:color="auto" w:fill="auto"/>
            <w:noWrap/>
            <w:vAlign w:val="bottom"/>
            <w:hideMark/>
          </w:tcPr>
          <w:p w14:paraId="180BC227" w14:textId="09676AF0" w:rsidR="00F33C4A" w:rsidRPr="004D3B5C" w:rsidDel="00B046A2" w:rsidRDefault="00F33C4A"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1</w:t>
            </w:r>
          </w:p>
        </w:tc>
      </w:tr>
      <w:tr w:rsidR="00EB4D7A" w:rsidRPr="004D3B5C" w:rsidDel="00B046A2" w14:paraId="1F3E4782" w14:textId="2B489395" w:rsidTr="00352F0E">
        <w:trPr>
          <w:cantSplit/>
          <w:trHeight w:val="288"/>
        </w:trPr>
        <w:tc>
          <w:tcPr>
            <w:tcW w:w="2268" w:type="dxa"/>
            <w:shd w:val="clear" w:color="auto" w:fill="auto"/>
            <w:noWrap/>
            <w:vAlign w:val="bottom"/>
          </w:tcPr>
          <w:p w14:paraId="5E5A5BE2" w14:textId="4F5E0C3E" w:rsidR="00EB4D7A" w:rsidRPr="004D3B5C" w:rsidDel="00B046A2" w:rsidRDefault="00EB4D7A" w:rsidP="00352F0E">
            <w:pPr>
              <w:keepNext/>
              <w:spacing w:before="60" w:after="60"/>
              <w:rPr>
                <w:rFonts w:eastAsia="Times New Roman" w:cstheme="minorHAnsi"/>
                <w:color w:val="000000"/>
                <w:sz w:val="18"/>
                <w:lang w:eastAsia="en-AU"/>
              </w:rPr>
            </w:pPr>
            <w:r w:rsidRPr="004D3B5C" w:rsidDel="00B046A2">
              <w:rPr>
                <w:rFonts w:eastAsia="Times New Roman" w:cstheme="minorHAnsi"/>
                <w:color w:val="000000"/>
                <w:sz w:val="18"/>
                <w:lang w:eastAsia="en-AU"/>
              </w:rPr>
              <w:t>Other</w:t>
            </w:r>
            <w:r w:rsidR="005040E9">
              <w:rPr>
                <w:rStyle w:val="FootnoteReference"/>
                <w:rFonts w:eastAsia="Times New Roman" w:cstheme="minorHAnsi"/>
                <w:color w:val="000000"/>
                <w:sz w:val="18"/>
                <w:lang w:eastAsia="en-AU"/>
              </w:rPr>
              <w:footnoteReference w:id="5"/>
            </w:r>
          </w:p>
        </w:tc>
        <w:tc>
          <w:tcPr>
            <w:tcW w:w="666" w:type="dxa"/>
            <w:shd w:val="clear" w:color="auto" w:fill="auto"/>
            <w:noWrap/>
            <w:vAlign w:val="bottom"/>
          </w:tcPr>
          <w:p w14:paraId="4B83D973" w14:textId="49C413CD" w:rsidR="00EB4D7A" w:rsidRPr="004D3B5C" w:rsidDel="00B046A2" w:rsidRDefault="00EB4D7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6</w:t>
            </w:r>
          </w:p>
        </w:tc>
        <w:tc>
          <w:tcPr>
            <w:tcW w:w="666" w:type="dxa"/>
            <w:shd w:val="clear" w:color="auto" w:fill="auto"/>
            <w:noWrap/>
            <w:vAlign w:val="bottom"/>
          </w:tcPr>
          <w:p w14:paraId="1C39DD48" w14:textId="491A6030" w:rsidR="00EB4D7A" w:rsidRPr="004D3B5C" w:rsidDel="00B046A2" w:rsidRDefault="00EB4D7A" w:rsidP="00352F0E">
            <w:pPr>
              <w:keepNext/>
              <w:spacing w:before="60" w:after="60"/>
              <w:jc w:val="right"/>
              <w:rPr>
                <w:rFonts w:eastAsia="Times New Roman" w:cstheme="minorHAnsi"/>
                <w:color w:val="auto"/>
                <w:sz w:val="18"/>
                <w:lang w:eastAsia="en-AU"/>
              </w:rPr>
            </w:pPr>
            <w:r w:rsidRPr="004D3B5C" w:rsidDel="00B046A2">
              <w:rPr>
                <w:rFonts w:eastAsia="Times New Roman" w:cstheme="minorHAnsi"/>
                <w:color w:val="000000"/>
                <w:sz w:val="18"/>
                <w:lang w:eastAsia="en-AU"/>
              </w:rPr>
              <w:t>7</w:t>
            </w:r>
          </w:p>
        </w:tc>
        <w:tc>
          <w:tcPr>
            <w:tcW w:w="666" w:type="dxa"/>
            <w:shd w:val="clear" w:color="auto" w:fill="auto"/>
            <w:noWrap/>
            <w:vAlign w:val="bottom"/>
          </w:tcPr>
          <w:p w14:paraId="72EAD816" w14:textId="6769448E" w:rsidR="00EB4D7A" w:rsidRPr="004D3B5C" w:rsidDel="00B046A2" w:rsidRDefault="00EB4D7A" w:rsidP="00352F0E">
            <w:pPr>
              <w:keepNext/>
              <w:spacing w:before="60" w:after="60"/>
              <w:jc w:val="right"/>
              <w:rPr>
                <w:rFonts w:eastAsia="Times New Roman" w:cstheme="minorHAnsi"/>
                <w:color w:val="auto"/>
                <w:sz w:val="18"/>
                <w:lang w:eastAsia="en-AU"/>
              </w:rPr>
            </w:pPr>
            <w:r w:rsidRPr="004D3B5C" w:rsidDel="00B046A2">
              <w:rPr>
                <w:rFonts w:eastAsia="Times New Roman" w:cstheme="minorHAnsi"/>
                <w:color w:val="000000"/>
                <w:sz w:val="18"/>
                <w:lang w:eastAsia="en-AU"/>
              </w:rPr>
              <w:t>4</w:t>
            </w:r>
          </w:p>
        </w:tc>
        <w:tc>
          <w:tcPr>
            <w:tcW w:w="667" w:type="dxa"/>
            <w:shd w:val="clear" w:color="auto" w:fill="auto"/>
            <w:noWrap/>
            <w:vAlign w:val="bottom"/>
          </w:tcPr>
          <w:p w14:paraId="3670C864" w14:textId="2FAA8116" w:rsidR="00EB4D7A" w:rsidRPr="004D3B5C" w:rsidDel="00B046A2" w:rsidRDefault="00EB4D7A" w:rsidP="00352F0E">
            <w:pPr>
              <w:keepNext/>
              <w:spacing w:before="60" w:after="60"/>
              <w:jc w:val="right"/>
              <w:rPr>
                <w:rFonts w:eastAsia="Times New Roman" w:cstheme="minorHAnsi"/>
                <w:color w:val="auto"/>
                <w:sz w:val="18"/>
                <w:lang w:eastAsia="en-AU"/>
              </w:rPr>
            </w:pPr>
            <w:r w:rsidRPr="004D3B5C" w:rsidDel="00B046A2">
              <w:rPr>
                <w:rFonts w:eastAsia="Times New Roman" w:cstheme="minorHAnsi"/>
                <w:color w:val="000000"/>
                <w:sz w:val="18"/>
                <w:lang w:eastAsia="en-AU"/>
              </w:rPr>
              <w:t>3</w:t>
            </w:r>
          </w:p>
        </w:tc>
        <w:tc>
          <w:tcPr>
            <w:tcW w:w="666" w:type="dxa"/>
            <w:shd w:val="clear" w:color="auto" w:fill="auto"/>
            <w:noWrap/>
            <w:vAlign w:val="bottom"/>
          </w:tcPr>
          <w:p w14:paraId="1FC47CAC" w14:textId="5F6B7C2A" w:rsidR="00EB4D7A" w:rsidRPr="004D3B5C" w:rsidDel="00B046A2" w:rsidRDefault="00EB4D7A" w:rsidP="00352F0E">
            <w:pPr>
              <w:keepNext/>
              <w:spacing w:before="60" w:after="60"/>
              <w:jc w:val="right"/>
              <w:rPr>
                <w:rFonts w:eastAsia="Times New Roman" w:cstheme="minorHAnsi"/>
                <w:color w:val="auto"/>
                <w:sz w:val="18"/>
                <w:lang w:eastAsia="en-AU"/>
              </w:rPr>
            </w:pPr>
            <w:r w:rsidRPr="004D3B5C" w:rsidDel="00B046A2">
              <w:rPr>
                <w:rFonts w:eastAsia="Times New Roman" w:cstheme="minorHAnsi"/>
                <w:color w:val="000000"/>
                <w:sz w:val="18"/>
                <w:lang w:eastAsia="en-AU"/>
              </w:rPr>
              <w:t>7</w:t>
            </w:r>
          </w:p>
        </w:tc>
        <w:tc>
          <w:tcPr>
            <w:tcW w:w="666" w:type="dxa"/>
            <w:shd w:val="clear" w:color="auto" w:fill="auto"/>
            <w:noWrap/>
            <w:vAlign w:val="bottom"/>
          </w:tcPr>
          <w:p w14:paraId="4FEF8BE1" w14:textId="1727C792" w:rsidR="00EB4D7A" w:rsidRPr="004D3B5C" w:rsidDel="00B046A2" w:rsidRDefault="00EB4D7A" w:rsidP="00352F0E">
            <w:pPr>
              <w:keepNext/>
              <w:spacing w:before="60" w:after="60"/>
              <w:jc w:val="right"/>
              <w:rPr>
                <w:rFonts w:eastAsia="Times New Roman" w:cstheme="minorHAnsi"/>
                <w:color w:val="auto"/>
                <w:sz w:val="18"/>
                <w:lang w:eastAsia="en-AU"/>
              </w:rPr>
            </w:pPr>
            <w:r w:rsidRPr="004D3B5C" w:rsidDel="00B046A2">
              <w:rPr>
                <w:rFonts w:eastAsia="Times New Roman" w:cstheme="minorHAnsi"/>
                <w:color w:val="000000"/>
                <w:sz w:val="18"/>
                <w:lang w:eastAsia="en-AU"/>
              </w:rPr>
              <w:t>10</w:t>
            </w:r>
          </w:p>
        </w:tc>
        <w:tc>
          <w:tcPr>
            <w:tcW w:w="667" w:type="dxa"/>
            <w:shd w:val="clear" w:color="auto" w:fill="auto"/>
            <w:noWrap/>
            <w:vAlign w:val="bottom"/>
          </w:tcPr>
          <w:p w14:paraId="33D615D3" w14:textId="1DAEFE0D" w:rsidR="00EB4D7A" w:rsidRPr="004D3B5C" w:rsidDel="00B046A2" w:rsidRDefault="00EB4D7A" w:rsidP="00352F0E">
            <w:pPr>
              <w:keepNext/>
              <w:spacing w:before="60" w:after="60"/>
              <w:jc w:val="right"/>
              <w:rPr>
                <w:rFonts w:eastAsia="Times New Roman" w:cstheme="minorHAnsi"/>
                <w:color w:val="auto"/>
                <w:sz w:val="18"/>
                <w:lang w:eastAsia="en-AU"/>
              </w:rPr>
            </w:pPr>
            <w:r w:rsidRPr="004D3B5C" w:rsidDel="00B046A2">
              <w:rPr>
                <w:rFonts w:eastAsia="Times New Roman" w:cstheme="minorHAnsi"/>
                <w:color w:val="000000"/>
                <w:sz w:val="18"/>
                <w:lang w:eastAsia="en-AU"/>
              </w:rPr>
              <w:t>14</w:t>
            </w:r>
          </w:p>
        </w:tc>
        <w:tc>
          <w:tcPr>
            <w:tcW w:w="666" w:type="dxa"/>
            <w:shd w:val="clear" w:color="auto" w:fill="auto"/>
            <w:noWrap/>
            <w:vAlign w:val="bottom"/>
          </w:tcPr>
          <w:p w14:paraId="37100663" w14:textId="1EF326D2" w:rsidR="00EB4D7A" w:rsidRPr="004D3B5C" w:rsidDel="00B046A2" w:rsidRDefault="00EB4D7A" w:rsidP="00352F0E">
            <w:pPr>
              <w:keepNext/>
              <w:spacing w:before="60" w:after="60"/>
              <w:jc w:val="right"/>
              <w:rPr>
                <w:rFonts w:eastAsia="Times New Roman" w:cstheme="minorHAnsi"/>
                <w:color w:val="auto"/>
                <w:sz w:val="18"/>
                <w:lang w:eastAsia="en-AU"/>
              </w:rPr>
            </w:pPr>
            <w:r w:rsidRPr="004D3B5C" w:rsidDel="00B046A2">
              <w:rPr>
                <w:rFonts w:eastAsia="Times New Roman" w:cstheme="minorHAnsi"/>
                <w:color w:val="000000"/>
                <w:sz w:val="18"/>
                <w:lang w:eastAsia="en-AU"/>
              </w:rPr>
              <w:t>18</w:t>
            </w:r>
          </w:p>
        </w:tc>
        <w:tc>
          <w:tcPr>
            <w:tcW w:w="666" w:type="dxa"/>
            <w:shd w:val="clear" w:color="auto" w:fill="auto"/>
            <w:noWrap/>
            <w:vAlign w:val="bottom"/>
          </w:tcPr>
          <w:p w14:paraId="7CD1C96C" w14:textId="35A24271" w:rsidR="00EB4D7A" w:rsidRPr="004D3B5C" w:rsidDel="00B046A2" w:rsidRDefault="00EB4D7A" w:rsidP="00352F0E">
            <w:pPr>
              <w:keepNext/>
              <w:spacing w:before="60" w:after="60"/>
              <w:jc w:val="right"/>
              <w:rPr>
                <w:rFonts w:eastAsia="Times New Roman" w:cstheme="minorHAnsi"/>
                <w:color w:val="000000"/>
                <w:sz w:val="18"/>
                <w:lang w:eastAsia="en-AU"/>
              </w:rPr>
            </w:pPr>
            <w:r w:rsidRPr="004D3B5C" w:rsidDel="00B046A2">
              <w:rPr>
                <w:rFonts w:eastAsia="Times New Roman" w:cstheme="minorHAnsi"/>
                <w:color w:val="000000"/>
                <w:sz w:val="18"/>
                <w:lang w:eastAsia="en-AU"/>
              </w:rPr>
              <w:t>12</w:t>
            </w:r>
          </w:p>
        </w:tc>
        <w:tc>
          <w:tcPr>
            <w:tcW w:w="667" w:type="dxa"/>
            <w:shd w:val="clear" w:color="auto" w:fill="auto"/>
            <w:noWrap/>
            <w:vAlign w:val="bottom"/>
          </w:tcPr>
          <w:p w14:paraId="17291CB0" w14:textId="72686DC8" w:rsidR="00EB4D7A" w:rsidRPr="004D3B5C" w:rsidDel="00B046A2" w:rsidRDefault="00EB4D7A"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81</w:t>
            </w:r>
          </w:p>
        </w:tc>
      </w:tr>
      <w:tr w:rsidR="00EB4D7A" w:rsidRPr="004D3B5C" w:rsidDel="00B046A2" w14:paraId="50838CB6" w14:textId="6AFD2D6A" w:rsidTr="00352F0E">
        <w:trPr>
          <w:cantSplit/>
          <w:trHeight w:val="288"/>
        </w:trPr>
        <w:tc>
          <w:tcPr>
            <w:tcW w:w="2268" w:type="dxa"/>
            <w:shd w:val="clear" w:color="auto" w:fill="D6ECED"/>
            <w:noWrap/>
            <w:vAlign w:val="bottom"/>
          </w:tcPr>
          <w:p w14:paraId="120575EF" w14:textId="6CFBC1D5" w:rsidR="00EB4D7A" w:rsidRPr="004D3B5C" w:rsidDel="00B046A2" w:rsidRDefault="00EB4D7A" w:rsidP="00352F0E">
            <w:pPr>
              <w:keepNext/>
              <w:spacing w:before="60" w:after="60"/>
              <w:rPr>
                <w:rFonts w:eastAsia="Times New Roman" w:cstheme="minorHAnsi"/>
                <w:b/>
                <w:color w:val="000000"/>
                <w:sz w:val="18"/>
                <w:lang w:eastAsia="en-AU"/>
              </w:rPr>
            </w:pPr>
            <w:r w:rsidRPr="004D3B5C" w:rsidDel="00B046A2">
              <w:rPr>
                <w:rFonts w:eastAsia="Times New Roman" w:cstheme="minorHAnsi"/>
                <w:b/>
                <w:color w:val="000000"/>
                <w:sz w:val="18"/>
                <w:lang w:eastAsia="en-AU"/>
              </w:rPr>
              <w:t>Total</w:t>
            </w:r>
          </w:p>
        </w:tc>
        <w:tc>
          <w:tcPr>
            <w:tcW w:w="666" w:type="dxa"/>
            <w:shd w:val="clear" w:color="auto" w:fill="D6ECED"/>
            <w:noWrap/>
            <w:vAlign w:val="bottom"/>
          </w:tcPr>
          <w:p w14:paraId="768A1302" w14:textId="11CEE147" w:rsidR="00EB4D7A" w:rsidRPr="004D3B5C" w:rsidDel="00B046A2" w:rsidRDefault="00773CFB"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8</w:t>
            </w:r>
          </w:p>
        </w:tc>
        <w:tc>
          <w:tcPr>
            <w:tcW w:w="666" w:type="dxa"/>
            <w:shd w:val="clear" w:color="auto" w:fill="D6ECED"/>
            <w:noWrap/>
            <w:vAlign w:val="bottom"/>
          </w:tcPr>
          <w:p w14:paraId="2A0834FB" w14:textId="01A839FD" w:rsidR="00EB4D7A" w:rsidRPr="004D3B5C" w:rsidDel="00B046A2" w:rsidRDefault="00773CFB"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12</w:t>
            </w:r>
          </w:p>
        </w:tc>
        <w:tc>
          <w:tcPr>
            <w:tcW w:w="666" w:type="dxa"/>
            <w:shd w:val="clear" w:color="auto" w:fill="D6ECED"/>
            <w:noWrap/>
            <w:vAlign w:val="bottom"/>
          </w:tcPr>
          <w:p w14:paraId="17E54166" w14:textId="0854F65B" w:rsidR="00EB4D7A" w:rsidRPr="004D3B5C" w:rsidDel="00B046A2" w:rsidRDefault="00773CFB"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9</w:t>
            </w:r>
          </w:p>
        </w:tc>
        <w:tc>
          <w:tcPr>
            <w:tcW w:w="667" w:type="dxa"/>
            <w:shd w:val="clear" w:color="auto" w:fill="D6ECED"/>
            <w:noWrap/>
            <w:vAlign w:val="bottom"/>
          </w:tcPr>
          <w:p w14:paraId="510AB315" w14:textId="289D8678" w:rsidR="00EB4D7A" w:rsidRPr="004D3B5C" w:rsidDel="00B046A2" w:rsidRDefault="00773CFB"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6</w:t>
            </w:r>
          </w:p>
        </w:tc>
        <w:tc>
          <w:tcPr>
            <w:tcW w:w="666" w:type="dxa"/>
            <w:shd w:val="clear" w:color="auto" w:fill="D6ECED"/>
            <w:noWrap/>
            <w:vAlign w:val="bottom"/>
          </w:tcPr>
          <w:p w14:paraId="2284FBFB" w14:textId="2E609AFA" w:rsidR="00EB4D7A" w:rsidRPr="004D3B5C" w:rsidDel="00B046A2" w:rsidRDefault="00773CFB"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10</w:t>
            </w:r>
          </w:p>
        </w:tc>
        <w:tc>
          <w:tcPr>
            <w:tcW w:w="666" w:type="dxa"/>
            <w:shd w:val="clear" w:color="auto" w:fill="D6ECED"/>
            <w:noWrap/>
            <w:vAlign w:val="bottom"/>
          </w:tcPr>
          <w:p w14:paraId="62C38D5F" w14:textId="14EF498B" w:rsidR="00EB4D7A" w:rsidRPr="004D3B5C" w:rsidDel="00B046A2" w:rsidRDefault="00773CFB"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17</w:t>
            </w:r>
          </w:p>
        </w:tc>
        <w:tc>
          <w:tcPr>
            <w:tcW w:w="667" w:type="dxa"/>
            <w:shd w:val="clear" w:color="auto" w:fill="D6ECED"/>
            <w:noWrap/>
            <w:vAlign w:val="bottom"/>
          </w:tcPr>
          <w:p w14:paraId="03135067" w14:textId="0426307B" w:rsidR="00EB4D7A" w:rsidRPr="004D3B5C" w:rsidDel="00B046A2" w:rsidRDefault="00773CFB"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25</w:t>
            </w:r>
          </w:p>
        </w:tc>
        <w:tc>
          <w:tcPr>
            <w:tcW w:w="666" w:type="dxa"/>
            <w:shd w:val="clear" w:color="auto" w:fill="D6ECED"/>
            <w:noWrap/>
            <w:vAlign w:val="bottom"/>
          </w:tcPr>
          <w:p w14:paraId="17003F8F" w14:textId="583E9C0A" w:rsidR="00EB4D7A" w:rsidRPr="004D3B5C" w:rsidDel="00B046A2" w:rsidRDefault="00773CFB"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27</w:t>
            </w:r>
          </w:p>
        </w:tc>
        <w:tc>
          <w:tcPr>
            <w:tcW w:w="666" w:type="dxa"/>
            <w:shd w:val="clear" w:color="auto" w:fill="D6ECED"/>
            <w:noWrap/>
            <w:vAlign w:val="bottom"/>
          </w:tcPr>
          <w:p w14:paraId="7F931702" w14:textId="7830157F" w:rsidR="00EB4D7A" w:rsidRPr="004D3B5C" w:rsidDel="00B046A2" w:rsidRDefault="00773CFB"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20</w:t>
            </w:r>
          </w:p>
        </w:tc>
        <w:tc>
          <w:tcPr>
            <w:tcW w:w="667" w:type="dxa"/>
            <w:shd w:val="clear" w:color="auto" w:fill="D6ECED"/>
            <w:noWrap/>
            <w:vAlign w:val="bottom"/>
          </w:tcPr>
          <w:p w14:paraId="48E69233" w14:textId="3BDB66A2" w:rsidR="00EB4D7A" w:rsidRPr="004D3B5C" w:rsidDel="00B046A2" w:rsidRDefault="00F537F2" w:rsidP="00352F0E">
            <w:pPr>
              <w:keepNext/>
              <w:spacing w:before="60" w:after="60"/>
              <w:jc w:val="right"/>
              <w:rPr>
                <w:rFonts w:eastAsia="Times New Roman" w:cstheme="minorHAnsi"/>
                <w:b/>
                <w:color w:val="000000"/>
                <w:sz w:val="18"/>
                <w:lang w:eastAsia="en-AU"/>
              </w:rPr>
            </w:pPr>
            <w:r w:rsidRPr="004D3B5C" w:rsidDel="00B046A2">
              <w:rPr>
                <w:rFonts w:eastAsia="Times New Roman" w:cstheme="minorHAnsi"/>
                <w:b/>
                <w:color w:val="000000"/>
                <w:sz w:val="18"/>
                <w:lang w:eastAsia="en-AU"/>
              </w:rPr>
              <w:t>134</w:t>
            </w:r>
          </w:p>
        </w:tc>
      </w:tr>
    </w:tbl>
    <w:p w14:paraId="639E007C" w14:textId="45C3A51E" w:rsidR="00E602CF" w:rsidRPr="00091496" w:rsidRDefault="00E602CF" w:rsidP="00091496">
      <w:pPr>
        <w:spacing w:before="40"/>
        <w:rPr>
          <w:sz w:val="16"/>
          <w:szCs w:val="16"/>
        </w:rPr>
      </w:pPr>
      <w:r w:rsidRPr="00091496">
        <w:rPr>
          <w:sz w:val="16"/>
          <w:szCs w:val="16"/>
        </w:rPr>
        <w:t>Source: TSV</w:t>
      </w:r>
    </w:p>
    <w:p w14:paraId="0777F114" w14:textId="21AF7812" w:rsidR="00565193" w:rsidRDefault="00E26948" w:rsidP="00565193">
      <w:pPr>
        <w:rPr>
          <w:rFonts w:cstheme="minorHAnsi"/>
          <w:color w:val="auto"/>
          <w:szCs w:val="20"/>
        </w:rPr>
      </w:pPr>
      <w:r>
        <w:rPr>
          <w:rFonts w:cstheme="minorHAnsi"/>
          <w:color w:val="auto"/>
          <w:szCs w:val="20"/>
        </w:rPr>
        <w:t>Given the continuing occurrence of mechanical failures</w:t>
      </w:r>
      <w:r w:rsidR="00D3327D">
        <w:rPr>
          <w:rFonts w:cstheme="minorHAnsi"/>
          <w:color w:val="auto"/>
          <w:szCs w:val="20"/>
        </w:rPr>
        <w:t xml:space="preserve">, </w:t>
      </w:r>
      <w:r w:rsidR="00D3327D">
        <w:rPr>
          <w:rFonts w:cstheme="minorHAnsi"/>
          <w:szCs w:val="20"/>
        </w:rPr>
        <w:t>noting that these failures have still occurred within the context of the existing legislative and regulatory framework relating to vehicle safety</w:t>
      </w:r>
      <w:r>
        <w:rPr>
          <w:rFonts w:cstheme="minorHAnsi"/>
          <w:color w:val="auto"/>
          <w:szCs w:val="20"/>
        </w:rPr>
        <w:t xml:space="preserve">, </w:t>
      </w:r>
      <w:r w:rsidR="00DA03B6">
        <w:rPr>
          <w:rFonts w:cstheme="minorHAnsi"/>
          <w:color w:val="auto"/>
          <w:szCs w:val="20"/>
        </w:rPr>
        <w:t>DoT</w:t>
      </w:r>
      <w:r w:rsidR="000A5C15" w:rsidRPr="00565193">
        <w:rPr>
          <w:rFonts w:cstheme="minorHAnsi"/>
          <w:color w:val="auto"/>
          <w:szCs w:val="20"/>
        </w:rPr>
        <w:t xml:space="preserve"> considers</w:t>
      </w:r>
      <w:r w:rsidR="00F610C9">
        <w:rPr>
          <w:rFonts w:cstheme="minorHAnsi"/>
          <w:color w:val="auto"/>
          <w:szCs w:val="20"/>
        </w:rPr>
        <w:t xml:space="preserve"> that regulatory intervention </w:t>
      </w:r>
      <w:r w:rsidR="00DA03B6">
        <w:rPr>
          <w:rFonts w:cstheme="minorHAnsi"/>
          <w:color w:val="auto"/>
          <w:szCs w:val="20"/>
        </w:rPr>
        <w:t xml:space="preserve">is </w:t>
      </w:r>
      <w:r w:rsidR="00A0325B">
        <w:rPr>
          <w:rFonts w:cstheme="minorHAnsi"/>
          <w:color w:val="auto"/>
          <w:szCs w:val="20"/>
        </w:rPr>
        <w:t xml:space="preserve">still </w:t>
      </w:r>
      <w:r w:rsidR="00DA03B6">
        <w:rPr>
          <w:rFonts w:cstheme="minorHAnsi"/>
          <w:color w:val="auto"/>
          <w:szCs w:val="20"/>
        </w:rPr>
        <w:t>required</w:t>
      </w:r>
      <w:r w:rsidR="00F610C9">
        <w:rPr>
          <w:rFonts w:cstheme="minorHAnsi"/>
          <w:color w:val="auto"/>
          <w:szCs w:val="20"/>
        </w:rPr>
        <w:t>.</w:t>
      </w:r>
      <w:r w:rsidR="001E1D99">
        <w:rPr>
          <w:rFonts w:cstheme="minorHAnsi"/>
          <w:color w:val="auto"/>
          <w:szCs w:val="20"/>
        </w:rPr>
        <w:t xml:space="preserve"> R</w:t>
      </w:r>
      <w:r w:rsidR="00B81CE0">
        <w:rPr>
          <w:rFonts w:cstheme="minorHAnsi"/>
          <w:color w:val="auto"/>
          <w:szCs w:val="20"/>
        </w:rPr>
        <w:t xml:space="preserve">egulatory intervention </w:t>
      </w:r>
      <w:r w:rsidR="001E1D99">
        <w:rPr>
          <w:rFonts w:cstheme="minorHAnsi"/>
          <w:color w:val="auto"/>
          <w:szCs w:val="20"/>
        </w:rPr>
        <w:t>will</w:t>
      </w:r>
      <w:r w:rsidR="00B81CE0">
        <w:rPr>
          <w:rFonts w:cstheme="minorHAnsi"/>
          <w:color w:val="auto"/>
          <w:szCs w:val="20"/>
        </w:rPr>
        <w:t xml:space="preserve"> largely </w:t>
      </w:r>
      <w:r w:rsidR="00F610C9">
        <w:rPr>
          <w:rFonts w:cstheme="minorHAnsi"/>
          <w:color w:val="auto"/>
          <w:szCs w:val="20"/>
        </w:rPr>
        <w:t xml:space="preserve">ensure that </w:t>
      </w:r>
      <w:r w:rsidR="00C66726">
        <w:rPr>
          <w:rFonts w:cstheme="minorHAnsi"/>
          <w:color w:val="auto"/>
          <w:szCs w:val="20"/>
        </w:rPr>
        <w:t xml:space="preserve">the regulator and transport safety officers </w:t>
      </w:r>
      <w:r w:rsidR="00F610C9">
        <w:rPr>
          <w:rFonts w:cstheme="minorHAnsi"/>
          <w:color w:val="auto"/>
          <w:szCs w:val="20"/>
        </w:rPr>
        <w:t xml:space="preserve">are able to monitor </w:t>
      </w:r>
      <w:r w:rsidR="00565193" w:rsidRPr="00565193">
        <w:rPr>
          <w:rFonts w:cstheme="minorHAnsi"/>
          <w:color w:val="auto"/>
          <w:szCs w:val="20"/>
        </w:rPr>
        <w:t>compliance with vehicle standards</w:t>
      </w:r>
      <w:r w:rsidR="00030EA0">
        <w:rPr>
          <w:rFonts w:cstheme="minorHAnsi"/>
          <w:color w:val="auto"/>
          <w:szCs w:val="20"/>
        </w:rPr>
        <w:t xml:space="preserve">. </w:t>
      </w:r>
      <w:r w:rsidR="00852E96">
        <w:rPr>
          <w:rFonts w:cstheme="minorHAnsi"/>
          <w:color w:val="auto"/>
          <w:szCs w:val="20"/>
        </w:rPr>
        <w:t xml:space="preserve">On the other hand, it will also ensure </w:t>
      </w:r>
      <w:r w:rsidR="00C03485">
        <w:rPr>
          <w:rFonts w:cstheme="minorHAnsi"/>
          <w:color w:val="auto"/>
          <w:szCs w:val="20"/>
        </w:rPr>
        <w:t xml:space="preserve">certainty around the </w:t>
      </w:r>
      <w:r w:rsidR="00030EA0">
        <w:rPr>
          <w:rFonts w:cstheme="minorHAnsi"/>
          <w:color w:val="auto"/>
          <w:szCs w:val="20"/>
        </w:rPr>
        <w:t xml:space="preserve">minimum level of </w:t>
      </w:r>
      <w:r w:rsidR="005866B0">
        <w:rPr>
          <w:rFonts w:cstheme="minorHAnsi"/>
          <w:color w:val="auto"/>
          <w:szCs w:val="20"/>
        </w:rPr>
        <w:t>complianc</w:t>
      </w:r>
      <w:r w:rsidR="00B674BD">
        <w:rPr>
          <w:rFonts w:cstheme="minorHAnsi"/>
          <w:color w:val="auto"/>
          <w:szCs w:val="20"/>
        </w:rPr>
        <w:t>e</w:t>
      </w:r>
      <w:r w:rsidR="00C03485">
        <w:rPr>
          <w:rFonts w:cstheme="minorHAnsi"/>
          <w:color w:val="auto"/>
          <w:szCs w:val="20"/>
        </w:rPr>
        <w:t xml:space="preserve"> </w:t>
      </w:r>
      <w:r w:rsidR="005E208A">
        <w:rPr>
          <w:rFonts w:cstheme="minorHAnsi"/>
          <w:color w:val="auto"/>
          <w:szCs w:val="20"/>
        </w:rPr>
        <w:t xml:space="preserve">in meeting </w:t>
      </w:r>
      <w:r w:rsidR="008803E7">
        <w:rPr>
          <w:rFonts w:cstheme="minorHAnsi"/>
          <w:color w:val="auto"/>
          <w:szCs w:val="20"/>
        </w:rPr>
        <w:t>safety</w:t>
      </w:r>
      <w:r w:rsidR="00C03485">
        <w:rPr>
          <w:rFonts w:cstheme="minorHAnsi"/>
          <w:color w:val="auto"/>
          <w:szCs w:val="20"/>
        </w:rPr>
        <w:t xml:space="preserve"> duties under the </w:t>
      </w:r>
      <w:r w:rsidR="00803EBD">
        <w:t>Bus Safety Act</w:t>
      </w:r>
      <w:r w:rsidR="00C03485">
        <w:rPr>
          <w:rFonts w:cstheme="minorHAnsi"/>
          <w:color w:val="auto"/>
          <w:szCs w:val="20"/>
        </w:rPr>
        <w:t xml:space="preserve">. </w:t>
      </w:r>
    </w:p>
    <w:p w14:paraId="35CF7BBA" w14:textId="2D9D891D" w:rsidR="00ED5682" w:rsidRPr="00ED5682" w:rsidRDefault="00ED5682" w:rsidP="005E479A">
      <w:pPr>
        <w:pStyle w:val="Caption"/>
        <w:keepNext/>
        <w:spacing w:after="60"/>
        <w:rPr>
          <w:b/>
          <w:i w:val="0"/>
        </w:rPr>
      </w:pPr>
      <w:bookmarkStart w:id="287" w:name="_Ref43542962"/>
      <w:bookmarkStart w:id="288" w:name="_Toc44603385"/>
      <w:bookmarkStart w:id="289" w:name="_Toc44437360"/>
      <w:bookmarkStart w:id="290" w:name="_Toc44597431"/>
      <w:bookmarkStart w:id="291" w:name="_Toc44597495"/>
      <w:bookmarkStart w:id="292" w:name="_Toc44600065"/>
      <w:bookmarkStart w:id="293" w:name="_Toc44600520"/>
      <w:bookmarkStart w:id="294" w:name="_Toc44600687"/>
      <w:bookmarkStart w:id="295" w:name="_Toc44601184"/>
      <w:bookmarkStart w:id="296" w:name="_Toc44601237"/>
      <w:bookmarkStart w:id="297" w:name="_Toc45704433"/>
      <w:r w:rsidRPr="00ED5682">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8</w:t>
      </w:r>
      <w:r w:rsidR="00D2483C">
        <w:rPr>
          <w:b/>
          <w:i w:val="0"/>
        </w:rPr>
        <w:fldChar w:fldCharType="end"/>
      </w:r>
      <w:bookmarkEnd w:id="287"/>
      <w:r>
        <w:rPr>
          <w:b/>
          <w:i w:val="0"/>
        </w:rPr>
        <w:t>: Comparison of the number of mechanical failure incidents to the number of buses and distance travelled</w:t>
      </w:r>
      <w:r w:rsidR="00645080">
        <w:rPr>
          <w:b/>
          <w:i w:val="0"/>
        </w:rPr>
        <w:t xml:space="preserve"> – 2011-2019</w:t>
      </w:r>
      <w:bookmarkEnd w:id="288"/>
      <w:bookmarkEnd w:id="289"/>
      <w:bookmarkEnd w:id="290"/>
      <w:bookmarkEnd w:id="291"/>
      <w:bookmarkEnd w:id="292"/>
      <w:bookmarkEnd w:id="293"/>
      <w:bookmarkEnd w:id="294"/>
      <w:bookmarkEnd w:id="295"/>
      <w:bookmarkEnd w:id="296"/>
      <w:bookmarkEnd w:id="297"/>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654"/>
        <w:gridCol w:w="654"/>
        <w:gridCol w:w="654"/>
        <w:gridCol w:w="654"/>
        <w:gridCol w:w="653"/>
        <w:gridCol w:w="653"/>
        <w:gridCol w:w="654"/>
        <w:gridCol w:w="653"/>
        <w:gridCol w:w="653"/>
        <w:gridCol w:w="924"/>
      </w:tblGrid>
      <w:tr w:rsidR="00ED5682" w:rsidRPr="004D3B5C" w:rsidDel="00B046A2" w14:paraId="5CF5919B" w14:textId="4B5870AC" w:rsidTr="00E661DC">
        <w:trPr>
          <w:cantSplit/>
          <w:trHeight w:val="288"/>
          <w:tblHeader/>
        </w:trPr>
        <w:tc>
          <w:tcPr>
            <w:tcW w:w="2268" w:type="dxa"/>
            <w:shd w:val="clear" w:color="auto" w:fill="D6ECED"/>
            <w:noWrap/>
            <w:vAlign w:val="bottom"/>
            <w:hideMark/>
          </w:tcPr>
          <w:p w14:paraId="6376C4E5" w14:textId="1CCFFFBB" w:rsidR="00ED5682" w:rsidRPr="004D3B5C" w:rsidDel="00B046A2" w:rsidRDefault="00ED5682" w:rsidP="00E661DC">
            <w:pPr>
              <w:keepNext/>
              <w:spacing w:before="60" w:after="60"/>
              <w:rPr>
                <w:rFonts w:eastAsia="Times New Roman" w:cstheme="minorHAnsi"/>
                <w:b/>
                <w:bCs/>
                <w:color w:val="000000"/>
                <w:sz w:val="18"/>
                <w:lang w:eastAsia="en-AU"/>
              </w:rPr>
            </w:pPr>
          </w:p>
        </w:tc>
        <w:tc>
          <w:tcPr>
            <w:tcW w:w="666" w:type="dxa"/>
            <w:shd w:val="clear" w:color="auto" w:fill="D6ECED"/>
            <w:noWrap/>
            <w:vAlign w:val="bottom"/>
            <w:hideMark/>
          </w:tcPr>
          <w:p w14:paraId="5E6C7B34" w14:textId="77777777" w:rsidR="00ED5682" w:rsidRPr="004D3B5C" w:rsidDel="00B046A2" w:rsidRDefault="00ED5682" w:rsidP="00E661DC">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2011</w:t>
            </w:r>
          </w:p>
        </w:tc>
        <w:tc>
          <w:tcPr>
            <w:tcW w:w="666" w:type="dxa"/>
            <w:shd w:val="clear" w:color="auto" w:fill="D6ECED"/>
            <w:noWrap/>
            <w:vAlign w:val="bottom"/>
            <w:hideMark/>
          </w:tcPr>
          <w:p w14:paraId="02BF56F5" w14:textId="77777777" w:rsidR="00ED5682" w:rsidRPr="004D3B5C" w:rsidDel="00B046A2" w:rsidRDefault="00ED5682" w:rsidP="00E661DC">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2012</w:t>
            </w:r>
          </w:p>
        </w:tc>
        <w:tc>
          <w:tcPr>
            <w:tcW w:w="666" w:type="dxa"/>
            <w:shd w:val="clear" w:color="auto" w:fill="D6ECED"/>
            <w:noWrap/>
            <w:vAlign w:val="bottom"/>
            <w:hideMark/>
          </w:tcPr>
          <w:p w14:paraId="0177990C" w14:textId="77777777" w:rsidR="00ED5682" w:rsidRPr="004D3B5C" w:rsidDel="00B046A2" w:rsidRDefault="00ED5682" w:rsidP="00E661DC">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2013</w:t>
            </w:r>
          </w:p>
        </w:tc>
        <w:tc>
          <w:tcPr>
            <w:tcW w:w="667" w:type="dxa"/>
            <w:shd w:val="clear" w:color="auto" w:fill="D6ECED"/>
            <w:noWrap/>
            <w:vAlign w:val="bottom"/>
            <w:hideMark/>
          </w:tcPr>
          <w:p w14:paraId="643722FF" w14:textId="77777777" w:rsidR="00ED5682" w:rsidRPr="004D3B5C" w:rsidDel="00B046A2" w:rsidRDefault="00ED5682" w:rsidP="00E661DC">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2014</w:t>
            </w:r>
          </w:p>
        </w:tc>
        <w:tc>
          <w:tcPr>
            <w:tcW w:w="666" w:type="dxa"/>
            <w:shd w:val="clear" w:color="auto" w:fill="D6ECED"/>
            <w:noWrap/>
            <w:vAlign w:val="bottom"/>
            <w:hideMark/>
          </w:tcPr>
          <w:p w14:paraId="324685F8" w14:textId="77777777" w:rsidR="00ED5682" w:rsidRPr="004D3B5C" w:rsidDel="00B046A2" w:rsidRDefault="00ED5682" w:rsidP="00E661DC">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2015</w:t>
            </w:r>
          </w:p>
        </w:tc>
        <w:tc>
          <w:tcPr>
            <w:tcW w:w="666" w:type="dxa"/>
            <w:shd w:val="clear" w:color="auto" w:fill="D6ECED"/>
            <w:noWrap/>
            <w:vAlign w:val="bottom"/>
            <w:hideMark/>
          </w:tcPr>
          <w:p w14:paraId="568E530F" w14:textId="77777777" w:rsidR="00ED5682" w:rsidRPr="004D3B5C" w:rsidDel="00B046A2" w:rsidRDefault="00ED5682" w:rsidP="00E661DC">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2016</w:t>
            </w:r>
          </w:p>
        </w:tc>
        <w:tc>
          <w:tcPr>
            <w:tcW w:w="667" w:type="dxa"/>
            <w:shd w:val="clear" w:color="auto" w:fill="D6ECED"/>
            <w:noWrap/>
            <w:vAlign w:val="bottom"/>
            <w:hideMark/>
          </w:tcPr>
          <w:p w14:paraId="2D1549BB" w14:textId="77777777" w:rsidR="00ED5682" w:rsidRPr="004D3B5C" w:rsidDel="00B046A2" w:rsidRDefault="00ED5682" w:rsidP="00E661DC">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2017</w:t>
            </w:r>
          </w:p>
        </w:tc>
        <w:tc>
          <w:tcPr>
            <w:tcW w:w="666" w:type="dxa"/>
            <w:shd w:val="clear" w:color="auto" w:fill="D6ECED"/>
            <w:noWrap/>
            <w:vAlign w:val="bottom"/>
            <w:hideMark/>
          </w:tcPr>
          <w:p w14:paraId="24BA5843" w14:textId="77777777" w:rsidR="00ED5682" w:rsidRPr="004D3B5C" w:rsidDel="00B046A2" w:rsidRDefault="00ED5682" w:rsidP="00E661DC">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2018</w:t>
            </w:r>
          </w:p>
        </w:tc>
        <w:tc>
          <w:tcPr>
            <w:tcW w:w="666" w:type="dxa"/>
            <w:shd w:val="clear" w:color="auto" w:fill="D6ECED"/>
            <w:noWrap/>
            <w:vAlign w:val="bottom"/>
            <w:hideMark/>
          </w:tcPr>
          <w:p w14:paraId="1BD8C734" w14:textId="77777777" w:rsidR="00ED5682" w:rsidRPr="004D3B5C" w:rsidDel="00B046A2" w:rsidRDefault="00ED5682" w:rsidP="00E661DC">
            <w:pPr>
              <w:keepNext/>
              <w:spacing w:before="60" w:after="60"/>
              <w:jc w:val="center"/>
              <w:rPr>
                <w:rFonts w:eastAsia="Times New Roman" w:cstheme="minorHAnsi"/>
                <w:b/>
                <w:bCs/>
                <w:color w:val="000000"/>
                <w:sz w:val="18"/>
                <w:lang w:eastAsia="en-AU"/>
              </w:rPr>
            </w:pPr>
            <w:r w:rsidRPr="004D3B5C" w:rsidDel="00B046A2">
              <w:rPr>
                <w:rFonts w:eastAsia="Times New Roman" w:cstheme="minorHAnsi"/>
                <w:b/>
                <w:bCs/>
                <w:color w:val="000000"/>
                <w:sz w:val="18"/>
                <w:lang w:eastAsia="en-AU"/>
              </w:rPr>
              <w:t>2019</w:t>
            </w:r>
          </w:p>
        </w:tc>
        <w:tc>
          <w:tcPr>
            <w:tcW w:w="945" w:type="dxa"/>
            <w:shd w:val="clear" w:color="auto" w:fill="D6ECED"/>
          </w:tcPr>
          <w:p w14:paraId="1AE75F3D" w14:textId="7109F157" w:rsidR="00ED5682" w:rsidRPr="004D3B5C" w:rsidDel="00B046A2" w:rsidRDefault="00ED5682" w:rsidP="00E661DC">
            <w:pPr>
              <w:keepNext/>
              <w:spacing w:before="60" w:after="60"/>
              <w:jc w:val="center"/>
              <w:rPr>
                <w:rFonts w:eastAsia="Times New Roman" w:cstheme="minorHAnsi"/>
                <w:b/>
                <w:bCs/>
                <w:color w:val="000000"/>
                <w:sz w:val="18"/>
                <w:lang w:eastAsia="en-AU"/>
              </w:rPr>
            </w:pPr>
            <w:r>
              <w:rPr>
                <w:rFonts w:eastAsia="Times New Roman" w:cstheme="minorHAnsi"/>
                <w:b/>
                <w:bCs/>
                <w:color w:val="000000"/>
                <w:sz w:val="18"/>
                <w:lang w:eastAsia="en-AU"/>
              </w:rPr>
              <w:t>Ave</w:t>
            </w:r>
            <w:r w:rsidR="00875B30">
              <w:rPr>
                <w:rFonts w:eastAsia="Times New Roman" w:cstheme="minorHAnsi"/>
                <w:b/>
                <w:bCs/>
                <w:color w:val="000000"/>
                <w:sz w:val="18"/>
                <w:lang w:eastAsia="en-AU"/>
              </w:rPr>
              <w:t>. annual</w:t>
            </w:r>
          </w:p>
        </w:tc>
      </w:tr>
      <w:tr w:rsidR="00ED5682" w:rsidRPr="004D3B5C" w:rsidDel="00B046A2" w14:paraId="3C407F23" w14:textId="393D5817" w:rsidTr="00E661DC">
        <w:trPr>
          <w:cantSplit/>
          <w:trHeight w:val="288"/>
        </w:trPr>
        <w:tc>
          <w:tcPr>
            <w:tcW w:w="2268" w:type="dxa"/>
            <w:shd w:val="clear" w:color="auto" w:fill="auto"/>
            <w:noWrap/>
            <w:vAlign w:val="bottom"/>
            <w:hideMark/>
          </w:tcPr>
          <w:p w14:paraId="4967BF1C" w14:textId="397DE096" w:rsidR="00ED5682" w:rsidRPr="004D3B5C" w:rsidDel="00B046A2" w:rsidRDefault="00ED5682" w:rsidP="00E661DC">
            <w:pPr>
              <w:keepNext/>
              <w:spacing w:before="60" w:after="60"/>
              <w:rPr>
                <w:rFonts w:eastAsia="Times New Roman" w:cstheme="minorHAnsi"/>
                <w:color w:val="000000"/>
                <w:sz w:val="18"/>
                <w:lang w:eastAsia="en-AU"/>
              </w:rPr>
            </w:pPr>
            <w:r>
              <w:rPr>
                <w:rFonts w:eastAsia="Times New Roman" w:cstheme="minorHAnsi"/>
                <w:color w:val="000000"/>
                <w:sz w:val="18"/>
                <w:lang w:eastAsia="en-AU"/>
              </w:rPr>
              <w:t>Total mechanical failure incidents</w:t>
            </w:r>
          </w:p>
        </w:tc>
        <w:tc>
          <w:tcPr>
            <w:tcW w:w="666" w:type="dxa"/>
            <w:shd w:val="clear" w:color="auto" w:fill="auto"/>
            <w:noWrap/>
            <w:vAlign w:val="bottom"/>
            <w:hideMark/>
          </w:tcPr>
          <w:p w14:paraId="2C1B6FD6" w14:textId="2D1DBEE6" w:rsidR="00ED5682" w:rsidRPr="004D3B5C" w:rsidDel="00B046A2" w:rsidRDefault="00ED5682" w:rsidP="00E661DC">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8</w:t>
            </w:r>
          </w:p>
        </w:tc>
        <w:tc>
          <w:tcPr>
            <w:tcW w:w="666" w:type="dxa"/>
            <w:shd w:val="clear" w:color="auto" w:fill="auto"/>
            <w:noWrap/>
            <w:vAlign w:val="bottom"/>
            <w:hideMark/>
          </w:tcPr>
          <w:p w14:paraId="339E3657" w14:textId="217D3733"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12</w:t>
            </w:r>
          </w:p>
        </w:tc>
        <w:tc>
          <w:tcPr>
            <w:tcW w:w="666" w:type="dxa"/>
            <w:shd w:val="clear" w:color="auto" w:fill="auto"/>
            <w:noWrap/>
            <w:vAlign w:val="bottom"/>
            <w:hideMark/>
          </w:tcPr>
          <w:p w14:paraId="57977A07" w14:textId="5BBB55D9"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9</w:t>
            </w:r>
          </w:p>
        </w:tc>
        <w:tc>
          <w:tcPr>
            <w:tcW w:w="667" w:type="dxa"/>
            <w:shd w:val="clear" w:color="auto" w:fill="auto"/>
            <w:noWrap/>
            <w:vAlign w:val="bottom"/>
            <w:hideMark/>
          </w:tcPr>
          <w:p w14:paraId="693130E3" w14:textId="3CD95A1F"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6</w:t>
            </w:r>
          </w:p>
        </w:tc>
        <w:tc>
          <w:tcPr>
            <w:tcW w:w="666" w:type="dxa"/>
            <w:shd w:val="clear" w:color="auto" w:fill="auto"/>
            <w:noWrap/>
            <w:vAlign w:val="bottom"/>
            <w:hideMark/>
          </w:tcPr>
          <w:p w14:paraId="1F2D6635" w14:textId="6CD58A53"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10</w:t>
            </w:r>
          </w:p>
        </w:tc>
        <w:tc>
          <w:tcPr>
            <w:tcW w:w="666" w:type="dxa"/>
            <w:shd w:val="clear" w:color="auto" w:fill="auto"/>
            <w:noWrap/>
            <w:vAlign w:val="bottom"/>
            <w:hideMark/>
          </w:tcPr>
          <w:p w14:paraId="2BB6CEC1" w14:textId="459E3731"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17</w:t>
            </w:r>
          </w:p>
        </w:tc>
        <w:tc>
          <w:tcPr>
            <w:tcW w:w="667" w:type="dxa"/>
            <w:shd w:val="clear" w:color="auto" w:fill="auto"/>
            <w:noWrap/>
            <w:vAlign w:val="bottom"/>
            <w:hideMark/>
          </w:tcPr>
          <w:p w14:paraId="1F26913D" w14:textId="719E00DC"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25</w:t>
            </w:r>
          </w:p>
        </w:tc>
        <w:tc>
          <w:tcPr>
            <w:tcW w:w="666" w:type="dxa"/>
            <w:shd w:val="clear" w:color="auto" w:fill="auto"/>
            <w:noWrap/>
            <w:vAlign w:val="bottom"/>
            <w:hideMark/>
          </w:tcPr>
          <w:p w14:paraId="259EA3CF" w14:textId="26B72B6A"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27</w:t>
            </w:r>
          </w:p>
        </w:tc>
        <w:tc>
          <w:tcPr>
            <w:tcW w:w="666" w:type="dxa"/>
            <w:shd w:val="clear" w:color="auto" w:fill="auto"/>
            <w:noWrap/>
            <w:vAlign w:val="bottom"/>
            <w:hideMark/>
          </w:tcPr>
          <w:p w14:paraId="51FEFD16" w14:textId="2D86E4BA" w:rsidR="00ED5682" w:rsidRPr="004D3B5C" w:rsidDel="00B046A2" w:rsidRDefault="00ED5682" w:rsidP="00E661DC">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20</w:t>
            </w:r>
          </w:p>
        </w:tc>
        <w:tc>
          <w:tcPr>
            <w:tcW w:w="945" w:type="dxa"/>
            <w:vAlign w:val="bottom"/>
          </w:tcPr>
          <w:p w14:paraId="0169354A" w14:textId="3FDD8C2A" w:rsidR="00ED5682" w:rsidRDefault="00ED5682" w:rsidP="00E661DC">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14.9</w:t>
            </w:r>
          </w:p>
        </w:tc>
      </w:tr>
      <w:tr w:rsidR="00ED5682" w:rsidRPr="004D3B5C" w:rsidDel="00B046A2" w14:paraId="0726E2C6" w14:textId="3C2DFD93" w:rsidTr="00E661DC">
        <w:trPr>
          <w:cantSplit/>
          <w:trHeight w:val="288"/>
        </w:trPr>
        <w:tc>
          <w:tcPr>
            <w:tcW w:w="2268" w:type="dxa"/>
            <w:shd w:val="clear" w:color="auto" w:fill="auto"/>
            <w:noWrap/>
            <w:vAlign w:val="bottom"/>
          </w:tcPr>
          <w:p w14:paraId="115A2647" w14:textId="2CAA38C0" w:rsidR="00ED5682" w:rsidRPr="004D3B5C" w:rsidDel="00B046A2" w:rsidRDefault="00ED5682" w:rsidP="00E661DC">
            <w:pPr>
              <w:keepNext/>
              <w:spacing w:before="60" w:after="60"/>
              <w:rPr>
                <w:rFonts w:eastAsia="Times New Roman" w:cstheme="minorHAnsi"/>
                <w:color w:val="000000"/>
                <w:sz w:val="18"/>
                <w:lang w:eastAsia="en-AU"/>
              </w:rPr>
            </w:pPr>
            <w:r>
              <w:rPr>
                <w:rFonts w:eastAsia="Times New Roman" w:cstheme="minorHAnsi"/>
                <w:color w:val="000000"/>
                <w:sz w:val="18"/>
                <w:lang w:eastAsia="en-AU"/>
              </w:rPr>
              <w:t>Mechanical failure incidents per 1000 buses</w:t>
            </w:r>
          </w:p>
        </w:tc>
        <w:tc>
          <w:tcPr>
            <w:tcW w:w="666" w:type="dxa"/>
            <w:shd w:val="clear" w:color="auto" w:fill="auto"/>
            <w:noWrap/>
            <w:vAlign w:val="bottom"/>
          </w:tcPr>
          <w:p w14:paraId="4A7B2CFC" w14:textId="1A1F13EF" w:rsidR="00ED5682" w:rsidRPr="004D3B5C" w:rsidDel="00B046A2" w:rsidRDefault="00ED5682" w:rsidP="00E661DC">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0.9</w:t>
            </w:r>
          </w:p>
        </w:tc>
        <w:tc>
          <w:tcPr>
            <w:tcW w:w="666" w:type="dxa"/>
            <w:shd w:val="clear" w:color="auto" w:fill="auto"/>
            <w:noWrap/>
            <w:vAlign w:val="bottom"/>
          </w:tcPr>
          <w:p w14:paraId="7279AC6A" w14:textId="0B44B0E1"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1.1</w:t>
            </w:r>
          </w:p>
        </w:tc>
        <w:tc>
          <w:tcPr>
            <w:tcW w:w="666" w:type="dxa"/>
            <w:shd w:val="clear" w:color="auto" w:fill="auto"/>
            <w:noWrap/>
            <w:vAlign w:val="bottom"/>
          </w:tcPr>
          <w:p w14:paraId="40D85BCA" w14:textId="730A8AAC"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0.8</w:t>
            </w:r>
          </w:p>
        </w:tc>
        <w:tc>
          <w:tcPr>
            <w:tcW w:w="667" w:type="dxa"/>
            <w:shd w:val="clear" w:color="auto" w:fill="auto"/>
            <w:noWrap/>
            <w:vAlign w:val="bottom"/>
          </w:tcPr>
          <w:p w14:paraId="474622D5" w14:textId="6DA04ED9"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0.5</w:t>
            </w:r>
          </w:p>
        </w:tc>
        <w:tc>
          <w:tcPr>
            <w:tcW w:w="666" w:type="dxa"/>
            <w:shd w:val="clear" w:color="auto" w:fill="auto"/>
            <w:noWrap/>
            <w:vAlign w:val="bottom"/>
          </w:tcPr>
          <w:p w14:paraId="68B32609" w14:textId="16BEEE45"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0.8</w:t>
            </w:r>
          </w:p>
        </w:tc>
        <w:tc>
          <w:tcPr>
            <w:tcW w:w="666" w:type="dxa"/>
            <w:shd w:val="clear" w:color="auto" w:fill="auto"/>
            <w:noWrap/>
            <w:vAlign w:val="bottom"/>
          </w:tcPr>
          <w:p w14:paraId="3BC70D3F" w14:textId="4A258F9E"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1.4</w:t>
            </w:r>
          </w:p>
        </w:tc>
        <w:tc>
          <w:tcPr>
            <w:tcW w:w="667" w:type="dxa"/>
            <w:shd w:val="clear" w:color="auto" w:fill="auto"/>
            <w:noWrap/>
            <w:vAlign w:val="bottom"/>
          </w:tcPr>
          <w:p w14:paraId="5E540BE4" w14:textId="0B8B6BB2"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2.0</w:t>
            </w:r>
          </w:p>
        </w:tc>
        <w:tc>
          <w:tcPr>
            <w:tcW w:w="666" w:type="dxa"/>
            <w:shd w:val="clear" w:color="auto" w:fill="auto"/>
            <w:noWrap/>
            <w:vAlign w:val="bottom"/>
          </w:tcPr>
          <w:p w14:paraId="59591A25" w14:textId="2665E2DA" w:rsidR="00ED5682" w:rsidRPr="004D3B5C" w:rsidDel="00B046A2" w:rsidRDefault="00ED5682" w:rsidP="00E661DC">
            <w:pPr>
              <w:keepNext/>
              <w:spacing w:before="60" w:after="60"/>
              <w:jc w:val="right"/>
              <w:rPr>
                <w:rFonts w:eastAsia="Times New Roman" w:cstheme="minorHAnsi"/>
                <w:color w:val="auto"/>
                <w:sz w:val="18"/>
                <w:lang w:eastAsia="en-AU"/>
              </w:rPr>
            </w:pPr>
            <w:r>
              <w:rPr>
                <w:rFonts w:eastAsia="Times New Roman" w:cstheme="minorHAnsi"/>
                <w:color w:val="auto"/>
                <w:sz w:val="18"/>
                <w:lang w:eastAsia="en-AU"/>
              </w:rPr>
              <w:t>2.1</w:t>
            </w:r>
          </w:p>
        </w:tc>
        <w:tc>
          <w:tcPr>
            <w:tcW w:w="666" w:type="dxa"/>
            <w:shd w:val="clear" w:color="auto" w:fill="auto"/>
            <w:noWrap/>
            <w:vAlign w:val="bottom"/>
          </w:tcPr>
          <w:p w14:paraId="4A4CE1FF" w14:textId="7510CB59" w:rsidR="00ED5682" w:rsidRPr="004D3B5C" w:rsidDel="00B046A2" w:rsidRDefault="00ED5682" w:rsidP="00E661DC">
            <w:pPr>
              <w:keepNext/>
              <w:spacing w:before="60" w:after="60"/>
              <w:jc w:val="right"/>
              <w:rPr>
                <w:rFonts w:eastAsia="Times New Roman" w:cstheme="minorHAnsi"/>
                <w:color w:val="000000"/>
                <w:sz w:val="18"/>
                <w:lang w:eastAsia="en-AU"/>
              </w:rPr>
            </w:pPr>
            <w:r>
              <w:rPr>
                <w:rFonts w:eastAsia="Times New Roman" w:cstheme="minorHAnsi"/>
                <w:color w:val="000000"/>
                <w:sz w:val="18"/>
                <w:lang w:eastAsia="en-AU"/>
              </w:rPr>
              <w:t>1.5</w:t>
            </w:r>
          </w:p>
        </w:tc>
        <w:tc>
          <w:tcPr>
            <w:tcW w:w="945" w:type="dxa"/>
            <w:vAlign w:val="bottom"/>
          </w:tcPr>
          <w:p w14:paraId="4B65B1E4" w14:textId="207262A1" w:rsidR="00ED5682" w:rsidRPr="00ED5682" w:rsidRDefault="00ED5682" w:rsidP="00E661DC">
            <w:pPr>
              <w:keepNext/>
              <w:spacing w:before="60" w:after="60"/>
              <w:jc w:val="right"/>
              <w:rPr>
                <w:rFonts w:eastAsia="Times New Roman" w:cstheme="minorHAnsi"/>
                <w:color w:val="auto"/>
                <w:sz w:val="18"/>
                <w:lang w:eastAsia="en-AU"/>
              </w:rPr>
            </w:pPr>
            <w:r w:rsidRPr="00ED5682">
              <w:rPr>
                <w:rFonts w:eastAsia="Times New Roman" w:cstheme="minorHAnsi"/>
                <w:color w:val="auto"/>
                <w:sz w:val="18"/>
                <w:lang w:eastAsia="en-AU"/>
              </w:rPr>
              <w:t>1.3</w:t>
            </w:r>
          </w:p>
        </w:tc>
      </w:tr>
      <w:tr w:rsidR="00ED5682" w:rsidRPr="004D3B5C" w:rsidDel="00B046A2" w14:paraId="06DE47EA" w14:textId="176653B1" w:rsidTr="00E661DC">
        <w:trPr>
          <w:cantSplit/>
          <w:trHeight w:val="288"/>
        </w:trPr>
        <w:tc>
          <w:tcPr>
            <w:tcW w:w="2268" w:type="dxa"/>
            <w:shd w:val="clear" w:color="auto" w:fill="D6ECED"/>
            <w:noWrap/>
            <w:vAlign w:val="bottom"/>
          </w:tcPr>
          <w:p w14:paraId="79D67D00" w14:textId="74CE68A7" w:rsidR="00ED5682" w:rsidRPr="00ED5682" w:rsidDel="00B046A2" w:rsidRDefault="00ED5682" w:rsidP="00E661DC">
            <w:pPr>
              <w:keepNext/>
              <w:spacing w:before="60" w:after="60"/>
              <w:rPr>
                <w:rFonts w:eastAsia="Times New Roman" w:cstheme="minorHAnsi"/>
                <w:bCs/>
                <w:color w:val="000000"/>
                <w:sz w:val="18"/>
                <w:lang w:eastAsia="en-AU"/>
              </w:rPr>
            </w:pPr>
            <w:r w:rsidRPr="00ED5682">
              <w:rPr>
                <w:rFonts w:eastAsia="Times New Roman" w:cstheme="minorHAnsi"/>
                <w:bCs/>
                <w:color w:val="000000"/>
                <w:sz w:val="18"/>
                <w:lang w:eastAsia="en-AU"/>
              </w:rPr>
              <w:t>Mechanical failure incidents per 100 million km travelled</w:t>
            </w:r>
          </w:p>
        </w:tc>
        <w:tc>
          <w:tcPr>
            <w:tcW w:w="666" w:type="dxa"/>
            <w:shd w:val="clear" w:color="auto" w:fill="D6ECED"/>
            <w:noWrap/>
            <w:vAlign w:val="bottom"/>
          </w:tcPr>
          <w:p w14:paraId="34866D3D" w14:textId="32BAAC52" w:rsidR="00ED5682" w:rsidRPr="00ED5682" w:rsidDel="00B046A2" w:rsidRDefault="00ED5682" w:rsidP="00E661DC">
            <w:pPr>
              <w:keepNext/>
              <w:spacing w:before="60" w:after="60"/>
              <w:jc w:val="right"/>
              <w:rPr>
                <w:rFonts w:eastAsia="Times New Roman" w:cstheme="minorHAnsi"/>
                <w:bCs/>
                <w:color w:val="000000"/>
                <w:sz w:val="18"/>
                <w:lang w:eastAsia="en-AU"/>
              </w:rPr>
            </w:pPr>
            <w:r>
              <w:rPr>
                <w:rFonts w:eastAsia="Times New Roman" w:cstheme="minorHAnsi"/>
                <w:bCs/>
                <w:color w:val="000000"/>
                <w:sz w:val="18"/>
                <w:lang w:eastAsia="en-AU"/>
              </w:rPr>
              <w:t>1.4</w:t>
            </w:r>
          </w:p>
        </w:tc>
        <w:tc>
          <w:tcPr>
            <w:tcW w:w="666" w:type="dxa"/>
            <w:shd w:val="clear" w:color="auto" w:fill="D6ECED"/>
            <w:noWrap/>
            <w:vAlign w:val="bottom"/>
          </w:tcPr>
          <w:p w14:paraId="24199EA5" w14:textId="3E71931E" w:rsidR="00ED5682" w:rsidRPr="00ED5682" w:rsidDel="00B046A2" w:rsidRDefault="00ED5682" w:rsidP="00E661DC">
            <w:pPr>
              <w:keepNext/>
              <w:spacing w:before="60" w:after="60"/>
              <w:jc w:val="right"/>
              <w:rPr>
                <w:rFonts w:eastAsia="Times New Roman" w:cstheme="minorHAnsi"/>
                <w:bCs/>
                <w:color w:val="000000"/>
                <w:sz w:val="18"/>
                <w:lang w:eastAsia="en-AU"/>
              </w:rPr>
            </w:pPr>
            <w:r>
              <w:rPr>
                <w:rFonts w:eastAsia="Times New Roman" w:cstheme="minorHAnsi"/>
                <w:bCs/>
                <w:color w:val="000000"/>
                <w:sz w:val="18"/>
                <w:lang w:eastAsia="en-AU"/>
              </w:rPr>
              <w:t>2</w:t>
            </w:r>
          </w:p>
        </w:tc>
        <w:tc>
          <w:tcPr>
            <w:tcW w:w="666" w:type="dxa"/>
            <w:shd w:val="clear" w:color="auto" w:fill="D6ECED"/>
            <w:noWrap/>
            <w:vAlign w:val="bottom"/>
          </w:tcPr>
          <w:p w14:paraId="05E7DF7C" w14:textId="4A05CFE2" w:rsidR="00ED5682" w:rsidRPr="00ED5682" w:rsidDel="00B046A2" w:rsidRDefault="00ED5682" w:rsidP="00E661DC">
            <w:pPr>
              <w:keepNext/>
              <w:spacing w:before="60" w:after="60"/>
              <w:jc w:val="right"/>
              <w:rPr>
                <w:rFonts w:eastAsia="Times New Roman" w:cstheme="minorHAnsi"/>
                <w:bCs/>
                <w:color w:val="000000"/>
                <w:sz w:val="18"/>
                <w:lang w:eastAsia="en-AU"/>
              </w:rPr>
            </w:pPr>
            <w:r>
              <w:rPr>
                <w:rFonts w:eastAsia="Times New Roman" w:cstheme="minorHAnsi"/>
                <w:bCs/>
                <w:color w:val="000000"/>
                <w:sz w:val="18"/>
                <w:lang w:eastAsia="en-AU"/>
              </w:rPr>
              <w:t>1.5</w:t>
            </w:r>
          </w:p>
        </w:tc>
        <w:tc>
          <w:tcPr>
            <w:tcW w:w="667" w:type="dxa"/>
            <w:shd w:val="clear" w:color="auto" w:fill="D6ECED"/>
            <w:noWrap/>
            <w:vAlign w:val="bottom"/>
          </w:tcPr>
          <w:p w14:paraId="2B754CB9" w14:textId="5C04E984" w:rsidR="00ED5682" w:rsidRPr="00ED5682" w:rsidDel="00B046A2" w:rsidRDefault="00ED5682" w:rsidP="00E661DC">
            <w:pPr>
              <w:keepNext/>
              <w:spacing w:before="60" w:after="60"/>
              <w:jc w:val="right"/>
              <w:rPr>
                <w:rFonts w:eastAsia="Times New Roman" w:cstheme="minorHAnsi"/>
                <w:bCs/>
                <w:color w:val="000000"/>
                <w:sz w:val="18"/>
                <w:lang w:eastAsia="en-AU"/>
              </w:rPr>
            </w:pPr>
            <w:r>
              <w:rPr>
                <w:rFonts w:eastAsia="Times New Roman" w:cstheme="minorHAnsi"/>
                <w:bCs/>
                <w:color w:val="000000"/>
                <w:sz w:val="18"/>
                <w:lang w:eastAsia="en-AU"/>
              </w:rPr>
              <w:t>1</w:t>
            </w:r>
          </w:p>
        </w:tc>
        <w:tc>
          <w:tcPr>
            <w:tcW w:w="666" w:type="dxa"/>
            <w:shd w:val="clear" w:color="auto" w:fill="D6ECED"/>
            <w:noWrap/>
            <w:vAlign w:val="bottom"/>
          </w:tcPr>
          <w:p w14:paraId="4E0D2348" w14:textId="2BCB2675" w:rsidR="00ED5682" w:rsidRPr="00ED5682" w:rsidDel="00B046A2" w:rsidRDefault="00ED5682" w:rsidP="00E661DC">
            <w:pPr>
              <w:keepNext/>
              <w:spacing w:before="60" w:after="60"/>
              <w:jc w:val="right"/>
              <w:rPr>
                <w:rFonts w:eastAsia="Times New Roman" w:cstheme="minorHAnsi"/>
                <w:bCs/>
                <w:color w:val="000000"/>
                <w:sz w:val="18"/>
                <w:lang w:eastAsia="en-AU"/>
              </w:rPr>
            </w:pPr>
            <w:r>
              <w:rPr>
                <w:rFonts w:eastAsia="Times New Roman" w:cstheme="minorHAnsi"/>
                <w:bCs/>
                <w:color w:val="000000"/>
                <w:sz w:val="18"/>
                <w:lang w:eastAsia="en-AU"/>
              </w:rPr>
              <w:t>1.6</w:t>
            </w:r>
          </w:p>
        </w:tc>
        <w:tc>
          <w:tcPr>
            <w:tcW w:w="666" w:type="dxa"/>
            <w:shd w:val="clear" w:color="auto" w:fill="D6ECED"/>
            <w:noWrap/>
            <w:vAlign w:val="bottom"/>
          </w:tcPr>
          <w:p w14:paraId="690F6555" w14:textId="1FDC86D9" w:rsidR="00ED5682" w:rsidRPr="00ED5682" w:rsidDel="00B046A2" w:rsidRDefault="00ED5682" w:rsidP="00E661DC">
            <w:pPr>
              <w:keepNext/>
              <w:spacing w:before="60" w:after="60"/>
              <w:jc w:val="right"/>
              <w:rPr>
                <w:rFonts w:eastAsia="Times New Roman" w:cstheme="minorHAnsi"/>
                <w:bCs/>
                <w:color w:val="000000"/>
                <w:sz w:val="18"/>
                <w:lang w:eastAsia="en-AU"/>
              </w:rPr>
            </w:pPr>
            <w:r>
              <w:rPr>
                <w:rFonts w:eastAsia="Times New Roman" w:cstheme="minorHAnsi"/>
                <w:bCs/>
                <w:color w:val="000000"/>
                <w:sz w:val="18"/>
                <w:lang w:eastAsia="en-AU"/>
              </w:rPr>
              <w:t>2.6</w:t>
            </w:r>
          </w:p>
        </w:tc>
        <w:tc>
          <w:tcPr>
            <w:tcW w:w="667" w:type="dxa"/>
            <w:shd w:val="clear" w:color="auto" w:fill="D6ECED"/>
            <w:noWrap/>
            <w:vAlign w:val="bottom"/>
          </w:tcPr>
          <w:p w14:paraId="0EAF6877" w14:textId="54CEF751" w:rsidR="00ED5682" w:rsidRPr="00ED5682" w:rsidDel="00B046A2" w:rsidRDefault="00ED5682" w:rsidP="00E661DC">
            <w:pPr>
              <w:keepNext/>
              <w:spacing w:before="60" w:after="60"/>
              <w:jc w:val="right"/>
              <w:rPr>
                <w:rFonts w:eastAsia="Times New Roman" w:cstheme="minorHAnsi"/>
                <w:bCs/>
                <w:color w:val="000000"/>
                <w:sz w:val="18"/>
                <w:lang w:eastAsia="en-AU"/>
              </w:rPr>
            </w:pPr>
            <w:r>
              <w:rPr>
                <w:rFonts w:eastAsia="Times New Roman" w:cstheme="minorHAnsi"/>
                <w:bCs/>
                <w:color w:val="000000"/>
                <w:sz w:val="18"/>
                <w:lang w:eastAsia="en-AU"/>
              </w:rPr>
              <w:t>3.9</w:t>
            </w:r>
          </w:p>
        </w:tc>
        <w:tc>
          <w:tcPr>
            <w:tcW w:w="666" w:type="dxa"/>
            <w:shd w:val="clear" w:color="auto" w:fill="D6ECED"/>
            <w:noWrap/>
            <w:vAlign w:val="bottom"/>
          </w:tcPr>
          <w:p w14:paraId="7A4756FF" w14:textId="406FDE79" w:rsidR="00ED5682" w:rsidRPr="00ED5682" w:rsidDel="00B046A2" w:rsidRDefault="00ED5682" w:rsidP="00E661DC">
            <w:pPr>
              <w:keepNext/>
              <w:spacing w:before="60" w:after="60"/>
              <w:jc w:val="right"/>
              <w:rPr>
                <w:rFonts w:eastAsia="Times New Roman" w:cstheme="minorHAnsi"/>
                <w:bCs/>
                <w:color w:val="000000"/>
                <w:sz w:val="18"/>
                <w:lang w:eastAsia="en-AU"/>
              </w:rPr>
            </w:pPr>
            <w:r>
              <w:rPr>
                <w:rFonts w:eastAsia="Times New Roman" w:cstheme="minorHAnsi"/>
                <w:bCs/>
                <w:color w:val="000000"/>
                <w:sz w:val="18"/>
                <w:lang w:eastAsia="en-AU"/>
              </w:rPr>
              <w:t>4.1</w:t>
            </w:r>
          </w:p>
        </w:tc>
        <w:tc>
          <w:tcPr>
            <w:tcW w:w="666" w:type="dxa"/>
            <w:shd w:val="clear" w:color="auto" w:fill="D6ECED"/>
            <w:noWrap/>
            <w:vAlign w:val="bottom"/>
          </w:tcPr>
          <w:p w14:paraId="1DE17691" w14:textId="1EB6AD43" w:rsidR="00ED5682" w:rsidRPr="00ED5682" w:rsidDel="00B046A2" w:rsidRDefault="00ED5682" w:rsidP="00E661DC">
            <w:pPr>
              <w:keepNext/>
              <w:spacing w:before="60" w:after="60"/>
              <w:jc w:val="right"/>
              <w:rPr>
                <w:rFonts w:eastAsia="Times New Roman" w:cstheme="minorHAnsi"/>
                <w:bCs/>
                <w:color w:val="000000"/>
                <w:sz w:val="18"/>
                <w:lang w:eastAsia="en-AU"/>
              </w:rPr>
            </w:pPr>
            <w:r>
              <w:rPr>
                <w:rFonts w:eastAsia="Times New Roman" w:cstheme="minorHAnsi"/>
                <w:bCs/>
                <w:color w:val="000000"/>
                <w:sz w:val="18"/>
                <w:lang w:eastAsia="en-AU"/>
              </w:rPr>
              <w:t>3</w:t>
            </w:r>
          </w:p>
        </w:tc>
        <w:tc>
          <w:tcPr>
            <w:tcW w:w="945" w:type="dxa"/>
            <w:shd w:val="clear" w:color="auto" w:fill="D6ECED"/>
            <w:vAlign w:val="bottom"/>
          </w:tcPr>
          <w:p w14:paraId="4BA57B4D" w14:textId="5A6E84E3" w:rsidR="00ED5682" w:rsidRPr="00ED5682" w:rsidRDefault="00ED5682" w:rsidP="00E661DC">
            <w:pPr>
              <w:keepNext/>
              <w:spacing w:before="60" w:after="60"/>
              <w:jc w:val="right"/>
              <w:rPr>
                <w:rFonts w:eastAsia="Times New Roman" w:cstheme="minorHAnsi"/>
                <w:color w:val="auto"/>
                <w:sz w:val="18"/>
                <w:lang w:eastAsia="en-AU"/>
              </w:rPr>
            </w:pPr>
            <w:r w:rsidRPr="00ED5682">
              <w:rPr>
                <w:rFonts w:eastAsia="Times New Roman" w:cstheme="minorHAnsi"/>
                <w:color w:val="auto"/>
                <w:sz w:val="18"/>
                <w:lang w:eastAsia="en-AU"/>
              </w:rPr>
              <w:t>2.4</w:t>
            </w:r>
          </w:p>
        </w:tc>
      </w:tr>
    </w:tbl>
    <w:p w14:paraId="0CA61140" w14:textId="3067ECD3" w:rsidR="00091496" w:rsidRPr="00091496" w:rsidRDefault="00091496" w:rsidP="00091496">
      <w:pPr>
        <w:spacing w:before="40"/>
        <w:rPr>
          <w:sz w:val="16"/>
          <w:szCs w:val="16"/>
        </w:rPr>
      </w:pPr>
      <w:bookmarkStart w:id="298" w:name="_Toc32909788"/>
      <w:bookmarkStart w:id="299" w:name="_Ref43233820"/>
      <w:r w:rsidRPr="00091496">
        <w:rPr>
          <w:sz w:val="16"/>
          <w:szCs w:val="16"/>
        </w:rPr>
        <w:t>Source: DoT estimates based on TSV and BITRE data</w:t>
      </w:r>
    </w:p>
    <w:p w14:paraId="0B350D50" w14:textId="6DBD27A0" w:rsidR="00294EC8" w:rsidRDefault="00294EC8" w:rsidP="00294EC8">
      <w:pPr>
        <w:pStyle w:val="Heading3"/>
      </w:pPr>
      <w:bookmarkStart w:id="300" w:name="_Toc45704338"/>
      <w:r>
        <w:lastRenderedPageBreak/>
        <w:t>Design and standards</w:t>
      </w:r>
      <w:bookmarkEnd w:id="298"/>
      <w:bookmarkEnd w:id="299"/>
      <w:bookmarkEnd w:id="300"/>
    </w:p>
    <w:p w14:paraId="47D830A7" w14:textId="224776B2" w:rsidR="001F2B50" w:rsidRDefault="003164D2" w:rsidP="001F2B50">
      <w:r w:rsidRPr="0058615B">
        <w:t xml:space="preserve">The safety of a bus is </w:t>
      </w:r>
      <w:r w:rsidR="00540296" w:rsidRPr="0058615B">
        <w:t>dependent</w:t>
      </w:r>
      <w:r w:rsidR="00661847" w:rsidRPr="0058615B">
        <w:t xml:space="preserve"> on the</w:t>
      </w:r>
      <w:r w:rsidR="001F7714">
        <w:t xml:space="preserve"> </w:t>
      </w:r>
      <w:r w:rsidR="00772F24" w:rsidRPr="0058615B">
        <w:t>vehicle design</w:t>
      </w:r>
      <w:r w:rsidR="006C7D40">
        <w:t xml:space="preserve"> and standards</w:t>
      </w:r>
      <w:r w:rsidRPr="0058615B">
        <w:t>.</w:t>
      </w:r>
      <w:r w:rsidR="00772F24" w:rsidRPr="0058615B">
        <w:t xml:space="preserve"> </w:t>
      </w:r>
      <w:r w:rsidR="00B0099C" w:rsidRPr="0058615B">
        <w:t>Appropriate v</w:t>
      </w:r>
      <w:r w:rsidR="00772F24" w:rsidRPr="0058615B">
        <w:t>ehicle design and standards</w:t>
      </w:r>
      <w:r w:rsidR="00B0099C" w:rsidRPr="0058615B">
        <w:t xml:space="preserve"> </w:t>
      </w:r>
      <w:r w:rsidR="00EE4B2D" w:rsidRPr="0058615B">
        <w:t xml:space="preserve">will </w:t>
      </w:r>
      <w:r w:rsidR="00B0099C" w:rsidRPr="0058615B">
        <w:t xml:space="preserve">ensure </w:t>
      </w:r>
      <w:r w:rsidR="001F2B50" w:rsidRPr="0058615B">
        <w:t xml:space="preserve">that vehicles are safe </w:t>
      </w:r>
      <w:r w:rsidR="00C93993" w:rsidRPr="0058615B">
        <w:t xml:space="preserve">for use on </w:t>
      </w:r>
      <w:r w:rsidR="001F2B50" w:rsidRPr="0058615B">
        <w:t>the road</w:t>
      </w:r>
      <w:r w:rsidR="00FA4BEC">
        <w:t xml:space="preserve"> and do not harm passengers </w:t>
      </w:r>
      <w:r w:rsidR="00932410">
        <w:t xml:space="preserve">or </w:t>
      </w:r>
      <w:r w:rsidR="000919F3">
        <w:t>other road users</w:t>
      </w:r>
      <w:r w:rsidR="00540296" w:rsidRPr="0058615B">
        <w:t xml:space="preserve">. </w:t>
      </w:r>
      <w:r w:rsidR="00EF2820" w:rsidRPr="0058615B">
        <w:t>This includes standards relating to the design of the body, chassis</w:t>
      </w:r>
      <w:r w:rsidR="0049082D" w:rsidRPr="0058615B">
        <w:t>,</w:t>
      </w:r>
      <w:r w:rsidR="00EF2820" w:rsidRPr="0058615B">
        <w:t xml:space="preserve"> internal</w:t>
      </w:r>
      <w:r w:rsidR="006C1749" w:rsidRPr="0058615B">
        <w:t xml:space="preserve"> fittings, </w:t>
      </w:r>
      <w:r w:rsidR="0058615B">
        <w:t xml:space="preserve">as well as installed </w:t>
      </w:r>
      <w:r w:rsidR="006C1749" w:rsidRPr="0058615B">
        <w:t>equipment</w:t>
      </w:r>
      <w:r w:rsidR="00FD231D">
        <w:t xml:space="preserve"> or devices</w:t>
      </w:r>
      <w:r w:rsidR="006C1749" w:rsidRPr="0058615B">
        <w:t xml:space="preserve">. </w:t>
      </w:r>
      <w:r w:rsidR="00345405" w:rsidRPr="0058615B">
        <w:t xml:space="preserve">The overall design of the vehicle itself as well as components fitted or installed </w:t>
      </w:r>
      <w:r w:rsidR="001F2B50" w:rsidRPr="0058615B">
        <w:t xml:space="preserve">can </w:t>
      </w:r>
      <w:r w:rsidR="00345405" w:rsidRPr="0058615B">
        <w:t>both</w:t>
      </w:r>
      <w:r w:rsidR="004E4861" w:rsidRPr="0058615B">
        <w:t xml:space="preserve"> reduce the occurrence of</w:t>
      </w:r>
      <w:r w:rsidR="00726937" w:rsidRPr="0058615B">
        <w:t xml:space="preserve"> an </w:t>
      </w:r>
      <w:r w:rsidR="007273AF" w:rsidRPr="0058615B">
        <w:t xml:space="preserve">incident </w:t>
      </w:r>
      <w:r w:rsidR="007273AF">
        <w:t xml:space="preserve">itself </w:t>
      </w:r>
      <w:r w:rsidR="00726937" w:rsidRPr="0058615B">
        <w:t xml:space="preserve">(e.g. </w:t>
      </w:r>
      <w:r w:rsidR="004E4861" w:rsidRPr="0058615B">
        <w:t xml:space="preserve">flashing lights to warn motorists of disembarking passengers) </w:t>
      </w:r>
      <w:r w:rsidR="004F285D" w:rsidRPr="0058615B">
        <w:t>as well as</w:t>
      </w:r>
      <w:r w:rsidR="0067298F">
        <w:t xml:space="preserve"> </w:t>
      </w:r>
      <w:r w:rsidR="007273AF">
        <w:t>mitigating the consequences of an in</w:t>
      </w:r>
      <w:r w:rsidR="00A600EA">
        <w:t>cident should on</w:t>
      </w:r>
      <w:r w:rsidR="00A41A27">
        <w:t>e</w:t>
      </w:r>
      <w:r w:rsidR="00A600EA">
        <w:t xml:space="preserve"> occur </w:t>
      </w:r>
      <w:r w:rsidR="001F2B50" w:rsidRPr="0058615B">
        <w:t>(e.g.</w:t>
      </w:r>
      <w:r w:rsidR="004F285D" w:rsidRPr="0058615B">
        <w:t xml:space="preserve"> </w:t>
      </w:r>
      <w:r w:rsidR="00293C7B" w:rsidRPr="0058615B">
        <w:t xml:space="preserve">the use of airbags or seatbelts to mitigate the risk of serious injury in the event of a collision). </w:t>
      </w:r>
    </w:p>
    <w:p w14:paraId="336DE230" w14:textId="0D5CDDC8" w:rsidR="00B34142" w:rsidRDefault="003A218F" w:rsidP="00B34142">
      <w:r>
        <w:t xml:space="preserve">Schedule </w:t>
      </w:r>
      <w:r w:rsidR="000B3B84">
        <w:t>1 of the</w:t>
      </w:r>
      <w:r>
        <w:t xml:space="preserve"> Heavy Vehicle (Vehicle Standards) National Regulations</w:t>
      </w:r>
      <w:r w:rsidR="000B3B84">
        <w:t xml:space="preserve"> </w:t>
      </w:r>
      <w:r w:rsidR="004B7360">
        <w:t>requires a heavy vehicle</w:t>
      </w:r>
      <w:r w:rsidR="00D1307C">
        <w:t xml:space="preserve"> that is subject to an ADR when built or imported </w:t>
      </w:r>
      <w:r w:rsidR="00932410">
        <w:t xml:space="preserve">to </w:t>
      </w:r>
      <w:r w:rsidR="00D1307C">
        <w:t>continue to comply with the ADR</w:t>
      </w:r>
      <w:r w:rsidR="00B34142">
        <w:t>. Similarly, Schedule 2 of the Road Safety (Vehicles) Regulations 2009 require a vehicle that is subject to an ADR when built or imported to continue to comply with the ADR</w:t>
      </w:r>
      <w:r w:rsidR="002863EA">
        <w:t>s throughout its life</w:t>
      </w:r>
      <w:r w:rsidR="00B34142">
        <w:t>.</w:t>
      </w:r>
      <w:r w:rsidR="0087189A">
        <w:t xml:space="preserve"> </w:t>
      </w:r>
      <w:r w:rsidR="002536C3">
        <w:t>The default requirement is for vehicles to be compliant with the applicable ADR when built or imported. However</w:t>
      </w:r>
      <w:r w:rsidR="0087189A">
        <w:t xml:space="preserve">, </w:t>
      </w:r>
      <w:r w:rsidR="00B85E22">
        <w:t xml:space="preserve">a vehicle need not comply </w:t>
      </w:r>
      <w:r w:rsidR="00F17E6B">
        <w:t>w</w:t>
      </w:r>
      <w:r w:rsidR="00B85E22">
        <w:t xml:space="preserve">ith </w:t>
      </w:r>
      <w:r w:rsidR="005B2B91">
        <w:t>the original</w:t>
      </w:r>
      <w:r w:rsidR="00B85E22">
        <w:t xml:space="preserve"> standard if the standard is replaced by, or inconsistent with, a later standard and the vehicle complies with the later standard</w:t>
      </w:r>
      <w:r w:rsidR="00031C1A">
        <w:t>. Older vehicles may, therefore, be fitted with any equipment allowed on newer vehicle</w:t>
      </w:r>
      <w:r w:rsidR="0030659A">
        <w:t>s</w:t>
      </w:r>
      <w:r w:rsidR="00031C1A">
        <w:t>.</w:t>
      </w:r>
    </w:p>
    <w:p w14:paraId="5CAE31E4" w14:textId="3CBA43F6" w:rsidR="00251852" w:rsidRDefault="001B62C7" w:rsidP="001B62C7">
      <w:r>
        <w:t xml:space="preserve">While the </w:t>
      </w:r>
      <w:r w:rsidR="00B406B8">
        <w:t>A</w:t>
      </w:r>
      <w:r w:rsidR="00AD154F">
        <w:t>DRs</w:t>
      </w:r>
      <w:r>
        <w:t xml:space="preserve"> cover most bus standards, </w:t>
      </w:r>
      <w:r w:rsidR="001F560A">
        <w:t>intervention may still be required to ensure the standards can be enforced by the</w:t>
      </w:r>
      <w:r w:rsidR="00475C21">
        <w:t xml:space="preserve"> regulator </w:t>
      </w:r>
      <w:r w:rsidR="00A85657">
        <w:t xml:space="preserve">or there are </w:t>
      </w:r>
      <w:r>
        <w:t xml:space="preserve">gaps </w:t>
      </w:r>
      <w:r w:rsidR="00231B44">
        <w:t xml:space="preserve">which may require </w:t>
      </w:r>
      <w:r w:rsidR="00FA0D73">
        <w:t xml:space="preserve">additional </w:t>
      </w:r>
      <w:r w:rsidR="00231B44">
        <w:t>intervention</w:t>
      </w:r>
      <w:r w:rsidR="00FA0D73">
        <w:t>s</w:t>
      </w:r>
      <w:r w:rsidR="00231B44">
        <w:t xml:space="preserve"> to ensure buses are s</w:t>
      </w:r>
      <w:r>
        <w:t>afe</w:t>
      </w:r>
      <w:r w:rsidR="00A85657">
        <w:t>.</w:t>
      </w:r>
    </w:p>
    <w:p w14:paraId="2D6AECEA" w14:textId="1D621590" w:rsidR="00665DAE" w:rsidRPr="001C2DC0" w:rsidRDefault="008D65B4" w:rsidP="0095677C">
      <w:pPr>
        <w:pStyle w:val="Heading5"/>
      </w:pPr>
      <w:r w:rsidRPr="001C2DC0">
        <w:t>Application of ADRs and Bus Safety Regulations</w:t>
      </w:r>
    </w:p>
    <w:p w14:paraId="17376239" w14:textId="6996C38E" w:rsidR="008567A7" w:rsidRDefault="00B1325F" w:rsidP="008567A7">
      <w:r>
        <w:t>S</w:t>
      </w:r>
      <w:r w:rsidR="00465C76">
        <w:t xml:space="preserve">ome safety standards not </w:t>
      </w:r>
      <w:r w:rsidR="000401A4">
        <w:t xml:space="preserve">covered </w:t>
      </w:r>
      <w:r w:rsidR="00465C76">
        <w:t xml:space="preserve">in the ADRs may still be important for the safety of a bus. </w:t>
      </w:r>
      <w:r w:rsidR="000401A4">
        <w:t>T</w:t>
      </w:r>
      <w:r w:rsidR="002479DC">
        <w:t>he third edition ADRs only cover vehicle</w:t>
      </w:r>
      <w:r w:rsidR="006A4325">
        <w:t>s</w:t>
      </w:r>
      <w:r w:rsidR="002479DC">
        <w:t xml:space="preserve"> </w:t>
      </w:r>
      <w:r w:rsidR="00281CC3">
        <w:t>manufacture</w:t>
      </w:r>
      <w:r w:rsidR="006A4325">
        <w:t>d</w:t>
      </w:r>
      <w:r w:rsidR="00281CC3">
        <w:t xml:space="preserve"> </w:t>
      </w:r>
      <w:r w:rsidR="00C96EB0">
        <w:t>on or after 1</w:t>
      </w:r>
      <w:r w:rsidR="00281CC3">
        <w:t xml:space="preserve"> July 1988.</w:t>
      </w:r>
      <w:r w:rsidR="00F04CB3">
        <w:t xml:space="preserve"> As there are buses in the fleet that are manufactured prior to 1 July 1988, there is a gap in the coverage of the ADRs for these older buses. </w:t>
      </w:r>
    </w:p>
    <w:p w14:paraId="6EBA3649" w14:textId="214630C3" w:rsidR="00CB02BE" w:rsidRDefault="000401A4" w:rsidP="008F4A21">
      <w:r>
        <w:t>Some specific standards are not covered in the ADRs irrespective of the age of the bus. For example, t</w:t>
      </w:r>
      <w:r w:rsidR="008F4A21">
        <w:t>he ADRs require double deck buses to be stable when positioned on a flat surface with a 28-degree transverse slope</w:t>
      </w:r>
      <w:r w:rsidR="00CA489E">
        <w:t xml:space="preserve">. There is no similar standard for </w:t>
      </w:r>
      <w:r w:rsidR="008F4A21">
        <w:t xml:space="preserve">a single deck bus. </w:t>
      </w:r>
    </w:p>
    <w:p w14:paraId="532C998B" w14:textId="7BEF5195" w:rsidR="00465C76" w:rsidRDefault="0048596D" w:rsidP="00465C76">
      <w:r>
        <w:t>I</w:t>
      </w:r>
      <w:r w:rsidR="00541B06">
        <w:t xml:space="preserve">t is </w:t>
      </w:r>
      <w:r w:rsidR="00465C76">
        <w:t>importan</w:t>
      </w:r>
      <w:r w:rsidR="00541B06">
        <w:t>t for</w:t>
      </w:r>
      <w:r w:rsidR="00465C76">
        <w:t xml:space="preserve"> bus driver</w:t>
      </w:r>
      <w:r w:rsidR="00E7023B">
        <w:t>s to be able</w:t>
      </w:r>
      <w:r w:rsidR="00465C76">
        <w:t xml:space="preserve"> to see their passengers while they are driving a bus. This is to ensure that</w:t>
      </w:r>
      <w:r w:rsidR="00A210AB">
        <w:t xml:space="preserve"> the</w:t>
      </w:r>
      <w:r w:rsidR="00465C76">
        <w:t xml:space="preserve"> bus driver is able to monitor and view </w:t>
      </w:r>
      <w:r w:rsidR="007C499A">
        <w:t xml:space="preserve">the </w:t>
      </w:r>
      <w:r w:rsidR="00465C76">
        <w:t xml:space="preserve">behaviour of their passengers to ensure that they are safe. </w:t>
      </w:r>
      <w:r w:rsidR="00C502EE">
        <w:t>For example, a</w:t>
      </w:r>
      <w:r w:rsidR="00465C76">
        <w:t xml:space="preserve"> bus driver may need to stop the bus if they have viewed that a passenger has fallen while the bus is in service. The ADRs do not specify any requirement for an</w:t>
      </w:r>
      <w:r w:rsidR="007C499A">
        <w:t>y</w:t>
      </w:r>
      <w:r w:rsidR="00465C76">
        <w:t xml:space="preserve"> equipment or device to view passengers in or on the bus. </w:t>
      </w:r>
    </w:p>
    <w:p w14:paraId="1D17B6BF" w14:textId="400EA1BA" w:rsidR="00651C77" w:rsidRPr="001C2DC0" w:rsidRDefault="006C5296" w:rsidP="0095677C">
      <w:pPr>
        <w:pStyle w:val="Heading5"/>
      </w:pPr>
      <w:r w:rsidRPr="001C2DC0">
        <w:t>E</w:t>
      </w:r>
      <w:r w:rsidR="00465C76" w:rsidRPr="001C2DC0">
        <w:t xml:space="preserve">ffective enforcement of standards </w:t>
      </w:r>
    </w:p>
    <w:p w14:paraId="2FD8E19E" w14:textId="4CB848FF" w:rsidR="00724A4A" w:rsidRDefault="006B5464" w:rsidP="006E09A3">
      <w:r>
        <w:t xml:space="preserve">The regulator and transport safety officers </w:t>
      </w:r>
      <w:r w:rsidR="00DD0CCB">
        <w:t>do not have powers to directly enforce</w:t>
      </w:r>
      <w:r w:rsidR="00DC251C">
        <w:t xml:space="preserve"> the requirements in the ADRs</w:t>
      </w:r>
      <w:r w:rsidR="00724A4A">
        <w:t>.</w:t>
      </w:r>
      <w:r w:rsidR="00DC251C">
        <w:t xml:space="preserve"> The ADRs are given effect through the </w:t>
      </w:r>
      <w:r w:rsidR="00B16348">
        <w:t xml:space="preserve">Road Safety Act </w:t>
      </w:r>
      <w:r w:rsidR="00DC251C">
        <w:t>and t</w:t>
      </w:r>
      <w:r w:rsidR="00DA1175">
        <w:t xml:space="preserve">he regulations made under that Act. </w:t>
      </w:r>
      <w:r w:rsidR="008F56E7">
        <w:t xml:space="preserve">Under </w:t>
      </w:r>
      <w:r w:rsidR="00841B5A">
        <w:t xml:space="preserve">the </w:t>
      </w:r>
      <w:r w:rsidR="00841B5A" w:rsidRPr="00082133">
        <w:rPr>
          <w:i/>
        </w:rPr>
        <w:t>Transport Integration Act 2010</w:t>
      </w:r>
      <w:r w:rsidR="00841B5A" w:rsidRPr="00D0229E">
        <w:t>, and</w:t>
      </w:r>
      <w:r w:rsidR="00841B5A">
        <w:t xml:space="preserve"> the</w:t>
      </w:r>
      <w:r w:rsidR="00841B5A" w:rsidRPr="00D0229E">
        <w:t xml:space="preserve"> </w:t>
      </w:r>
      <w:r w:rsidR="00841B5A" w:rsidRPr="00082133">
        <w:rPr>
          <w:i/>
        </w:rPr>
        <w:t xml:space="preserve">Transport (Safety Schemes Compliance </w:t>
      </w:r>
      <w:r w:rsidR="00841B5A">
        <w:rPr>
          <w:i/>
        </w:rPr>
        <w:t>a</w:t>
      </w:r>
      <w:r w:rsidR="00841B5A" w:rsidRPr="00082133">
        <w:rPr>
          <w:i/>
        </w:rPr>
        <w:t>nd Enforcement) Act 2014</w:t>
      </w:r>
      <w:r w:rsidR="008F56E7">
        <w:t xml:space="preserve">, </w:t>
      </w:r>
      <w:r w:rsidR="008853C5">
        <w:t>transport safety</w:t>
      </w:r>
      <w:r w:rsidR="00F554D3">
        <w:t xml:space="preserve"> officers </w:t>
      </w:r>
      <w:r w:rsidR="00DA1175">
        <w:t>have powers</w:t>
      </w:r>
      <w:r w:rsidR="00F70774">
        <w:t xml:space="preserve"> to inspect vehicles</w:t>
      </w:r>
      <w:r w:rsidR="00A031F7">
        <w:t xml:space="preserve"> and issue improvement notices or prohibition notices in circumstances where the bus is unsafe to use or poses an immediate threat to safety</w:t>
      </w:r>
      <w:r w:rsidR="00DA1175">
        <w:t>.</w:t>
      </w:r>
      <w:r w:rsidR="00EF39C6">
        <w:t xml:space="preserve"> However, </w:t>
      </w:r>
      <w:r w:rsidR="00120B6C">
        <w:t>transport safety</w:t>
      </w:r>
      <w:r w:rsidR="00A84F2F">
        <w:t xml:space="preserve"> officers</w:t>
      </w:r>
      <w:r w:rsidR="00EF39C6">
        <w:t xml:space="preserve"> do not have the powers to inspect vehicles </w:t>
      </w:r>
      <w:r w:rsidR="00724B13">
        <w:t xml:space="preserve">and issue defect notices under the </w:t>
      </w:r>
      <w:r w:rsidR="00B16348">
        <w:t>Road Safety Act</w:t>
      </w:r>
      <w:r w:rsidR="00724B13">
        <w:t>.</w:t>
      </w:r>
    </w:p>
    <w:p w14:paraId="3B49C8D6" w14:textId="2AA1525F" w:rsidR="00284503" w:rsidRDefault="00284503" w:rsidP="00284503">
      <w:r>
        <w:t>For example, the ADRs specif</w:t>
      </w:r>
      <w:r w:rsidR="00AC4F66">
        <w:t>y</w:t>
      </w:r>
      <w:r>
        <w:t xml:space="preserve"> the design and construction of luggage racks to minimise injury from any projection or dislodgement of luggage during braking or cornering. This requirement, however, cannot be enforced by </w:t>
      </w:r>
      <w:r w:rsidR="000F2ED2">
        <w:t>TSV officers unless</w:t>
      </w:r>
      <w:r>
        <w:t xml:space="preserve"> specified in the regulations.</w:t>
      </w:r>
      <w:r w:rsidRPr="006E09A3">
        <w:t xml:space="preserve"> </w:t>
      </w:r>
    </w:p>
    <w:p w14:paraId="6C7A3241" w14:textId="7AD81FBE" w:rsidR="00F70774" w:rsidRDefault="00F70774" w:rsidP="006E09A3">
      <w:r>
        <w:t>Of</w:t>
      </w:r>
      <w:r w:rsidR="00BC0869">
        <w:t xml:space="preserve">ficers of the former VicRoads and </w:t>
      </w:r>
      <w:r w:rsidR="008A2702">
        <w:t>DoT</w:t>
      </w:r>
      <w:r w:rsidR="00BC0869">
        <w:t xml:space="preserve">, officers of the National Heavy Vehicle Regulator (where applicable), and police officers generally </w:t>
      </w:r>
      <w:r w:rsidR="00B87F39">
        <w:t xml:space="preserve">have powers to enforce vehicle standards </w:t>
      </w:r>
      <w:r w:rsidR="00C14847">
        <w:t xml:space="preserve">through inspecting vehicles and issuing defect notices under the </w:t>
      </w:r>
      <w:r w:rsidR="00CD79F9">
        <w:t>Road Safety Act</w:t>
      </w:r>
      <w:r w:rsidR="00C14847">
        <w:t>.</w:t>
      </w:r>
    </w:p>
    <w:p w14:paraId="6261FCCD" w14:textId="7495A4AD" w:rsidR="006B61CF" w:rsidRDefault="006B61CF" w:rsidP="006E09A3">
      <w:r>
        <w:t xml:space="preserve">Under the current regulations, </w:t>
      </w:r>
      <w:r w:rsidR="00770ABD">
        <w:t xml:space="preserve">all buses are required to undergo </w:t>
      </w:r>
      <w:r w:rsidR="00FA63A0">
        <w:t>inspection by a licen</w:t>
      </w:r>
      <w:r w:rsidR="00723409">
        <w:t>s</w:t>
      </w:r>
      <w:r w:rsidR="00FA63A0">
        <w:t>ed bus tester</w:t>
      </w:r>
      <w:r w:rsidR="00C82D15">
        <w:t xml:space="preserve">. This complements any activity undertaken by </w:t>
      </w:r>
      <w:r w:rsidR="00307F23">
        <w:t>T</w:t>
      </w:r>
      <w:r w:rsidR="00D24269">
        <w:t>SV officers</w:t>
      </w:r>
      <w:r w:rsidR="00307F23">
        <w:t>.</w:t>
      </w:r>
    </w:p>
    <w:p w14:paraId="2CCF697C" w14:textId="37D5C1E9" w:rsidR="00962E02" w:rsidRDefault="00102960" w:rsidP="00006D56">
      <w:r>
        <w:t xml:space="preserve">There may be some aspects of vehicle standards that need to be directly enforced by </w:t>
      </w:r>
      <w:r w:rsidR="004A30C2">
        <w:t xml:space="preserve">the </w:t>
      </w:r>
      <w:r w:rsidR="00DE3344">
        <w:t>regulator</w:t>
      </w:r>
      <w:r w:rsidR="00962E02">
        <w:t xml:space="preserve">. </w:t>
      </w:r>
    </w:p>
    <w:p w14:paraId="4F61A327" w14:textId="480CA4ED" w:rsidR="00A840E1" w:rsidRDefault="00077B15" w:rsidP="00006D56">
      <w:r>
        <w:lastRenderedPageBreak/>
        <w:t>F</w:t>
      </w:r>
      <w:r w:rsidRPr="00EC4E2A">
        <w:t>ire present</w:t>
      </w:r>
      <w:r>
        <w:t>s</w:t>
      </w:r>
      <w:r w:rsidRPr="00EC4E2A">
        <w:t xml:space="preserve"> a safety hazard </w:t>
      </w:r>
      <w:r>
        <w:t xml:space="preserve">in the provision of bus service. </w:t>
      </w:r>
      <w:r w:rsidR="00A840E1" w:rsidRPr="008E07A3">
        <w:t xml:space="preserve">As shown in </w:t>
      </w:r>
      <w:r w:rsidR="00A840E1" w:rsidRPr="008E07A3">
        <w:fldChar w:fldCharType="begin"/>
      </w:r>
      <w:r w:rsidR="00A840E1" w:rsidRPr="008E07A3">
        <w:instrText xml:space="preserve"> REF _Ref29907453 \h  \* MERGEFORMAT </w:instrText>
      </w:r>
      <w:r w:rsidR="00A840E1" w:rsidRPr="008E07A3">
        <w:fldChar w:fldCharType="separate"/>
      </w:r>
      <w:r w:rsidR="00277F6E" w:rsidRPr="00277F6E">
        <w:t xml:space="preserve">Table </w:t>
      </w:r>
      <w:r w:rsidR="00277F6E" w:rsidRPr="00277F6E">
        <w:rPr>
          <w:noProof/>
        </w:rPr>
        <w:t>3</w:t>
      </w:r>
      <w:r w:rsidR="00277F6E" w:rsidRPr="00277F6E">
        <w:rPr>
          <w:noProof/>
        </w:rPr>
        <w:noBreakHyphen/>
        <w:t>9</w:t>
      </w:r>
      <w:r w:rsidR="00A840E1" w:rsidRPr="008E07A3">
        <w:fldChar w:fldCharType="end"/>
      </w:r>
      <w:r w:rsidR="00A840E1" w:rsidRPr="008E07A3">
        <w:t>, there has been an average of about 13 inciden</w:t>
      </w:r>
      <w:r w:rsidR="00A840E1">
        <w:t xml:space="preserve">ts per calendar year </w:t>
      </w:r>
      <w:r w:rsidR="00A840E1" w:rsidRPr="008E07A3">
        <w:t xml:space="preserve">of fire reported on a bus during </w:t>
      </w:r>
      <w:r w:rsidR="00A840E1">
        <w:t xml:space="preserve">the period </w:t>
      </w:r>
      <w:r w:rsidR="00A840E1" w:rsidRPr="008E07A3">
        <w:t>2011 to 2019.</w:t>
      </w:r>
      <w:r w:rsidR="00A840E1">
        <w:t xml:space="preserve"> This points to the importance of measures to either prevent the occurrence of fires or mitigate the risks of a fire in cases of fire on a bus.</w:t>
      </w:r>
    </w:p>
    <w:p w14:paraId="6FBCF1FF" w14:textId="2CD17931" w:rsidR="00A840E1" w:rsidRPr="00871169" w:rsidRDefault="00A840E1" w:rsidP="005E479A">
      <w:pPr>
        <w:pStyle w:val="Caption"/>
        <w:keepNext/>
        <w:spacing w:after="60"/>
        <w:rPr>
          <w:b/>
          <w:i w:val="0"/>
        </w:rPr>
      </w:pPr>
      <w:bookmarkStart w:id="301" w:name="_Ref29907453"/>
      <w:bookmarkStart w:id="302" w:name="_Ref29907448"/>
      <w:bookmarkStart w:id="303" w:name="_Toc44437361"/>
      <w:bookmarkStart w:id="304" w:name="_Toc44597432"/>
      <w:bookmarkStart w:id="305" w:name="_Toc44597496"/>
      <w:bookmarkStart w:id="306" w:name="_Toc44600066"/>
      <w:bookmarkStart w:id="307" w:name="_Toc44600521"/>
      <w:bookmarkStart w:id="308" w:name="_Toc44600688"/>
      <w:bookmarkStart w:id="309" w:name="_Toc44601185"/>
      <w:bookmarkStart w:id="310" w:name="_Toc44601238"/>
      <w:bookmarkStart w:id="311" w:name="_Toc44603386"/>
      <w:bookmarkStart w:id="312" w:name="_Toc45704434"/>
      <w:r w:rsidRPr="00871169">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9</w:t>
      </w:r>
      <w:r w:rsidR="00D2483C">
        <w:rPr>
          <w:b/>
          <w:i w:val="0"/>
        </w:rPr>
        <w:fldChar w:fldCharType="end"/>
      </w:r>
      <w:bookmarkEnd w:id="301"/>
      <w:r w:rsidRPr="00871169">
        <w:rPr>
          <w:b/>
          <w:i w:val="0"/>
        </w:rPr>
        <w:t xml:space="preserve">: Incidence of fire on bus </w:t>
      </w:r>
      <w:r w:rsidR="0035658B">
        <w:rPr>
          <w:b/>
          <w:i w:val="0"/>
        </w:rPr>
        <w:t>–</w:t>
      </w:r>
      <w:r w:rsidRPr="00871169">
        <w:rPr>
          <w:b/>
          <w:i w:val="0"/>
        </w:rPr>
        <w:t xml:space="preserve"> 2011-2019</w:t>
      </w:r>
      <w:bookmarkEnd w:id="302"/>
      <w:bookmarkEnd w:id="303"/>
      <w:bookmarkEnd w:id="304"/>
      <w:bookmarkEnd w:id="305"/>
      <w:bookmarkEnd w:id="306"/>
      <w:bookmarkEnd w:id="307"/>
      <w:bookmarkEnd w:id="308"/>
      <w:bookmarkEnd w:id="309"/>
      <w:bookmarkEnd w:id="310"/>
      <w:bookmarkEnd w:id="311"/>
      <w:bookmarkEnd w:id="312"/>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1"/>
        <w:gridCol w:w="737"/>
        <w:gridCol w:w="737"/>
        <w:gridCol w:w="738"/>
        <w:gridCol w:w="737"/>
        <w:gridCol w:w="738"/>
        <w:gridCol w:w="737"/>
        <w:gridCol w:w="737"/>
        <w:gridCol w:w="738"/>
        <w:gridCol w:w="737"/>
        <w:gridCol w:w="738"/>
      </w:tblGrid>
      <w:tr w:rsidR="00A840E1" w:rsidRPr="00BE0BA1" w14:paraId="4F3B1E99" w14:textId="77777777" w:rsidTr="00531D47">
        <w:trPr>
          <w:cantSplit/>
          <w:trHeight w:val="288"/>
          <w:tblHeader/>
        </w:trPr>
        <w:tc>
          <w:tcPr>
            <w:tcW w:w="1627" w:type="dxa"/>
            <w:shd w:val="clear" w:color="auto" w:fill="D6ECED"/>
            <w:noWrap/>
            <w:vAlign w:val="bottom"/>
            <w:hideMark/>
          </w:tcPr>
          <w:p w14:paraId="3E9CB3E1" w14:textId="34F40487" w:rsidR="00A840E1" w:rsidRPr="00BE0BA1" w:rsidRDefault="00072223" w:rsidP="00531D47">
            <w:pPr>
              <w:keepNext/>
              <w:spacing w:before="60" w:after="60"/>
              <w:rPr>
                <w:rFonts w:eastAsia="Times New Roman" w:cstheme="minorHAnsi"/>
                <w:b/>
                <w:color w:val="000000"/>
                <w:sz w:val="18"/>
                <w:lang w:eastAsia="en-AU"/>
              </w:rPr>
            </w:pPr>
            <w:r>
              <w:rPr>
                <w:rFonts w:eastAsia="Times New Roman" w:cstheme="minorHAnsi"/>
                <w:b/>
                <w:color w:val="000000"/>
                <w:sz w:val="18"/>
                <w:lang w:eastAsia="en-AU"/>
              </w:rPr>
              <w:t>Inciden</w:t>
            </w:r>
            <w:r w:rsidR="001A6F0D">
              <w:rPr>
                <w:rFonts w:eastAsia="Times New Roman" w:cstheme="minorHAnsi"/>
                <w:b/>
                <w:color w:val="000000"/>
                <w:sz w:val="18"/>
                <w:lang w:eastAsia="en-AU"/>
              </w:rPr>
              <w:t>t</w:t>
            </w:r>
            <w:r>
              <w:rPr>
                <w:rFonts w:eastAsia="Times New Roman" w:cstheme="minorHAnsi"/>
                <w:b/>
                <w:color w:val="000000"/>
                <w:sz w:val="18"/>
                <w:lang w:eastAsia="en-AU"/>
              </w:rPr>
              <w:t xml:space="preserve"> type</w:t>
            </w:r>
          </w:p>
        </w:tc>
        <w:tc>
          <w:tcPr>
            <w:tcW w:w="730" w:type="dxa"/>
            <w:shd w:val="clear" w:color="auto" w:fill="D6ECED"/>
            <w:noWrap/>
            <w:vAlign w:val="bottom"/>
            <w:hideMark/>
          </w:tcPr>
          <w:p w14:paraId="1CAD9C7A" w14:textId="77777777" w:rsidR="00A840E1" w:rsidRPr="00BE0BA1" w:rsidRDefault="00A840E1" w:rsidP="00531D47">
            <w:pPr>
              <w:keepNext/>
              <w:spacing w:before="60" w:after="60"/>
              <w:jc w:val="center"/>
              <w:rPr>
                <w:rFonts w:eastAsia="Times New Roman" w:cstheme="minorHAnsi"/>
                <w:b/>
                <w:color w:val="000000"/>
                <w:sz w:val="18"/>
                <w:lang w:eastAsia="en-AU"/>
              </w:rPr>
            </w:pPr>
            <w:r w:rsidRPr="00BE0BA1">
              <w:rPr>
                <w:rFonts w:eastAsia="Times New Roman" w:cstheme="minorHAnsi"/>
                <w:b/>
                <w:color w:val="000000"/>
                <w:sz w:val="18"/>
                <w:lang w:eastAsia="en-AU"/>
              </w:rPr>
              <w:t>2011</w:t>
            </w:r>
          </w:p>
        </w:tc>
        <w:tc>
          <w:tcPr>
            <w:tcW w:w="730" w:type="dxa"/>
            <w:shd w:val="clear" w:color="auto" w:fill="D6ECED"/>
            <w:noWrap/>
            <w:vAlign w:val="bottom"/>
            <w:hideMark/>
          </w:tcPr>
          <w:p w14:paraId="4B58B0B6" w14:textId="77777777" w:rsidR="00A840E1" w:rsidRPr="00BE0BA1" w:rsidRDefault="00A840E1" w:rsidP="00531D47">
            <w:pPr>
              <w:keepNext/>
              <w:spacing w:before="60" w:after="60"/>
              <w:jc w:val="center"/>
              <w:rPr>
                <w:rFonts w:eastAsia="Times New Roman" w:cstheme="minorHAnsi"/>
                <w:b/>
                <w:color w:val="000000"/>
                <w:sz w:val="18"/>
                <w:lang w:eastAsia="en-AU"/>
              </w:rPr>
            </w:pPr>
            <w:r w:rsidRPr="00BE0BA1">
              <w:rPr>
                <w:rFonts w:eastAsia="Times New Roman" w:cstheme="minorHAnsi"/>
                <w:b/>
                <w:color w:val="000000"/>
                <w:sz w:val="18"/>
                <w:lang w:eastAsia="en-AU"/>
              </w:rPr>
              <w:t>2012</w:t>
            </w:r>
          </w:p>
        </w:tc>
        <w:tc>
          <w:tcPr>
            <w:tcW w:w="731" w:type="dxa"/>
            <w:shd w:val="clear" w:color="auto" w:fill="D6ECED"/>
            <w:noWrap/>
            <w:vAlign w:val="bottom"/>
            <w:hideMark/>
          </w:tcPr>
          <w:p w14:paraId="24801F65" w14:textId="77777777" w:rsidR="00A840E1" w:rsidRPr="00BE0BA1" w:rsidRDefault="00A840E1" w:rsidP="00531D47">
            <w:pPr>
              <w:keepNext/>
              <w:spacing w:before="60" w:after="60"/>
              <w:jc w:val="center"/>
              <w:rPr>
                <w:rFonts w:eastAsia="Times New Roman" w:cstheme="minorHAnsi"/>
                <w:b/>
                <w:color w:val="000000"/>
                <w:sz w:val="18"/>
                <w:lang w:eastAsia="en-AU"/>
              </w:rPr>
            </w:pPr>
            <w:r w:rsidRPr="00BE0BA1">
              <w:rPr>
                <w:rFonts w:eastAsia="Times New Roman" w:cstheme="minorHAnsi"/>
                <w:b/>
                <w:color w:val="000000"/>
                <w:sz w:val="18"/>
                <w:lang w:eastAsia="en-AU"/>
              </w:rPr>
              <w:t>2013</w:t>
            </w:r>
          </w:p>
        </w:tc>
        <w:tc>
          <w:tcPr>
            <w:tcW w:w="730" w:type="dxa"/>
            <w:shd w:val="clear" w:color="auto" w:fill="D6ECED"/>
            <w:noWrap/>
            <w:vAlign w:val="bottom"/>
            <w:hideMark/>
          </w:tcPr>
          <w:p w14:paraId="62412108" w14:textId="77777777" w:rsidR="00A840E1" w:rsidRPr="00BE0BA1" w:rsidRDefault="00A840E1" w:rsidP="00531D47">
            <w:pPr>
              <w:keepNext/>
              <w:spacing w:before="60" w:after="60"/>
              <w:jc w:val="center"/>
              <w:rPr>
                <w:rFonts w:eastAsia="Times New Roman" w:cstheme="minorHAnsi"/>
                <w:b/>
                <w:color w:val="000000"/>
                <w:sz w:val="18"/>
                <w:lang w:eastAsia="en-AU"/>
              </w:rPr>
            </w:pPr>
            <w:r w:rsidRPr="00BE0BA1">
              <w:rPr>
                <w:rFonts w:eastAsia="Times New Roman" w:cstheme="minorHAnsi"/>
                <w:b/>
                <w:color w:val="000000"/>
                <w:sz w:val="18"/>
                <w:lang w:eastAsia="en-AU"/>
              </w:rPr>
              <w:t>2014</w:t>
            </w:r>
          </w:p>
        </w:tc>
        <w:tc>
          <w:tcPr>
            <w:tcW w:w="731" w:type="dxa"/>
            <w:shd w:val="clear" w:color="auto" w:fill="D6ECED"/>
            <w:noWrap/>
            <w:vAlign w:val="bottom"/>
            <w:hideMark/>
          </w:tcPr>
          <w:p w14:paraId="779D2AB6" w14:textId="77777777" w:rsidR="00A840E1" w:rsidRPr="00BE0BA1" w:rsidRDefault="00A840E1" w:rsidP="00531D47">
            <w:pPr>
              <w:keepNext/>
              <w:spacing w:before="60" w:after="60"/>
              <w:jc w:val="center"/>
              <w:rPr>
                <w:rFonts w:eastAsia="Times New Roman" w:cstheme="minorHAnsi"/>
                <w:b/>
                <w:color w:val="000000"/>
                <w:sz w:val="18"/>
                <w:lang w:eastAsia="en-AU"/>
              </w:rPr>
            </w:pPr>
            <w:r w:rsidRPr="00BE0BA1">
              <w:rPr>
                <w:rFonts w:eastAsia="Times New Roman" w:cstheme="minorHAnsi"/>
                <w:b/>
                <w:color w:val="000000"/>
                <w:sz w:val="18"/>
                <w:lang w:eastAsia="en-AU"/>
              </w:rPr>
              <w:t>2015</w:t>
            </w:r>
          </w:p>
        </w:tc>
        <w:tc>
          <w:tcPr>
            <w:tcW w:w="730" w:type="dxa"/>
            <w:shd w:val="clear" w:color="auto" w:fill="D6ECED"/>
            <w:noWrap/>
            <w:vAlign w:val="bottom"/>
            <w:hideMark/>
          </w:tcPr>
          <w:p w14:paraId="637C7D27" w14:textId="77777777" w:rsidR="00A840E1" w:rsidRPr="00BE0BA1" w:rsidRDefault="00A840E1" w:rsidP="00531D47">
            <w:pPr>
              <w:keepNext/>
              <w:spacing w:before="60" w:after="60"/>
              <w:jc w:val="center"/>
              <w:rPr>
                <w:rFonts w:eastAsia="Times New Roman" w:cstheme="minorHAnsi"/>
                <w:b/>
                <w:color w:val="000000"/>
                <w:sz w:val="18"/>
                <w:lang w:eastAsia="en-AU"/>
              </w:rPr>
            </w:pPr>
            <w:r w:rsidRPr="00BE0BA1">
              <w:rPr>
                <w:rFonts w:eastAsia="Times New Roman" w:cstheme="minorHAnsi"/>
                <w:b/>
                <w:color w:val="000000"/>
                <w:sz w:val="18"/>
                <w:lang w:eastAsia="en-AU"/>
              </w:rPr>
              <w:t>2016</w:t>
            </w:r>
          </w:p>
        </w:tc>
        <w:tc>
          <w:tcPr>
            <w:tcW w:w="730" w:type="dxa"/>
            <w:shd w:val="clear" w:color="auto" w:fill="D6ECED"/>
            <w:noWrap/>
            <w:vAlign w:val="bottom"/>
            <w:hideMark/>
          </w:tcPr>
          <w:p w14:paraId="39DA36E2" w14:textId="77777777" w:rsidR="00A840E1" w:rsidRPr="00BE0BA1" w:rsidRDefault="00A840E1" w:rsidP="00531D47">
            <w:pPr>
              <w:keepNext/>
              <w:spacing w:before="60" w:after="60"/>
              <w:jc w:val="center"/>
              <w:rPr>
                <w:rFonts w:eastAsia="Times New Roman" w:cstheme="minorHAnsi"/>
                <w:b/>
                <w:color w:val="000000"/>
                <w:sz w:val="18"/>
                <w:lang w:eastAsia="en-AU"/>
              </w:rPr>
            </w:pPr>
            <w:r w:rsidRPr="00BE0BA1">
              <w:rPr>
                <w:rFonts w:eastAsia="Times New Roman" w:cstheme="minorHAnsi"/>
                <w:b/>
                <w:color w:val="000000"/>
                <w:sz w:val="18"/>
                <w:lang w:eastAsia="en-AU"/>
              </w:rPr>
              <w:t>2017</w:t>
            </w:r>
          </w:p>
        </w:tc>
        <w:tc>
          <w:tcPr>
            <w:tcW w:w="731" w:type="dxa"/>
            <w:shd w:val="clear" w:color="auto" w:fill="D6ECED"/>
            <w:noWrap/>
            <w:vAlign w:val="bottom"/>
            <w:hideMark/>
          </w:tcPr>
          <w:p w14:paraId="03783D4B" w14:textId="77777777" w:rsidR="00A840E1" w:rsidRPr="00BE0BA1" w:rsidRDefault="00A840E1" w:rsidP="00531D47">
            <w:pPr>
              <w:keepNext/>
              <w:spacing w:before="60" w:after="60"/>
              <w:jc w:val="center"/>
              <w:rPr>
                <w:rFonts w:eastAsia="Times New Roman" w:cstheme="minorHAnsi"/>
                <w:b/>
                <w:color w:val="000000"/>
                <w:sz w:val="18"/>
                <w:lang w:eastAsia="en-AU"/>
              </w:rPr>
            </w:pPr>
            <w:r w:rsidRPr="00BE0BA1">
              <w:rPr>
                <w:rFonts w:eastAsia="Times New Roman" w:cstheme="minorHAnsi"/>
                <w:b/>
                <w:color w:val="000000"/>
                <w:sz w:val="18"/>
                <w:lang w:eastAsia="en-AU"/>
              </w:rPr>
              <w:t>2018</w:t>
            </w:r>
          </w:p>
        </w:tc>
        <w:tc>
          <w:tcPr>
            <w:tcW w:w="730" w:type="dxa"/>
            <w:shd w:val="clear" w:color="auto" w:fill="D6ECED"/>
            <w:noWrap/>
            <w:vAlign w:val="bottom"/>
            <w:hideMark/>
          </w:tcPr>
          <w:p w14:paraId="36D41AC6" w14:textId="77777777" w:rsidR="00A840E1" w:rsidRPr="00BE0BA1" w:rsidRDefault="00A840E1" w:rsidP="00531D47">
            <w:pPr>
              <w:keepNext/>
              <w:spacing w:before="60" w:after="60"/>
              <w:jc w:val="center"/>
              <w:rPr>
                <w:rFonts w:eastAsia="Times New Roman" w:cstheme="minorHAnsi"/>
                <w:b/>
                <w:color w:val="000000"/>
                <w:sz w:val="18"/>
                <w:lang w:eastAsia="en-AU"/>
              </w:rPr>
            </w:pPr>
            <w:r w:rsidRPr="00BE0BA1">
              <w:rPr>
                <w:rFonts w:eastAsia="Times New Roman" w:cstheme="minorHAnsi"/>
                <w:b/>
                <w:color w:val="000000"/>
                <w:sz w:val="18"/>
                <w:lang w:eastAsia="en-AU"/>
              </w:rPr>
              <w:t>2019</w:t>
            </w:r>
          </w:p>
        </w:tc>
        <w:tc>
          <w:tcPr>
            <w:tcW w:w="731" w:type="dxa"/>
            <w:shd w:val="clear" w:color="auto" w:fill="D6ECED"/>
            <w:noWrap/>
            <w:vAlign w:val="bottom"/>
            <w:hideMark/>
          </w:tcPr>
          <w:p w14:paraId="0213DE13" w14:textId="77777777" w:rsidR="00A840E1" w:rsidRPr="00BE0BA1" w:rsidRDefault="00A840E1" w:rsidP="00531D47">
            <w:pPr>
              <w:keepNext/>
              <w:spacing w:before="60" w:after="60"/>
              <w:jc w:val="center"/>
              <w:rPr>
                <w:rFonts w:eastAsia="Times New Roman" w:cstheme="minorHAnsi"/>
                <w:b/>
                <w:color w:val="000000"/>
                <w:sz w:val="18"/>
                <w:lang w:eastAsia="en-AU"/>
              </w:rPr>
            </w:pPr>
            <w:r w:rsidRPr="00BE0BA1">
              <w:rPr>
                <w:rFonts w:eastAsia="Times New Roman" w:cstheme="minorHAnsi"/>
                <w:b/>
                <w:color w:val="000000"/>
                <w:sz w:val="18"/>
                <w:lang w:eastAsia="en-AU"/>
              </w:rPr>
              <w:t>Total</w:t>
            </w:r>
          </w:p>
        </w:tc>
      </w:tr>
      <w:tr w:rsidR="00A840E1" w:rsidRPr="00BE0BA1" w14:paraId="2684F088" w14:textId="77777777" w:rsidTr="00531D47">
        <w:trPr>
          <w:cantSplit/>
          <w:trHeight w:val="288"/>
          <w:tblHeader/>
        </w:trPr>
        <w:tc>
          <w:tcPr>
            <w:tcW w:w="1627" w:type="dxa"/>
            <w:shd w:val="clear" w:color="auto" w:fill="auto"/>
            <w:noWrap/>
            <w:vAlign w:val="bottom"/>
            <w:hideMark/>
          </w:tcPr>
          <w:p w14:paraId="2A11A70E" w14:textId="40AD7B54" w:rsidR="00A840E1" w:rsidRPr="00072223" w:rsidRDefault="00072223" w:rsidP="00531D47">
            <w:pPr>
              <w:keepNext/>
              <w:spacing w:before="60" w:after="60"/>
              <w:rPr>
                <w:rFonts w:eastAsia="Times New Roman" w:cstheme="minorHAnsi"/>
                <w:color w:val="000000"/>
                <w:sz w:val="18"/>
                <w:lang w:eastAsia="en-AU"/>
              </w:rPr>
            </w:pPr>
            <w:r w:rsidRPr="00072223">
              <w:rPr>
                <w:rFonts w:eastAsia="Times New Roman" w:cstheme="minorHAnsi"/>
                <w:color w:val="000000"/>
                <w:sz w:val="18"/>
                <w:lang w:eastAsia="en-AU"/>
              </w:rPr>
              <w:t>F</w:t>
            </w:r>
            <w:r w:rsidR="00A840E1" w:rsidRPr="00072223">
              <w:rPr>
                <w:rFonts w:eastAsia="Times New Roman" w:cstheme="minorHAnsi"/>
                <w:color w:val="000000"/>
                <w:sz w:val="18"/>
                <w:lang w:eastAsia="en-AU"/>
              </w:rPr>
              <w:t xml:space="preserve">ire </w:t>
            </w:r>
          </w:p>
        </w:tc>
        <w:tc>
          <w:tcPr>
            <w:tcW w:w="730" w:type="dxa"/>
            <w:shd w:val="clear" w:color="auto" w:fill="auto"/>
            <w:noWrap/>
            <w:vAlign w:val="bottom"/>
            <w:hideMark/>
          </w:tcPr>
          <w:p w14:paraId="02429BE8" w14:textId="77777777" w:rsidR="00A840E1" w:rsidRPr="00BE0BA1" w:rsidRDefault="00A840E1" w:rsidP="00531D47">
            <w:pPr>
              <w:keepNext/>
              <w:spacing w:before="60" w:after="60"/>
              <w:jc w:val="right"/>
              <w:rPr>
                <w:rFonts w:eastAsia="Times New Roman" w:cstheme="minorHAnsi"/>
                <w:color w:val="000000"/>
                <w:sz w:val="18"/>
                <w:lang w:eastAsia="en-AU"/>
              </w:rPr>
            </w:pPr>
            <w:r w:rsidRPr="00BE0BA1">
              <w:rPr>
                <w:rFonts w:eastAsia="Times New Roman" w:cstheme="minorHAnsi"/>
                <w:color w:val="000000"/>
                <w:sz w:val="18"/>
                <w:lang w:eastAsia="en-AU"/>
              </w:rPr>
              <w:t>11</w:t>
            </w:r>
          </w:p>
        </w:tc>
        <w:tc>
          <w:tcPr>
            <w:tcW w:w="730" w:type="dxa"/>
            <w:shd w:val="clear" w:color="auto" w:fill="auto"/>
            <w:noWrap/>
            <w:vAlign w:val="bottom"/>
            <w:hideMark/>
          </w:tcPr>
          <w:p w14:paraId="5063C243" w14:textId="77777777" w:rsidR="00A840E1" w:rsidRPr="00BE0BA1" w:rsidRDefault="00A840E1" w:rsidP="00531D47">
            <w:pPr>
              <w:keepNext/>
              <w:spacing w:before="60" w:after="60"/>
              <w:jc w:val="right"/>
              <w:rPr>
                <w:rFonts w:eastAsia="Times New Roman" w:cstheme="minorHAnsi"/>
                <w:color w:val="000000"/>
                <w:sz w:val="18"/>
                <w:lang w:eastAsia="en-AU"/>
              </w:rPr>
            </w:pPr>
            <w:r w:rsidRPr="00BE0BA1">
              <w:rPr>
                <w:rFonts w:eastAsia="Times New Roman" w:cstheme="minorHAnsi"/>
                <w:color w:val="000000"/>
                <w:sz w:val="18"/>
                <w:lang w:eastAsia="en-AU"/>
              </w:rPr>
              <w:t>13</w:t>
            </w:r>
          </w:p>
        </w:tc>
        <w:tc>
          <w:tcPr>
            <w:tcW w:w="731" w:type="dxa"/>
            <w:shd w:val="clear" w:color="auto" w:fill="auto"/>
            <w:noWrap/>
            <w:vAlign w:val="bottom"/>
            <w:hideMark/>
          </w:tcPr>
          <w:p w14:paraId="1E2059EA" w14:textId="77777777" w:rsidR="00A840E1" w:rsidRPr="00BE0BA1" w:rsidRDefault="00A840E1" w:rsidP="00531D47">
            <w:pPr>
              <w:keepNext/>
              <w:spacing w:before="60" w:after="60"/>
              <w:jc w:val="right"/>
              <w:rPr>
                <w:rFonts w:eastAsia="Times New Roman" w:cstheme="minorHAnsi"/>
                <w:color w:val="000000"/>
                <w:sz w:val="18"/>
                <w:lang w:eastAsia="en-AU"/>
              </w:rPr>
            </w:pPr>
            <w:r w:rsidRPr="00BE0BA1">
              <w:rPr>
                <w:rFonts w:eastAsia="Times New Roman" w:cstheme="minorHAnsi"/>
                <w:color w:val="000000"/>
                <w:sz w:val="18"/>
                <w:lang w:eastAsia="en-AU"/>
              </w:rPr>
              <w:t>12</w:t>
            </w:r>
          </w:p>
        </w:tc>
        <w:tc>
          <w:tcPr>
            <w:tcW w:w="730" w:type="dxa"/>
            <w:shd w:val="clear" w:color="auto" w:fill="auto"/>
            <w:noWrap/>
            <w:vAlign w:val="bottom"/>
            <w:hideMark/>
          </w:tcPr>
          <w:p w14:paraId="5A261AC2" w14:textId="77777777" w:rsidR="00A840E1" w:rsidRPr="00BE0BA1" w:rsidRDefault="00A840E1" w:rsidP="00531D47">
            <w:pPr>
              <w:keepNext/>
              <w:spacing w:before="60" w:after="60"/>
              <w:jc w:val="right"/>
              <w:rPr>
                <w:rFonts w:eastAsia="Times New Roman" w:cstheme="minorHAnsi"/>
                <w:color w:val="000000"/>
                <w:sz w:val="18"/>
                <w:lang w:eastAsia="en-AU"/>
              </w:rPr>
            </w:pPr>
            <w:r w:rsidRPr="00BE0BA1">
              <w:rPr>
                <w:rFonts w:eastAsia="Times New Roman" w:cstheme="minorHAnsi"/>
                <w:color w:val="000000"/>
                <w:sz w:val="18"/>
                <w:lang w:eastAsia="en-AU"/>
              </w:rPr>
              <w:t>14</w:t>
            </w:r>
          </w:p>
        </w:tc>
        <w:tc>
          <w:tcPr>
            <w:tcW w:w="731" w:type="dxa"/>
            <w:shd w:val="clear" w:color="auto" w:fill="auto"/>
            <w:noWrap/>
            <w:vAlign w:val="bottom"/>
            <w:hideMark/>
          </w:tcPr>
          <w:p w14:paraId="02DD5986" w14:textId="77777777" w:rsidR="00A840E1" w:rsidRPr="00BE0BA1" w:rsidRDefault="00A840E1" w:rsidP="00531D47">
            <w:pPr>
              <w:keepNext/>
              <w:spacing w:before="60" w:after="60"/>
              <w:jc w:val="right"/>
              <w:rPr>
                <w:rFonts w:eastAsia="Times New Roman" w:cstheme="minorHAnsi"/>
                <w:color w:val="000000"/>
                <w:sz w:val="18"/>
                <w:lang w:eastAsia="en-AU"/>
              </w:rPr>
            </w:pPr>
            <w:r w:rsidRPr="00BE0BA1">
              <w:rPr>
                <w:rFonts w:eastAsia="Times New Roman" w:cstheme="minorHAnsi"/>
                <w:color w:val="000000"/>
                <w:sz w:val="18"/>
                <w:lang w:eastAsia="en-AU"/>
              </w:rPr>
              <w:t>15</w:t>
            </w:r>
          </w:p>
        </w:tc>
        <w:tc>
          <w:tcPr>
            <w:tcW w:w="730" w:type="dxa"/>
            <w:shd w:val="clear" w:color="auto" w:fill="auto"/>
            <w:noWrap/>
            <w:vAlign w:val="bottom"/>
            <w:hideMark/>
          </w:tcPr>
          <w:p w14:paraId="00C02361" w14:textId="77777777" w:rsidR="00A840E1" w:rsidRPr="00BE0BA1" w:rsidRDefault="00A840E1" w:rsidP="00531D47">
            <w:pPr>
              <w:keepNext/>
              <w:spacing w:before="60" w:after="60"/>
              <w:jc w:val="right"/>
              <w:rPr>
                <w:rFonts w:eastAsia="Times New Roman" w:cstheme="minorHAnsi"/>
                <w:color w:val="000000"/>
                <w:sz w:val="18"/>
                <w:lang w:eastAsia="en-AU"/>
              </w:rPr>
            </w:pPr>
            <w:r w:rsidRPr="00BE0BA1">
              <w:rPr>
                <w:rFonts w:eastAsia="Times New Roman" w:cstheme="minorHAnsi"/>
                <w:color w:val="000000"/>
                <w:sz w:val="18"/>
                <w:lang w:eastAsia="en-AU"/>
              </w:rPr>
              <w:t>13</w:t>
            </w:r>
          </w:p>
        </w:tc>
        <w:tc>
          <w:tcPr>
            <w:tcW w:w="730" w:type="dxa"/>
            <w:shd w:val="clear" w:color="auto" w:fill="auto"/>
            <w:noWrap/>
            <w:vAlign w:val="bottom"/>
            <w:hideMark/>
          </w:tcPr>
          <w:p w14:paraId="6619EE78" w14:textId="77777777" w:rsidR="00A840E1" w:rsidRPr="00BE0BA1" w:rsidRDefault="00A840E1" w:rsidP="00531D47">
            <w:pPr>
              <w:keepNext/>
              <w:spacing w:before="60" w:after="60"/>
              <w:jc w:val="right"/>
              <w:rPr>
                <w:rFonts w:eastAsia="Times New Roman" w:cstheme="minorHAnsi"/>
                <w:color w:val="000000"/>
                <w:sz w:val="18"/>
                <w:lang w:eastAsia="en-AU"/>
              </w:rPr>
            </w:pPr>
            <w:r w:rsidRPr="00BE0BA1">
              <w:rPr>
                <w:rFonts w:eastAsia="Times New Roman" w:cstheme="minorHAnsi"/>
                <w:color w:val="000000"/>
                <w:sz w:val="18"/>
                <w:lang w:eastAsia="en-AU"/>
              </w:rPr>
              <w:t>18</w:t>
            </w:r>
          </w:p>
        </w:tc>
        <w:tc>
          <w:tcPr>
            <w:tcW w:w="731" w:type="dxa"/>
            <w:shd w:val="clear" w:color="auto" w:fill="auto"/>
            <w:noWrap/>
            <w:vAlign w:val="bottom"/>
            <w:hideMark/>
          </w:tcPr>
          <w:p w14:paraId="0BDE6535" w14:textId="77777777" w:rsidR="00A840E1" w:rsidRPr="00BE0BA1" w:rsidRDefault="00A840E1" w:rsidP="00531D47">
            <w:pPr>
              <w:keepNext/>
              <w:spacing w:before="60" w:after="60"/>
              <w:jc w:val="right"/>
              <w:rPr>
                <w:rFonts w:eastAsia="Times New Roman" w:cstheme="minorHAnsi"/>
                <w:color w:val="000000"/>
                <w:sz w:val="18"/>
                <w:lang w:eastAsia="en-AU"/>
              </w:rPr>
            </w:pPr>
            <w:r w:rsidRPr="00BE0BA1">
              <w:rPr>
                <w:rFonts w:eastAsia="Times New Roman" w:cstheme="minorHAnsi"/>
                <w:color w:val="000000"/>
                <w:sz w:val="18"/>
                <w:lang w:eastAsia="en-AU"/>
              </w:rPr>
              <w:t>16</w:t>
            </w:r>
          </w:p>
        </w:tc>
        <w:tc>
          <w:tcPr>
            <w:tcW w:w="730" w:type="dxa"/>
            <w:shd w:val="clear" w:color="auto" w:fill="auto"/>
            <w:noWrap/>
            <w:vAlign w:val="bottom"/>
            <w:hideMark/>
          </w:tcPr>
          <w:p w14:paraId="6DDD4D09" w14:textId="77777777" w:rsidR="00A840E1" w:rsidRPr="00BE0BA1" w:rsidRDefault="00A840E1" w:rsidP="00531D47">
            <w:pPr>
              <w:keepNext/>
              <w:spacing w:before="60" w:after="60"/>
              <w:jc w:val="right"/>
              <w:rPr>
                <w:rFonts w:eastAsia="Times New Roman" w:cstheme="minorHAnsi"/>
                <w:color w:val="000000"/>
                <w:sz w:val="18"/>
                <w:lang w:eastAsia="en-AU"/>
              </w:rPr>
            </w:pPr>
            <w:r w:rsidRPr="00BE0BA1">
              <w:rPr>
                <w:rFonts w:eastAsia="Times New Roman" w:cstheme="minorHAnsi"/>
                <w:color w:val="000000"/>
                <w:sz w:val="18"/>
                <w:lang w:eastAsia="en-AU"/>
              </w:rPr>
              <w:t>6</w:t>
            </w:r>
          </w:p>
        </w:tc>
        <w:tc>
          <w:tcPr>
            <w:tcW w:w="731" w:type="dxa"/>
            <w:shd w:val="clear" w:color="auto" w:fill="auto"/>
            <w:noWrap/>
            <w:vAlign w:val="bottom"/>
            <w:hideMark/>
          </w:tcPr>
          <w:p w14:paraId="5DE1479B" w14:textId="77777777" w:rsidR="00A840E1" w:rsidRPr="00BE0BA1" w:rsidRDefault="00A840E1" w:rsidP="00531D47">
            <w:pPr>
              <w:keepNext/>
              <w:spacing w:before="60" w:after="60"/>
              <w:jc w:val="right"/>
              <w:rPr>
                <w:rFonts w:eastAsia="Times New Roman" w:cstheme="minorHAnsi"/>
                <w:b/>
                <w:color w:val="000000"/>
                <w:sz w:val="18"/>
                <w:lang w:eastAsia="en-AU"/>
              </w:rPr>
            </w:pPr>
            <w:r w:rsidRPr="00BE0BA1">
              <w:rPr>
                <w:rFonts w:eastAsia="Times New Roman" w:cstheme="minorHAnsi"/>
                <w:b/>
                <w:color w:val="000000"/>
                <w:sz w:val="18"/>
                <w:lang w:eastAsia="en-AU"/>
              </w:rPr>
              <w:t>118</w:t>
            </w:r>
          </w:p>
        </w:tc>
      </w:tr>
    </w:tbl>
    <w:p w14:paraId="0C1ADCA4" w14:textId="4038071B" w:rsidR="00FA2EB8" w:rsidRPr="00FA2EB8" w:rsidRDefault="00FA2EB8" w:rsidP="00FA2EB8">
      <w:pPr>
        <w:spacing w:before="40"/>
        <w:rPr>
          <w:sz w:val="16"/>
          <w:szCs w:val="16"/>
        </w:rPr>
      </w:pPr>
      <w:r w:rsidRPr="00FA2EB8">
        <w:rPr>
          <w:sz w:val="16"/>
          <w:szCs w:val="16"/>
        </w:rPr>
        <w:t>Source: TSV</w:t>
      </w:r>
    </w:p>
    <w:p w14:paraId="3CC453FB" w14:textId="08A3B9C8" w:rsidR="00077B15" w:rsidRDefault="00A840E1" w:rsidP="00A840E1">
      <w:r>
        <w:t>There may be many different causes of a fire on a bus including arson, mechanical failure or dangerous (flammable) goods. While the data on the number of inciden</w:t>
      </w:r>
      <w:r w:rsidR="00315B84">
        <w:t>ts</w:t>
      </w:r>
      <w:r>
        <w:t xml:space="preserve"> does not record the cause of the fire, consultation with TSV have indicated that mechanical failure is usually the main cause for fires on buses – arson and dangerous (flammable) goods are not the usual cause for fires on buses, particularly since smoking is prohibited on a bus and buses do not generally transport goods that are flammable. </w:t>
      </w:r>
      <w:r w:rsidR="00971CDA">
        <w:t xml:space="preserve"> </w:t>
      </w:r>
    </w:p>
    <w:p w14:paraId="1C6F4EB3" w14:textId="2994972C" w:rsidR="00F219C1" w:rsidRPr="00FC73AF" w:rsidRDefault="00077B15" w:rsidP="00A840E1">
      <w:r w:rsidRPr="00FC73AF">
        <w:t>ADR</w:t>
      </w:r>
      <w:r w:rsidR="004713EA">
        <w:t xml:space="preserve"> 58/00</w:t>
      </w:r>
      <w:r w:rsidRPr="00FC73AF">
        <w:t xml:space="preserve"> require</w:t>
      </w:r>
      <w:r w:rsidR="004713EA">
        <w:t>s</w:t>
      </w:r>
      <w:r w:rsidRPr="00FC73AF">
        <w:t xml:space="preserve"> a fire extinguisher to be installed on all buses used for hire and reward, to ensure that if a fire is present, there is means in which to extinguish the fire on these buses.</w:t>
      </w:r>
      <w:r w:rsidR="007E6366" w:rsidRPr="00FC73AF">
        <w:t xml:space="preserve"> The </w:t>
      </w:r>
      <w:r w:rsidR="00E84D99" w:rsidRPr="00FC73AF">
        <w:t>general</w:t>
      </w:r>
      <w:r w:rsidR="007E6366" w:rsidRPr="00FC73AF">
        <w:t xml:space="preserve"> safety duties under the </w:t>
      </w:r>
      <w:r w:rsidR="00803EBD" w:rsidRPr="00FC73AF">
        <w:t>Bus Safety Act</w:t>
      </w:r>
      <w:r w:rsidR="006F607A">
        <w:t xml:space="preserve"> </w:t>
      </w:r>
      <w:r w:rsidR="004D281C" w:rsidRPr="00FC73AF">
        <w:t>require bus operators to eliminate or mitigate</w:t>
      </w:r>
      <w:r w:rsidR="0039314E" w:rsidRPr="00FC73AF">
        <w:t xml:space="preserve"> risks to safety</w:t>
      </w:r>
      <w:r w:rsidR="00D11D65" w:rsidRPr="00FC73AF">
        <w:t xml:space="preserve">. </w:t>
      </w:r>
      <w:r w:rsidR="00A64752" w:rsidRPr="00FC73AF">
        <w:t xml:space="preserve">A fire on a bus may be </w:t>
      </w:r>
      <w:r w:rsidR="001506A8" w:rsidRPr="00FC73AF">
        <w:t xml:space="preserve">one of the risks that needs to be managed. One mechanism to mitigate the </w:t>
      </w:r>
      <w:r w:rsidR="00533445" w:rsidRPr="00C933D0">
        <w:t xml:space="preserve">consequences of this type of incident on a bus is to carry a fire extinguisher. </w:t>
      </w:r>
      <w:r w:rsidR="002D5A9A" w:rsidRPr="00C933D0">
        <w:t xml:space="preserve">Accordingly, </w:t>
      </w:r>
      <w:r w:rsidR="009375BD">
        <w:t xml:space="preserve">DoTs view is that </w:t>
      </w:r>
      <w:r w:rsidR="00E21540" w:rsidRPr="00C933D0">
        <w:t>co</w:t>
      </w:r>
      <w:r w:rsidR="007E6366" w:rsidRPr="00C933D0">
        <w:t>mpli</w:t>
      </w:r>
      <w:r w:rsidR="00FB3832" w:rsidRPr="00C933D0">
        <w:t>anc</w:t>
      </w:r>
      <w:r w:rsidR="007E6366" w:rsidRPr="00FC73AF">
        <w:t>e</w:t>
      </w:r>
      <w:r w:rsidR="00FB3832" w:rsidRPr="00FC73AF">
        <w:t xml:space="preserve"> with the duty</w:t>
      </w:r>
      <w:r w:rsidR="00533445" w:rsidRPr="00FC73AF">
        <w:t xml:space="preserve"> </w:t>
      </w:r>
      <w:r w:rsidR="009375BD">
        <w:t>may</w:t>
      </w:r>
      <w:r w:rsidR="00D823B8">
        <w:t xml:space="preserve"> compel a bus operator to</w:t>
      </w:r>
      <w:r w:rsidR="00533445" w:rsidRPr="00FC73AF">
        <w:t xml:space="preserve"> make this piece of equipment available </w:t>
      </w:r>
      <w:r w:rsidR="00071086" w:rsidRPr="00FC73AF">
        <w:t xml:space="preserve">in the vehicle. </w:t>
      </w:r>
      <w:r w:rsidR="002448E0" w:rsidRPr="00FC73AF">
        <w:t>Further</w:t>
      </w:r>
      <w:r w:rsidR="00685D79">
        <w:t>more</w:t>
      </w:r>
      <w:r w:rsidR="002448E0" w:rsidRPr="00FC73AF">
        <w:t>,</w:t>
      </w:r>
      <w:r w:rsidR="00244145" w:rsidRPr="00FC73AF">
        <w:t xml:space="preserve"> </w:t>
      </w:r>
      <w:r w:rsidR="007E6366" w:rsidRPr="00FC73AF">
        <w:t xml:space="preserve">fire extinguishers should be operational and fit for purpose to minimise the risks to safety in cases of a fire. </w:t>
      </w:r>
    </w:p>
    <w:p w14:paraId="0C762335" w14:textId="18ADA056" w:rsidR="00F219C1" w:rsidRDefault="00F219C1" w:rsidP="00A840E1">
      <w:r>
        <w:t xml:space="preserve">Despite </w:t>
      </w:r>
      <w:r w:rsidR="00A91C5F">
        <w:t>the</w:t>
      </w:r>
      <w:r>
        <w:t xml:space="preserve"> requirement</w:t>
      </w:r>
      <w:r w:rsidR="00A91C5F">
        <w:t>s under the ADRs</w:t>
      </w:r>
      <w:r>
        <w:t>, and the current regulations</w:t>
      </w:r>
      <w:r w:rsidR="00962967">
        <w:t xml:space="preserve"> that fire </w:t>
      </w:r>
      <w:r w:rsidR="00C2102A">
        <w:t>extinguishers</w:t>
      </w:r>
      <w:r w:rsidR="00962967">
        <w:t xml:space="preserve"> are maintained </w:t>
      </w:r>
      <w:r w:rsidR="00574E33">
        <w:t>in operating condition</w:t>
      </w:r>
      <w:r>
        <w:t>,</w:t>
      </w:r>
      <w:r w:rsidR="00B37D50">
        <w:t xml:space="preserve"> </w:t>
      </w:r>
      <w:r w:rsidR="002D0C12">
        <w:t xml:space="preserve">compliance inspections performed by TSV still </w:t>
      </w:r>
      <w:r w:rsidR="006D55A3">
        <w:t>result in</w:t>
      </w:r>
      <w:r w:rsidR="002D0C12">
        <w:t xml:space="preserve"> cases </w:t>
      </w:r>
      <w:r w:rsidR="007F02AA">
        <w:t>of</w:t>
      </w:r>
      <w:r w:rsidR="00824669">
        <w:t xml:space="preserve"> </w:t>
      </w:r>
      <w:r w:rsidR="002D0C12">
        <w:t>fa</w:t>
      </w:r>
      <w:r>
        <w:t xml:space="preserve">ilures relating to compliance with </w:t>
      </w:r>
      <w:r w:rsidR="002D0C12">
        <w:t>f</w:t>
      </w:r>
      <w:r>
        <w:t xml:space="preserve">ire extinguisher </w:t>
      </w:r>
      <w:r w:rsidR="002D0C12">
        <w:t>requirements</w:t>
      </w:r>
      <w:r w:rsidR="00C2102A">
        <w:t xml:space="preserve">, as shown in </w:t>
      </w:r>
      <w:r w:rsidR="00C2102A">
        <w:fldChar w:fldCharType="begin"/>
      </w:r>
      <w:r w:rsidR="00C2102A">
        <w:instrText xml:space="preserve"> REF _Ref36724931 \h  \* MERGEFORMAT </w:instrText>
      </w:r>
      <w:r w:rsidR="00C2102A">
        <w:fldChar w:fldCharType="separate"/>
      </w:r>
      <w:r w:rsidR="00277F6E" w:rsidRPr="00277F6E">
        <w:t>Table 3</w:t>
      </w:r>
      <w:r w:rsidR="00277F6E" w:rsidRPr="00277F6E">
        <w:noBreakHyphen/>
        <w:t>10</w:t>
      </w:r>
      <w:r w:rsidR="00C2102A">
        <w:fldChar w:fldCharType="end"/>
      </w:r>
      <w:r>
        <w:t xml:space="preserve">. </w:t>
      </w:r>
      <w:r w:rsidR="001E7A4B">
        <w:t>Failures include</w:t>
      </w:r>
      <w:r w:rsidR="00FA1030">
        <w:t xml:space="preserve"> the fire extinguisher not being inspected </w:t>
      </w:r>
      <w:r w:rsidR="009D685E">
        <w:t xml:space="preserve">for operational readiness </w:t>
      </w:r>
      <w:r w:rsidR="00FA1030">
        <w:t>in the last 6 months</w:t>
      </w:r>
      <w:r w:rsidR="009D685E">
        <w:t>, not charged, or both.</w:t>
      </w:r>
    </w:p>
    <w:p w14:paraId="51102D93" w14:textId="0630B365" w:rsidR="003E1089" w:rsidRDefault="003E1089" w:rsidP="005E479A">
      <w:pPr>
        <w:pStyle w:val="Caption"/>
        <w:keepNext/>
        <w:spacing w:after="60"/>
      </w:pPr>
      <w:bookmarkStart w:id="313" w:name="_Ref36724931"/>
      <w:bookmarkStart w:id="314" w:name="_Toc44603387"/>
      <w:bookmarkStart w:id="315" w:name="_Toc44437362"/>
      <w:bookmarkStart w:id="316" w:name="_Toc44597433"/>
      <w:bookmarkStart w:id="317" w:name="_Toc44597497"/>
      <w:bookmarkStart w:id="318" w:name="_Toc44600067"/>
      <w:bookmarkStart w:id="319" w:name="_Toc44600522"/>
      <w:bookmarkStart w:id="320" w:name="_Toc44600689"/>
      <w:bookmarkStart w:id="321" w:name="_Toc44601186"/>
      <w:bookmarkStart w:id="322" w:name="_Toc44601239"/>
      <w:bookmarkStart w:id="323" w:name="_Toc45704435"/>
      <w:r w:rsidRPr="00AC64A2">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10</w:t>
      </w:r>
      <w:r w:rsidR="00D2483C">
        <w:rPr>
          <w:b/>
          <w:i w:val="0"/>
        </w:rPr>
        <w:fldChar w:fldCharType="end"/>
      </w:r>
      <w:bookmarkEnd w:id="313"/>
      <w:r w:rsidRPr="00AC64A2">
        <w:rPr>
          <w:b/>
          <w:i w:val="0"/>
        </w:rPr>
        <w:t xml:space="preserve">: </w:t>
      </w:r>
      <w:r w:rsidRPr="00D722A4">
        <w:rPr>
          <w:b/>
          <w:i w:val="0"/>
        </w:rPr>
        <w:t>Compliance inspection</w:t>
      </w:r>
      <w:r>
        <w:rPr>
          <w:b/>
          <w:i w:val="0"/>
        </w:rPr>
        <w:t xml:space="preserve"> outcomes</w:t>
      </w:r>
      <w:r w:rsidRPr="00D722A4">
        <w:rPr>
          <w:b/>
          <w:i w:val="0"/>
        </w:rPr>
        <w:t xml:space="preserve"> relating to fire extinguishers</w:t>
      </w:r>
      <w:r w:rsidR="00EE02FD">
        <w:rPr>
          <w:b/>
          <w:i w:val="0"/>
        </w:rPr>
        <w:t xml:space="preserve"> – 2018-2019</w:t>
      </w:r>
      <w:bookmarkEnd w:id="314"/>
      <w:bookmarkEnd w:id="315"/>
      <w:bookmarkEnd w:id="316"/>
      <w:bookmarkEnd w:id="317"/>
      <w:bookmarkEnd w:id="318"/>
      <w:bookmarkEnd w:id="319"/>
      <w:bookmarkEnd w:id="320"/>
      <w:bookmarkEnd w:id="321"/>
      <w:bookmarkEnd w:id="322"/>
      <w:bookmarkEnd w:id="323"/>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397"/>
        <w:gridCol w:w="1872"/>
        <w:gridCol w:w="1873"/>
        <w:gridCol w:w="1873"/>
      </w:tblGrid>
      <w:tr w:rsidR="003E1089" w:rsidRPr="00254E4F" w14:paraId="5D2EFF9B" w14:textId="77777777" w:rsidTr="00531D47">
        <w:trPr>
          <w:cantSplit/>
          <w:trHeight w:val="285"/>
        </w:trPr>
        <w:tc>
          <w:tcPr>
            <w:tcW w:w="3397" w:type="dxa"/>
            <w:shd w:val="clear" w:color="auto" w:fill="D6ECED"/>
            <w:noWrap/>
            <w:tcMar>
              <w:top w:w="15" w:type="dxa"/>
              <w:left w:w="15" w:type="dxa"/>
              <w:bottom w:w="0" w:type="dxa"/>
              <w:right w:w="15" w:type="dxa"/>
            </w:tcMar>
            <w:vAlign w:val="bottom"/>
            <w:hideMark/>
          </w:tcPr>
          <w:p w14:paraId="74B152E4" w14:textId="77777777" w:rsidR="003E1089" w:rsidRPr="00184969" w:rsidRDefault="003E1089" w:rsidP="00531D47">
            <w:pPr>
              <w:keepNext/>
              <w:spacing w:before="60" w:after="60"/>
              <w:ind w:left="119"/>
              <w:rPr>
                <w:rFonts w:eastAsia="Times New Roman" w:cstheme="minorHAnsi"/>
                <w:b/>
                <w:bCs/>
                <w:color w:val="auto"/>
                <w:sz w:val="18"/>
                <w:lang w:eastAsia="en-AU"/>
              </w:rPr>
            </w:pPr>
            <w:r w:rsidRPr="00184969">
              <w:rPr>
                <w:rFonts w:eastAsia="Times New Roman" w:cstheme="minorHAnsi"/>
                <w:b/>
                <w:bCs/>
                <w:color w:val="auto"/>
                <w:sz w:val="18"/>
                <w:lang w:eastAsia="en-AU"/>
              </w:rPr>
              <w:t>Year</w:t>
            </w:r>
          </w:p>
        </w:tc>
        <w:tc>
          <w:tcPr>
            <w:tcW w:w="1872" w:type="dxa"/>
            <w:shd w:val="clear" w:color="auto" w:fill="D6ECED"/>
            <w:noWrap/>
            <w:tcMar>
              <w:top w:w="15" w:type="dxa"/>
              <w:left w:w="15" w:type="dxa"/>
              <w:bottom w:w="0" w:type="dxa"/>
              <w:right w:w="15" w:type="dxa"/>
            </w:tcMar>
            <w:vAlign w:val="bottom"/>
            <w:hideMark/>
          </w:tcPr>
          <w:p w14:paraId="51C5E3A5" w14:textId="77777777" w:rsidR="003E1089" w:rsidRPr="00184969" w:rsidRDefault="003E1089" w:rsidP="00531D47">
            <w:pPr>
              <w:keepNext/>
              <w:spacing w:before="60" w:after="60"/>
              <w:jc w:val="center"/>
              <w:rPr>
                <w:rFonts w:eastAsia="Times New Roman" w:cstheme="minorHAnsi"/>
                <w:b/>
                <w:bCs/>
                <w:color w:val="000000"/>
                <w:sz w:val="18"/>
                <w:lang w:eastAsia="en-AU"/>
              </w:rPr>
            </w:pPr>
            <w:r w:rsidRPr="00184969">
              <w:rPr>
                <w:rFonts w:eastAsia="Times New Roman" w:cstheme="minorHAnsi"/>
                <w:b/>
                <w:bCs/>
                <w:color w:val="000000"/>
                <w:sz w:val="18"/>
                <w:lang w:eastAsia="en-AU"/>
              </w:rPr>
              <w:t>2018</w:t>
            </w:r>
          </w:p>
        </w:tc>
        <w:tc>
          <w:tcPr>
            <w:tcW w:w="1873" w:type="dxa"/>
            <w:shd w:val="clear" w:color="auto" w:fill="D6ECED"/>
            <w:noWrap/>
            <w:tcMar>
              <w:top w:w="15" w:type="dxa"/>
              <w:left w:w="15" w:type="dxa"/>
              <w:bottom w:w="0" w:type="dxa"/>
              <w:right w:w="15" w:type="dxa"/>
            </w:tcMar>
            <w:vAlign w:val="bottom"/>
            <w:hideMark/>
          </w:tcPr>
          <w:p w14:paraId="2FBB23A8" w14:textId="77777777" w:rsidR="003E1089" w:rsidRPr="00184969" w:rsidRDefault="003E1089" w:rsidP="00531D47">
            <w:pPr>
              <w:keepNext/>
              <w:spacing w:before="60" w:after="60"/>
              <w:jc w:val="center"/>
              <w:rPr>
                <w:rFonts w:eastAsia="Times New Roman" w:cstheme="minorHAnsi"/>
                <w:b/>
                <w:bCs/>
                <w:color w:val="000000"/>
                <w:sz w:val="18"/>
                <w:lang w:eastAsia="en-AU"/>
              </w:rPr>
            </w:pPr>
            <w:r w:rsidRPr="00184969">
              <w:rPr>
                <w:rFonts w:eastAsia="Times New Roman" w:cstheme="minorHAnsi"/>
                <w:b/>
                <w:bCs/>
                <w:color w:val="000000"/>
                <w:sz w:val="18"/>
                <w:lang w:eastAsia="en-AU"/>
              </w:rPr>
              <w:t>2019</w:t>
            </w:r>
          </w:p>
        </w:tc>
        <w:tc>
          <w:tcPr>
            <w:tcW w:w="1873" w:type="dxa"/>
            <w:shd w:val="clear" w:color="auto" w:fill="D6ECED"/>
          </w:tcPr>
          <w:p w14:paraId="3953C165" w14:textId="77777777" w:rsidR="003E1089" w:rsidRPr="00184969" w:rsidRDefault="003E1089" w:rsidP="00531D47">
            <w:pPr>
              <w:keepNext/>
              <w:spacing w:before="60" w:after="60"/>
              <w:ind w:left="720" w:hanging="720"/>
              <w:jc w:val="center"/>
              <w:rPr>
                <w:rFonts w:eastAsia="Times New Roman" w:cstheme="minorHAnsi"/>
                <w:b/>
                <w:bCs/>
                <w:color w:val="000000"/>
                <w:sz w:val="18"/>
                <w:lang w:eastAsia="en-AU"/>
              </w:rPr>
            </w:pPr>
            <w:r>
              <w:rPr>
                <w:rFonts w:eastAsia="Times New Roman" w:cstheme="minorHAnsi"/>
                <w:b/>
                <w:bCs/>
                <w:color w:val="000000"/>
                <w:sz w:val="18"/>
                <w:lang w:eastAsia="en-AU"/>
              </w:rPr>
              <w:t>Total</w:t>
            </w:r>
          </w:p>
        </w:tc>
      </w:tr>
      <w:tr w:rsidR="003E1089" w:rsidRPr="00254E4F" w14:paraId="2F39540C" w14:textId="77777777" w:rsidTr="00531D47">
        <w:trPr>
          <w:cantSplit/>
          <w:trHeight w:val="285"/>
        </w:trPr>
        <w:tc>
          <w:tcPr>
            <w:tcW w:w="3397" w:type="dxa"/>
            <w:shd w:val="clear" w:color="auto" w:fill="auto"/>
            <w:noWrap/>
            <w:tcMar>
              <w:top w:w="15" w:type="dxa"/>
              <w:left w:w="15" w:type="dxa"/>
              <w:bottom w:w="0" w:type="dxa"/>
              <w:right w:w="15" w:type="dxa"/>
            </w:tcMar>
            <w:vAlign w:val="bottom"/>
            <w:hideMark/>
          </w:tcPr>
          <w:p w14:paraId="6F10B4D3" w14:textId="77777777" w:rsidR="003E1089" w:rsidRPr="00184969" w:rsidRDefault="003E1089" w:rsidP="00531D47">
            <w:pPr>
              <w:keepNext/>
              <w:spacing w:before="60" w:after="60"/>
              <w:ind w:left="119"/>
              <w:rPr>
                <w:rFonts w:eastAsia="Times New Roman" w:cstheme="minorHAnsi"/>
                <w:color w:val="000000"/>
                <w:sz w:val="18"/>
                <w:lang w:eastAsia="en-AU"/>
              </w:rPr>
            </w:pPr>
            <w:r w:rsidRPr="00184969">
              <w:rPr>
                <w:rFonts w:eastAsia="Times New Roman" w:cstheme="minorHAnsi"/>
                <w:color w:val="000000"/>
                <w:sz w:val="18"/>
                <w:lang w:eastAsia="en-AU"/>
              </w:rPr>
              <w:t>In charge and inspected (or manufactured) in past 6 months</w:t>
            </w:r>
          </w:p>
        </w:tc>
        <w:tc>
          <w:tcPr>
            <w:tcW w:w="1872" w:type="dxa"/>
            <w:shd w:val="clear" w:color="auto" w:fill="auto"/>
            <w:noWrap/>
            <w:tcMar>
              <w:top w:w="15" w:type="dxa"/>
              <w:left w:w="15" w:type="dxa"/>
              <w:bottom w:w="0" w:type="dxa"/>
              <w:right w:w="15" w:type="dxa"/>
            </w:tcMar>
            <w:vAlign w:val="bottom"/>
            <w:hideMark/>
          </w:tcPr>
          <w:p w14:paraId="6EF5E27C" w14:textId="77777777" w:rsidR="003E1089" w:rsidRPr="00184969" w:rsidRDefault="003E1089" w:rsidP="00531D47">
            <w:pPr>
              <w:keepNext/>
              <w:spacing w:before="60" w:after="60"/>
              <w:ind w:right="78"/>
              <w:jc w:val="right"/>
              <w:rPr>
                <w:rFonts w:eastAsia="Times New Roman" w:cstheme="minorHAnsi"/>
                <w:color w:val="000000"/>
                <w:sz w:val="18"/>
                <w:lang w:eastAsia="en-AU"/>
              </w:rPr>
            </w:pPr>
            <w:r w:rsidRPr="00184969">
              <w:rPr>
                <w:rFonts w:eastAsia="Times New Roman" w:cstheme="minorHAnsi"/>
                <w:color w:val="000000"/>
                <w:sz w:val="18"/>
                <w:lang w:eastAsia="en-AU"/>
              </w:rPr>
              <w:t>455</w:t>
            </w:r>
          </w:p>
        </w:tc>
        <w:tc>
          <w:tcPr>
            <w:tcW w:w="1873" w:type="dxa"/>
            <w:shd w:val="clear" w:color="auto" w:fill="auto"/>
            <w:noWrap/>
            <w:tcMar>
              <w:top w:w="15" w:type="dxa"/>
              <w:left w:w="15" w:type="dxa"/>
              <w:bottom w:w="0" w:type="dxa"/>
              <w:right w:w="15" w:type="dxa"/>
            </w:tcMar>
            <w:vAlign w:val="bottom"/>
            <w:hideMark/>
          </w:tcPr>
          <w:p w14:paraId="69FE952C" w14:textId="77777777" w:rsidR="003E1089" w:rsidRPr="00184969" w:rsidRDefault="003E1089" w:rsidP="00531D47">
            <w:pPr>
              <w:keepNext/>
              <w:spacing w:before="60" w:after="60"/>
              <w:ind w:right="78"/>
              <w:jc w:val="right"/>
              <w:rPr>
                <w:rFonts w:eastAsia="Times New Roman" w:cstheme="minorHAnsi"/>
                <w:color w:val="000000"/>
                <w:sz w:val="18"/>
                <w:lang w:eastAsia="en-AU"/>
              </w:rPr>
            </w:pPr>
            <w:r w:rsidRPr="00184969">
              <w:rPr>
                <w:rFonts w:eastAsia="Times New Roman" w:cstheme="minorHAnsi"/>
                <w:color w:val="000000"/>
                <w:sz w:val="18"/>
                <w:lang w:eastAsia="en-AU"/>
              </w:rPr>
              <w:t>798</w:t>
            </w:r>
          </w:p>
        </w:tc>
        <w:tc>
          <w:tcPr>
            <w:tcW w:w="1873" w:type="dxa"/>
          </w:tcPr>
          <w:p w14:paraId="66ADA900" w14:textId="0C429962" w:rsidR="003E1089" w:rsidRPr="00BD6CCD" w:rsidRDefault="00C30252" w:rsidP="00531D47">
            <w:pPr>
              <w:keepNext/>
              <w:spacing w:before="60" w:after="60"/>
              <w:ind w:right="78"/>
              <w:jc w:val="right"/>
              <w:rPr>
                <w:rFonts w:eastAsia="Times New Roman" w:cstheme="minorHAnsi"/>
                <w:b/>
                <w:bCs/>
                <w:color w:val="000000"/>
                <w:sz w:val="18"/>
                <w:lang w:eastAsia="en-AU"/>
              </w:rPr>
            </w:pPr>
            <w:r>
              <w:rPr>
                <w:rFonts w:eastAsia="Times New Roman" w:cstheme="minorHAnsi"/>
                <w:b/>
                <w:bCs/>
                <w:color w:val="000000"/>
                <w:sz w:val="18"/>
                <w:lang w:eastAsia="en-AU"/>
              </w:rPr>
              <w:t>1,253</w:t>
            </w:r>
          </w:p>
        </w:tc>
      </w:tr>
      <w:tr w:rsidR="003E1089" w:rsidRPr="00254E4F" w14:paraId="75AEFCB8" w14:textId="77777777" w:rsidTr="00531D47">
        <w:trPr>
          <w:cantSplit/>
          <w:trHeight w:val="285"/>
        </w:trPr>
        <w:tc>
          <w:tcPr>
            <w:tcW w:w="3397" w:type="dxa"/>
            <w:shd w:val="clear" w:color="auto" w:fill="auto"/>
            <w:noWrap/>
            <w:tcMar>
              <w:top w:w="15" w:type="dxa"/>
              <w:left w:w="15" w:type="dxa"/>
              <w:bottom w:w="0" w:type="dxa"/>
              <w:right w:w="15" w:type="dxa"/>
            </w:tcMar>
            <w:vAlign w:val="bottom"/>
            <w:hideMark/>
          </w:tcPr>
          <w:p w14:paraId="455A0B2E" w14:textId="77777777" w:rsidR="003E1089" w:rsidRPr="00184969" w:rsidRDefault="003E1089" w:rsidP="00531D47">
            <w:pPr>
              <w:keepNext/>
              <w:spacing w:before="60" w:after="60"/>
              <w:ind w:left="119"/>
              <w:rPr>
                <w:rFonts w:eastAsia="Times New Roman" w:cstheme="minorHAnsi"/>
                <w:color w:val="000000"/>
                <w:sz w:val="18"/>
                <w:lang w:eastAsia="en-AU"/>
              </w:rPr>
            </w:pPr>
            <w:r w:rsidRPr="00184969">
              <w:rPr>
                <w:rFonts w:eastAsia="Times New Roman" w:cstheme="minorHAnsi"/>
                <w:color w:val="000000"/>
                <w:sz w:val="18"/>
                <w:lang w:eastAsia="en-AU"/>
              </w:rPr>
              <w:t>In charge and not inspected in past 6 months</w:t>
            </w:r>
          </w:p>
        </w:tc>
        <w:tc>
          <w:tcPr>
            <w:tcW w:w="1872" w:type="dxa"/>
            <w:shd w:val="clear" w:color="auto" w:fill="auto"/>
            <w:noWrap/>
            <w:tcMar>
              <w:top w:w="15" w:type="dxa"/>
              <w:left w:w="15" w:type="dxa"/>
              <w:bottom w:w="0" w:type="dxa"/>
              <w:right w:w="15" w:type="dxa"/>
            </w:tcMar>
            <w:vAlign w:val="bottom"/>
            <w:hideMark/>
          </w:tcPr>
          <w:p w14:paraId="2A6BADBE" w14:textId="77777777" w:rsidR="003E1089" w:rsidRPr="00184969" w:rsidRDefault="003E1089" w:rsidP="00531D47">
            <w:pPr>
              <w:keepNext/>
              <w:spacing w:before="60" w:after="60"/>
              <w:ind w:right="78"/>
              <w:jc w:val="right"/>
              <w:rPr>
                <w:rFonts w:eastAsia="Times New Roman" w:cstheme="minorHAnsi"/>
                <w:color w:val="000000"/>
                <w:sz w:val="18"/>
                <w:lang w:eastAsia="en-AU"/>
              </w:rPr>
            </w:pPr>
            <w:r w:rsidRPr="00184969">
              <w:rPr>
                <w:rFonts w:eastAsia="Times New Roman" w:cstheme="minorHAnsi"/>
                <w:color w:val="000000"/>
                <w:sz w:val="18"/>
                <w:lang w:eastAsia="en-AU"/>
              </w:rPr>
              <w:t>70</w:t>
            </w:r>
          </w:p>
        </w:tc>
        <w:tc>
          <w:tcPr>
            <w:tcW w:w="1873" w:type="dxa"/>
            <w:shd w:val="clear" w:color="auto" w:fill="auto"/>
            <w:noWrap/>
            <w:tcMar>
              <w:top w:w="15" w:type="dxa"/>
              <w:left w:w="15" w:type="dxa"/>
              <w:bottom w:w="0" w:type="dxa"/>
              <w:right w:w="15" w:type="dxa"/>
            </w:tcMar>
            <w:vAlign w:val="bottom"/>
            <w:hideMark/>
          </w:tcPr>
          <w:p w14:paraId="7FF5172E" w14:textId="77777777" w:rsidR="003E1089" w:rsidRPr="00184969" w:rsidRDefault="003E1089" w:rsidP="00531D47">
            <w:pPr>
              <w:keepNext/>
              <w:spacing w:before="60" w:after="60"/>
              <w:ind w:right="78"/>
              <w:jc w:val="right"/>
              <w:rPr>
                <w:rFonts w:eastAsia="Times New Roman" w:cstheme="minorHAnsi"/>
                <w:color w:val="000000"/>
                <w:sz w:val="18"/>
                <w:lang w:eastAsia="en-AU"/>
              </w:rPr>
            </w:pPr>
            <w:r w:rsidRPr="00184969">
              <w:rPr>
                <w:rFonts w:eastAsia="Times New Roman" w:cstheme="minorHAnsi"/>
                <w:color w:val="000000"/>
                <w:sz w:val="18"/>
                <w:lang w:eastAsia="en-AU"/>
              </w:rPr>
              <w:t>62</w:t>
            </w:r>
          </w:p>
        </w:tc>
        <w:tc>
          <w:tcPr>
            <w:tcW w:w="1873" w:type="dxa"/>
          </w:tcPr>
          <w:p w14:paraId="788732A6" w14:textId="56F9B7E2" w:rsidR="003E1089" w:rsidRPr="00BD6CCD" w:rsidRDefault="00C30252" w:rsidP="00531D47">
            <w:pPr>
              <w:keepNext/>
              <w:spacing w:before="60" w:after="60"/>
              <w:ind w:right="78"/>
              <w:jc w:val="right"/>
              <w:rPr>
                <w:rFonts w:eastAsia="Times New Roman" w:cstheme="minorHAnsi"/>
                <w:b/>
                <w:bCs/>
                <w:color w:val="000000"/>
                <w:sz w:val="18"/>
                <w:lang w:eastAsia="en-AU"/>
              </w:rPr>
            </w:pPr>
            <w:r>
              <w:rPr>
                <w:rFonts w:eastAsia="Times New Roman" w:cstheme="minorHAnsi"/>
                <w:b/>
                <w:bCs/>
                <w:color w:val="000000"/>
                <w:sz w:val="18"/>
                <w:lang w:eastAsia="en-AU"/>
              </w:rPr>
              <w:t>132</w:t>
            </w:r>
          </w:p>
        </w:tc>
      </w:tr>
      <w:tr w:rsidR="003E1089" w:rsidRPr="00254E4F" w14:paraId="02E93826" w14:textId="77777777" w:rsidTr="00531D47">
        <w:trPr>
          <w:cantSplit/>
          <w:trHeight w:val="285"/>
        </w:trPr>
        <w:tc>
          <w:tcPr>
            <w:tcW w:w="3397" w:type="dxa"/>
            <w:shd w:val="clear" w:color="auto" w:fill="auto"/>
            <w:noWrap/>
            <w:tcMar>
              <w:top w:w="15" w:type="dxa"/>
              <w:left w:w="15" w:type="dxa"/>
              <w:bottom w:w="0" w:type="dxa"/>
              <w:right w:w="15" w:type="dxa"/>
            </w:tcMar>
            <w:vAlign w:val="bottom"/>
            <w:hideMark/>
          </w:tcPr>
          <w:p w14:paraId="552206C5" w14:textId="77777777" w:rsidR="003E1089" w:rsidRPr="00184969" w:rsidRDefault="003E1089" w:rsidP="00531D47">
            <w:pPr>
              <w:keepNext/>
              <w:spacing w:before="60" w:after="60"/>
              <w:ind w:left="119"/>
              <w:rPr>
                <w:rFonts w:eastAsia="Times New Roman" w:cstheme="minorHAnsi"/>
                <w:color w:val="000000"/>
                <w:sz w:val="18"/>
                <w:lang w:eastAsia="en-AU"/>
              </w:rPr>
            </w:pPr>
            <w:r w:rsidRPr="00184969">
              <w:rPr>
                <w:rFonts w:eastAsia="Times New Roman" w:cstheme="minorHAnsi"/>
                <w:color w:val="000000"/>
                <w:sz w:val="18"/>
                <w:lang w:eastAsia="en-AU"/>
              </w:rPr>
              <w:t>Inspected in past 6 months but not in charge</w:t>
            </w:r>
          </w:p>
        </w:tc>
        <w:tc>
          <w:tcPr>
            <w:tcW w:w="1872" w:type="dxa"/>
            <w:shd w:val="clear" w:color="auto" w:fill="auto"/>
            <w:noWrap/>
            <w:tcMar>
              <w:top w:w="15" w:type="dxa"/>
              <w:left w:w="15" w:type="dxa"/>
              <w:bottom w:w="0" w:type="dxa"/>
              <w:right w:w="15" w:type="dxa"/>
            </w:tcMar>
            <w:vAlign w:val="bottom"/>
            <w:hideMark/>
          </w:tcPr>
          <w:p w14:paraId="156A8B03" w14:textId="77777777" w:rsidR="003E1089" w:rsidRPr="00184969" w:rsidRDefault="003E1089" w:rsidP="00531D47">
            <w:pPr>
              <w:keepNext/>
              <w:spacing w:before="60" w:after="60"/>
              <w:ind w:right="78"/>
              <w:jc w:val="right"/>
              <w:rPr>
                <w:rFonts w:eastAsia="Times New Roman" w:cstheme="minorHAnsi"/>
                <w:color w:val="000000"/>
                <w:sz w:val="18"/>
                <w:lang w:eastAsia="en-AU"/>
              </w:rPr>
            </w:pPr>
            <w:r w:rsidRPr="00184969">
              <w:rPr>
                <w:rFonts w:eastAsia="Times New Roman" w:cstheme="minorHAnsi"/>
                <w:color w:val="000000"/>
                <w:sz w:val="18"/>
                <w:lang w:eastAsia="en-AU"/>
              </w:rPr>
              <w:t>1</w:t>
            </w:r>
          </w:p>
        </w:tc>
        <w:tc>
          <w:tcPr>
            <w:tcW w:w="1873" w:type="dxa"/>
            <w:shd w:val="clear" w:color="auto" w:fill="auto"/>
            <w:noWrap/>
            <w:tcMar>
              <w:top w:w="15" w:type="dxa"/>
              <w:left w:w="15" w:type="dxa"/>
              <w:bottom w:w="0" w:type="dxa"/>
              <w:right w:w="15" w:type="dxa"/>
            </w:tcMar>
            <w:vAlign w:val="bottom"/>
            <w:hideMark/>
          </w:tcPr>
          <w:p w14:paraId="3363A498" w14:textId="77777777" w:rsidR="003E1089" w:rsidRPr="00184969" w:rsidRDefault="003E1089" w:rsidP="00531D47">
            <w:pPr>
              <w:keepNext/>
              <w:spacing w:before="60" w:after="60"/>
              <w:ind w:right="78"/>
              <w:jc w:val="right"/>
              <w:rPr>
                <w:rFonts w:eastAsia="Times New Roman" w:cstheme="minorHAnsi"/>
                <w:color w:val="000000"/>
                <w:sz w:val="18"/>
                <w:lang w:eastAsia="en-AU"/>
              </w:rPr>
            </w:pPr>
            <w:r w:rsidRPr="00184969">
              <w:rPr>
                <w:rFonts w:eastAsia="Times New Roman" w:cstheme="minorHAnsi"/>
                <w:color w:val="000000"/>
                <w:sz w:val="18"/>
                <w:lang w:eastAsia="en-AU"/>
              </w:rPr>
              <w:t>2</w:t>
            </w:r>
          </w:p>
        </w:tc>
        <w:tc>
          <w:tcPr>
            <w:tcW w:w="1873" w:type="dxa"/>
          </w:tcPr>
          <w:p w14:paraId="10AE1F08" w14:textId="0D8DDC7E" w:rsidR="003E1089" w:rsidRPr="00BD6CCD" w:rsidRDefault="00C30252" w:rsidP="00531D47">
            <w:pPr>
              <w:keepNext/>
              <w:spacing w:before="60" w:after="60"/>
              <w:ind w:right="78"/>
              <w:jc w:val="right"/>
              <w:rPr>
                <w:rFonts w:eastAsia="Times New Roman" w:cstheme="minorHAnsi"/>
                <w:b/>
                <w:bCs/>
                <w:color w:val="000000"/>
                <w:sz w:val="18"/>
                <w:lang w:eastAsia="en-AU"/>
              </w:rPr>
            </w:pPr>
            <w:r>
              <w:rPr>
                <w:rFonts w:eastAsia="Times New Roman" w:cstheme="minorHAnsi"/>
                <w:b/>
                <w:bCs/>
                <w:color w:val="000000"/>
                <w:sz w:val="18"/>
                <w:lang w:eastAsia="en-AU"/>
              </w:rPr>
              <w:t>3</w:t>
            </w:r>
          </w:p>
        </w:tc>
      </w:tr>
      <w:tr w:rsidR="003E1089" w:rsidRPr="00254E4F" w14:paraId="4159B5BC" w14:textId="77777777" w:rsidTr="00531D47">
        <w:trPr>
          <w:cantSplit/>
          <w:trHeight w:val="285"/>
        </w:trPr>
        <w:tc>
          <w:tcPr>
            <w:tcW w:w="3397" w:type="dxa"/>
            <w:shd w:val="clear" w:color="auto" w:fill="auto"/>
            <w:noWrap/>
            <w:tcMar>
              <w:top w:w="15" w:type="dxa"/>
              <w:left w:w="15" w:type="dxa"/>
              <w:bottom w:w="0" w:type="dxa"/>
              <w:right w:w="15" w:type="dxa"/>
            </w:tcMar>
            <w:vAlign w:val="bottom"/>
            <w:hideMark/>
          </w:tcPr>
          <w:p w14:paraId="481BACCC" w14:textId="77777777" w:rsidR="003E1089" w:rsidRPr="00184969" w:rsidRDefault="003E1089" w:rsidP="00531D47">
            <w:pPr>
              <w:keepNext/>
              <w:spacing w:before="60" w:after="60"/>
              <w:ind w:left="119"/>
              <w:rPr>
                <w:rFonts w:eastAsia="Times New Roman" w:cstheme="minorHAnsi"/>
                <w:color w:val="000000"/>
                <w:sz w:val="18"/>
                <w:lang w:eastAsia="en-AU"/>
              </w:rPr>
            </w:pPr>
            <w:r w:rsidRPr="00184969">
              <w:rPr>
                <w:rFonts w:eastAsia="Times New Roman" w:cstheme="minorHAnsi"/>
                <w:color w:val="000000"/>
                <w:sz w:val="18"/>
                <w:lang w:eastAsia="en-AU"/>
              </w:rPr>
              <w:t>Not in charge and not inspected in past 6 months</w:t>
            </w:r>
          </w:p>
        </w:tc>
        <w:tc>
          <w:tcPr>
            <w:tcW w:w="1872" w:type="dxa"/>
            <w:shd w:val="clear" w:color="auto" w:fill="auto"/>
            <w:noWrap/>
            <w:tcMar>
              <w:top w:w="15" w:type="dxa"/>
              <w:left w:w="15" w:type="dxa"/>
              <w:bottom w:w="0" w:type="dxa"/>
              <w:right w:w="15" w:type="dxa"/>
            </w:tcMar>
            <w:vAlign w:val="bottom"/>
            <w:hideMark/>
          </w:tcPr>
          <w:p w14:paraId="68C0E148" w14:textId="77777777" w:rsidR="003E1089" w:rsidRPr="00184969" w:rsidRDefault="003E1089" w:rsidP="00531D47">
            <w:pPr>
              <w:keepNext/>
              <w:spacing w:before="60" w:after="60"/>
              <w:ind w:right="78"/>
              <w:jc w:val="right"/>
              <w:rPr>
                <w:rFonts w:eastAsia="Times New Roman" w:cstheme="minorHAnsi"/>
                <w:color w:val="000000"/>
                <w:sz w:val="18"/>
                <w:lang w:eastAsia="en-AU"/>
              </w:rPr>
            </w:pPr>
            <w:r w:rsidRPr="00184969">
              <w:rPr>
                <w:rFonts w:eastAsia="Times New Roman" w:cstheme="minorHAnsi"/>
                <w:color w:val="000000"/>
                <w:sz w:val="18"/>
                <w:lang w:eastAsia="en-AU"/>
              </w:rPr>
              <w:t>9</w:t>
            </w:r>
          </w:p>
        </w:tc>
        <w:tc>
          <w:tcPr>
            <w:tcW w:w="1873" w:type="dxa"/>
            <w:shd w:val="clear" w:color="auto" w:fill="auto"/>
            <w:noWrap/>
            <w:tcMar>
              <w:top w:w="15" w:type="dxa"/>
              <w:left w:w="15" w:type="dxa"/>
              <w:bottom w:w="0" w:type="dxa"/>
              <w:right w:w="15" w:type="dxa"/>
            </w:tcMar>
            <w:vAlign w:val="bottom"/>
            <w:hideMark/>
          </w:tcPr>
          <w:p w14:paraId="4A8F6976" w14:textId="77777777" w:rsidR="003E1089" w:rsidRPr="00184969" w:rsidRDefault="003E1089" w:rsidP="00531D47">
            <w:pPr>
              <w:keepNext/>
              <w:spacing w:before="60" w:after="60"/>
              <w:ind w:right="78"/>
              <w:jc w:val="right"/>
              <w:rPr>
                <w:rFonts w:eastAsia="Times New Roman" w:cstheme="minorHAnsi"/>
                <w:color w:val="000000"/>
                <w:sz w:val="18"/>
                <w:lang w:eastAsia="en-AU"/>
              </w:rPr>
            </w:pPr>
            <w:r w:rsidRPr="00184969">
              <w:rPr>
                <w:rFonts w:eastAsia="Times New Roman" w:cstheme="minorHAnsi"/>
                <w:color w:val="000000"/>
                <w:sz w:val="18"/>
                <w:lang w:eastAsia="en-AU"/>
              </w:rPr>
              <w:t>2</w:t>
            </w:r>
          </w:p>
        </w:tc>
        <w:tc>
          <w:tcPr>
            <w:tcW w:w="1873" w:type="dxa"/>
          </w:tcPr>
          <w:p w14:paraId="7ACDB9B1" w14:textId="7163A033" w:rsidR="003E1089" w:rsidRPr="00BD6CCD" w:rsidRDefault="003E1089" w:rsidP="00531D47">
            <w:pPr>
              <w:keepNext/>
              <w:spacing w:before="60" w:after="60"/>
              <w:ind w:right="78"/>
              <w:jc w:val="right"/>
              <w:rPr>
                <w:rFonts w:eastAsia="Times New Roman" w:cstheme="minorHAnsi"/>
                <w:b/>
                <w:bCs/>
                <w:color w:val="000000"/>
                <w:sz w:val="18"/>
                <w:lang w:eastAsia="en-AU"/>
              </w:rPr>
            </w:pPr>
            <w:r w:rsidRPr="00BD6CCD">
              <w:rPr>
                <w:rFonts w:eastAsia="Times New Roman" w:cstheme="minorHAnsi"/>
                <w:b/>
                <w:bCs/>
                <w:color w:val="000000"/>
                <w:sz w:val="18"/>
                <w:lang w:eastAsia="en-AU"/>
              </w:rPr>
              <w:t>1</w:t>
            </w:r>
            <w:r w:rsidR="002F045F">
              <w:rPr>
                <w:rFonts w:eastAsia="Times New Roman" w:cstheme="minorHAnsi"/>
                <w:b/>
                <w:bCs/>
                <w:color w:val="000000"/>
                <w:sz w:val="18"/>
                <w:lang w:eastAsia="en-AU"/>
              </w:rPr>
              <w:t>1</w:t>
            </w:r>
          </w:p>
        </w:tc>
      </w:tr>
      <w:tr w:rsidR="003E1089" w:rsidRPr="00184969" w14:paraId="3C4ED65F" w14:textId="77777777" w:rsidTr="00531D47">
        <w:trPr>
          <w:cantSplit/>
          <w:trHeight w:val="285"/>
        </w:trPr>
        <w:tc>
          <w:tcPr>
            <w:tcW w:w="3397" w:type="dxa"/>
            <w:shd w:val="clear" w:color="auto" w:fill="auto"/>
            <w:noWrap/>
            <w:tcMar>
              <w:top w:w="15" w:type="dxa"/>
              <w:left w:w="15" w:type="dxa"/>
              <w:bottom w:w="0" w:type="dxa"/>
              <w:right w:w="15" w:type="dxa"/>
            </w:tcMar>
            <w:vAlign w:val="bottom"/>
            <w:hideMark/>
          </w:tcPr>
          <w:p w14:paraId="299DBFA5" w14:textId="77777777" w:rsidR="003E1089" w:rsidRPr="00184969" w:rsidRDefault="003E1089" w:rsidP="00531D47">
            <w:pPr>
              <w:keepNext/>
              <w:spacing w:before="60" w:after="60"/>
              <w:ind w:left="119"/>
              <w:rPr>
                <w:rFonts w:eastAsia="Times New Roman" w:cstheme="minorHAnsi"/>
                <w:color w:val="000000"/>
                <w:sz w:val="18"/>
                <w:lang w:eastAsia="en-AU"/>
              </w:rPr>
            </w:pPr>
            <w:r w:rsidRPr="00184969">
              <w:rPr>
                <w:rFonts w:eastAsia="Times New Roman" w:cstheme="minorHAnsi"/>
                <w:color w:val="000000"/>
                <w:sz w:val="18"/>
                <w:lang w:eastAsia="en-AU"/>
              </w:rPr>
              <w:t>No extinguisher in bus</w:t>
            </w:r>
          </w:p>
        </w:tc>
        <w:tc>
          <w:tcPr>
            <w:tcW w:w="1872" w:type="dxa"/>
            <w:shd w:val="clear" w:color="auto" w:fill="auto"/>
            <w:noWrap/>
            <w:tcMar>
              <w:top w:w="15" w:type="dxa"/>
              <w:left w:w="15" w:type="dxa"/>
              <w:bottom w:w="0" w:type="dxa"/>
              <w:right w:w="15" w:type="dxa"/>
            </w:tcMar>
            <w:vAlign w:val="bottom"/>
            <w:hideMark/>
          </w:tcPr>
          <w:p w14:paraId="23CDE852" w14:textId="77777777" w:rsidR="003E1089" w:rsidRPr="00184969" w:rsidRDefault="003E1089" w:rsidP="00531D47">
            <w:pPr>
              <w:keepNext/>
              <w:spacing w:before="60" w:after="60"/>
              <w:ind w:right="78"/>
              <w:jc w:val="right"/>
              <w:rPr>
                <w:rFonts w:eastAsia="Times New Roman" w:cstheme="minorHAnsi"/>
                <w:color w:val="000000"/>
                <w:sz w:val="18"/>
                <w:lang w:eastAsia="en-AU"/>
              </w:rPr>
            </w:pPr>
            <w:r w:rsidRPr="00184969">
              <w:rPr>
                <w:rFonts w:eastAsia="Times New Roman" w:cstheme="minorHAnsi"/>
                <w:color w:val="000000"/>
                <w:sz w:val="18"/>
                <w:lang w:eastAsia="en-AU"/>
              </w:rPr>
              <w:t>5</w:t>
            </w:r>
          </w:p>
        </w:tc>
        <w:tc>
          <w:tcPr>
            <w:tcW w:w="1873" w:type="dxa"/>
            <w:shd w:val="clear" w:color="auto" w:fill="auto"/>
            <w:noWrap/>
            <w:tcMar>
              <w:top w:w="15" w:type="dxa"/>
              <w:left w:w="15" w:type="dxa"/>
              <w:bottom w:w="0" w:type="dxa"/>
              <w:right w:w="15" w:type="dxa"/>
            </w:tcMar>
            <w:vAlign w:val="bottom"/>
            <w:hideMark/>
          </w:tcPr>
          <w:p w14:paraId="2D56614A" w14:textId="77777777" w:rsidR="003E1089" w:rsidRPr="00184969" w:rsidRDefault="003E1089" w:rsidP="00531D47">
            <w:pPr>
              <w:keepNext/>
              <w:spacing w:before="60" w:after="60"/>
              <w:ind w:right="78"/>
              <w:jc w:val="right"/>
              <w:rPr>
                <w:rFonts w:eastAsia="Times New Roman" w:cstheme="minorHAnsi"/>
                <w:color w:val="000000"/>
                <w:sz w:val="18"/>
                <w:lang w:eastAsia="en-AU"/>
              </w:rPr>
            </w:pPr>
            <w:r w:rsidRPr="00184969">
              <w:rPr>
                <w:rFonts w:eastAsia="Times New Roman" w:cstheme="minorHAnsi"/>
                <w:color w:val="000000"/>
                <w:sz w:val="18"/>
                <w:lang w:eastAsia="en-AU"/>
              </w:rPr>
              <w:t>5</w:t>
            </w:r>
          </w:p>
        </w:tc>
        <w:tc>
          <w:tcPr>
            <w:tcW w:w="1873" w:type="dxa"/>
          </w:tcPr>
          <w:p w14:paraId="65DF2301" w14:textId="128AC692" w:rsidR="003E1089" w:rsidRPr="00BD6CCD" w:rsidRDefault="00C30252" w:rsidP="00531D47">
            <w:pPr>
              <w:keepNext/>
              <w:spacing w:before="60" w:after="60"/>
              <w:ind w:right="78"/>
              <w:jc w:val="right"/>
              <w:rPr>
                <w:rFonts w:eastAsia="Times New Roman" w:cstheme="minorHAnsi"/>
                <w:b/>
                <w:bCs/>
                <w:color w:val="000000"/>
                <w:sz w:val="18"/>
                <w:lang w:eastAsia="en-AU"/>
              </w:rPr>
            </w:pPr>
            <w:r>
              <w:rPr>
                <w:rFonts w:eastAsia="Times New Roman" w:cstheme="minorHAnsi"/>
                <w:b/>
                <w:bCs/>
                <w:color w:val="000000"/>
                <w:sz w:val="18"/>
                <w:lang w:eastAsia="en-AU"/>
              </w:rPr>
              <w:t>1</w:t>
            </w:r>
            <w:r w:rsidR="002F045F">
              <w:rPr>
                <w:rFonts w:eastAsia="Times New Roman" w:cstheme="minorHAnsi"/>
                <w:b/>
                <w:bCs/>
                <w:color w:val="000000"/>
                <w:sz w:val="18"/>
                <w:lang w:eastAsia="en-AU"/>
              </w:rPr>
              <w:t>0</w:t>
            </w:r>
          </w:p>
        </w:tc>
      </w:tr>
      <w:tr w:rsidR="003E1089" w:rsidRPr="00254E4F" w14:paraId="604A7939" w14:textId="77777777" w:rsidTr="00531D47">
        <w:trPr>
          <w:cantSplit/>
          <w:trHeight w:val="285"/>
        </w:trPr>
        <w:tc>
          <w:tcPr>
            <w:tcW w:w="3397" w:type="dxa"/>
            <w:shd w:val="clear" w:color="auto" w:fill="D6ECED"/>
            <w:noWrap/>
            <w:tcMar>
              <w:top w:w="15" w:type="dxa"/>
              <w:left w:w="15" w:type="dxa"/>
              <w:bottom w:w="0" w:type="dxa"/>
              <w:right w:w="15" w:type="dxa"/>
            </w:tcMar>
            <w:vAlign w:val="bottom"/>
            <w:hideMark/>
          </w:tcPr>
          <w:p w14:paraId="3782E1C4" w14:textId="77777777" w:rsidR="003E1089" w:rsidRPr="00184969" w:rsidRDefault="003E1089" w:rsidP="00531D47">
            <w:pPr>
              <w:keepNext/>
              <w:spacing w:before="60" w:after="60"/>
              <w:ind w:left="119"/>
              <w:rPr>
                <w:rFonts w:eastAsia="Times New Roman" w:cstheme="minorHAnsi"/>
                <w:b/>
                <w:bCs/>
                <w:color w:val="000000"/>
                <w:sz w:val="18"/>
                <w:lang w:eastAsia="en-AU"/>
              </w:rPr>
            </w:pPr>
            <w:r w:rsidRPr="00184969">
              <w:rPr>
                <w:rFonts w:eastAsia="Times New Roman" w:cstheme="minorHAnsi"/>
                <w:b/>
                <w:bCs/>
                <w:color w:val="000000"/>
                <w:sz w:val="18"/>
                <w:lang w:eastAsia="en-AU"/>
              </w:rPr>
              <w:t>Total</w:t>
            </w:r>
          </w:p>
        </w:tc>
        <w:tc>
          <w:tcPr>
            <w:tcW w:w="1872" w:type="dxa"/>
            <w:shd w:val="clear" w:color="auto" w:fill="D6ECED"/>
            <w:noWrap/>
            <w:tcMar>
              <w:top w:w="15" w:type="dxa"/>
              <w:left w:w="15" w:type="dxa"/>
              <w:bottom w:w="0" w:type="dxa"/>
              <w:right w:w="15" w:type="dxa"/>
            </w:tcMar>
            <w:vAlign w:val="bottom"/>
            <w:hideMark/>
          </w:tcPr>
          <w:p w14:paraId="331BDB38" w14:textId="77777777" w:rsidR="003E1089" w:rsidRPr="00184969" w:rsidRDefault="003E1089" w:rsidP="00531D47">
            <w:pPr>
              <w:keepNext/>
              <w:spacing w:before="60" w:after="60"/>
              <w:ind w:right="78"/>
              <w:jc w:val="right"/>
              <w:rPr>
                <w:rFonts w:eastAsia="Times New Roman" w:cstheme="minorHAnsi"/>
                <w:b/>
                <w:bCs/>
                <w:color w:val="000000"/>
                <w:sz w:val="18"/>
                <w:lang w:eastAsia="en-AU"/>
              </w:rPr>
            </w:pPr>
            <w:r>
              <w:rPr>
                <w:rFonts w:eastAsia="Times New Roman" w:cstheme="minorHAnsi"/>
                <w:b/>
                <w:bCs/>
                <w:color w:val="000000"/>
                <w:sz w:val="18"/>
                <w:lang w:eastAsia="en-AU"/>
              </w:rPr>
              <w:t>540</w:t>
            </w:r>
          </w:p>
        </w:tc>
        <w:tc>
          <w:tcPr>
            <w:tcW w:w="1873" w:type="dxa"/>
            <w:shd w:val="clear" w:color="auto" w:fill="D6ECED"/>
            <w:noWrap/>
            <w:tcMar>
              <w:top w:w="15" w:type="dxa"/>
              <w:left w:w="15" w:type="dxa"/>
              <w:bottom w:w="0" w:type="dxa"/>
              <w:right w:w="15" w:type="dxa"/>
            </w:tcMar>
            <w:vAlign w:val="bottom"/>
            <w:hideMark/>
          </w:tcPr>
          <w:p w14:paraId="4EB5C3F7" w14:textId="77777777" w:rsidR="003E1089" w:rsidRPr="00184969" w:rsidRDefault="003E1089" w:rsidP="00531D47">
            <w:pPr>
              <w:keepNext/>
              <w:spacing w:before="60" w:after="60"/>
              <w:ind w:right="78"/>
              <w:jc w:val="right"/>
              <w:rPr>
                <w:rFonts w:eastAsia="Times New Roman" w:cstheme="minorHAnsi"/>
                <w:b/>
                <w:bCs/>
                <w:color w:val="000000"/>
                <w:sz w:val="18"/>
                <w:lang w:eastAsia="en-AU"/>
              </w:rPr>
            </w:pPr>
            <w:r>
              <w:rPr>
                <w:rFonts w:eastAsia="Times New Roman" w:cstheme="minorHAnsi"/>
                <w:b/>
                <w:bCs/>
                <w:color w:val="000000"/>
                <w:sz w:val="18"/>
                <w:lang w:eastAsia="en-AU"/>
              </w:rPr>
              <w:t>869</w:t>
            </w:r>
          </w:p>
        </w:tc>
        <w:tc>
          <w:tcPr>
            <w:tcW w:w="1873" w:type="dxa"/>
            <w:shd w:val="clear" w:color="auto" w:fill="D6ECED"/>
          </w:tcPr>
          <w:p w14:paraId="2E2BC5A8" w14:textId="77777777" w:rsidR="003E1089" w:rsidRDefault="003E1089" w:rsidP="00531D47">
            <w:pPr>
              <w:keepNext/>
              <w:spacing w:before="60" w:after="60"/>
              <w:ind w:right="78"/>
              <w:jc w:val="right"/>
              <w:rPr>
                <w:rFonts w:eastAsia="Times New Roman" w:cstheme="minorHAnsi"/>
                <w:b/>
                <w:bCs/>
                <w:color w:val="000000"/>
                <w:sz w:val="18"/>
                <w:lang w:eastAsia="en-AU"/>
              </w:rPr>
            </w:pPr>
          </w:p>
        </w:tc>
      </w:tr>
    </w:tbl>
    <w:p w14:paraId="5B9EB6E1" w14:textId="4677B2E6" w:rsidR="00DA0981" w:rsidRPr="00F51256" w:rsidRDefault="00DA0981" w:rsidP="00F51256">
      <w:pPr>
        <w:spacing w:before="40"/>
        <w:rPr>
          <w:sz w:val="16"/>
          <w:szCs w:val="16"/>
        </w:rPr>
      </w:pPr>
      <w:r w:rsidRPr="00F51256">
        <w:rPr>
          <w:sz w:val="16"/>
          <w:szCs w:val="16"/>
        </w:rPr>
        <w:t>Source: TSV</w:t>
      </w:r>
    </w:p>
    <w:p w14:paraId="31A4D217" w14:textId="3C607614" w:rsidR="006F607A" w:rsidRDefault="00F9796F" w:rsidP="0099722E">
      <w:r>
        <w:t>Despite the safety duties under the Bus Safety Act, i</w:t>
      </w:r>
      <w:r w:rsidR="00BE3F9B">
        <w:t xml:space="preserve">t </w:t>
      </w:r>
      <w:r w:rsidR="00006D56">
        <w:t xml:space="preserve">may </w:t>
      </w:r>
      <w:r w:rsidR="007F6DFB">
        <w:t xml:space="preserve">still </w:t>
      </w:r>
      <w:r w:rsidR="00006D56">
        <w:t>be warranted</w:t>
      </w:r>
      <w:r w:rsidR="00BE3F9B">
        <w:t xml:space="preserve"> to provide clarity and specificity of measures to reduce the consequences of fires by </w:t>
      </w:r>
      <w:r w:rsidR="007F6DFB">
        <w:t xml:space="preserve">specifying </w:t>
      </w:r>
      <w:r w:rsidR="00BE3F9B">
        <w:t xml:space="preserve">regulations that are consistent with the ADRs as well as </w:t>
      </w:r>
      <w:r w:rsidR="00111FC1">
        <w:t>regulations requiring</w:t>
      </w:r>
      <w:r w:rsidR="0081297D">
        <w:t xml:space="preserve"> </w:t>
      </w:r>
      <w:r w:rsidR="00BE3F9B">
        <w:t>installed fire extinguisher</w:t>
      </w:r>
      <w:r w:rsidR="00987C7A">
        <w:t>s</w:t>
      </w:r>
      <w:r w:rsidR="00BE3F9B">
        <w:t xml:space="preserve"> </w:t>
      </w:r>
      <w:r w:rsidR="001E35B2">
        <w:t xml:space="preserve">to be </w:t>
      </w:r>
      <w:r w:rsidR="00BE3F9B">
        <w:t>maintained to operational standards</w:t>
      </w:r>
      <w:r w:rsidR="00006D56">
        <w:t>.</w:t>
      </w:r>
      <w:r>
        <w:t xml:space="preserve"> </w:t>
      </w:r>
      <w:r w:rsidR="00111FC1">
        <w:t xml:space="preserve">Regulations also provide </w:t>
      </w:r>
      <w:r>
        <w:t xml:space="preserve">clear enforcement powers for transport safety officers to ensure that the </w:t>
      </w:r>
      <w:r w:rsidR="003145B2">
        <w:t>risks</w:t>
      </w:r>
      <w:r>
        <w:t xml:space="preserve"> of fires are properly addressed. </w:t>
      </w:r>
    </w:p>
    <w:p w14:paraId="7E6EF8CA" w14:textId="2E305EFC" w:rsidR="004A6528" w:rsidRDefault="00910288" w:rsidP="000A20BC">
      <w:pPr>
        <w:pStyle w:val="Heading3"/>
      </w:pPr>
      <w:r>
        <w:t xml:space="preserve"> </w:t>
      </w:r>
      <w:bookmarkStart w:id="324" w:name="_Toc32909789"/>
      <w:bookmarkStart w:id="325" w:name="_Toc45704339"/>
      <w:r w:rsidR="00336CBF">
        <w:t>Vehicle maintenance and i</w:t>
      </w:r>
      <w:r w:rsidR="00983805">
        <w:t>nspections</w:t>
      </w:r>
      <w:bookmarkEnd w:id="324"/>
      <w:bookmarkEnd w:id="325"/>
    </w:p>
    <w:p w14:paraId="3E5E60DA" w14:textId="5FE1D57E" w:rsidR="00B170D7" w:rsidRDefault="007143C6" w:rsidP="007F49F1">
      <w:r>
        <w:t xml:space="preserve">Ongoing </w:t>
      </w:r>
      <w:r w:rsidR="00FA05FF">
        <w:t>maintenance and repair</w:t>
      </w:r>
      <w:r w:rsidR="002A293A">
        <w:t xml:space="preserve"> of buses</w:t>
      </w:r>
      <w:r>
        <w:t xml:space="preserve"> </w:t>
      </w:r>
      <w:r w:rsidR="00D835AF">
        <w:t>is also critical for the safety of bus services</w:t>
      </w:r>
      <w:r w:rsidR="00E70A1F">
        <w:t xml:space="preserve">. </w:t>
      </w:r>
      <w:r w:rsidR="00193700">
        <w:t xml:space="preserve">Keeping a </w:t>
      </w:r>
      <w:r w:rsidR="00556646">
        <w:t xml:space="preserve">vehicle </w:t>
      </w:r>
      <w:r w:rsidR="009579FA">
        <w:t>c</w:t>
      </w:r>
      <w:r w:rsidR="00193700">
        <w:t xml:space="preserve">ompliant with standards throughout its operating life requires a program of </w:t>
      </w:r>
      <w:r w:rsidR="00EC7CB1">
        <w:t xml:space="preserve">ongoing vehicle </w:t>
      </w:r>
      <w:r w:rsidR="00193700">
        <w:t xml:space="preserve">maintenance </w:t>
      </w:r>
      <w:r w:rsidR="00295858">
        <w:t xml:space="preserve">once the vehicle </w:t>
      </w:r>
      <w:r w:rsidR="00E15DB0">
        <w:t>is in</w:t>
      </w:r>
      <w:r w:rsidR="001F496E">
        <w:t xml:space="preserve"> </w:t>
      </w:r>
      <w:r w:rsidR="00E15DB0">
        <w:t>service</w:t>
      </w:r>
      <w:r w:rsidR="00FE4DFB">
        <w:t>. This ensures</w:t>
      </w:r>
      <w:r w:rsidR="00556646">
        <w:t xml:space="preserve"> the continued safety of the vehicle for </w:t>
      </w:r>
      <w:r w:rsidR="005576EA" w:rsidRPr="005576EA">
        <w:t xml:space="preserve">the </w:t>
      </w:r>
      <w:r w:rsidR="007D66F1" w:rsidRPr="005576EA">
        <w:lastRenderedPageBreak/>
        <w:t>purpose of</w:t>
      </w:r>
      <w:r w:rsidR="00CC5423">
        <w:t xml:space="preserve"> providing a bus service.</w:t>
      </w:r>
      <w:r w:rsidR="00193700">
        <w:t xml:space="preserve"> </w:t>
      </w:r>
      <w:r w:rsidR="00E039EE">
        <w:t>Without measures to ensure that the vehicle continues to</w:t>
      </w:r>
      <w:r w:rsidR="008F6BD0">
        <w:t xml:space="preserve"> be maintained to a safe standard </w:t>
      </w:r>
      <w:r w:rsidR="00E039EE">
        <w:t>to provide a safe service</w:t>
      </w:r>
      <w:r w:rsidR="008F6BD0">
        <w:t>, the risk of incidents</w:t>
      </w:r>
      <w:r w:rsidR="00150257">
        <w:t xml:space="preserve"> and the consequences </w:t>
      </w:r>
      <w:r w:rsidR="00E72000">
        <w:t>of</w:t>
      </w:r>
      <w:r w:rsidR="00FB5A25">
        <w:t xml:space="preserve"> any </w:t>
      </w:r>
      <w:r w:rsidR="00150257">
        <w:t xml:space="preserve">resulting incident may increase. </w:t>
      </w:r>
    </w:p>
    <w:p w14:paraId="6D44E63D" w14:textId="5319F0F3" w:rsidR="00DD32FA" w:rsidRDefault="00B17B8D" w:rsidP="00A16AB3">
      <w:pPr>
        <w:overflowPunct w:val="0"/>
        <w:autoSpaceDE w:val="0"/>
        <w:autoSpaceDN w:val="0"/>
        <w:adjustRightInd w:val="0"/>
        <w:spacing w:before="120" w:after="120"/>
        <w:textAlignment w:val="baseline"/>
      </w:pPr>
      <w:r>
        <w:t xml:space="preserve">Inspections </w:t>
      </w:r>
      <w:r w:rsidR="00230CA2">
        <w:t xml:space="preserve">to examine a vehicle </w:t>
      </w:r>
      <w:r>
        <w:t xml:space="preserve">are a means to provide confirmation of whether a bus continues to comply with standards and is maintained to a </w:t>
      </w:r>
      <w:r w:rsidR="007F49F1">
        <w:t>safe standard</w:t>
      </w:r>
      <w:r>
        <w:t>.</w:t>
      </w:r>
      <w:r w:rsidR="003A496C">
        <w:t xml:space="preserve"> T</w:t>
      </w:r>
      <w:r w:rsidR="007F49F1">
        <w:t xml:space="preserve">he maintenance of a safe vehicle and equipment can both </w:t>
      </w:r>
      <w:r w:rsidR="007F49F1" w:rsidRPr="0058615B">
        <w:t xml:space="preserve">reduce the occurrence of an incident </w:t>
      </w:r>
      <w:r w:rsidR="007F49F1">
        <w:t xml:space="preserve">itself </w:t>
      </w:r>
      <w:r w:rsidR="007F49F1" w:rsidRPr="0058615B">
        <w:t xml:space="preserve">as well as </w:t>
      </w:r>
      <w:r w:rsidR="007F49F1">
        <w:t>mitigat</w:t>
      </w:r>
      <w:r w:rsidR="0094614C">
        <w:t>e</w:t>
      </w:r>
      <w:r w:rsidR="007F49F1">
        <w:t xml:space="preserve"> the consequences of an incident should on</w:t>
      </w:r>
      <w:r w:rsidR="00926DDB">
        <w:t>e</w:t>
      </w:r>
      <w:r w:rsidR="007F49F1">
        <w:t xml:space="preserve"> occur.</w:t>
      </w:r>
      <w:r w:rsidR="00A16AB3">
        <w:t xml:space="preserve"> </w:t>
      </w:r>
    </w:p>
    <w:p w14:paraId="781FB83A" w14:textId="4B4710FA" w:rsidR="00453BAE" w:rsidRDefault="00E228CE" w:rsidP="00BF0F78">
      <w:r>
        <w:t>Currently</w:t>
      </w:r>
      <w:r w:rsidR="00756434">
        <w:t>, a</w:t>
      </w:r>
      <w:r w:rsidR="00C368AA" w:rsidRPr="00453BAE">
        <w:t xml:space="preserve">ccredited and registered operators must ensure that all buses </w:t>
      </w:r>
      <w:r w:rsidR="002C61D0">
        <w:t>with</w:t>
      </w:r>
      <w:r w:rsidR="00C368AA" w:rsidRPr="00453BAE">
        <w:t xml:space="preserve">in their fleet </w:t>
      </w:r>
      <w:r w:rsidR="00510757">
        <w:t xml:space="preserve">used to provide a bus service </w:t>
      </w:r>
      <w:r w:rsidR="00C368AA" w:rsidRPr="00453BAE">
        <w:t>are inspected</w:t>
      </w:r>
      <w:r w:rsidR="00CD10E5">
        <w:t xml:space="preserve"> </w:t>
      </w:r>
      <w:r w:rsidR="007A2320">
        <w:t xml:space="preserve">annually </w:t>
      </w:r>
      <w:r w:rsidR="00C368AA" w:rsidRPr="00453BAE">
        <w:t xml:space="preserve">by a </w:t>
      </w:r>
      <w:r w:rsidR="00491958">
        <w:t>licen</w:t>
      </w:r>
      <w:r w:rsidR="00723409">
        <w:t>s</w:t>
      </w:r>
      <w:r w:rsidR="00491958">
        <w:t>e</w:t>
      </w:r>
      <w:r w:rsidR="00A068D1">
        <w:t>d</w:t>
      </w:r>
      <w:r w:rsidR="00491958">
        <w:t xml:space="preserve"> bus tester (LBT)</w:t>
      </w:r>
      <w:r w:rsidR="00C368AA" w:rsidRPr="00453BAE">
        <w:t>.</w:t>
      </w:r>
      <w:r w:rsidR="0058354D">
        <w:t xml:space="preserve"> The inspection is essentially </w:t>
      </w:r>
      <w:r w:rsidR="00D66E53" w:rsidRPr="00453BAE">
        <w:t>a roadworthiness check of the bus to ensure that key components have not worn or deteriorated and that it is safe for normal road use – i.e. that hazards are being controlled at their source.</w:t>
      </w:r>
      <w:r w:rsidR="00DC1565">
        <w:t xml:space="preserve"> </w:t>
      </w:r>
      <w:r w:rsidR="00B76453">
        <w:t xml:space="preserve">LBTs are required to inspect vehicles in relation to standards specified in the Road Safety (Vehicles) </w:t>
      </w:r>
      <w:r w:rsidR="00E255A3">
        <w:t>Regulations</w:t>
      </w:r>
      <w:r w:rsidR="00B76453">
        <w:t xml:space="preserve"> 2009</w:t>
      </w:r>
      <w:r w:rsidR="00FE545B">
        <w:t xml:space="preserve">, and the </w:t>
      </w:r>
      <w:r w:rsidR="00E255A3">
        <w:t>B</w:t>
      </w:r>
      <w:r w:rsidR="00FE545B">
        <w:t xml:space="preserve">us </w:t>
      </w:r>
      <w:r w:rsidR="00E255A3">
        <w:t>S</w:t>
      </w:r>
      <w:r w:rsidR="00FE545B">
        <w:t xml:space="preserve">afety </w:t>
      </w:r>
      <w:r w:rsidR="00E255A3">
        <w:t>R</w:t>
      </w:r>
      <w:r w:rsidR="00FE545B">
        <w:t>egulations</w:t>
      </w:r>
      <w:r w:rsidR="00E255A3">
        <w:t xml:space="preserve"> 2010</w:t>
      </w:r>
      <w:r w:rsidR="00FE545B">
        <w:t xml:space="preserve">. </w:t>
      </w:r>
      <w:r w:rsidR="00453BAE" w:rsidRPr="00453BAE">
        <w:t xml:space="preserve">As a result of an inspection, the LBT issues either a roadworthy certificate (valid for 12 months from the date of issue) or a test report listing the defective areas of the bus. </w:t>
      </w:r>
    </w:p>
    <w:p w14:paraId="5B7A5AED" w14:textId="7349617C" w:rsidR="00E823F7" w:rsidRPr="005A4CBD" w:rsidRDefault="0010130D" w:rsidP="00BF0F78">
      <w:pPr>
        <w:rPr>
          <w:rFonts w:cstheme="minorHAnsi"/>
          <w:szCs w:val="20"/>
        </w:rPr>
      </w:pPr>
      <w:r w:rsidRPr="005A4CBD">
        <w:rPr>
          <w:rFonts w:cstheme="minorHAnsi"/>
          <w:szCs w:val="20"/>
        </w:rPr>
        <w:fldChar w:fldCharType="begin"/>
      </w:r>
      <w:r w:rsidRPr="005A4CBD">
        <w:rPr>
          <w:rFonts w:cstheme="minorHAnsi"/>
          <w:szCs w:val="20"/>
        </w:rPr>
        <w:instrText xml:space="preserve"> REF _Ref30081866 \h  \* MERGEFORMAT </w:instrText>
      </w:r>
      <w:r w:rsidRPr="005A4CBD">
        <w:rPr>
          <w:rFonts w:cstheme="minorHAnsi"/>
          <w:szCs w:val="20"/>
        </w:rPr>
      </w:r>
      <w:r w:rsidRPr="005A4CBD">
        <w:rPr>
          <w:rFonts w:cstheme="minorHAnsi"/>
          <w:szCs w:val="20"/>
        </w:rPr>
        <w:fldChar w:fldCharType="separate"/>
      </w:r>
      <w:r w:rsidR="00277F6E" w:rsidRPr="00277F6E">
        <w:rPr>
          <w:bCs/>
        </w:rPr>
        <w:t>Table</w:t>
      </w:r>
      <w:r w:rsidR="00277F6E" w:rsidRPr="00B11E75">
        <w:rPr>
          <w:b/>
        </w:rPr>
        <w:t xml:space="preserve"> </w:t>
      </w:r>
      <w:r w:rsidR="00277F6E" w:rsidRPr="00277F6E">
        <w:rPr>
          <w:rFonts w:cstheme="minorHAnsi"/>
          <w:noProof/>
          <w:szCs w:val="20"/>
        </w:rPr>
        <w:t>3</w:t>
      </w:r>
      <w:r w:rsidR="00277F6E" w:rsidRPr="00277F6E">
        <w:rPr>
          <w:rFonts w:cstheme="minorHAnsi"/>
          <w:noProof/>
          <w:szCs w:val="20"/>
        </w:rPr>
        <w:noBreakHyphen/>
        <w:t>11</w:t>
      </w:r>
      <w:r w:rsidRPr="005A4CBD">
        <w:rPr>
          <w:rFonts w:cstheme="minorHAnsi"/>
          <w:szCs w:val="20"/>
        </w:rPr>
        <w:fldChar w:fldCharType="end"/>
      </w:r>
      <w:r w:rsidR="00634ED8">
        <w:rPr>
          <w:rFonts w:cstheme="minorHAnsi"/>
          <w:szCs w:val="20"/>
        </w:rPr>
        <w:t xml:space="preserve"> </w:t>
      </w:r>
      <w:r w:rsidR="00E823F7" w:rsidRPr="005A4CBD">
        <w:rPr>
          <w:rFonts w:cstheme="minorHAnsi"/>
          <w:szCs w:val="20"/>
        </w:rPr>
        <w:t xml:space="preserve">shows the total number of annual bus inspection conducted during </w:t>
      </w:r>
      <w:r w:rsidR="008357E1">
        <w:rPr>
          <w:rFonts w:cstheme="minorHAnsi"/>
          <w:szCs w:val="20"/>
        </w:rPr>
        <w:t xml:space="preserve">each calendar </w:t>
      </w:r>
      <w:r w:rsidR="00E823F7" w:rsidRPr="005A4CBD">
        <w:rPr>
          <w:rFonts w:cstheme="minorHAnsi"/>
          <w:szCs w:val="20"/>
        </w:rPr>
        <w:t xml:space="preserve">year from </w:t>
      </w:r>
      <w:r w:rsidR="00571955">
        <w:rPr>
          <w:rFonts w:cstheme="minorHAnsi"/>
          <w:szCs w:val="20"/>
        </w:rPr>
        <w:t>2015 to 2017</w:t>
      </w:r>
      <w:r w:rsidR="00E823F7" w:rsidRPr="005A4CBD">
        <w:rPr>
          <w:rFonts w:cstheme="minorHAnsi"/>
          <w:szCs w:val="20"/>
        </w:rPr>
        <w:t xml:space="preserve">, and the corresponding </w:t>
      </w:r>
      <w:r w:rsidR="00B25638">
        <w:rPr>
          <w:rFonts w:cstheme="minorHAnsi"/>
          <w:szCs w:val="20"/>
        </w:rPr>
        <w:t xml:space="preserve">type of items </w:t>
      </w:r>
      <w:r w:rsidR="00E823F7" w:rsidRPr="005A4CBD">
        <w:rPr>
          <w:rFonts w:cstheme="minorHAnsi"/>
          <w:szCs w:val="20"/>
        </w:rPr>
        <w:t>failed</w:t>
      </w:r>
      <w:r w:rsidR="0067393E" w:rsidRPr="005A4CBD">
        <w:rPr>
          <w:rFonts w:cstheme="minorHAnsi"/>
          <w:szCs w:val="20"/>
        </w:rPr>
        <w:t>. Note that more than one item may fail for any one bus inspected</w:t>
      </w:r>
      <w:r w:rsidR="00E9551E">
        <w:rPr>
          <w:rFonts w:cstheme="minorHAnsi"/>
          <w:szCs w:val="20"/>
        </w:rPr>
        <w:t xml:space="preserve"> (i.e. there may be more item failures than number of buses inspected)</w:t>
      </w:r>
      <w:r w:rsidR="0067393E" w:rsidRPr="005A4CBD">
        <w:rPr>
          <w:rFonts w:cstheme="minorHAnsi"/>
          <w:szCs w:val="20"/>
        </w:rPr>
        <w:t>.</w:t>
      </w:r>
      <w:r w:rsidR="0020290F">
        <w:rPr>
          <w:rFonts w:cstheme="minorHAnsi"/>
          <w:szCs w:val="20"/>
        </w:rPr>
        <w:t xml:space="preserve"> Over the period from </w:t>
      </w:r>
      <w:r w:rsidR="008E1D1A">
        <w:rPr>
          <w:rFonts w:cstheme="minorHAnsi"/>
          <w:szCs w:val="20"/>
        </w:rPr>
        <w:t>2015 to 2017</w:t>
      </w:r>
      <w:r w:rsidR="0020290F">
        <w:rPr>
          <w:rFonts w:cstheme="minorHAnsi"/>
          <w:szCs w:val="20"/>
        </w:rPr>
        <w:t>,</w:t>
      </w:r>
      <w:r w:rsidR="00780EC2">
        <w:rPr>
          <w:rFonts w:cstheme="minorHAnsi"/>
          <w:szCs w:val="20"/>
        </w:rPr>
        <w:t xml:space="preserve"> defects and failures relating to</w:t>
      </w:r>
      <w:r w:rsidR="0020290F">
        <w:rPr>
          <w:rFonts w:cstheme="minorHAnsi"/>
          <w:szCs w:val="20"/>
        </w:rPr>
        <w:t xml:space="preserve"> </w:t>
      </w:r>
      <w:r w:rsidR="005B0D52">
        <w:rPr>
          <w:rFonts w:cstheme="minorHAnsi"/>
          <w:szCs w:val="20"/>
        </w:rPr>
        <w:t>“</w:t>
      </w:r>
      <w:r w:rsidR="0020290F">
        <w:rPr>
          <w:rFonts w:cstheme="minorHAnsi"/>
          <w:szCs w:val="20"/>
        </w:rPr>
        <w:t>body and chassis</w:t>
      </w:r>
      <w:r w:rsidR="005B0D52">
        <w:rPr>
          <w:rFonts w:cstheme="minorHAnsi"/>
          <w:szCs w:val="20"/>
        </w:rPr>
        <w:t>”</w:t>
      </w:r>
      <w:r w:rsidR="0020290F">
        <w:rPr>
          <w:rFonts w:cstheme="minorHAnsi"/>
          <w:szCs w:val="20"/>
        </w:rPr>
        <w:t xml:space="preserve"> recorded the highest </w:t>
      </w:r>
      <w:r w:rsidR="009C2E17">
        <w:rPr>
          <w:rFonts w:cstheme="minorHAnsi"/>
          <w:szCs w:val="20"/>
        </w:rPr>
        <w:t>proportions</w:t>
      </w:r>
      <w:r w:rsidR="0020290F">
        <w:rPr>
          <w:rFonts w:cstheme="minorHAnsi"/>
          <w:szCs w:val="20"/>
        </w:rPr>
        <w:t xml:space="preserve"> of failures</w:t>
      </w:r>
      <w:r w:rsidR="009C2E17">
        <w:rPr>
          <w:rFonts w:cstheme="minorHAnsi"/>
          <w:szCs w:val="20"/>
        </w:rPr>
        <w:t xml:space="preserve"> from bus inspections</w:t>
      </w:r>
      <w:r w:rsidR="005B0D52">
        <w:rPr>
          <w:rFonts w:cstheme="minorHAnsi"/>
          <w:szCs w:val="20"/>
        </w:rPr>
        <w:t xml:space="preserve">, followed by </w:t>
      </w:r>
      <w:r w:rsidR="002071DD">
        <w:rPr>
          <w:rFonts w:cstheme="minorHAnsi"/>
          <w:szCs w:val="20"/>
        </w:rPr>
        <w:t>“</w:t>
      </w:r>
      <w:r w:rsidR="005B0D52">
        <w:rPr>
          <w:rFonts w:cstheme="minorHAnsi"/>
          <w:szCs w:val="20"/>
        </w:rPr>
        <w:t xml:space="preserve">lamps, signal, reflectors” and “steering and suspension”. </w:t>
      </w:r>
      <w:r w:rsidR="00A06DBD">
        <w:rPr>
          <w:rFonts w:cstheme="minorHAnsi"/>
          <w:szCs w:val="20"/>
        </w:rPr>
        <w:t xml:space="preserve">Failures as a result of a “modification” to a vehicle represented the least proportion of failures. </w:t>
      </w:r>
    </w:p>
    <w:p w14:paraId="3E02B8AF" w14:textId="343D8E43" w:rsidR="00B11E75" w:rsidRPr="00B11E75" w:rsidRDefault="00B11E75" w:rsidP="005E479A">
      <w:pPr>
        <w:pStyle w:val="Caption"/>
        <w:keepNext/>
        <w:spacing w:after="60"/>
        <w:rPr>
          <w:b/>
          <w:i w:val="0"/>
        </w:rPr>
      </w:pPr>
      <w:bookmarkStart w:id="326" w:name="_Ref36724819"/>
      <w:bookmarkStart w:id="327" w:name="_Ref30081866"/>
      <w:bookmarkStart w:id="328" w:name="_Toc44603388"/>
      <w:bookmarkStart w:id="329" w:name="_Ref36724814"/>
      <w:bookmarkStart w:id="330" w:name="_Toc44437363"/>
      <w:bookmarkStart w:id="331" w:name="_Toc44597434"/>
      <w:bookmarkStart w:id="332" w:name="_Toc44597498"/>
      <w:bookmarkStart w:id="333" w:name="_Toc44600068"/>
      <w:bookmarkStart w:id="334" w:name="_Toc44600523"/>
      <w:bookmarkStart w:id="335" w:name="_Toc44600690"/>
      <w:bookmarkStart w:id="336" w:name="_Toc44601187"/>
      <w:bookmarkStart w:id="337" w:name="_Toc44601240"/>
      <w:bookmarkStart w:id="338" w:name="_Toc45704436"/>
      <w:r w:rsidRPr="00B11E75">
        <w:rPr>
          <w:b/>
          <w:i w:val="0"/>
        </w:rPr>
        <w:lastRenderedPageBreak/>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11</w:t>
      </w:r>
      <w:r w:rsidR="00D2483C">
        <w:rPr>
          <w:b/>
          <w:i w:val="0"/>
        </w:rPr>
        <w:fldChar w:fldCharType="end"/>
      </w:r>
      <w:bookmarkEnd w:id="326"/>
      <w:bookmarkEnd w:id="327"/>
      <w:r w:rsidRPr="00B11E75">
        <w:rPr>
          <w:b/>
          <w:i w:val="0"/>
        </w:rPr>
        <w:t>: Items failed during annual bus inspection</w:t>
      </w:r>
      <w:r w:rsidR="00F950F7">
        <w:rPr>
          <w:b/>
          <w:i w:val="0"/>
        </w:rPr>
        <w:t>s</w:t>
      </w:r>
      <w:r w:rsidRPr="00B11E75">
        <w:rPr>
          <w:b/>
          <w:i w:val="0"/>
        </w:rPr>
        <w:t xml:space="preserve"> </w:t>
      </w:r>
      <w:r w:rsidR="004E508B">
        <w:rPr>
          <w:b/>
          <w:i w:val="0"/>
        </w:rPr>
        <w:t>–</w:t>
      </w:r>
      <w:r w:rsidRPr="00B11E75">
        <w:rPr>
          <w:b/>
          <w:i w:val="0"/>
        </w:rPr>
        <w:t xml:space="preserve"> </w:t>
      </w:r>
      <w:r w:rsidR="00794B1D">
        <w:rPr>
          <w:b/>
          <w:i w:val="0"/>
        </w:rPr>
        <w:t>2015-2017</w:t>
      </w:r>
      <w:bookmarkEnd w:id="328"/>
      <w:bookmarkEnd w:id="329"/>
      <w:bookmarkEnd w:id="330"/>
      <w:bookmarkEnd w:id="331"/>
      <w:bookmarkEnd w:id="332"/>
      <w:bookmarkEnd w:id="333"/>
      <w:bookmarkEnd w:id="334"/>
      <w:bookmarkEnd w:id="335"/>
      <w:bookmarkEnd w:id="336"/>
      <w:bookmarkEnd w:id="337"/>
      <w:bookmarkEnd w:id="338"/>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825"/>
        <w:gridCol w:w="1825"/>
        <w:gridCol w:w="1826"/>
      </w:tblGrid>
      <w:tr w:rsidR="00D40D53" w:rsidRPr="00C45142" w14:paraId="633EF5C2" w14:textId="77777777" w:rsidTr="00FC11B4">
        <w:trPr>
          <w:cantSplit/>
          <w:trHeight w:val="288"/>
          <w:tblHeader/>
        </w:trPr>
        <w:tc>
          <w:tcPr>
            <w:tcW w:w="3539" w:type="dxa"/>
            <w:shd w:val="clear" w:color="auto" w:fill="D6ECED"/>
            <w:noWrap/>
            <w:vAlign w:val="bottom"/>
          </w:tcPr>
          <w:p w14:paraId="022B8C7F" w14:textId="4F2091B0" w:rsidR="00D40D53" w:rsidRPr="00C45142" w:rsidRDefault="00D40D53" w:rsidP="00FC11B4">
            <w:pPr>
              <w:keepNext/>
              <w:spacing w:before="60" w:after="60"/>
              <w:rPr>
                <w:rFonts w:eastAsia="Times New Roman" w:cstheme="minorHAnsi"/>
                <w:b/>
                <w:bCs/>
                <w:color w:val="000000"/>
                <w:sz w:val="18"/>
                <w:lang w:eastAsia="en-AU"/>
              </w:rPr>
            </w:pPr>
            <w:r w:rsidRPr="00C45142">
              <w:rPr>
                <w:rFonts w:eastAsia="Times New Roman" w:cstheme="minorHAnsi"/>
                <w:b/>
                <w:bCs/>
                <w:color w:val="000000"/>
                <w:sz w:val="18"/>
                <w:lang w:eastAsia="en-AU"/>
              </w:rPr>
              <w:t>Year</w:t>
            </w:r>
            <w:r>
              <w:rPr>
                <w:rStyle w:val="FootnoteReference"/>
                <w:rFonts w:eastAsia="Times New Roman" w:cstheme="minorHAnsi"/>
                <w:b/>
                <w:bCs/>
                <w:color w:val="000000"/>
                <w:sz w:val="18"/>
                <w:lang w:eastAsia="en-AU"/>
              </w:rPr>
              <w:footnoteReference w:id="6"/>
            </w:r>
          </w:p>
        </w:tc>
        <w:tc>
          <w:tcPr>
            <w:tcW w:w="1825" w:type="dxa"/>
            <w:shd w:val="clear" w:color="auto" w:fill="D6ECED"/>
            <w:noWrap/>
            <w:vAlign w:val="bottom"/>
          </w:tcPr>
          <w:p w14:paraId="5835F0B5" w14:textId="33CC8936" w:rsidR="00D40D53" w:rsidRPr="00C45142" w:rsidRDefault="00D40D53" w:rsidP="00FC11B4">
            <w:pPr>
              <w:keepNext/>
              <w:spacing w:before="60" w:after="60"/>
              <w:jc w:val="center"/>
              <w:rPr>
                <w:rFonts w:eastAsia="Times New Roman" w:cstheme="minorHAnsi"/>
                <w:b/>
                <w:bCs/>
                <w:color w:val="000000"/>
                <w:sz w:val="18"/>
                <w:lang w:eastAsia="en-AU"/>
              </w:rPr>
            </w:pPr>
            <w:r w:rsidRPr="00457262">
              <w:rPr>
                <w:rFonts w:eastAsia="Times New Roman" w:cstheme="minorHAnsi"/>
                <w:b/>
                <w:bCs/>
                <w:color w:val="000000"/>
                <w:sz w:val="18"/>
                <w:lang w:eastAsia="en-AU"/>
              </w:rPr>
              <w:t>2015</w:t>
            </w:r>
          </w:p>
        </w:tc>
        <w:tc>
          <w:tcPr>
            <w:tcW w:w="1825" w:type="dxa"/>
            <w:shd w:val="clear" w:color="auto" w:fill="D6ECED"/>
            <w:noWrap/>
            <w:vAlign w:val="bottom"/>
          </w:tcPr>
          <w:p w14:paraId="286044CB" w14:textId="00AEB6AC" w:rsidR="00D40D53" w:rsidRPr="00C45142" w:rsidRDefault="00D40D53" w:rsidP="00FC11B4">
            <w:pPr>
              <w:keepNext/>
              <w:spacing w:before="60" w:after="60"/>
              <w:jc w:val="center"/>
              <w:rPr>
                <w:rFonts w:eastAsia="Times New Roman" w:cstheme="minorHAnsi"/>
                <w:b/>
                <w:bCs/>
                <w:color w:val="000000"/>
                <w:sz w:val="18"/>
                <w:lang w:eastAsia="en-AU"/>
              </w:rPr>
            </w:pPr>
            <w:r w:rsidRPr="00457262">
              <w:rPr>
                <w:rFonts w:eastAsia="Times New Roman" w:cstheme="minorHAnsi"/>
                <w:b/>
                <w:bCs/>
                <w:color w:val="000000"/>
                <w:sz w:val="18"/>
                <w:lang w:eastAsia="en-AU"/>
              </w:rPr>
              <w:t>2016</w:t>
            </w:r>
          </w:p>
        </w:tc>
        <w:tc>
          <w:tcPr>
            <w:tcW w:w="1826" w:type="dxa"/>
            <w:shd w:val="clear" w:color="auto" w:fill="D6ECED"/>
            <w:noWrap/>
            <w:vAlign w:val="bottom"/>
          </w:tcPr>
          <w:p w14:paraId="103BEEF3" w14:textId="6D234761" w:rsidR="00D40D53" w:rsidRPr="00C45142" w:rsidRDefault="00D40D53" w:rsidP="00FC11B4">
            <w:pPr>
              <w:keepNext/>
              <w:spacing w:before="60" w:after="60"/>
              <w:jc w:val="center"/>
              <w:rPr>
                <w:rFonts w:eastAsia="Times New Roman" w:cstheme="minorHAnsi"/>
                <w:b/>
                <w:bCs/>
                <w:color w:val="000000"/>
                <w:sz w:val="18"/>
                <w:lang w:eastAsia="en-AU"/>
              </w:rPr>
            </w:pPr>
            <w:r w:rsidRPr="00457262">
              <w:rPr>
                <w:rFonts w:eastAsia="Times New Roman" w:cstheme="minorHAnsi"/>
                <w:b/>
                <w:bCs/>
                <w:color w:val="000000"/>
                <w:sz w:val="18"/>
                <w:lang w:eastAsia="en-AU"/>
              </w:rPr>
              <w:t>2017</w:t>
            </w:r>
          </w:p>
        </w:tc>
      </w:tr>
      <w:tr w:rsidR="00D40D53" w:rsidRPr="00C45142" w14:paraId="1A278C4E" w14:textId="77777777" w:rsidTr="00FC11B4">
        <w:trPr>
          <w:cantSplit/>
          <w:trHeight w:val="288"/>
        </w:trPr>
        <w:tc>
          <w:tcPr>
            <w:tcW w:w="3539" w:type="dxa"/>
            <w:shd w:val="clear" w:color="auto" w:fill="auto"/>
            <w:noWrap/>
            <w:vAlign w:val="bottom"/>
          </w:tcPr>
          <w:p w14:paraId="55C6B524" w14:textId="759A6C31" w:rsidR="00D40D53" w:rsidRPr="00C45142" w:rsidRDefault="00D40D53" w:rsidP="00FC11B4">
            <w:pPr>
              <w:keepNext/>
              <w:spacing w:before="60" w:after="60"/>
              <w:rPr>
                <w:rFonts w:eastAsia="Times New Roman" w:cstheme="minorHAnsi"/>
                <w:b/>
                <w:bCs/>
                <w:color w:val="000000"/>
                <w:sz w:val="18"/>
                <w:lang w:eastAsia="en-AU"/>
              </w:rPr>
            </w:pPr>
            <w:r w:rsidRPr="00C45142">
              <w:rPr>
                <w:rFonts w:eastAsia="Times New Roman" w:cstheme="minorHAnsi"/>
                <w:color w:val="000000"/>
                <w:sz w:val="18"/>
                <w:lang w:eastAsia="en-AU"/>
              </w:rPr>
              <w:t>Total</w:t>
            </w:r>
            <w:r>
              <w:rPr>
                <w:rFonts w:eastAsia="Times New Roman" w:cstheme="minorHAnsi"/>
                <w:color w:val="000000"/>
                <w:sz w:val="18"/>
                <w:lang w:eastAsia="en-AU"/>
              </w:rPr>
              <w:t xml:space="preserve"> bus</w:t>
            </w:r>
            <w:r w:rsidRPr="00C45142">
              <w:rPr>
                <w:rFonts w:eastAsia="Times New Roman" w:cstheme="minorHAnsi"/>
                <w:color w:val="000000"/>
                <w:sz w:val="18"/>
                <w:lang w:eastAsia="en-AU"/>
              </w:rPr>
              <w:t xml:space="preserve"> inspections</w:t>
            </w:r>
          </w:p>
        </w:tc>
        <w:tc>
          <w:tcPr>
            <w:tcW w:w="1825" w:type="dxa"/>
            <w:shd w:val="clear" w:color="auto" w:fill="auto"/>
            <w:noWrap/>
            <w:vAlign w:val="bottom"/>
          </w:tcPr>
          <w:p w14:paraId="69EAFF06" w14:textId="7A8DC655" w:rsidR="00D40D53" w:rsidRPr="00C45142" w:rsidRDefault="00D40D53" w:rsidP="00FC11B4">
            <w:pPr>
              <w:keepNext/>
              <w:spacing w:before="60" w:after="60"/>
              <w:jc w:val="right"/>
              <w:rPr>
                <w:rFonts w:eastAsia="Times New Roman" w:cstheme="minorHAnsi"/>
                <w:bCs/>
                <w:color w:val="000000"/>
                <w:sz w:val="18"/>
                <w:lang w:eastAsia="en-AU"/>
              </w:rPr>
            </w:pPr>
            <w:r w:rsidRPr="00C45142">
              <w:rPr>
                <w:rFonts w:eastAsia="Times New Roman" w:cstheme="minorHAnsi"/>
                <w:bCs/>
                <w:color w:val="000000"/>
                <w:sz w:val="18"/>
                <w:lang w:eastAsia="en-AU"/>
              </w:rPr>
              <w:t>11</w:t>
            </w:r>
            <w:r>
              <w:rPr>
                <w:rFonts w:eastAsia="Times New Roman" w:cstheme="minorHAnsi"/>
                <w:bCs/>
                <w:color w:val="000000"/>
                <w:sz w:val="18"/>
                <w:lang w:eastAsia="en-AU"/>
              </w:rPr>
              <w:t>,</w:t>
            </w:r>
            <w:r w:rsidRPr="00C45142">
              <w:rPr>
                <w:rFonts w:eastAsia="Times New Roman" w:cstheme="minorHAnsi"/>
                <w:bCs/>
                <w:color w:val="000000"/>
                <w:sz w:val="18"/>
                <w:lang w:eastAsia="en-AU"/>
              </w:rPr>
              <w:t>239</w:t>
            </w:r>
          </w:p>
        </w:tc>
        <w:tc>
          <w:tcPr>
            <w:tcW w:w="1825" w:type="dxa"/>
            <w:shd w:val="clear" w:color="auto" w:fill="auto"/>
            <w:noWrap/>
            <w:vAlign w:val="bottom"/>
          </w:tcPr>
          <w:p w14:paraId="77466E8E" w14:textId="2B9E7F7E" w:rsidR="00D40D53" w:rsidRPr="00C45142" w:rsidRDefault="00D40D53" w:rsidP="00FC11B4">
            <w:pPr>
              <w:keepNext/>
              <w:spacing w:before="60" w:after="60"/>
              <w:jc w:val="right"/>
              <w:rPr>
                <w:rFonts w:eastAsia="Times New Roman" w:cstheme="minorHAnsi"/>
                <w:bCs/>
                <w:color w:val="000000"/>
                <w:sz w:val="18"/>
                <w:lang w:eastAsia="en-AU"/>
              </w:rPr>
            </w:pPr>
            <w:r w:rsidRPr="00C45142">
              <w:rPr>
                <w:rFonts w:eastAsia="Times New Roman" w:cstheme="minorHAnsi"/>
                <w:bCs/>
                <w:color w:val="000000"/>
                <w:sz w:val="18"/>
                <w:lang w:eastAsia="en-AU"/>
              </w:rPr>
              <w:t>11</w:t>
            </w:r>
            <w:r>
              <w:rPr>
                <w:rFonts w:eastAsia="Times New Roman" w:cstheme="minorHAnsi"/>
                <w:bCs/>
                <w:color w:val="000000"/>
                <w:sz w:val="18"/>
                <w:lang w:eastAsia="en-AU"/>
              </w:rPr>
              <w:t>,</w:t>
            </w:r>
            <w:r w:rsidRPr="00C45142">
              <w:rPr>
                <w:rFonts w:eastAsia="Times New Roman" w:cstheme="minorHAnsi"/>
                <w:bCs/>
                <w:color w:val="000000"/>
                <w:sz w:val="18"/>
                <w:lang w:eastAsia="en-AU"/>
              </w:rPr>
              <w:t>257</w:t>
            </w:r>
          </w:p>
        </w:tc>
        <w:tc>
          <w:tcPr>
            <w:tcW w:w="1826" w:type="dxa"/>
            <w:shd w:val="clear" w:color="auto" w:fill="auto"/>
            <w:noWrap/>
            <w:vAlign w:val="bottom"/>
          </w:tcPr>
          <w:p w14:paraId="640C3492" w14:textId="47E15C4B" w:rsidR="00D40D53" w:rsidRPr="00C45142" w:rsidRDefault="00D40D53" w:rsidP="00FC11B4">
            <w:pPr>
              <w:keepNext/>
              <w:spacing w:before="60" w:after="60"/>
              <w:jc w:val="right"/>
              <w:rPr>
                <w:rFonts w:eastAsia="Times New Roman" w:cstheme="minorHAnsi"/>
                <w:bCs/>
                <w:color w:val="000000"/>
                <w:sz w:val="18"/>
                <w:lang w:eastAsia="en-AU"/>
              </w:rPr>
            </w:pPr>
            <w:r w:rsidRPr="00C45142">
              <w:rPr>
                <w:rFonts w:eastAsia="Times New Roman" w:cstheme="minorHAnsi"/>
                <w:bCs/>
                <w:color w:val="000000"/>
                <w:sz w:val="18"/>
                <w:lang w:eastAsia="en-AU"/>
              </w:rPr>
              <w:t>11</w:t>
            </w:r>
            <w:r>
              <w:rPr>
                <w:rFonts w:eastAsia="Times New Roman" w:cstheme="minorHAnsi"/>
                <w:bCs/>
                <w:color w:val="000000"/>
                <w:sz w:val="18"/>
                <w:lang w:eastAsia="en-AU"/>
              </w:rPr>
              <w:t>,</w:t>
            </w:r>
            <w:r w:rsidRPr="00C45142">
              <w:rPr>
                <w:rFonts w:eastAsia="Times New Roman" w:cstheme="minorHAnsi"/>
                <w:bCs/>
                <w:color w:val="000000"/>
                <w:sz w:val="18"/>
                <w:lang w:eastAsia="en-AU"/>
              </w:rPr>
              <w:t>756</w:t>
            </w:r>
          </w:p>
        </w:tc>
      </w:tr>
      <w:tr w:rsidR="00D40D53" w:rsidRPr="00C45142" w14:paraId="0BB75523" w14:textId="77777777" w:rsidTr="00FC11B4">
        <w:trPr>
          <w:cantSplit/>
          <w:trHeight w:val="288"/>
        </w:trPr>
        <w:tc>
          <w:tcPr>
            <w:tcW w:w="3539" w:type="dxa"/>
            <w:shd w:val="clear" w:color="auto" w:fill="auto"/>
            <w:noWrap/>
            <w:vAlign w:val="bottom"/>
          </w:tcPr>
          <w:p w14:paraId="39E172A7" w14:textId="1AB10CF5" w:rsidR="00D40D53" w:rsidRPr="00C45142" w:rsidRDefault="00D40D53" w:rsidP="00FC11B4">
            <w:pPr>
              <w:keepNext/>
              <w:spacing w:before="60" w:after="60"/>
              <w:rPr>
                <w:rFonts w:eastAsia="Times New Roman" w:cstheme="minorHAnsi"/>
                <w:color w:val="000000"/>
                <w:sz w:val="18"/>
                <w:lang w:eastAsia="en-AU"/>
              </w:rPr>
            </w:pPr>
            <w:r>
              <w:rPr>
                <w:rFonts w:eastAsia="Times New Roman" w:cstheme="minorHAnsi"/>
                <w:color w:val="000000"/>
                <w:sz w:val="18"/>
                <w:lang w:eastAsia="en-AU"/>
              </w:rPr>
              <w:t>Number of buses failed</w:t>
            </w:r>
          </w:p>
        </w:tc>
        <w:tc>
          <w:tcPr>
            <w:tcW w:w="1825" w:type="dxa"/>
            <w:shd w:val="clear" w:color="auto" w:fill="auto"/>
            <w:noWrap/>
            <w:vAlign w:val="bottom"/>
          </w:tcPr>
          <w:p w14:paraId="78CD5387" w14:textId="654B2C3D" w:rsidR="00D40D53" w:rsidRPr="00C45142" w:rsidRDefault="00D40D53" w:rsidP="00FC11B4">
            <w:pPr>
              <w:keepNext/>
              <w:spacing w:before="60" w:after="60"/>
              <w:jc w:val="right"/>
              <w:rPr>
                <w:rFonts w:eastAsia="Times New Roman" w:cstheme="minorHAnsi"/>
                <w:bCs/>
                <w:color w:val="000000"/>
                <w:sz w:val="18"/>
                <w:lang w:eastAsia="en-AU"/>
              </w:rPr>
            </w:pPr>
            <w:r>
              <w:rPr>
                <w:rFonts w:eastAsia="Times New Roman" w:cstheme="minorHAnsi"/>
                <w:bCs/>
                <w:color w:val="000000"/>
                <w:sz w:val="18"/>
                <w:lang w:eastAsia="en-AU"/>
              </w:rPr>
              <w:t>2,791</w:t>
            </w:r>
          </w:p>
        </w:tc>
        <w:tc>
          <w:tcPr>
            <w:tcW w:w="1825" w:type="dxa"/>
            <w:shd w:val="clear" w:color="auto" w:fill="auto"/>
            <w:noWrap/>
            <w:vAlign w:val="bottom"/>
          </w:tcPr>
          <w:p w14:paraId="780A5BA6" w14:textId="19326997" w:rsidR="00D40D53" w:rsidRPr="00C45142" w:rsidRDefault="00D40D53" w:rsidP="00FC11B4">
            <w:pPr>
              <w:keepNext/>
              <w:spacing w:before="60" w:after="60"/>
              <w:jc w:val="right"/>
              <w:rPr>
                <w:rFonts w:eastAsia="Times New Roman" w:cstheme="minorHAnsi"/>
                <w:bCs/>
                <w:color w:val="000000"/>
                <w:sz w:val="18"/>
                <w:lang w:eastAsia="en-AU"/>
              </w:rPr>
            </w:pPr>
            <w:r>
              <w:rPr>
                <w:rFonts w:eastAsia="Times New Roman" w:cstheme="minorHAnsi"/>
                <w:bCs/>
                <w:color w:val="000000"/>
                <w:sz w:val="18"/>
                <w:lang w:eastAsia="en-AU"/>
              </w:rPr>
              <w:t>3,046</w:t>
            </w:r>
          </w:p>
        </w:tc>
        <w:tc>
          <w:tcPr>
            <w:tcW w:w="1826" w:type="dxa"/>
            <w:shd w:val="clear" w:color="auto" w:fill="auto"/>
            <w:noWrap/>
            <w:vAlign w:val="bottom"/>
          </w:tcPr>
          <w:p w14:paraId="406AE804" w14:textId="07A8ED4A" w:rsidR="00D40D53" w:rsidRPr="00C45142" w:rsidRDefault="00D40D53" w:rsidP="00FC11B4">
            <w:pPr>
              <w:keepNext/>
              <w:spacing w:before="60" w:after="60"/>
              <w:jc w:val="right"/>
              <w:rPr>
                <w:rFonts w:eastAsia="Times New Roman" w:cstheme="minorHAnsi"/>
                <w:bCs/>
                <w:color w:val="000000"/>
                <w:sz w:val="18"/>
                <w:lang w:eastAsia="en-AU"/>
              </w:rPr>
            </w:pPr>
            <w:r>
              <w:rPr>
                <w:rFonts w:eastAsia="Times New Roman" w:cstheme="minorHAnsi"/>
                <w:bCs/>
                <w:color w:val="000000"/>
                <w:sz w:val="18"/>
                <w:lang w:eastAsia="en-AU"/>
              </w:rPr>
              <w:t>3,614</w:t>
            </w:r>
          </w:p>
        </w:tc>
      </w:tr>
      <w:tr w:rsidR="00D40D53" w:rsidRPr="00C45142" w14:paraId="236BED90" w14:textId="77777777" w:rsidTr="00FC11B4">
        <w:trPr>
          <w:cantSplit/>
          <w:trHeight w:val="288"/>
        </w:trPr>
        <w:tc>
          <w:tcPr>
            <w:tcW w:w="3539" w:type="dxa"/>
            <w:shd w:val="clear" w:color="auto" w:fill="D6ECED"/>
            <w:noWrap/>
            <w:vAlign w:val="bottom"/>
          </w:tcPr>
          <w:p w14:paraId="76C2AE73" w14:textId="176D01DE" w:rsidR="00D40D53" w:rsidRPr="00C45142" w:rsidRDefault="00D40D53" w:rsidP="00FC11B4">
            <w:pPr>
              <w:keepNext/>
              <w:spacing w:before="60" w:after="60"/>
              <w:rPr>
                <w:rFonts w:eastAsia="Times New Roman" w:cstheme="minorHAnsi"/>
                <w:color w:val="000000"/>
                <w:sz w:val="18"/>
                <w:lang w:eastAsia="en-AU"/>
              </w:rPr>
            </w:pPr>
            <w:r w:rsidRPr="00C45142">
              <w:rPr>
                <w:rFonts w:eastAsia="Times New Roman" w:cstheme="minorHAnsi"/>
                <w:b/>
                <w:bCs/>
                <w:color w:val="000000"/>
                <w:sz w:val="18"/>
                <w:lang w:eastAsia="en-AU"/>
              </w:rPr>
              <w:t>Item</w:t>
            </w:r>
            <w:r>
              <w:rPr>
                <w:rFonts w:eastAsia="Times New Roman" w:cstheme="minorHAnsi"/>
                <w:b/>
                <w:bCs/>
                <w:color w:val="000000"/>
                <w:sz w:val="18"/>
                <w:lang w:eastAsia="en-AU"/>
              </w:rPr>
              <w:t>s</w:t>
            </w:r>
            <w:r w:rsidRPr="00C45142">
              <w:rPr>
                <w:rFonts w:eastAsia="Times New Roman" w:cstheme="minorHAnsi"/>
                <w:b/>
                <w:bCs/>
                <w:color w:val="000000"/>
                <w:sz w:val="18"/>
                <w:lang w:eastAsia="en-AU"/>
              </w:rPr>
              <w:t xml:space="preserve"> failed</w:t>
            </w:r>
          </w:p>
        </w:tc>
        <w:tc>
          <w:tcPr>
            <w:tcW w:w="1825" w:type="dxa"/>
            <w:shd w:val="clear" w:color="auto" w:fill="D6ECED"/>
            <w:noWrap/>
            <w:vAlign w:val="bottom"/>
          </w:tcPr>
          <w:p w14:paraId="6D9CC38F" w14:textId="15FD61B5" w:rsidR="00D40D53" w:rsidRPr="00C45142" w:rsidRDefault="00D40D53" w:rsidP="00FC11B4">
            <w:pPr>
              <w:keepNext/>
              <w:spacing w:before="60" w:after="60"/>
              <w:jc w:val="center"/>
              <w:rPr>
                <w:rFonts w:eastAsia="Times New Roman" w:cstheme="minorHAnsi"/>
                <w:color w:val="000000"/>
                <w:sz w:val="18"/>
                <w:lang w:eastAsia="en-AU"/>
              </w:rPr>
            </w:pPr>
          </w:p>
        </w:tc>
        <w:tc>
          <w:tcPr>
            <w:tcW w:w="1825" w:type="dxa"/>
            <w:shd w:val="clear" w:color="auto" w:fill="D6ECED"/>
            <w:noWrap/>
            <w:vAlign w:val="bottom"/>
          </w:tcPr>
          <w:p w14:paraId="320723F6" w14:textId="7299EBF1" w:rsidR="00D40D53" w:rsidRPr="00C45142" w:rsidRDefault="00D40D53" w:rsidP="00FC11B4">
            <w:pPr>
              <w:keepNext/>
              <w:spacing w:before="60" w:after="60"/>
              <w:jc w:val="center"/>
              <w:rPr>
                <w:rFonts w:eastAsia="Times New Roman" w:cstheme="minorHAnsi"/>
                <w:color w:val="000000"/>
                <w:sz w:val="18"/>
                <w:lang w:eastAsia="en-AU"/>
              </w:rPr>
            </w:pPr>
          </w:p>
        </w:tc>
        <w:tc>
          <w:tcPr>
            <w:tcW w:w="1826" w:type="dxa"/>
            <w:shd w:val="clear" w:color="auto" w:fill="D6ECED"/>
            <w:noWrap/>
            <w:vAlign w:val="bottom"/>
          </w:tcPr>
          <w:p w14:paraId="56FB5421" w14:textId="20157799" w:rsidR="00D40D53" w:rsidRPr="00C45142" w:rsidRDefault="00D40D53" w:rsidP="00FC11B4">
            <w:pPr>
              <w:keepNext/>
              <w:spacing w:before="60" w:after="60"/>
              <w:jc w:val="center"/>
              <w:rPr>
                <w:rFonts w:eastAsia="Times New Roman" w:cstheme="minorHAnsi"/>
                <w:color w:val="000000"/>
                <w:sz w:val="18"/>
                <w:lang w:eastAsia="en-AU"/>
              </w:rPr>
            </w:pPr>
          </w:p>
        </w:tc>
      </w:tr>
      <w:tr w:rsidR="00D40D53" w:rsidRPr="00C45142" w14:paraId="376B15F4" w14:textId="77777777" w:rsidTr="00FC11B4">
        <w:trPr>
          <w:cantSplit/>
          <w:trHeight w:val="288"/>
        </w:trPr>
        <w:tc>
          <w:tcPr>
            <w:tcW w:w="3539" w:type="dxa"/>
            <w:shd w:val="clear" w:color="auto" w:fill="auto"/>
            <w:noWrap/>
            <w:vAlign w:val="bottom"/>
            <w:hideMark/>
          </w:tcPr>
          <w:p w14:paraId="7B9448F1" w14:textId="2214E09B"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Body and Chassis</w:t>
            </w:r>
          </w:p>
        </w:tc>
        <w:tc>
          <w:tcPr>
            <w:tcW w:w="1825" w:type="dxa"/>
            <w:shd w:val="clear" w:color="auto" w:fill="auto"/>
            <w:noWrap/>
            <w:vAlign w:val="bottom"/>
            <w:hideMark/>
          </w:tcPr>
          <w:p w14:paraId="4EA9FEBA"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887</w:t>
            </w:r>
          </w:p>
        </w:tc>
        <w:tc>
          <w:tcPr>
            <w:tcW w:w="1825" w:type="dxa"/>
            <w:shd w:val="clear" w:color="auto" w:fill="auto"/>
            <w:noWrap/>
            <w:vAlign w:val="bottom"/>
            <w:hideMark/>
          </w:tcPr>
          <w:p w14:paraId="6A9E13A3" w14:textId="63973AB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1</w:t>
            </w:r>
            <w:r>
              <w:rPr>
                <w:rFonts w:eastAsia="Times New Roman" w:cstheme="minorHAnsi"/>
                <w:color w:val="000000"/>
                <w:sz w:val="18"/>
                <w:lang w:eastAsia="en-AU"/>
              </w:rPr>
              <w:t>,</w:t>
            </w:r>
            <w:r w:rsidRPr="00457262">
              <w:rPr>
                <w:rFonts w:eastAsia="Times New Roman" w:cstheme="minorHAnsi"/>
                <w:color w:val="000000"/>
                <w:sz w:val="18"/>
                <w:lang w:eastAsia="en-AU"/>
              </w:rPr>
              <w:t>007</w:t>
            </w:r>
          </w:p>
        </w:tc>
        <w:tc>
          <w:tcPr>
            <w:tcW w:w="1826" w:type="dxa"/>
            <w:shd w:val="clear" w:color="auto" w:fill="auto"/>
            <w:noWrap/>
            <w:vAlign w:val="bottom"/>
            <w:hideMark/>
          </w:tcPr>
          <w:p w14:paraId="4D644DE6" w14:textId="3BB47AB6"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1</w:t>
            </w:r>
            <w:r>
              <w:rPr>
                <w:rFonts w:eastAsia="Times New Roman" w:cstheme="minorHAnsi"/>
                <w:color w:val="000000"/>
                <w:sz w:val="18"/>
                <w:lang w:eastAsia="en-AU"/>
              </w:rPr>
              <w:t>,</w:t>
            </w:r>
            <w:r w:rsidRPr="00457262">
              <w:rPr>
                <w:rFonts w:eastAsia="Times New Roman" w:cstheme="minorHAnsi"/>
                <w:color w:val="000000"/>
                <w:sz w:val="18"/>
                <w:lang w:eastAsia="en-AU"/>
              </w:rPr>
              <w:t>243</w:t>
            </w:r>
          </w:p>
        </w:tc>
      </w:tr>
      <w:tr w:rsidR="00D40D53" w:rsidRPr="00C45142" w14:paraId="52BF1B4C" w14:textId="77777777" w:rsidTr="00FC11B4">
        <w:trPr>
          <w:cantSplit/>
          <w:trHeight w:val="288"/>
        </w:trPr>
        <w:tc>
          <w:tcPr>
            <w:tcW w:w="3539" w:type="dxa"/>
            <w:shd w:val="clear" w:color="auto" w:fill="auto"/>
            <w:noWrap/>
            <w:vAlign w:val="bottom"/>
            <w:hideMark/>
          </w:tcPr>
          <w:p w14:paraId="2235F334" w14:textId="15F96BC2"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Lamps, Signals, Reflectors etc</w:t>
            </w:r>
          </w:p>
        </w:tc>
        <w:tc>
          <w:tcPr>
            <w:tcW w:w="1825" w:type="dxa"/>
            <w:shd w:val="clear" w:color="auto" w:fill="auto"/>
            <w:noWrap/>
            <w:vAlign w:val="bottom"/>
            <w:hideMark/>
          </w:tcPr>
          <w:p w14:paraId="1E619790"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859</w:t>
            </w:r>
          </w:p>
        </w:tc>
        <w:tc>
          <w:tcPr>
            <w:tcW w:w="1825" w:type="dxa"/>
            <w:shd w:val="clear" w:color="auto" w:fill="auto"/>
            <w:noWrap/>
            <w:vAlign w:val="bottom"/>
            <w:hideMark/>
          </w:tcPr>
          <w:p w14:paraId="21003C31"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945</w:t>
            </w:r>
          </w:p>
        </w:tc>
        <w:tc>
          <w:tcPr>
            <w:tcW w:w="1826" w:type="dxa"/>
            <w:shd w:val="clear" w:color="auto" w:fill="auto"/>
            <w:noWrap/>
            <w:vAlign w:val="bottom"/>
            <w:hideMark/>
          </w:tcPr>
          <w:p w14:paraId="2111E537" w14:textId="15D4781A"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1</w:t>
            </w:r>
            <w:r>
              <w:rPr>
                <w:rFonts w:eastAsia="Times New Roman" w:cstheme="minorHAnsi"/>
                <w:color w:val="000000"/>
                <w:sz w:val="18"/>
                <w:lang w:eastAsia="en-AU"/>
              </w:rPr>
              <w:t>,</w:t>
            </w:r>
            <w:r w:rsidRPr="00457262">
              <w:rPr>
                <w:rFonts w:eastAsia="Times New Roman" w:cstheme="minorHAnsi"/>
                <w:color w:val="000000"/>
                <w:sz w:val="18"/>
                <w:lang w:eastAsia="en-AU"/>
              </w:rPr>
              <w:t>223</w:t>
            </w:r>
          </w:p>
        </w:tc>
      </w:tr>
      <w:tr w:rsidR="00D40D53" w:rsidRPr="00C45142" w14:paraId="5D3A4A53" w14:textId="77777777" w:rsidTr="00FC11B4">
        <w:trPr>
          <w:cantSplit/>
          <w:trHeight w:val="288"/>
        </w:trPr>
        <w:tc>
          <w:tcPr>
            <w:tcW w:w="3539" w:type="dxa"/>
            <w:shd w:val="clear" w:color="auto" w:fill="auto"/>
            <w:noWrap/>
            <w:vAlign w:val="bottom"/>
            <w:hideMark/>
          </w:tcPr>
          <w:p w14:paraId="08870256" w14:textId="1CA7B5F7"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Steering and Suspension</w:t>
            </w:r>
          </w:p>
        </w:tc>
        <w:tc>
          <w:tcPr>
            <w:tcW w:w="1825" w:type="dxa"/>
            <w:shd w:val="clear" w:color="auto" w:fill="auto"/>
            <w:noWrap/>
            <w:vAlign w:val="bottom"/>
            <w:hideMark/>
          </w:tcPr>
          <w:p w14:paraId="7DA62AC4"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802</w:t>
            </w:r>
          </w:p>
        </w:tc>
        <w:tc>
          <w:tcPr>
            <w:tcW w:w="1825" w:type="dxa"/>
            <w:shd w:val="clear" w:color="auto" w:fill="auto"/>
            <w:noWrap/>
            <w:vAlign w:val="bottom"/>
            <w:hideMark/>
          </w:tcPr>
          <w:p w14:paraId="6AC3A719"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878</w:t>
            </w:r>
          </w:p>
        </w:tc>
        <w:tc>
          <w:tcPr>
            <w:tcW w:w="1826" w:type="dxa"/>
            <w:shd w:val="clear" w:color="auto" w:fill="auto"/>
            <w:noWrap/>
            <w:vAlign w:val="bottom"/>
            <w:hideMark/>
          </w:tcPr>
          <w:p w14:paraId="6EEE5AB2" w14:textId="731CD245"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1</w:t>
            </w:r>
            <w:r>
              <w:rPr>
                <w:rFonts w:eastAsia="Times New Roman" w:cstheme="minorHAnsi"/>
                <w:color w:val="000000"/>
                <w:sz w:val="18"/>
                <w:lang w:eastAsia="en-AU"/>
              </w:rPr>
              <w:t>,</w:t>
            </w:r>
            <w:r w:rsidRPr="00457262">
              <w:rPr>
                <w:rFonts w:eastAsia="Times New Roman" w:cstheme="minorHAnsi"/>
                <w:color w:val="000000"/>
                <w:sz w:val="18"/>
                <w:lang w:eastAsia="en-AU"/>
              </w:rPr>
              <w:t>101</w:t>
            </w:r>
          </w:p>
        </w:tc>
      </w:tr>
      <w:tr w:rsidR="00D40D53" w:rsidRPr="00C45142" w14:paraId="21244A5C" w14:textId="77777777" w:rsidTr="00FC11B4">
        <w:trPr>
          <w:cantSplit/>
          <w:trHeight w:val="288"/>
        </w:trPr>
        <w:tc>
          <w:tcPr>
            <w:tcW w:w="3539" w:type="dxa"/>
            <w:shd w:val="clear" w:color="auto" w:fill="auto"/>
            <w:noWrap/>
            <w:vAlign w:val="bottom"/>
            <w:hideMark/>
          </w:tcPr>
          <w:p w14:paraId="20423A74" w14:textId="46382EA8"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S</w:t>
            </w:r>
            <w:r w:rsidRPr="00C45142">
              <w:rPr>
                <w:rFonts w:eastAsia="Times New Roman" w:cstheme="minorHAnsi"/>
                <w:color w:val="000000"/>
                <w:sz w:val="18"/>
                <w:lang w:eastAsia="en-AU"/>
              </w:rPr>
              <w:t>eats</w:t>
            </w:r>
            <w:r w:rsidRPr="00457262">
              <w:rPr>
                <w:rFonts w:eastAsia="Times New Roman" w:cstheme="minorHAnsi"/>
                <w:color w:val="000000"/>
                <w:sz w:val="18"/>
                <w:lang w:eastAsia="en-AU"/>
              </w:rPr>
              <w:t xml:space="preserve"> and Seat Belts</w:t>
            </w:r>
          </w:p>
        </w:tc>
        <w:tc>
          <w:tcPr>
            <w:tcW w:w="1825" w:type="dxa"/>
            <w:shd w:val="clear" w:color="auto" w:fill="auto"/>
            <w:noWrap/>
            <w:vAlign w:val="bottom"/>
            <w:hideMark/>
          </w:tcPr>
          <w:p w14:paraId="640FC95B"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673</w:t>
            </w:r>
          </w:p>
        </w:tc>
        <w:tc>
          <w:tcPr>
            <w:tcW w:w="1825" w:type="dxa"/>
            <w:shd w:val="clear" w:color="auto" w:fill="auto"/>
            <w:noWrap/>
            <w:vAlign w:val="bottom"/>
            <w:hideMark/>
          </w:tcPr>
          <w:p w14:paraId="4CAC87F7"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702</w:t>
            </w:r>
          </w:p>
        </w:tc>
        <w:tc>
          <w:tcPr>
            <w:tcW w:w="1826" w:type="dxa"/>
            <w:shd w:val="clear" w:color="auto" w:fill="auto"/>
            <w:noWrap/>
            <w:vAlign w:val="bottom"/>
            <w:hideMark/>
          </w:tcPr>
          <w:p w14:paraId="11E8FBC1"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885</w:t>
            </w:r>
          </w:p>
        </w:tc>
      </w:tr>
      <w:tr w:rsidR="00D40D53" w:rsidRPr="00C45142" w14:paraId="632C919D" w14:textId="77777777" w:rsidTr="00FC11B4">
        <w:trPr>
          <w:cantSplit/>
          <w:trHeight w:val="288"/>
        </w:trPr>
        <w:tc>
          <w:tcPr>
            <w:tcW w:w="3539" w:type="dxa"/>
            <w:shd w:val="clear" w:color="auto" w:fill="auto"/>
            <w:noWrap/>
            <w:vAlign w:val="bottom"/>
            <w:hideMark/>
          </w:tcPr>
          <w:p w14:paraId="0845644C" w14:textId="65DB260F"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Engine and Driveline</w:t>
            </w:r>
          </w:p>
        </w:tc>
        <w:tc>
          <w:tcPr>
            <w:tcW w:w="1825" w:type="dxa"/>
            <w:shd w:val="clear" w:color="auto" w:fill="auto"/>
            <w:noWrap/>
            <w:vAlign w:val="bottom"/>
            <w:hideMark/>
          </w:tcPr>
          <w:p w14:paraId="0721E50B"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574</w:t>
            </w:r>
          </w:p>
        </w:tc>
        <w:tc>
          <w:tcPr>
            <w:tcW w:w="1825" w:type="dxa"/>
            <w:shd w:val="clear" w:color="auto" w:fill="auto"/>
            <w:noWrap/>
            <w:vAlign w:val="bottom"/>
            <w:hideMark/>
          </w:tcPr>
          <w:p w14:paraId="3A5C8933"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704</w:t>
            </w:r>
          </w:p>
        </w:tc>
        <w:tc>
          <w:tcPr>
            <w:tcW w:w="1826" w:type="dxa"/>
            <w:shd w:val="clear" w:color="auto" w:fill="auto"/>
            <w:noWrap/>
            <w:vAlign w:val="bottom"/>
            <w:hideMark/>
          </w:tcPr>
          <w:p w14:paraId="0B0837D5"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884</w:t>
            </w:r>
          </w:p>
        </w:tc>
      </w:tr>
      <w:tr w:rsidR="00D40D53" w:rsidRPr="00C45142" w14:paraId="2FCA69AE" w14:textId="77777777" w:rsidTr="00FC11B4">
        <w:trPr>
          <w:cantSplit/>
          <w:trHeight w:val="288"/>
        </w:trPr>
        <w:tc>
          <w:tcPr>
            <w:tcW w:w="3539" w:type="dxa"/>
            <w:shd w:val="clear" w:color="auto" w:fill="auto"/>
            <w:noWrap/>
            <w:vAlign w:val="bottom"/>
            <w:hideMark/>
          </w:tcPr>
          <w:p w14:paraId="3FDB1B83" w14:textId="6E664EBF"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Brakes</w:t>
            </w:r>
          </w:p>
        </w:tc>
        <w:tc>
          <w:tcPr>
            <w:tcW w:w="1825" w:type="dxa"/>
            <w:shd w:val="clear" w:color="auto" w:fill="auto"/>
            <w:noWrap/>
            <w:vAlign w:val="bottom"/>
            <w:hideMark/>
          </w:tcPr>
          <w:p w14:paraId="4718DFBB"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488</w:t>
            </w:r>
          </w:p>
        </w:tc>
        <w:tc>
          <w:tcPr>
            <w:tcW w:w="1825" w:type="dxa"/>
            <w:shd w:val="clear" w:color="auto" w:fill="auto"/>
            <w:noWrap/>
            <w:vAlign w:val="bottom"/>
            <w:hideMark/>
          </w:tcPr>
          <w:p w14:paraId="204BDE5B"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483</w:t>
            </w:r>
          </w:p>
        </w:tc>
        <w:tc>
          <w:tcPr>
            <w:tcW w:w="1826" w:type="dxa"/>
            <w:shd w:val="clear" w:color="auto" w:fill="auto"/>
            <w:noWrap/>
            <w:vAlign w:val="bottom"/>
            <w:hideMark/>
          </w:tcPr>
          <w:p w14:paraId="199E0D9F"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620</w:t>
            </w:r>
          </w:p>
        </w:tc>
      </w:tr>
      <w:tr w:rsidR="00D40D53" w:rsidRPr="00C45142" w14:paraId="34098E36" w14:textId="77777777" w:rsidTr="00FC11B4">
        <w:trPr>
          <w:cantSplit/>
          <w:trHeight w:val="288"/>
        </w:trPr>
        <w:tc>
          <w:tcPr>
            <w:tcW w:w="3539" w:type="dxa"/>
            <w:shd w:val="clear" w:color="auto" w:fill="auto"/>
            <w:noWrap/>
            <w:vAlign w:val="bottom"/>
            <w:hideMark/>
          </w:tcPr>
          <w:p w14:paraId="0344F282" w14:textId="0DAADE52"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Wheels and Tyres</w:t>
            </w:r>
          </w:p>
        </w:tc>
        <w:tc>
          <w:tcPr>
            <w:tcW w:w="1825" w:type="dxa"/>
            <w:shd w:val="clear" w:color="auto" w:fill="auto"/>
            <w:noWrap/>
            <w:vAlign w:val="bottom"/>
            <w:hideMark/>
          </w:tcPr>
          <w:p w14:paraId="330B3440"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404</w:t>
            </w:r>
          </w:p>
        </w:tc>
        <w:tc>
          <w:tcPr>
            <w:tcW w:w="1825" w:type="dxa"/>
            <w:shd w:val="clear" w:color="auto" w:fill="auto"/>
            <w:noWrap/>
            <w:vAlign w:val="bottom"/>
            <w:hideMark/>
          </w:tcPr>
          <w:p w14:paraId="4FE04AC0"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420</w:t>
            </w:r>
          </w:p>
        </w:tc>
        <w:tc>
          <w:tcPr>
            <w:tcW w:w="1826" w:type="dxa"/>
            <w:shd w:val="clear" w:color="auto" w:fill="auto"/>
            <w:noWrap/>
            <w:vAlign w:val="bottom"/>
            <w:hideMark/>
          </w:tcPr>
          <w:p w14:paraId="6AA076DF"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460</w:t>
            </w:r>
          </w:p>
        </w:tc>
      </w:tr>
      <w:tr w:rsidR="00D40D53" w:rsidRPr="00C45142" w14:paraId="6F05069E" w14:textId="77777777" w:rsidTr="00FC11B4">
        <w:trPr>
          <w:cantSplit/>
          <w:trHeight w:val="288"/>
        </w:trPr>
        <w:tc>
          <w:tcPr>
            <w:tcW w:w="3539" w:type="dxa"/>
            <w:shd w:val="clear" w:color="auto" w:fill="auto"/>
            <w:noWrap/>
            <w:vAlign w:val="bottom"/>
            <w:hideMark/>
          </w:tcPr>
          <w:p w14:paraId="6DA1722D" w14:textId="5BEBED99"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Windscreen Wipers, Washers, etc</w:t>
            </w:r>
            <w:r>
              <w:rPr>
                <w:rFonts w:eastAsia="Times New Roman" w:cstheme="minorHAnsi"/>
                <w:color w:val="000000"/>
                <w:sz w:val="18"/>
                <w:lang w:eastAsia="en-AU"/>
              </w:rPr>
              <w:t>.</w:t>
            </w:r>
          </w:p>
        </w:tc>
        <w:tc>
          <w:tcPr>
            <w:tcW w:w="1825" w:type="dxa"/>
            <w:shd w:val="clear" w:color="auto" w:fill="auto"/>
            <w:noWrap/>
            <w:vAlign w:val="bottom"/>
            <w:hideMark/>
          </w:tcPr>
          <w:p w14:paraId="41F1DF34"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290</w:t>
            </w:r>
          </w:p>
        </w:tc>
        <w:tc>
          <w:tcPr>
            <w:tcW w:w="1825" w:type="dxa"/>
            <w:shd w:val="clear" w:color="auto" w:fill="auto"/>
            <w:noWrap/>
            <w:vAlign w:val="bottom"/>
            <w:hideMark/>
          </w:tcPr>
          <w:p w14:paraId="770CAF4B"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302</w:t>
            </w:r>
          </w:p>
        </w:tc>
        <w:tc>
          <w:tcPr>
            <w:tcW w:w="1826" w:type="dxa"/>
            <w:shd w:val="clear" w:color="auto" w:fill="auto"/>
            <w:noWrap/>
            <w:vAlign w:val="bottom"/>
            <w:hideMark/>
          </w:tcPr>
          <w:p w14:paraId="3CADD58B"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408</w:t>
            </w:r>
          </w:p>
        </w:tc>
      </w:tr>
      <w:tr w:rsidR="00D40D53" w:rsidRPr="00C45142" w14:paraId="5A8333E5" w14:textId="77777777" w:rsidTr="00FC11B4">
        <w:trPr>
          <w:cantSplit/>
          <w:trHeight w:val="288"/>
        </w:trPr>
        <w:tc>
          <w:tcPr>
            <w:tcW w:w="3539" w:type="dxa"/>
            <w:shd w:val="clear" w:color="auto" w:fill="auto"/>
            <w:noWrap/>
            <w:vAlign w:val="bottom"/>
            <w:hideMark/>
          </w:tcPr>
          <w:p w14:paraId="2EDBD442" w14:textId="2E061F83"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Brake Performance</w:t>
            </w:r>
          </w:p>
        </w:tc>
        <w:tc>
          <w:tcPr>
            <w:tcW w:w="1825" w:type="dxa"/>
            <w:shd w:val="clear" w:color="auto" w:fill="auto"/>
            <w:noWrap/>
            <w:vAlign w:val="bottom"/>
            <w:hideMark/>
          </w:tcPr>
          <w:p w14:paraId="01276B78"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260</w:t>
            </w:r>
          </w:p>
        </w:tc>
        <w:tc>
          <w:tcPr>
            <w:tcW w:w="1825" w:type="dxa"/>
            <w:shd w:val="clear" w:color="auto" w:fill="auto"/>
            <w:noWrap/>
            <w:vAlign w:val="bottom"/>
            <w:hideMark/>
          </w:tcPr>
          <w:p w14:paraId="6052951C"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252</w:t>
            </w:r>
          </w:p>
        </w:tc>
        <w:tc>
          <w:tcPr>
            <w:tcW w:w="1826" w:type="dxa"/>
            <w:shd w:val="clear" w:color="auto" w:fill="auto"/>
            <w:noWrap/>
            <w:vAlign w:val="bottom"/>
            <w:hideMark/>
          </w:tcPr>
          <w:p w14:paraId="5B2F4E0E"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241</w:t>
            </w:r>
          </w:p>
        </w:tc>
      </w:tr>
      <w:tr w:rsidR="00D40D53" w:rsidRPr="00C45142" w14:paraId="342DAFF2" w14:textId="77777777" w:rsidTr="00FC11B4">
        <w:trPr>
          <w:cantSplit/>
          <w:trHeight w:val="288"/>
        </w:trPr>
        <w:tc>
          <w:tcPr>
            <w:tcW w:w="3539" w:type="dxa"/>
            <w:shd w:val="clear" w:color="auto" w:fill="auto"/>
            <w:noWrap/>
            <w:vAlign w:val="bottom"/>
            <w:hideMark/>
          </w:tcPr>
          <w:p w14:paraId="766ACDFA" w14:textId="3BF3AB8C"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Windscreen and Windows</w:t>
            </w:r>
          </w:p>
        </w:tc>
        <w:tc>
          <w:tcPr>
            <w:tcW w:w="1825" w:type="dxa"/>
            <w:shd w:val="clear" w:color="auto" w:fill="auto"/>
            <w:noWrap/>
            <w:vAlign w:val="bottom"/>
            <w:hideMark/>
          </w:tcPr>
          <w:p w14:paraId="56B3F5A0"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248</w:t>
            </w:r>
          </w:p>
        </w:tc>
        <w:tc>
          <w:tcPr>
            <w:tcW w:w="1825" w:type="dxa"/>
            <w:shd w:val="clear" w:color="auto" w:fill="auto"/>
            <w:noWrap/>
            <w:vAlign w:val="bottom"/>
            <w:hideMark/>
          </w:tcPr>
          <w:p w14:paraId="50E2DCC1"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243</w:t>
            </w:r>
          </w:p>
        </w:tc>
        <w:tc>
          <w:tcPr>
            <w:tcW w:w="1826" w:type="dxa"/>
            <w:shd w:val="clear" w:color="auto" w:fill="auto"/>
            <w:noWrap/>
            <w:vAlign w:val="bottom"/>
            <w:hideMark/>
          </w:tcPr>
          <w:p w14:paraId="2A3BCBF4"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330</w:t>
            </w:r>
          </w:p>
        </w:tc>
      </w:tr>
      <w:tr w:rsidR="00D40D53" w:rsidRPr="00C45142" w14:paraId="247490AD" w14:textId="77777777" w:rsidTr="00FC11B4">
        <w:trPr>
          <w:cantSplit/>
          <w:trHeight w:val="288"/>
        </w:trPr>
        <w:tc>
          <w:tcPr>
            <w:tcW w:w="3539" w:type="dxa"/>
            <w:shd w:val="clear" w:color="auto" w:fill="auto"/>
            <w:noWrap/>
            <w:vAlign w:val="bottom"/>
            <w:hideMark/>
          </w:tcPr>
          <w:p w14:paraId="57C3946E" w14:textId="0E08F43A"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Exhaust and Emission Controls</w:t>
            </w:r>
          </w:p>
        </w:tc>
        <w:tc>
          <w:tcPr>
            <w:tcW w:w="1825" w:type="dxa"/>
            <w:shd w:val="clear" w:color="auto" w:fill="auto"/>
            <w:noWrap/>
            <w:vAlign w:val="bottom"/>
            <w:hideMark/>
          </w:tcPr>
          <w:p w14:paraId="4A5741C9"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209</w:t>
            </w:r>
          </w:p>
        </w:tc>
        <w:tc>
          <w:tcPr>
            <w:tcW w:w="1825" w:type="dxa"/>
            <w:shd w:val="clear" w:color="auto" w:fill="auto"/>
            <w:noWrap/>
            <w:vAlign w:val="bottom"/>
            <w:hideMark/>
          </w:tcPr>
          <w:p w14:paraId="1083890D"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135</w:t>
            </w:r>
          </w:p>
        </w:tc>
        <w:tc>
          <w:tcPr>
            <w:tcW w:w="1826" w:type="dxa"/>
            <w:shd w:val="clear" w:color="auto" w:fill="auto"/>
            <w:noWrap/>
            <w:vAlign w:val="bottom"/>
            <w:hideMark/>
          </w:tcPr>
          <w:p w14:paraId="212D60B6"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203</w:t>
            </w:r>
          </w:p>
        </w:tc>
      </w:tr>
      <w:tr w:rsidR="00D40D53" w:rsidRPr="00C45142" w14:paraId="5525DB3E" w14:textId="77777777" w:rsidTr="00FC11B4">
        <w:trPr>
          <w:cantSplit/>
          <w:trHeight w:val="288"/>
        </w:trPr>
        <w:tc>
          <w:tcPr>
            <w:tcW w:w="3539" w:type="dxa"/>
            <w:shd w:val="clear" w:color="auto" w:fill="auto"/>
            <w:noWrap/>
            <w:vAlign w:val="bottom"/>
            <w:hideMark/>
          </w:tcPr>
          <w:p w14:paraId="26DF1052" w14:textId="088E0ACC"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Parking Brake</w:t>
            </w:r>
          </w:p>
        </w:tc>
        <w:tc>
          <w:tcPr>
            <w:tcW w:w="1825" w:type="dxa"/>
            <w:shd w:val="clear" w:color="auto" w:fill="auto"/>
            <w:noWrap/>
            <w:vAlign w:val="bottom"/>
            <w:hideMark/>
          </w:tcPr>
          <w:p w14:paraId="192F2206"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154</w:t>
            </w:r>
          </w:p>
        </w:tc>
        <w:tc>
          <w:tcPr>
            <w:tcW w:w="1825" w:type="dxa"/>
            <w:shd w:val="clear" w:color="auto" w:fill="auto"/>
            <w:noWrap/>
            <w:vAlign w:val="bottom"/>
            <w:hideMark/>
          </w:tcPr>
          <w:p w14:paraId="4038FEE5"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127</w:t>
            </w:r>
          </w:p>
        </w:tc>
        <w:tc>
          <w:tcPr>
            <w:tcW w:w="1826" w:type="dxa"/>
            <w:shd w:val="clear" w:color="auto" w:fill="auto"/>
            <w:noWrap/>
            <w:vAlign w:val="bottom"/>
            <w:hideMark/>
          </w:tcPr>
          <w:p w14:paraId="6597724D"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178</w:t>
            </w:r>
          </w:p>
        </w:tc>
      </w:tr>
      <w:tr w:rsidR="00D40D53" w:rsidRPr="00C45142" w14:paraId="5F44CE31" w14:textId="77777777" w:rsidTr="00FC11B4">
        <w:trPr>
          <w:cantSplit/>
          <w:trHeight w:val="288"/>
        </w:trPr>
        <w:tc>
          <w:tcPr>
            <w:tcW w:w="3539" w:type="dxa"/>
            <w:shd w:val="clear" w:color="auto" w:fill="auto"/>
            <w:noWrap/>
            <w:vAlign w:val="bottom"/>
            <w:hideMark/>
          </w:tcPr>
          <w:p w14:paraId="2858BE9A" w14:textId="4C40F0A7"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Modifications</w:t>
            </w:r>
          </w:p>
        </w:tc>
        <w:tc>
          <w:tcPr>
            <w:tcW w:w="1825" w:type="dxa"/>
            <w:shd w:val="clear" w:color="auto" w:fill="auto"/>
            <w:noWrap/>
            <w:vAlign w:val="bottom"/>
            <w:hideMark/>
          </w:tcPr>
          <w:p w14:paraId="754A39D7"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88</w:t>
            </w:r>
          </w:p>
        </w:tc>
        <w:tc>
          <w:tcPr>
            <w:tcW w:w="1825" w:type="dxa"/>
            <w:shd w:val="clear" w:color="auto" w:fill="auto"/>
            <w:noWrap/>
            <w:vAlign w:val="bottom"/>
            <w:hideMark/>
          </w:tcPr>
          <w:p w14:paraId="3B99EBF6"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54</w:t>
            </w:r>
          </w:p>
        </w:tc>
        <w:tc>
          <w:tcPr>
            <w:tcW w:w="1826" w:type="dxa"/>
            <w:shd w:val="clear" w:color="auto" w:fill="auto"/>
            <w:noWrap/>
            <w:vAlign w:val="bottom"/>
            <w:hideMark/>
          </w:tcPr>
          <w:p w14:paraId="1AFE03C7" w14:textId="77777777"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92</w:t>
            </w:r>
          </w:p>
        </w:tc>
      </w:tr>
      <w:tr w:rsidR="00D40D53" w:rsidRPr="00C45142" w14:paraId="5C96E311" w14:textId="77777777" w:rsidTr="00FC11B4">
        <w:trPr>
          <w:cantSplit/>
          <w:trHeight w:val="288"/>
        </w:trPr>
        <w:tc>
          <w:tcPr>
            <w:tcW w:w="3539" w:type="dxa"/>
            <w:shd w:val="clear" w:color="auto" w:fill="auto"/>
            <w:noWrap/>
            <w:vAlign w:val="bottom"/>
            <w:hideMark/>
          </w:tcPr>
          <w:p w14:paraId="64E7683A" w14:textId="75F62C6A" w:rsidR="00D40D53" w:rsidRPr="00457262" w:rsidRDefault="00D40D53" w:rsidP="00FC11B4">
            <w:pPr>
              <w:keepNext/>
              <w:spacing w:before="60" w:after="60"/>
              <w:rPr>
                <w:rFonts w:eastAsia="Times New Roman" w:cstheme="minorHAnsi"/>
                <w:color w:val="000000"/>
                <w:sz w:val="18"/>
                <w:lang w:eastAsia="en-AU"/>
              </w:rPr>
            </w:pPr>
            <w:r w:rsidRPr="00457262">
              <w:rPr>
                <w:rFonts w:eastAsia="Times New Roman" w:cstheme="minorHAnsi"/>
                <w:color w:val="000000"/>
                <w:sz w:val="18"/>
                <w:lang w:eastAsia="en-AU"/>
              </w:rPr>
              <w:t>Other Items</w:t>
            </w:r>
          </w:p>
        </w:tc>
        <w:tc>
          <w:tcPr>
            <w:tcW w:w="1825" w:type="dxa"/>
            <w:shd w:val="clear" w:color="auto" w:fill="auto"/>
            <w:noWrap/>
            <w:vAlign w:val="bottom"/>
            <w:hideMark/>
          </w:tcPr>
          <w:p w14:paraId="509F6D81" w14:textId="59DF29DC"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1</w:t>
            </w:r>
            <w:r>
              <w:rPr>
                <w:rFonts w:eastAsia="Times New Roman" w:cstheme="minorHAnsi"/>
                <w:color w:val="000000"/>
                <w:sz w:val="18"/>
                <w:lang w:eastAsia="en-AU"/>
              </w:rPr>
              <w:t>,</w:t>
            </w:r>
            <w:r w:rsidRPr="00457262">
              <w:rPr>
                <w:rFonts w:eastAsia="Times New Roman" w:cstheme="minorHAnsi"/>
                <w:color w:val="000000"/>
                <w:sz w:val="18"/>
                <w:lang w:eastAsia="en-AU"/>
              </w:rPr>
              <w:t>105</w:t>
            </w:r>
          </w:p>
        </w:tc>
        <w:tc>
          <w:tcPr>
            <w:tcW w:w="1825" w:type="dxa"/>
            <w:shd w:val="clear" w:color="auto" w:fill="auto"/>
            <w:noWrap/>
            <w:vAlign w:val="bottom"/>
            <w:hideMark/>
          </w:tcPr>
          <w:p w14:paraId="0F38DA96" w14:textId="22202EF9"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1</w:t>
            </w:r>
            <w:r>
              <w:rPr>
                <w:rFonts w:eastAsia="Times New Roman" w:cstheme="minorHAnsi"/>
                <w:color w:val="000000"/>
                <w:sz w:val="18"/>
                <w:lang w:eastAsia="en-AU"/>
              </w:rPr>
              <w:t>,</w:t>
            </w:r>
            <w:r w:rsidRPr="00457262">
              <w:rPr>
                <w:rFonts w:eastAsia="Times New Roman" w:cstheme="minorHAnsi"/>
                <w:color w:val="000000"/>
                <w:sz w:val="18"/>
                <w:lang w:eastAsia="en-AU"/>
              </w:rPr>
              <w:t>249</w:t>
            </w:r>
          </w:p>
        </w:tc>
        <w:tc>
          <w:tcPr>
            <w:tcW w:w="1826" w:type="dxa"/>
            <w:shd w:val="clear" w:color="auto" w:fill="auto"/>
            <w:noWrap/>
            <w:vAlign w:val="bottom"/>
            <w:hideMark/>
          </w:tcPr>
          <w:p w14:paraId="1326757A" w14:textId="47B6C818" w:rsidR="00D40D53" w:rsidRPr="00457262" w:rsidRDefault="00D40D53" w:rsidP="00FC11B4">
            <w:pPr>
              <w:keepNext/>
              <w:spacing w:before="60" w:after="60"/>
              <w:jc w:val="right"/>
              <w:rPr>
                <w:rFonts w:eastAsia="Times New Roman" w:cstheme="minorHAnsi"/>
                <w:color w:val="000000"/>
                <w:sz w:val="18"/>
                <w:lang w:eastAsia="en-AU"/>
              </w:rPr>
            </w:pPr>
            <w:r w:rsidRPr="00457262">
              <w:rPr>
                <w:rFonts w:eastAsia="Times New Roman" w:cstheme="minorHAnsi"/>
                <w:color w:val="000000"/>
                <w:sz w:val="18"/>
                <w:lang w:eastAsia="en-AU"/>
              </w:rPr>
              <w:t>1</w:t>
            </w:r>
            <w:r>
              <w:rPr>
                <w:rFonts w:eastAsia="Times New Roman" w:cstheme="minorHAnsi"/>
                <w:color w:val="000000"/>
                <w:sz w:val="18"/>
                <w:lang w:eastAsia="en-AU"/>
              </w:rPr>
              <w:t>,</w:t>
            </w:r>
            <w:r w:rsidRPr="00457262">
              <w:rPr>
                <w:rFonts w:eastAsia="Times New Roman" w:cstheme="minorHAnsi"/>
                <w:color w:val="000000"/>
                <w:sz w:val="18"/>
                <w:lang w:eastAsia="en-AU"/>
              </w:rPr>
              <w:t>475</w:t>
            </w:r>
          </w:p>
        </w:tc>
      </w:tr>
      <w:tr w:rsidR="00D40D53" w:rsidRPr="00E823F7" w14:paraId="46C6A903" w14:textId="77777777" w:rsidTr="00FC11B4">
        <w:trPr>
          <w:cantSplit/>
          <w:trHeight w:val="288"/>
        </w:trPr>
        <w:tc>
          <w:tcPr>
            <w:tcW w:w="3539" w:type="dxa"/>
            <w:shd w:val="clear" w:color="auto" w:fill="D6ECED"/>
            <w:noWrap/>
            <w:vAlign w:val="bottom"/>
            <w:hideMark/>
          </w:tcPr>
          <w:p w14:paraId="2391EFC0" w14:textId="02F79516" w:rsidR="00D40D53" w:rsidRPr="00457262" w:rsidRDefault="00D40D53" w:rsidP="00FC11B4">
            <w:pPr>
              <w:keepNext/>
              <w:spacing w:before="60" w:after="60"/>
              <w:rPr>
                <w:rFonts w:eastAsia="Times New Roman" w:cstheme="minorHAnsi"/>
                <w:b/>
                <w:color w:val="000000"/>
                <w:sz w:val="18"/>
                <w:lang w:eastAsia="en-AU"/>
              </w:rPr>
            </w:pPr>
            <w:r w:rsidRPr="00E823F7">
              <w:rPr>
                <w:rFonts w:eastAsia="Times New Roman" w:cstheme="minorHAnsi"/>
                <w:b/>
                <w:color w:val="000000"/>
                <w:sz w:val="18"/>
                <w:lang w:eastAsia="en-AU"/>
              </w:rPr>
              <w:t>Total</w:t>
            </w:r>
          </w:p>
        </w:tc>
        <w:tc>
          <w:tcPr>
            <w:tcW w:w="1825" w:type="dxa"/>
            <w:shd w:val="clear" w:color="auto" w:fill="D6ECED"/>
            <w:noWrap/>
            <w:vAlign w:val="bottom"/>
            <w:hideMark/>
          </w:tcPr>
          <w:p w14:paraId="55E8AD36" w14:textId="78D6ACE5" w:rsidR="00D40D53" w:rsidRPr="00F42F41" w:rsidRDefault="00D40D53" w:rsidP="00FC11B4">
            <w:pPr>
              <w:keepNext/>
              <w:spacing w:before="60" w:after="60"/>
              <w:jc w:val="right"/>
              <w:rPr>
                <w:rFonts w:eastAsia="Times New Roman" w:cstheme="minorHAnsi"/>
                <w:b/>
                <w:color w:val="000000"/>
                <w:sz w:val="18"/>
                <w:lang w:eastAsia="en-AU"/>
              </w:rPr>
            </w:pPr>
            <w:r w:rsidRPr="00F42F41">
              <w:rPr>
                <w:rFonts w:eastAsia="Times New Roman" w:cstheme="minorHAnsi"/>
                <w:b/>
                <w:color w:val="000000"/>
                <w:sz w:val="18"/>
                <w:lang w:eastAsia="en-AU"/>
              </w:rPr>
              <w:t>7041</w:t>
            </w:r>
          </w:p>
        </w:tc>
        <w:tc>
          <w:tcPr>
            <w:tcW w:w="1825" w:type="dxa"/>
            <w:shd w:val="clear" w:color="auto" w:fill="D6ECED"/>
            <w:noWrap/>
            <w:vAlign w:val="bottom"/>
            <w:hideMark/>
          </w:tcPr>
          <w:p w14:paraId="5A49D851" w14:textId="3490B8B5" w:rsidR="00D40D53" w:rsidRPr="00F42F41" w:rsidRDefault="00D40D53" w:rsidP="00FC11B4">
            <w:pPr>
              <w:keepNext/>
              <w:spacing w:before="60" w:after="60"/>
              <w:jc w:val="right"/>
              <w:rPr>
                <w:rFonts w:eastAsia="Times New Roman" w:cstheme="minorHAnsi"/>
                <w:b/>
                <w:color w:val="000000"/>
                <w:sz w:val="18"/>
                <w:lang w:eastAsia="en-AU"/>
              </w:rPr>
            </w:pPr>
            <w:r w:rsidRPr="00F42F41">
              <w:rPr>
                <w:rFonts w:eastAsia="Times New Roman" w:cstheme="minorHAnsi"/>
                <w:b/>
                <w:color w:val="000000"/>
                <w:sz w:val="18"/>
                <w:lang w:eastAsia="en-AU"/>
              </w:rPr>
              <w:t>7501</w:t>
            </w:r>
          </w:p>
        </w:tc>
        <w:tc>
          <w:tcPr>
            <w:tcW w:w="1826" w:type="dxa"/>
            <w:shd w:val="clear" w:color="auto" w:fill="D6ECED"/>
            <w:noWrap/>
            <w:vAlign w:val="bottom"/>
            <w:hideMark/>
          </w:tcPr>
          <w:p w14:paraId="5DFC8440" w14:textId="5BAA0176" w:rsidR="00D40D53" w:rsidRPr="00F42F41" w:rsidRDefault="00D40D53" w:rsidP="00FC11B4">
            <w:pPr>
              <w:keepNext/>
              <w:spacing w:before="60" w:after="60"/>
              <w:jc w:val="right"/>
              <w:rPr>
                <w:rFonts w:eastAsia="Times New Roman" w:cstheme="minorHAnsi"/>
                <w:b/>
                <w:color w:val="000000"/>
                <w:sz w:val="18"/>
                <w:lang w:eastAsia="en-AU"/>
              </w:rPr>
            </w:pPr>
            <w:r w:rsidRPr="00F42F41">
              <w:rPr>
                <w:rFonts w:eastAsia="Times New Roman" w:cstheme="minorHAnsi"/>
                <w:b/>
                <w:color w:val="000000"/>
                <w:sz w:val="18"/>
                <w:lang w:eastAsia="en-AU"/>
              </w:rPr>
              <w:t>9343</w:t>
            </w:r>
          </w:p>
        </w:tc>
      </w:tr>
    </w:tbl>
    <w:p w14:paraId="57A094E4" w14:textId="41437C69" w:rsidR="00F51256" w:rsidRPr="00F51256" w:rsidRDefault="00F51256" w:rsidP="00F51256">
      <w:pPr>
        <w:spacing w:before="40"/>
        <w:rPr>
          <w:sz w:val="16"/>
          <w:szCs w:val="16"/>
        </w:rPr>
      </w:pPr>
      <w:r w:rsidRPr="00F51256">
        <w:rPr>
          <w:sz w:val="16"/>
          <w:szCs w:val="16"/>
        </w:rPr>
        <w:t>Source: TSV</w:t>
      </w:r>
    </w:p>
    <w:p w14:paraId="1D94FAB9" w14:textId="1387B111" w:rsidR="0078264C" w:rsidRDefault="00865DB8" w:rsidP="00D722A4">
      <w:pPr>
        <w:overflowPunct w:val="0"/>
        <w:autoSpaceDE w:val="0"/>
        <w:autoSpaceDN w:val="0"/>
        <w:adjustRightInd w:val="0"/>
        <w:spacing w:before="120" w:after="120"/>
        <w:textAlignment w:val="baseline"/>
      </w:pPr>
      <w:r>
        <w:t>Data presented abov</w:t>
      </w:r>
      <w:r w:rsidR="006C2027">
        <w:t>e</w:t>
      </w:r>
      <w:r>
        <w:t xml:space="preserve"> shows the importance of </w:t>
      </w:r>
      <w:r w:rsidR="006C2027">
        <w:t>inspections</w:t>
      </w:r>
      <w:r>
        <w:t xml:space="preserve"> in identifying (and allowing fo</w:t>
      </w:r>
      <w:r w:rsidR="006C2027">
        <w:t xml:space="preserve">r </w:t>
      </w:r>
      <w:r>
        <w:t>rectification) of failures</w:t>
      </w:r>
      <w:r w:rsidR="00AE6BA1">
        <w:t xml:space="preserve"> against the </w:t>
      </w:r>
      <w:r>
        <w:t>vehicle standar</w:t>
      </w:r>
      <w:r w:rsidR="00CE3390">
        <w:t>ds</w:t>
      </w:r>
      <w:r w:rsidR="00094CA5">
        <w:t>.</w:t>
      </w:r>
      <w:r w:rsidR="00F93B2F">
        <w:t xml:space="preserve"> Failures against the vehicle standards may lead to a higher incidence of mechanical failures and </w:t>
      </w:r>
      <w:r w:rsidR="008D76DB">
        <w:t xml:space="preserve">risks to the safety of the bus service. </w:t>
      </w:r>
    </w:p>
    <w:p w14:paraId="4A2821D2" w14:textId="4A653AB1" w:rsidR="00D722A4" w:rsidRDefault="00391693" w:rsidP="00D722A4">
      <w:pPr>
        <w:overflowPunct w:val="0"/>
        <w:autoSpaceDE w:val="0"/>
        <w:autoSpaceDN w:val="0"/>
        <w:adjustRightInd w:val="0"/>
        <w:spacing w:before="120" w:after="120"/>
        <w:textAlignment w:val="baseline"/>
        <w:rPr>
          <w:lang w:val="en-US"/>
        </w:rPr>
      </w:pPr>
      <w:r>
        <w:t xml:space="preserve">In addition to annual inspections, </w:t>
      </w:r>
      <w:r>
        <w:rPr>
          <w:lang w:val="en-US"/>
        </w:rPr>
        <w:t>TSV</w:t>
      </w:r>
      <w:r w:rsidRPr="000778AA">
        <w:rPr>
          <w:lang w:val="en-US"/>
        </w:rPr>
        <w:t xml:space="preserve"> </w:t>
      </w:r>
      <w:r w:rsidR="00BC3EA6">
        <w:rPr>
          <w:lang w:val="en-US"/>
        </w:rPr>
        <w:t>may undertake</w:t>
      </w:r>
      <w:r w:rsidR="007017A6">
        <w:rPr>
          <w:lang w:val="en-US"/>
        </w:rPr>
        <w:t xml:space="preserve"> their own vehicle </w:t>
      </w:r>
      <w:r w:rsidR="00D722A4">
        <w:rPr>
          <w:lang w:val="en-US"/>
        </w:rPr>
        <w:t xml:space="preserve">compliance </w:t>
      </w:r>
      <w:r w:rsidR="007017A6">
        <w:rPr>
          <w:lang w:val="en-US"/>
        </w:rPr>
        <w:t>inspections</w:t>
      </w:r>
      <w:r w:rsidR="00B42AF0">
        <w:rPr>
          <w:lang w:val="en-US"/>
        </w:rPr>
        <w:t>.</w:t>
      </w:r>
      <w:r w:rsidR="00CC5D87">
        <w:rPr>
          <w:lang w:val="en-US"/>
        </w:rPr>
        <w:t xml:space="preserve"> Data is presented </w:t>
      </w:r>
      <w:r w:rsidR="00FA67EA">
        <w:rPr>
          <w:lang w:val="en-US"/>
        </w:rPr>
        <w:t xml:space="preserve">in </w:t>
      </w:r>
      <w:r w:rsidR="00064E19">
        <w:rPr>
          <w:lang w:val="en-US"/>
        </w:rPr>
        <w:t xml:space="preserve">relevant </w:t>
      </w:r>
      <w:r w:rsidR="00FA67EA">
        <w:rPr>
          <w:lang w:val="en-US"/>
        </w:rPr>
        <w:t>sections i</w:t>
      </w:r>
      <w:r w:rsidR="00064E19">
        <w:rPr>
          <w:lang w:val="en-US"/>
        </w:rPr>
        <w:t>n this RIS.</w:t>
      </w:r>
      <w:r w:rsidR="00C42849">
        <w:rPr>
          <w:lang w:val="en-US"/>
        </w:rPr>
        <w:t xml:space="preserve"> </w:t>
      </w:r>
      <w:r w:rsidR="00FA6853">
        <w:rPr>
          <w:lang w:val="en-US"/>
        </w:rPr>
        <w:t xml:space="preserve"> </w:t>
      </w:r>
    </w:p>
    <w:p w14:paraId="04886626" w14:textId="1EE8A57C" w:rsidR="00E022BD" w:rsidRDefault="00BA39ED" w:rsidP="00E022BD">
      <w:pPr>
        <w:pStyle w:val="Heading2"/>
        <w:tabs>
          <w:tab w:val="num" w:pos="709"/>
        </w:tabs>
        <w:ind w:left="709" w:hanging="709"/>
      </w:pPr>
      <w:bookmarkStart w:id="339" w:name="_Toc32909790"/>
      <w:bookmarkStart w:id="340" w:name="_Toc45704340"/>
      <w:r>
        <w:t>S</w:t>
      </w:r>
      <w:r w:rsidR="00D12183">
        <w:t>afety of bus operations</w:t>
      </w:r>
      <w:bookmarkEnd w:id="339"/>
      <w:bookmarkEnd w:id="340"/>
    </w:p>
    <w:p w14:paraId="52091D5C" w14:textId="4286B671" w:rsidR="00EF5036" w:rsidRDefault="003F78A1" w:rsidP="00E2409C">
      <w:r>
        <w:t xml:space="preserve">In addition to the safety of the vehicle itself, </w:t>
      </w:r>
      <w:r w:rsidR="00B26966">
        <w:t>the safety of</w:t>
      </w:r>
      <w:r w:rsidR="00817953">
        <w:t xml:space="preserve"> a</w:t>
      </w:r>
      <w:r w:rsidR="00B26966">
        <w:t xml:space="preserve"> bus service </w:t>
      </w:r>
      <w:r w:rsidR="00093EDB">
        <w:t>is</w:t>
      </w:r>
      <w:r w:rsidR="00B26966">
        <w:t xml:space="preserve"> also dependent on the way in which</w:t>
      </w:r>
      <w:r w:rsidR="00424422">
        <w:t xml:space="preserve"> a bus and its services </w:t>
      </w:r>
      <w:r w:rsidR="00B26966">
        <w:t xml:space="preserve">are </w:t>
      </w:r>
      <w:r w:rsidR="00424422">
        <w:t>conducted</w:t>
      </w:r>
      <w:r w:rsidR="00B26966">
        <w:t>.</w:t>
      </w:r>
      <w:r w:rsidR="00193D12">
        <w:t xml:space="preserve"> </w:t>
      </w:r>
      <w:r w:rsidR="00204A55">
        <w:t>That is, a</w:t>
      </w:r>
      <w:r w:rsidR="00193D12">
        <w:t>ctions</w:t>
      </w:r>
      <w:r w:rsidR="00204A55">
        <w:t xml:space="preserve"> by the operator, or equally </w:t>
      </w:r>
      <w:r w:rsidR="00D33C8C">
        <w:t xml:space="preserve">a </w:t>
      </w:r>
      <w:r w:rsidR="00204A55">
        <w:t xml:space="preserve">failure </w:t>
      </w:r>
      <w:r w:rsidR="00D33C8C">
        <w:t>t</w:t>
      </w:r>
      <w:r w:rsidR="00204A55">
        <w:t>o</w:t>
      </w:r>
      <w:r w:rsidR="00D33C8C">
        <w:t xml:space="preserve"> act</w:t>
      </w:r>
      <w:r w:rsidR="006C064A">
        <w:t xml:space="preserve">, will </w:t>
      </w:r>
      <w:r w:rsidR="002E3109">
        <w:t>affect the safety of the services provided.</w:t>
      </w:r>
    </w:p>
    <w:p w14:paraId="3B318208" w14:textId="26162EAC" w:rsidR="00207373" w:rsidRPr="00B267AB" w:rsidRDefault="00CF4E08" w:rsidP="002074F4">
      <w:r w:rsidRPr="007901CC">
        <w:t xml:space="preserve">Bus operators already </w:t>
      </w:r>
      <w:r w:rsidR="004C3463" w:rsidRPr="007901CC">
        <w:t xml:space="preserve">have duties under the </w:t>
      </w:r>
      <w:r w:rsidR="00803EBD">
        <w:t>Bus Safety Act</w:t>
      </w:r>
      <w:r w:rsidR="004C3463" w:rsidRPr="007901CC">
        <w:t xml:space="preserve"> to ensure the safety of </w:t>
      </w:r>
      <w:r w:rsidR="005E337B">
        <w:t xml:space="preserve">the </w:t>
      </w:r>
      <w:r w:rsidR="004C3463" w:rsidRPr="007901CC">
        <w:t xml:space="preserve">bus service, which includes the operation of the bus </w:t>
      </w:r>
      <w:r w:rsidR="004C04FD">
        <w:t xml:space="preserve">service </w:t>
      </w:r>
      <w:r w:rsidR="004C3463" w:rsidRPr="007901CC">
        <w:t>as well as the vehicle.</w:t>
      </w:r>
      <w:r w:rsidR="00D17EDB" w:rsidRPr="007901CC">
        <w:t xml:space="preserve"> </w:t>
      </w:r>
      <w:r w:rsidR="002E3109">
        <w:t xml:space="preserve">This means that bus operators are required to identify safety risks </w:t>
      </w:r>
      <w:r w:rsidR="00AC2895">
        <w:t xml:space="preserve">and either </w:t>
      </w:r>
      <w:r w:rsidR="00B66881">
        <w:t xml:space="preserve">eliminate those risks or </w:t>
      </w:r>
      <w:r w:rsidR="00E26217">
        <w:t xml:space="preserve">implement measures to mitigate them. </w:t>
      </w:r>
      <w:r w:rsidR="0036124F">
        <w:t>While the safety duties are overarching and cover all aspects of the service, i</w:t>
      </w:r>
      <w:r w:rsidR="00D17EDB" w:rsidRPr="007901CC">
        <w:t xml:space="preserve">t may be the case that further </w:t>
      </w:r>
      <w:r w:rsidR="007901CC" w:rsidRPr="007901CC">
        <w:t>regulatory</w:t>
      </w:r>
      <w:r w:rsidR="00D17EDB" w:rsidRPr="007901CC">
        <w:t xml:space="preserve"> intervention may be required to ensure that operators meet their safety obligations</w:t>
      </w:r>
      <w:r w:rsidR="00A4344A">
        <w:t xml:space="preserve"> under the </w:t>
      </w:r>
      <w:r w:rsidR="00803EBD">
        <w:t xml:space="preserve">Bus Safety Act </w:t>
      </w:r>
      <w:r w:rsidR="0036124F">
        <w:t xml:space="preserve">or </w:t>
      </w:r>
      <w:r w:rsidR="00532747">
        <w:t xml:space="preserve">ensure that the operators </w:t>
      </w:r>
      <w:r w:rsidR="0036124F">
        <w:t xml:space="preserve">implement </w:t>
      </w:r>
      <w:r w:rsidR="00532747">
        <w:t>measures to address known safety risks</w:t>
      </w:r>
      <w:r w:rsidR="00D17EDB" w:rsidRPr="007901CC">
        <w:t>.</w:t>
      </w:r>
      <w:r w:rsidR="009957D4" w:rsidRPr="007901CC">
        <w:t xml:space="preserve"> This may be in the form of introducing </w:t>
      </w:r>
      <w:r w:rsidR="00BB6DD7">
        <w:t xml:space="preserve">a </w:t>
      </w:r>
      <w:r w:rsidR="007901CC" w:rsidRPr="007901CC">
        <w:t xml:space="preserve">minimum level </w:t>
      </w:r>
      <w:r w:rsidR="00207373">
        <w:t xml:space="preserve">to which operators meet their </w:t>
      </w:r>
      <w:r w:rsidR="00207373" w:rsidRPr="00B267AB">
        <w:t>safety duties.</w:t>
      </w:r>
    </w:p>
    <w:p w14:paraId="6E1F7F66" w14:textId="72D08A4B" w:rsidR="00457928" w:rsidRDefault="0024182E" w:rsidP="002074F4">
      <w:r>
        <w:t xml:space="preserve">The </w:t>
      </w:r>
      <w:r w:rsidR="00803EBD">
        <w:t>Bus Safety Act</w:t>
      </w:r>
      <w:r>
        <w:t xml:space="preserve"> requires that an accredited or registered bus operator must notify the Safety Director of prescribed incidents in accordance with the regulations. The current regulations </w:t>
      </w:r>
      <w:r w:rsidR="00DB5C4B">
        <w:t>list</w:t>
      </w:r>
      <w:r>
        <w:t xml:space="preserve"> a broad range of incident</w:t>
      </w:r>
      <w:r w:rsidR="009B2017">
        <w:t>s</w:t>
      </w:r>
      <w:r w:rsidR="00F44CB3">
        <w:t xml:space="preserve"> and consequences of a circumstance, act or omission </w:t>
      </w:r>
      <w:r>
        <w:t xml:space="preserve">that must be reported </w:t>
      </w:r>
      <w:r>
        <w:lastRenderedPageBreak/>
        <w:t xml:space="preserve">to the Safety </w:t>
      </w:r>
      <w:r w:rsidR="00F44CB3">
        <w:t>Director</w:t>
      </w:r>
      <w:r w:rsidR="00DB5C4B">
        <w:t>.</w:t>
      </w:r>
      <w:r w:rsidR="009F6289">
        <w:t xml:space="preserve"> Note that if the</w:t>
      </w:r>
      <w:r w:rsidR="009F6289" w:rsidRPr="009F6289">
        <w:t xml:space="preserve"> regulations do not prescribe incidents, then operators do not have to report.</w:t>
      </w:r>
      <w:r w:rsidR="00DB5C4B">
        <w:t xml:space="preserve"> </w:t>
      </w:r>
      <w:r w:rsidR="00457928" w:rsidRPr="00B267AB">
        <w:t xml:space="preserve">As shown in </w:t>
      </w:r>
      <w:r w:rsidR="009B444C" w:rsidRPr="00B267AB">
        <w:fldChar w:fldCharType="begin"/>
      </w:r>
      <w:r w:rsidR="009B444C" w:rsidRPr="00B267AB">
        <w:instrText xml:space="preserve"> REF _Ref24967234 \h </w:instrText>
      </w:r>
      <w:r w:rsidR="00B267AB" w:rsidRPr="00B267AB">
        <w:instrText xml:space="preserve"> \* MERGEFORMAT </w:instrText>
      </w:r>
      <w:r w:rsidR="009B444C" w:rsidRPr="00B267AB">
        <w:fldChar w:fldCharType="separate"/>
      </w:r>
      <w:r w:rsidR="00277F6E" w:rsidRPr="00277F6E">
        <w:t xml:space="preserve">Table </w:t>
      </w:r>
      <w:r w:rsidR="00277F6E" w:rsidRPr="00277F6E">
        <w:rPr>
          <w:noProof/>
        </w:rPr>
        <w:t>3</w:t>
      </w:r>
      <w:r w:rsidR="00277F6E" w:rsidRPr="00277F6E">
        <w:rPr>
          <w:noProof/>
        </w:rPr>
        <w:noBreakHyphen/>
        <w:t>2</w:t>
      </w:r>
      <w:r w:rsidR="009B444C" w:rsidRPr="00B267AB">
        <w:fldChar w:fldCharType="end"/>
      </w:r>
      <w:r w:rsidR="009B444C" w:rsidRPr="00B267AB">
        <w:t>, there are a</w:t>
      </w:r>
      <w:r w:rsidR="009B444C">
        <w:t xml:space="preserve"> wide variety of incidents reported to </w:t>
      </w:r>
      <w:r w:rsidR="0086539B">
        <w:t>the Safety Director</w:t>
      </w:r>
      <w:r w:rsidR="009B444C">
        <w:t xml:space="preserve"> relating to bus safety.</w:t>
      </w:r>
      <w:r w:rsidR="006644E1">
        <w:t xml:space="preserve"> </w:t>
      </w:r>
      <w:r w:rsidR="00B267AB">
        <w:t>Broadly</w:t>
      </w:r>
      <w:r w:rsidR="005334C2">
        <w:t>,</w:t>
      </w:r>
      <w:r w:rsidR="00385771">
        <w:t xml:space="preserve"> the majority of </w:t>
      </w:r>
      <w:r w:rsidR="005334C2">
        <w:t xml:space="preserve">incidents </w:t>
      </w:r>
      <w:r w:rsidR="00385771">
        <w:t>cover</w:t>
      </w:r>
      <w:r w:rsidR="005334C2">
        <w:t>:</w:t>
      </w:r>
    </w:p>
    <w:p w14:paraId="68CDD34E" w14:textId="1DB34CA1" w:rsidR="005334C2" w:rsidRPr="0098365B" w:rsidRDefault="009B149A"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a</w:t>
      </w:r>
      <w:r w:rsidR="005334C2" w:rsidRPr="0098365B">
        <w:rPr>
          <w:rFonts w:asciiTheme="minorHAnsi" w:eastAsiaTheme="minorHAnsi" w:hAnsiTheme="minorHAnsi" w:cstheme="minorBidi"/>
          <w:color w:val="000000" w:themeColor="text1"/>
          <w:sz w:val="20"/>
          <w:szCs w:val="18"/>
          <w:lang w:eastAsia="en-US"/>
        </w:rPr>
        <w:t>ssaults</w:t>
      </w:r>
      <w:r w:rsidR="00E86F82" w:rsidRPr="0098365B">
        <w:rPr>
          <w:rFonts w:asciiTheme="minorHAnsi" w:eastAsiaTheme="minorHAnsi" w:hAnsiTheme="minorHAnsi" w:cstheme="minorBidi"/>
          <w:color w:val="000000" w:themeColor="text1"/>
          <w:sz w:val="20"/>
          <w:szCs w:val="18"/>
          <w:lang w:eastAsia="en-US"/>
        </w:rPr>
        <w:t xml:space="preserve"> and anti-social behaviour</w:t>
      </w:r>
    </w:p>
    <w:p w14:paraId="6E3449A2" w14:textId="57A4076A" w:rsidR="00E86F82" w:rsidRPr="0098365B" w:rsidRDefault="009B149A"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n</w:t>
      </w:r>
      <w:r w:rsidR="00E86F82" w:rsidRPr="0098365B">
        <w:rPr>
          <w:rFonts w:asciiTheme="minorHAnsi" w:eastAsiaTheme="minorHAnsi" w:hAnsiTheme="minorHAnsi" w:cstheme="minorBidi"/>
          <w:color w:val="000000" w:themeColor="text1"/>
          <w:sz w:val="20"/>
          <w:szCs w:val="18"/>
          <w:lang w:eastAsia="en-US"/>
        </w:rPr>
        <w:t>ear misses</w:t>
      </w:r>
    </w:p>
    <w:p w14:paraId="2B480638" w14:textId="5CCCBE5B" w:rsidR="00E86F82" w:rsidRPr="0098365B" w:rsidRDefault="009B149A"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c</w:t>
      </w:r>
      <w:r w:rsidR="000A5B27" w:rsidRPr="0098365B">
        <w:rPr>
          <w:rFonts w:asciiTheme="minorHAnsi" w:eastAsiaTheme="minorHAnsi" w:hAnsiTheme="minorHAnsi" w:cstheme="minorBidi"/>
          <w:color w:val="000000" w:themeColor="text1"/>
          <w:sz w:val="20"/>
          <w:szCs w:val="18"/>
          <w:lang w:eastAsia="en-US"/>
        </w:rPr>
        <w:t>ollisions</w:t>
      </w:r>
    </w:p>
    <w:p w14:paraId="1DA8F070" w14:textId="7BFD72FA" w:rsidR="00075283" w:rsidRPr="0098365B" w:rsidRDefault="009B149A"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s</w:t>
      </w:r>
      <w:r w:rsidR="00075283" w:rsidRPr="0098365B">
        <w:rPr>
          <w:rFonts w:asciiTheme="minorHAnsi" w:eastAsiaTheme="minorHAnsi" w:hAnsiTheme="minorHAnsi" w:cstheme="minorBidi"/>
          <w:color w:val="000000" w:themeColor="text1"/>
          <w:sz w:val="20"/>
          <w:szCs w:val="18"/>
          <w:lang w:eastAsia="en-US"/>
        </w:rPr>
        <w:t xml:space="preserve">lips, trips </w:t>
      </w:r>
      <w:r w:rsidR="00490B91" w:rsidRPr="0098365B">
        <w:rPr>
          <w:rFonts w:asciiTheme="minorHAnsi" w:eastAsiaTheme="minorHAnsi" w:hAnsiTheme="minorHAnsi" w:cstheme="minorBidi"/>
          <w:color w:val="000000" w:themeColor="text1"/>
          <w:sz w:val="20"/>
          <w:szCs w:val="18"/>
          <w:lang w:eastAsia="en-US"/>
        </w:rPr>
        <w:t xml:space="preserve">or </w:t>
      </w:r>
      <w:r w:rsidR="00075283" w:rsidRPr="0098365B">
        <w:rPr>
          <w:rFonts w:asciiTheme="minorHAnsi" w:eastAsiaTheme="minorHAnsi" w:hAnsiTheme="minorHAnsi" w:cstheme="minorBidi"/>
          <w:color w:val="000000" w:themeColor="text1"/>
          <w:sz w:val="20"/>
          <w:szCs w:val="18"/>
          <w:lang w:eastAsia="en-US"/>
        </w:rPr>
        <w:t>falls</w:t>
      </w:r>
    </w:p>
    <w:p w14:paraId="60C61A3D" w14:textId="58B93AFE" w:rsidR="001E3EF1" w:rsidRPr="0098365B" w:rsidRDefault="001E3EF1"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 xml:space="preserve">driver and passenger medical episodes. </w:t>
      </w:r>
    </w:p>
    <w:p w14:paraId="1FE40C8B" w14:textId="46A14D4D" w:rsidR="00C44FE1" w:rsidRDefault="00C44FE1" w:rsidP="002074F4">
      <w:r w:rsidRPr="002E6314">
        <w:fldChar w:fldCharType="begin"/>
      </w:r>
      <w:r w:rsidRPr="002E6314">
        <w:instrText xml:space="preserve"> REF _Ref24967234 \h  \* MERGEFORMAT </w:instrText>
      </w:r>
      <w:r w:rsidRPr="002E6314">
        <w:fldChar w:fldCharType="separate"/>
      </w:r>
      <w:r w:rsidR="00277F6E" w:rsidRPr="00277F6E">
        <w:t xml:space="preserve">Table </w:t>
      </w:r>
      <w:r w:rsidR="00277F6E" w:rsidRPr="00277F6E">
        <w:rPr>
          <w:noProof/>
        </w:rPr>
        <w:t>3</w:t>
      </w:r>
      <w:r w:rsidR="00277F6E" w:rsidRPr="00277F6E">
        <w:rPr>
          <w:noProof/>
        </w:rPr>
        <w:noBreakHyphen/>
        <w:t>2</w:t>
      </w:r>
      <w:r w:rsidRPr="002E6314">
        <w:fldChar w:fldCharType="end"/>
      </w:r>
      <w:r w:rsidR="00EA64E7">
        <w:t xml:space="preserve"> </w:t>
      </w:r>
      <w:r w:rsidR="0088564C">
        <w:t xml:space="preserve">shows </w:t>
      </w:r>
      <w:r w:rsidR="00EA64E7">
        <w:t xml:space="preserve">that </w:t>
      </w:r>
      <w:r w:rsidR="00F41448">
        <w:t>bus safety incidents relating to the operations of a bus service make up the majority of incidents (</w:t>
      </w:r>
      <w:r w:rsidR="00882D5B">
        <w:t xml:space="preserve">approximately </w:t>
      </w:r>
      <w:r w:rsidR="00F41448">
        <w:t>93 per cent). I</w:t>
      </w:r>
      <w:r>
        <w:t xml:space="preserve">ncidents relating to vehicle safety (i.e. mechanical failures and fires) make up </w:t>
      </w:r>
      <w:r w:rsidR="00F41448">
        <w:t>a small proportion of total incidents (almost</w:t>
      </w:r>
      <w:r>
        <w:t xml:space="preserve"> 7 per cent</w:t>
      </w:r>
      <w:r w:rsidR="00F41448">
        <w:t>).</w:t>
      </w:r>
      <w:r w:rsidR="00EA64E7">
        <w:t xml:space="preserve"> This </w:t>
      </w:r>
      <w:r w:rsidR="00033A3E">
        <w:t xml:space="preserve">highlights the </w:t>
      </w:r>
      <w:r w:rsidR="00EA64E7">
        <w:t>importanc</w:t>
      </w:r>
      <w:r w:rsidR="00103A3E">
        <w:t xml:space="preserve">e of considering the </w:t>
      </w:r>
      <w:r w:rsidR="00EA64E7">
        <w:t xml:space="preserve">safety of bus services from an operational perspective. </w:t>
      </w:r>
    </w:p>
    <w:p w14:paraId="0B898E9E" w14:textId="32B74862" w:rsidR="00215275" w:rsidRDefault="00204A16" w:rsidP="002074F4">
      <w:r>
        <w:t>T</w:t>
      </w:r>
      <w:r w:rsidR="004421FC">
        <w:t>h</w:t>
      </w:r>
      <w:r w:rsidR="009C0CAB">
        <w:t xml:space="preserve">e safety of a bus service </w:t>
      </w:r>
      <w:r w:rsidR="00C93C29">
        <w:t xml:space="preserve">is </w:t>
      </w:r>
      <w:r w:rsidR="00EA64E7">
        <w:t>largely d</w:t>
      </w:r>
      <w:r w:rsidR="00710982">
        <w:t>epend</w:t>
      </w:r>
      <w:r w:rsidR="00F02021">
        <w:t>e</w:t>
      </w:r>
      <w:r w:rsidR="00710982">
        <w:t xml:space="preserve">nt </w:t>
      </w:r>
      <w:r w:rsidR="00B77E05">
        <w:t>on the driver</w:t>
      </w:r>
      <w:r w:rsidR="002D62A5">
        <w:t>’s operation of the bus service</w:t>
      </w:r>
      <w:r w:rsidR="004421FC">
        <w:t xml:space="preserve">, particularly since the </w:t>
      </w:r>
      <w:r w:rsidR="009B55F0">
        <w:t>driver</w:t>
      </w:r>
      <w:r w:rsidR="0030469C">
        <w:t xml:space="preserve"> </w:t>
      </w:r>
      <w:r w:rsidR="004421FC">
        <w:t xml:space="preserve">is the one who </w:t>
      </w:r>
      <w:r w:rsidR="0030469C">
        <w:t>conducts the bus service in</w:t>
      </w:r>
      <w:r w:rsidR="009B55F0">
        <w:t xml:space="preserve"> </w:t>
      </w:r>
      <w:r w:rsidR="00EE48FD">
        <w:t>real-time</w:t>
      </w:r>
      <w:r w:rsidR="00742A48">
        <w:t>.</w:t>
      </w:r>
      <w:r w:rsidR="004F692D">
        <w:t xml:space="preserve"> </w:t>
      </w:r>
      <w:r w:rsidR="009C0CAB">
        <w:t xml:space="preserve">The driver’s actions can have real-time impacts </w:t>
      </w:r>
      <w:r w:rsidR="00CC60F4">
        <w:t>to reduc</w:t>
      </w:r>
      <w:r w:rsidR="003968BA">
        <w:t>e</w:t>
      </w:r>
      <w:r w:rsidR="00CC60F4">
        <w:t xml:space="preserve"> of the occurrence of incidents </w:t>
      </w:r>
      <w:r w:rsidR="00BF32AA">
        <w:t xml:space="preserve">(e.g. </w:t>
      </w:r>
      <w:r w:rsidR="003D2F98">
        <w:t xml:space="preserve">by </w:t>
      </w:r>
      <w:r w:rsidR="008866B5">
        <w:t>optimising their m</w:t>
      </w:r>
      <w:r w:rsidR="00BF32AA">
        <w:t>ental alertness</w:t>
      </w:r>
      <w:r w:rsidR="008866B5">
        <w:t>)</w:t>
      </w:r>
      <w:r w:rsidR="009715FD">
        <w:t>, m</w:t>
      </w:r>
      <w:r w:rsidR="00CC0BC5">
        <w:t xml:space="preserve">itigate the </w:t>
      </w:r>
      <w:r w:rsidR="00EE0CBD">
        <w:t>negative consequences should an incident occur</w:t>
      </w:r>
      <w:r w:rsidR="009A45DE">
        <w:t xml:space="preserve"> </w:t>
      </w:r>
      <w:r w:rsidR="00BF32AA">
        <w:t>(e.g. not overloading a bus</w:t>
      </w:r>
      <w:r w:rsidR="008866B5">
        <w:t xml:space="preserve"> to prevent serious injury in case of a collision</w:t>
      </w:r>
      <w:r w:rsidR="00BF32AA">
        <w:t>)</w:t>
      </w:r>
      <w:r w:rsidR="00A80A80">
        <w:t>, or monitor correct operation of safety devices (e.g. warning or hazard lights on school buses).</w:t>
      </w:r>
    </w:p>
    <w:p w14:paraId="741FCB86" w14:textId="68B2D8EB" w:rsidR="0010731C" w:rsidRDefault="00742A48" w:rsidP="002074F4">
      <w:r>
        <w:t xml:space="preserve">While there </w:t>
      </w:r>
      <w:r w:rsidR="00360A78">
        <w:t>are already legislative requirements to ensure a driver is appropriately qualified to drive</w:t>
      </w:r>
      <w:r w:rsidR="00D92F85">
        <w:t xml:space="preserve"> and the safe operation of a bus, </w:t>
      </w:r>
      <w:r w:rsidR="00EF5036">
        <w:t xml:space="preserve">other additional measures </w:t>
      </w:r>
      <w:r w:rsidR="006D5234">
        <w:t xml:space="preserve">could </w:t>
      </w:r>
      <w:r w:rsidR="00EF5036">
        <w:t>be required</w:t>
      </w:r>
      <w:r w:rsidR="006D5234">
        <w:t xml:space="preserve"> in the proposed regulations</w:t>
      </w:r>
      <w:r w:rsidR="00EF5036">
        <w:t xml:space="preserve"> to ensure </w:t>
      </w:r>
      <w:r w:rsidR="00FC3814">
        <w:t xml:space="preserve">a minimum level to which drivers must meet their safety </w:t>
      </w:r>
      <w:r w:rsidR="00403EF2">
        <w:t xml:space="preserve">obligations. </w:t>
      </w:r>
      <w:r w:rsidR="00916A43">
        <w:t xml:space="preserve">For example, this may include </w:t>
      </w:r>
      <w:r w:rsidR="00403EF2">
        <w:t>providing driver</w:t>
      </w:r>
      <w:r w:rsidR="00916A43">
        <w:t xml:space="preserve"> real-time bus service information </w:t>
      </w:r>
      <w:r w:rsidR="002074F4">
        <w:t xml:space="preserve">or reinforcing safe operations. </w:t>
      </w:r>
    </w:p>
    <w:p w14:paraId="18EE4A15" w14:textId="7E53C513" w:rsidR="00695F5D" w:rsidRDefault="00695F5D" w:rsidP="00695F5D">
      <w:r>
        <w:t xml:space="preserve">The following sections discuss areas in relation to </w:t>
      </w:r>
      <w:r w:rsidR="00F1509D">
        <w:t xml:space="preserve">bus safety which may warrant further regulatory intervention. </w:t>
      </w:r>
    </w:p>
    <w:p w14:paraId="019CD610" w14:textId="75C82886" w:rsidR="00A24F60" w:rsidRDefault="00A24F60" w:rsidP="002074F4">
      <w:pPr>
        <w:pStyle w:val="Heading3"/>
      </w:pPr>
      <w:bookmarkStart w:id="341" w:name="_Toc32909791"/>
      <w:bookmarkStart w:id="342" w:name="_Toc45704341"/>
      <w:r>
        <w:t>Maximum number of passenger</w:t>
      </w:r>
      <w:r w:rsidR="004E1A10">
        <w:t>s</w:t>
      </w:r>
      <w:bookmarkEnd w:id="341"/>
      <w:bookmarkEnd w:id="342"/>
    </w:p>
    <w:p w14:paraId="5158D773" w14:textId="77777777" w:rsidR="007E5EC1" w:rsidRDefault="00A24F60" w:rsidP="007E5EC1">
      <w:r>
        <w:t xml:space="preserve">The safety of a bus is dependent on the capacity and loading of the bus during service. An overloaded bus poses several safety risks, including diminished stability and manoeuvrability, longer stopping distance due to a heavier load, and excessive pressure on tyres and brakes that can result in tyre blow-outs or brake failure. </w:t>
      </w:r>
    </w:p>
    <w:p w14:paraId="6ADA04C9" w14:textId="3264908C" w:rsidR="0054200F" w:rsidRDefault="00A24F60" w:rsidP="007E5EC1">
      <w:r>
        <w:t>While</w:t>
      </w:r>
      <w:r w:rsidR="006E7C19">
        <w:t xml:space="preserve"> </w:t>
      </w:r>
      <w:r w:rsidR="0023729A">
        <w:t>the</w:t>
      </w:r>
      <w:r w:rsidR="007E5EC1">
        <w:t>re are already requirements</w:t>
      </w:r>
      <w:r w:rsidR="00A01E75">
        <w:t xml:space="preserve"> that prescribe that a vehicle cannot exceed </w:t>
      </w:r>
      <w:r w:rsidR="0040604D">
        <w:t>its</w:t>
      </w:r>
      <w:r w:rsidR="00A01E75">
        <w:t xml:space="preserve"> </w:t>
      </w:r>
      <w:r w:rsidR="0023729A">
        <w:t>maximum occupant capacity</w:t>
      </w:r>
      <w:r w:rsidR="00A01E75">
        <w:t xml:space="preserve"> (usually set by the vehicle</w:t>
      </w:r>
      <w:r w:rsidR="0023729A">
        <w:t xml:space="preserve"> </w:t>
      </w:r>
      <w:r w:rsidR="001D2A17">
        <w:t>manufacturers</w:t>
      </w:r>
      <w:r w:rsidR="0023729A">
        <w:t xml:space="preserve"> or</w:t>
      </w:r>
      <w:r w:rsidR="005D163F">
        <w:t xml:space="preserve"> </w:t>
      </w:r>
      <w:r w:rsidR="00A01E75">
        <w:t xml:space="preserve">subsequently </w:t>
      </w:r>
      <w:r w:rsidR="008A3DB0">
        <w:t xml:space="preserve">varied by </w:t>
      </w:r>
      <w:r w:rsidR="00E71CFC">
        <w:t xml:space="preserve">a </w:t>
      </w:r>
      <w:r w:rsidR="008A3DB0">
        <w:t xml:space="preserve">Vehicle Assessment Signatory Scheme (VASS) </w:t>
      </w:r>
      <w:r w:rsidR="005D163F">
        <w:t>Certificate if the vehicle has been modified</w:t>
      </w:r>
      <w:r w:rsidR="00A01E75">
        <w:t>)</w:t>
      </w:r>
      <w:r w:rsidR="007E5EC1">
        <w:t xml:space="preserve">, a driver may not be </w:t>
      </w:r>
      <w:r w:rsidR="007E5EC1" w:rsidRPr="007E5EC1">
        <w:t>aware</w:t>
      </w:r>
      <w:r w:rsidR="00BB1421">
        <w:t xml:space="preserve"> or </w:t>
      </w:r>
      <w:r w:rsidR="007E5EC1" w:rsidRPr="007E5EC1">
        <w:t>know the max</w:t>
      </w:r>
      <w:r w:rsidR="00BB1421">
        <w:t>imum</w:t>
      </w:r>
      <w:r w:rsidR="007E5EC1" w:rsidRPr="007E5EC1">
        <w:t xml:space="preserve"> capacity of </w:t>
      </w:r>
      <w:r w:rsidR="00BB1421">
        <w:t xml:space="preserve">each bus they drive. This information is important </w:t>
      </w:r>
      <w:r w:rsidR="00CF26CA">
        <w:t xml:space="preserve">for bus drivers to </w:t>
      </w:r>
      <w:r w:rsidR="00E60CF7">
        <w:t>help minimise</w:t>
      </w:r>
      <w:r w:rsidR="00BB1421">
        <w:t xml:space="preserve"> the risk of overloading </w:t>
      </w:r>
      <w:r w:rsidR="008F4A25">
        <w:t>the</w:t>
      </w:r>
      <w:r w:rsidR="00BB1421">
        <w:t xml:space="preserve"> bus. </w:t>
      </w:r>
    </w:p>
    <w:p w14:paraId="4B9092FE" w14:textId="6EBC6D06" w:rsidR="007E5EC1" w:rsidRPr="007E5EC1" w:rsidRDefault="00642E8D" w:rsidP="007E5EC1">
      <w:r>
        <w:t xml:space="preserve">Under the </w:t>
      </w:r>
      <w:r w:rsidR="00803EBD">
        <w:t>Bus Safety Act</w:t>
      </w:r>
      <w:r>
        <w:t>, b</w:t>
      </w:r>
      <w:r w:rsidR="007E5EC1" w:rsidRPr="007E5EC1">
        <w:t>us drivers have safety duty obligations to take reasonable care</w:t>
      </w:r>
      <w:r w:rsidR="00E766C8">
        <w:t xml:space="preserve"> and this </w:t>
      </w:r>
      <w:r w:rsidR="007E5EC1" w:rsidRPr="007E5EC1">
        <w:t>could include ensuring that buses are not overloade</w:t>
      </w:r>
      <w:r w:rsidR="00E766C8">
        <w:t xml:space="preserve">d. </w:t>
      </w:r>
      <w:r w:rsidR="007A183C" w:rsidRPr="007E5EC1">
        <w:t>In some cases, max</w:t>
      </w:r>
      <w:r w:rsidR="005F3502">
        <w:t>imum</w:t>
      </w:r>
      <w:r w:rsidR="007A183C" w:rsidRPr="007E5EC1">
        <w:t xml:space="preserve"> seating capacity may be obvious (i</w:t>
      </w:r>
      <w:r w:rsidR="0054403A">
        <w:t>.</w:t>
      </w:r>
      <w:r w:rsidR="007A183C" w:rsidRPr="007E5EC1">
        <w:t>e</w:t>
      </w:r>
      <w:r w:rsidR="0054403A">
        <w:t>.</w:t>
      </w:r>
      <w:r w:rsidR="007A183C" w:rsidRPr="007E5EC1">
        <w:t xml:space="preserve"> there are </w:t>
      </w:r>
      <w:r w:rsidR="0054403A">
        <w:t xml:space="preserve">a certain </w:t>
      </w:r>
      <w:r w:rsidR="007A183C" w:rsidRPr="007E5EC1">
        <w:t>number of seats and no standing room available</w:t>
      </w:r>
      <w:r w:rsidR="0054403A">
        <w:t>)</w:t>
      </w:r>
      <w:r w:rsidR="007A183C" w:rsidRPr="007E5EC1">
        <w:t>. In other cases, such as where there is standing room area and seating</w:t>
      </w:r>
      <w:r w:rsidR="005068E6">
        <w:t xml:space="preserve">, the maximum </w:t>
      </w:r>
      <w:r w:rsidR="002E3D1E">
        <w:t>carrying capacity</w:t>
      </w:r>
      <w:r w:rsidR="005068E6">
        <w:t xml:space="preserve"> is not </w:t>
      </w:r>
      <w:r w:rsidR="00E71CFC">
        <w:t xml:space="preserve">as </w:t>
      </w:r>
      <w:r w:rsidR="005068E6">
        <w:t>obvious</w:t>
      </w:r>
      <w:r w:rsidR="007A183C" w:rsidRPr="007E5EC1">
        <w:t>.</w:t>
      </w:r>
      <w:r w:rsidR="007A183C">
        <w:t xml:space="preserve"> Given that bus drivers may drive a variety of different buses, this obligation </w:t>
      </w:r>
      <w:r w:rsidR="00E766C8">
        <w:t xml:space="preserve">may be difficult to </w:t>
      </w:r>
      <w:r w:rsidR="006B76C8">
        <w:t>comply with if there is little</w:t>
      </w:r>
      <w:r w:rsidR="001814DE">
        <w:t xml:space="preserve"> </w:t>
      </w:r>
      <w:r w:rsidR="00E35CBD">
        <w:t xml:space="preserve">information </w:t>
      </w:r>
      <w:r w:rsidR="001814DE">
        <w:t xml:space="preserve">or </w:t>
      </w:r>
      <w:r w:rsidR="0090475D">
        <w:t>the information is not provided to the driver in a timely manner s</w:t>
      </w:r>
      <w:r w:rsidR="006B76C8">
        <w:t xml:space="preserve">o that they are informed of the maximum carrying </w:t>
      </w:r>
      <w:r w:rsidR="00571799">
        <w:t>capacity</w:t>
      </w:r>
      <w:r w:rsidR="006B76C8">
        <w:t xml:space="preserve"> of the bus.</w:t>
      </w:r>
    </w:p>
    <w:p w14:paraId="7496B5A6" w14:textId="1AC79026" w:rsidR="001B62C7" w:rsidRDefault="001B62C7" w:rsidP="00C73617">
      <w:pPr>
        <w:pStyle w:val="Heading3"/>
      </w:pPr>
      <w:bookmarkStart w:id="343" w:name="_Toc32909792"/>
      <w:bookmarkStart w:id="344" w:name="_Ref41914500"/>
      <w:bookmarkStart w:id="345" w:name="_Toc45704342"/>
      <w:r>
        <w:t>Alcohol and other drugs</w:t>
      </w:r>
      <w:bookmarkEnd w:id="343"/>
      <w:bookmarkEnd w:id="344"/>
      <w:bookmarkEnd w:id="345"/>
    </w:p>
    <w:p w14:paraId="7CCA7336" w14:textId="570A1ACF" w:rsidR="00E84750" w:rsidRDefault="00DD3B88" w:rsidP="001B62C7">
      <w:r w:rsidRPr="003611EF">
        <w:t>It is widely recognised that alcohol or other drugs can affect a driver’s ability to drive safely</w:t>
      </w:r>
      <w:r w:rsidR="00163168">
        <w:t xml:space="preserve">, and therefore, </w:t>
      </w:r>
      <w:r w:rsidR="00163168" w:rsidRPr="0040461D">
        <w:t>a person’s ability to operat</w:t>
      </w:r>
      <w:r w:rsidR="00163168">
        <w:t>e</w:t>
      </w:r>
      <w:r w:rsidR="00163168" w:rsidRPr="0040461D">
        <w:t xml:space="preserve"> or ensure the safety of a bus service</w:t>
      </w:r>
      <w:r w:rsidRPr="003611EF">
        <w:t xml:space="preserve">. </w:t>
      </w:r>
      <w:r w:rsidR="001B62C7" w:rsidRPr="003611EF">
        <w:t xml:space="preserve">Drivers impaired by alcohol or other drugs increase the risk of motor vehicle collisions, </w:t>
      </w:r>
      <w:r w:rsidR="001A5C82">
        <w:t xml:space="preserve">which can cause </w:t>
      </w:r>
      <w:r w:rsidR="001B62C7" w:rsidRPr="003611EF">
        <w:t>injury or death.</w:t>
      </w:r>
    </w:p>
    <w:p w14:paraId="1072CAC6" w14:textId="5481C408" w:rsidR="00CF7213" w:rsidRDefault="00E84750" w:rsidP="00E84750">
      <w:r>
        <w:t xml:space="preserve">Currently, under the </w:t>
      </w:r>
      <w:r w:rsidR="00CD79F9">
        <w:t>Road Safety Act</w:t>
      </w:r>
      <w:r>
        <w:t xml:space="preserve">, there is a </w:t>
      </w:r>
      <w:r w:rsidRPr="009F0949">
        <w:t>zero blood or breath alcohol concentration requirement for all drivers of commercial passenger vehicles and bus</w:t>
      </w:r>
      <w:r w:rsidR="00A26ECC">
        <w:t>es</w:t>
      </w:r>
      <w:r w:rsidR="00A13BBD">
        <w:t xml:space="preserve"> (only those which have a </w:t>
      </w:r>
      <w:r w:rsidR="00A13BBD">
        <w:lastRenderedPageBreak/>
        <w:t xml:space="preserve">seating capacity of </w:t>
      </w:r>
      <w:r w:rsidR="002521AF">
        <w:t>more than 12 adults including the driver)</w:t>
      </w:r>
      <w:r w:rsidRPr="009F0949">
        <w:t xml:space="preserve">. </w:t>
      </w:r>
      <w:r w:rsidR="00CF7213">
        <w:t xml:space="preserve">The </w:t>
      </w:r>
      <w:r w:rsidR="00CD79F9">
        <w:t>Road Safety Act</w:t>
      </w:r>
      <w:r w:rsidR="00CF7213">
        <w:t xml:space="preserve"> prohibits the presence or impairment of alcohol or drugs while driving or being in charge </w:t>
      </w:r>
      <w:r w:rsidR="003A60B1">
        <w:t xml:space="preserve">of </w:t>
      </w:r>
      <w:r w:rsidR="00CF7213">
        <w:t xml:space="preserve">a vehicle. </w:t>
      </w:r>
    </w:p>
    <w:p w14:paraId="03F8D2FE" w14:textId="30AFBE95" w:rsidR="005D036A" w:rsidRDefault="00EF3506" w:rsidP="005D036A">
      <w:r>
        <w:t xml:space="preserve">The alcohol and drug requirements for bus drivers under the </w:t>
      </w:r>
      <w:r w:rsidR="00803EBD">
        <w:t xml:space="preserve">Bus Safety Act </w:t>
      </w:r>
      <w:r w:rsidR="00E16A55">
        <w:t xml:space="preserve">are broader than </w:t>
      </w:r>
      <w:r>
        <w:t>those imposed under the</w:t>
      </w:r>
      <w:r w:rsidR="00E16A55">
        <w:t xml:space="preserve"> </w:t>
      </w:r>
      <w:r w:rsidR="00803EBD">
        <w:t>Road Safety Act</w:t>
      </w:r>
      <w:r w:rsidR="00E16A55">
        <w:t>. The def</w:t>
      </w:r>
      <w:r w:rsidR="001B62C7">
        <w:t xml:space="preserve">inition a bus is broader </w:t>
      </w:r>
      <w:r w:rsidR="0000419C">
        <w:t xml:space="preserve">under the </w:t>
      </w:r>
      <w:r w:rsidR="00803EBD">
        <w:t xml:space="preserve">Bus Safety Act </w:t>
      </w:r>
      <w:r>
        <w:t>to i</w:t>
      </w:r>
      <w:r w:rsidR="001B62C7">
        <w:t>nclude</w:t>
      </w:r>
      <w:r>
        <w:t xml:space="preserve"> </w:t>
      </w:r>
      <w:r w:rsidR="001B62C7">
        <w:t>motor vehicle</w:t>
      </w:r>
      <w:r>
        <w:t>s</w:t>
      </w:r>
      <w:r w:rsidR="001B62C7">
        <w:t xml:space="preserve"> with seating for 10 or more adults.</w:t>
      </w:r>
      <w:r w:rsidR="00C9530B">
        <w:t xml:space="preserve"> </w:t>
      </w:r>
      <w:bookmarkStart w:id="346" w:name="_Hlk43625330"/>
      <w:r w:rsidR="005D036A">
        <w:t xml:space="preserve">The difference in the definitions is a consequence of reforms introduced as part of the Bus Safety Act which replaced the former </w:t>
      </w:r>
      <w:r w:rsidR="005D036A" w:rsidRPr="0077561A">
        <w:rPr>
          <w:i/>
          <w:iCs/>
        </w:rPr>
        <w:t>Public Transport Competition Act 1995</w:t>
      </w:r>
      <w:r w:rsidR="005D036A">
        <w:t>. The new definition was a response to the rapid growth in the mini-bus sector (buses with 10 to 12 seats) at the time and the intent was to bring operators of these buses within the regulatory regime for the first time.</w:t>
      </w:r>
    </w:p>
    <w:bookmarkEnd w:id="346"/>
    <w:p w14:paraId="481BBE18" w14:textId="71C3C057" w:rsidR="001B62C7" w:rsidRDefault="00EE10A7" w:rsidP="001B62C7">
      <w:r>
        <w:t xml:space="preserve">In addition, </w:t>
      </w:r>
      <w:r w:rsidR="001B62C7" w:rsidRPr="009952C0">
        <w:t xml:space="preserve">Part 5 of the </w:t>
      </w:r>
      <w:r w:rsidR="00803EBD">
        <w:t xml:space="preserve">Bus Safety Act </w:t>
      </w:r>
      <w:r w:rsidR="001B62C7" w:rsidRPr="009952C0">
        <w:t>requires that all bus operators must develop, maintain and implement a</w:t>
      </w:r>
      <w:r w:rsidR="00E03B7A">
        <w:t>n</w:t>
      </w:r>
      <w:r w:rsidR="001B62C7" w:rsidRPr="009952C0">
        <w:t xml:space="preserve"> alcohol</w:t>
      </w:r>
      <w:r w:rsidR="00734944">
        <w:t xml:space="preserve"> and drug</w:t>
      </w:r>
      <w:r w:rsidR="001B62C7" w:rsidRPr="009952C0">
        <w:t xml:space="preserve"> management policy. The alcohol and drug management policy must specify that a driver must not have alcohol or drugs present immediately before, or while, driving a bus.</w:t>
      </w:r>
      <w:r w:rsidR="001B62C7">
        <w:t xml:space="preserve"> </w:t>
      </w:r>
      <w:r w:rsidR="00A06524">
        <w:t xml:space="preserve">This </w:t>
      </w:r>
      <w:r w:rsidR="00FF66C0">
        <w:t xml:space="preserve">approach is different to the obligations under </w:t>
      </w:r>
      <w:r w:rsidR="00A06524">
        <w:t xml:space="preserve">the </w:t>
      </w:r>
      <w:r w:rsidR="00803EBD">
        <w:t>Road Safety Act</w:t>
      </w:r>
      <w:r w:rsidR="00A06524">
        <w:t xml:space="preserve">, which only </w:t>
      </w:r>
      <w:r w:rsidR="00CB6D4F">
        <w:t xml:space="preserve">regulates </w:t>
      </w:r>
      <w:r w:rsidR="00756E15">
        <w:t>alcohol or drug presence</w:t>
      </w:r>
      <w:r w:rsidR="00CB6D4F">
        <w:t xml:space="preserve"> for </w:t>
      </w:r>
      <w:r w:rsidR="00A42057">
        <w:t xml:space="preserve">persons </w:t>
      </w:r>
      <w:r w:rsidR="00756E15">
        <w:t xml:space="preserve">driving a bus. </w:t>
      </w:r>
    </w:p>
    <w:p w14:paraId="2B894622" w14:textId="646C80DC" w:rsidR="006D7B19" w:rsidRDefault="00E41CB9" w:rsidP="001B62C7">
      <w:r>
        <w:t xml:space="preserve">While there is some overlap </w:t>
      </w:r>
      <w:r w:rsidR="00C9014D">
        <w:t xml:space="preserve">between the </w:t>
      </w:r>
      <w:r w:rsidR="00803EBD">
        <w:t>Bus Safety</w:t>
      </w:r>
      <w:r w:rsidR="00937374">
        <w:t xml:space="preserve"> Act</w:t>
      </w:r>
      <w:r w:rsidR="00C9014D">
        <w:t xml:space="preserve"> and the </w:t>
      </w:r>
      <w:r w:rsidR="00803EBD">
        <w:t>Road Safety Act</w:t>
      </w:r>
      <w:r w:rsidR="00C9014D">
        <w:t xml:space="preserve"> in relation to regulating </w:t>
      </w:r>
      <w:r w:rsidR="00A40AB5">
        <w:t>for alcohol and drug</w:t>
      </w:r>
      <w:r w:rsidR="00E53B8D">
        <w:t>s</w:t>
      </w:r>
      <w:r w:rsidR="00A40AB5">
        <w:t xml:space="preserve"> while driving a bus</w:t>
      </w:r>
      <w:r w:rsidR="00BD399C">
        <w:t xml:space="preserve">, the intent and purpose of the two schemes are different. </w:t>
      </w:r>
      <w:r w:rsidR="000B3833">
        <w:t xml:space="preserve">In comparison to the </w:t>
      </w:r>
      <w:r w:rsidR="00CD79F9">
        <w:t>Road Safety Act</w:t>
      </w:r>
      <w:r w:rsidR="000B3833">
        <w:t>, t</w:t>
      </w:r>
      <w:r w:rsidR="000B3833" w:rsidRPr="00B342D4">
        <w:t xml:space="preserve">he </w:t>
      </w:r>
      <w:r w:rsidR="000B3833">
        <w:t xml:space="preserve">requirements of the </w:t>
      </w:r>
      <w:r w:rsidR="0067060F">
        <w:t>Bus Safety Act</w:t>
      </w:r>
      <w:r w:rsidR="000B3833">
        <w:t xml:space="preserve"> in relation to alcohol and drugs are broader</w:t>
      </w:r>
      <w:r w:rsidR="002B5DF5">
        <w:t xml:space="preserve"> </w:t>
      </w:r>
      <w:r w:rsidR="00D945DC" w:rsidRPr="00B342D4">
        <w:t xml:space="preserve">and are </w:t>
      </w:r>
      <w:r w:rsidR="002B5DF5">
        <w:t xml:space="preserve">targeted </w:t>
      </w:r>
      <w:r w:rsidR="00D945DC" w:rsidRPr="00B342D4">
        <w:t xml:space="preserve">specifically </w:t>
      </w:r>
      <w:r w:rsidR="002B5DF5">
        <w:t xml:space="preserve">to </w:t>
      </w:r>
      <w:r w:rsidR="00D945DC" w:rsidRPr="00B342D4">
        <w:t>the bus industry</w:t>
      </w:r>
      <w:r w:rsidR="00E334EB" w:rsidRPr="00B342D4">
        <w:t xml:space="preserve">. </w:t>
      </w:r>
      <w:r w:rsidR="002B5DF5">
        <w:t>The requirements</w:t>
      </w:r>
      <w:r w:rsidR="00E334EB" w:rsidRPr="00B342D4">
        <w:t xml:space="preserve"> appl</w:t>
      </w:r>
      <w:r w:rsidR="002B5DF5">
        <w:t>y</w:t>
      </w:r>
      <w:r w:rsidR="00E334EB" w:rsidRPr="00B342D4">
        <w:t xml:space="preserve"> to bus safety workers</w:t>
      </w:r>
      <w:r w:rsidR="006A7305" w:rsidRPr="00B342D4">
        <w:t xml:space="preserve"> who carr</w:t>
      </w:r>
      <w:r w:rsidR="00737618">
        <w:t>y</w:t>
      </w:r>
      <w:r w:rsidR="006A7305" w:rsidRPr="00B342D4">
        <w:t xml:space="preserve"> out bus safety work</w:t>
      </w:r>
      <w:r w:rsidR="00737618">
        <w:t>.</w:t>
      </w:r>
      <w:r w:rsidR="006A7305" w:rsidRPr="00B342D4">
        <w:t xml:space="preserve"> </w:t>
      </w:r>
      <w:r w:rsidR="00737618">
        <w:t>B</w:t>
      </w:r>
      <w:r w:rsidR="006A7305" w:rsidRPr="00B342D4">
        <w:t>us safety work include</w:t>
      </w:r>
      <w:r w:rsidR="00737618">
        <w:t>s</w:t>
      </w:r>
      <w:r w:rsidR="006A7305" w:rsidRPr="00B342D4">
        <w:t xml:space="preserve"> any activity that may</w:t>
      </w:r>
      <w:r w:rsidR="00737618">
        <w:t xml:space="preserve"> affect</w:t>
      </w:r>
      <w:r w:rsidR="006A7305" w:rsidRPr="00B342D4">
        <w:t xml:space="preserve"> the </w:t>
      </w:r>
      <w:r w:rsidR="00B342D4" w:rsidRPr="00B342D4">
        <w:t>safety</w:t>
      </w:r>
      <w:r w:rsidR="006A7305" w:rsidRPr="00B342D4">
        <w:t xml:space="preserve"> of </w:t>
      </w:r>
      <w:r w:rsidR="00737618">
        <w:t xml:space="preserve">the </w:t>
      </w:r>
      <w:r w:rsidR="006A7305" w:rsidRPr="00B342D4">
        <w:t>bus service including bus driving,</w:t>
      </w:r>
      <w:r w:rsidR="00D34D37">
        <w:t xml:space="preserve"> and</w:t>
      </w:r>
      <w:r w:rsidR="006A7305" w:rsidRPr="00B342D4">
        <w:t xml:space="preserve"> </w:t>
      </w:r>
      <w:r w:rsidR="00DC76C6" w:rsidRPr="00B342D4">
        <w:t>works</w:t>
      </w:r>
      <w:r w:rsidR="00D34D37">
        <w:t xml:space="preserve"> and maintenance </w:t>
      </w:r>
      <w:r w:rsidR="00DC76C6" w:rsidRPr="00B342D4">
        <w:t>related to a bus or bus equipment</w:t>
      </w:r>
      <w:r w:rsidR="00117904" w:rsidRPr="00B342D4">
        <w:t xml:space="preserve">. </w:t>
      </w:r>
      <w:r w:rsidR="002B7330" w:rsidRPr="00B342D4">
        <w:t xml:space="preserve">The </w:t>
      </w:r>
      <w:r w:rsidR="00CD79F9">
        <w:t>Road Safety Act</w:t>
      </w:r>
      <w:r w:rsidR="002B7330" w:rsidRPr="00B342D4">
        <w:t xml:space="preserve">, on the other hand, </w:t>
      </w:r>
      <w:r w:rsidR="000D7C08">
        <w:t xml:space="preserve">regulates </w:t>
      </w:r>
      <w:r w:rsidR="002B7330" w:rsidRPr="00B342D4">
        <w:t>driv</w:t>
      </w:r>
      <w:r w:rsidR="00AE0EE4">
        <w:t>ing</w:t>
      </w:r>
      <w:r w:rsidR="002B7330" w:rsidRPr="00B342D4">
        <w:t xml:space="preserve"> motor vehicles</w:t>
      </w:r>
      <w:r w:rsidR="00AC4254">
        <w:t xml:space="preserve"> and includes restrictions on </w:t>
      </w:r>
      <w:r w:rsidR="00DE4201">
        <w:t>being impaired by alcohol and other drugs while driving a motor vehicle (which also includes buses).</w:t>
      </w:r>
      <w:r w:rsidR="00E01395">
        <w:t xml:space="preserve"> In addition, </w:t>
      </w:r>
      <w:r w:rsidR="00043C9F">
        <w:t xml:space="preserve">the </w:t>
      </w:r>
      <w:r w:rsidR="00547B93">
        <w:t>Bus Safety</w:t>
      </w:r>
      <w:r w:rsidR="00743BF5">
        <w:t xml:space="preserve"> Act</w:t>
      </w:r>
      <w:r w:rsidR="00043C9F">
        <w:t xml:space="preserve"> also requires that bus safety workers are not impaired by alcohol or drugs immediately before starting a shift or work</w:t>
      </w:r>
      <w:r w:rsidR="00394771">
        <w:t xml:space="preserve">. The purpose of this requirement is to enable testing of bus safety workers prior to the commencement of a shift or work. In contrast, the </w:t>
      </w:r>
      <w:r w:rsidR="00547B93">
        <w:t>Road Safety Act</w:t>
      </w:r>
      <w:r w:rsidR="00394771">
        <w:t xml:space="preserve"> only contains </w:t>
      </w:r>
      <w:r w:rsidR="00494997">
        <w:t>offence</w:t>
      </w:r>
      <w:r w:rsidR="00FF4BFB">
        <w:t>s</w:t>
      </w:r>
      <w:r w:rsidR="00494997">
        <w:t xml:space="preserve"> relating to driving motor vehicles but it (generally) does not apply when the vehicle is not being driven</w:t>
      </w:r>
      <w:r w:rsidR="00983652">
        <w:t xml:space="preserve">. </w:t>
      </w:r>
    </w:p>
    <w:p w14:paraId="685B7F03" w14:textId="39B349C5" w:rsidR="00AB1C28" w:rsidRDefault="006D7B19" w:rsidP="001B62C7">
      <w:r>
        <w:t xml:space="preserve">In practice, the overlap between the two schemes is </w:t>
      </w:r>
      <w:r w:rsidR="00A418A2">
        <w:t>u</w:t>
      </w:r>
      <w:r>
        <w:t>nlike</w:t>
      </w:r>
      <w:r w:rsidR="00A418A2">
        <w:t>ly</w:t>
      </w:r>
      <w:r w:rsidR="000D1185">
        <w:t xml:space="preserve"> to affect enforcement. </w:t>
      </w:r>
      <w:r w:rsidR="00983652">
        <w:t xml:space="preserve">The </w:t>
      </w:r>
      <w:r w:rsidR="0095554D">
        <w:t>Road Safety Act</w:t>
      </w:r>
      <w:r w:rsidR="00047B85">
        <w:t xml:space="preserve"> </w:t>
      </w:r>
      <w:r w:rsidR="00243F5A">
        <w:t>assign</w:t>
      </w:r>
      <w:r w:rsidR="00983652">
        <w:t xml:space="preserve">s </w:t>
      </w:r>
      <w:r w:rsidR="009A4E6C" w:rsidRPr="00B342D4">
        <w:t xml:space="preserve">stronger </w:t>
      </w:r>
      <w:r w:rsidR="008F533A" w:rsidRPr="00B342D4">
        <w:t>penalties</w:t>
      </w:r>
      <w:r w:rsidR="00243F5A">
        <w:t xml:space="preserve"> to breaches of </w:t>
      </w:r>
      <w:r>
        <w:t>the law relating to alcohol and drugs</w:t>
      </w:r>
      <w:r w:rsidR="00EE4975">
        <w:t xml:space="preserve"> and includes </w:t>
      </w:r>
      <w:r w:rsidR="009A4E6C" w:rsidRPr="00B342D4">
        <w:t>licence suspensions</w:t>
      </w:r>
      <w:r w:rsidR="00EE4975">
        <w:t xml:space="preserve">, fines and requirements to </w:t>
      </w:r>
      <w:r w:rsidR="007843CE">
        <w:t>use interlock devices and undertake behaviour change programs</w:t>
      </w:r>
      <w:r w:rsidR="009A4E6C" w:rsidRPr="00B342D4">
        <w:t>.</w:t>
      </w:r>
      <w:r w:rsidR="00B54250" w:rsidRPr="00B342D4">
        <w:t xml:space="preserve"> </w:t>
      </w:r>
      <w:r w:rsidR="001F6377">
        <w:t>Therefore, enforcement of the law</w:t>
      </w:r>
      <w:r w:rsidR="00F62185">
        <w:t xml:space="preserve"> while a person is driving a bus</w:t>
      </w:r>
      <w:r w:rsidR="00CB6A3E">
        <w:t xml:space="preserve"> is likely to be </w:t>
      </w:r>
      <w:r w:rsidR="00900222">
        <w:t xml:space="preserve">pursued under the </w:t>
      </w:r>
      <w:r w:rsidR="00547B93">
        <w:t>Road Safety Act</w:t>
      </w:r>
      <w:r w:rsidR="00900222">
        <w:t xml:space="preserve">, and in all other instances </w:t>
      </w:r>
      <w:r w:rsidR="00104029">
        <w:t xml:space="preserve">carried out </w:t>
      </w:r>
      <w:r w:rsidR="00900222">
        <w:t xml:space="preserve">under the </w:t>
      </w:r>
      <w:r w:rsidR="00577B01">
        <w:t>Bus Safety Act</w:t>
      </w:r>
      <w:r w:rsidR="00900222">
        <w:t>.</w:t>
      </w:r>
      <w:r w:rsidR="00F62185">
        <w:t xml:space="preserve"> </w:t>
      </w:r>
      <w:r w:rsidR="001F6377">
        <w:t xml:space="preserve"> </w:t>
      </w:r>
      <w:r w:rsidR="00B54250" w:rsidRPr="00B342D4">
        <w:t>The</w:t>
      </w:r>
      <w:r w:rsidR="009A4E6C" w:rsidRPr="00B342D4">
        <w:t xml:space="preserve"> B</w:t>
      </w:r>
      <w:r w:rsidR="00BE3BF1">
        <w:t>us Safety Act</w:t>
      </w:r>
      <w:r w:rsidR="009A4E6C" w:rsidRPr="00B342D4">
        <w:t xml:space="preserve"> </w:t>
      </w:r>
      <w:r w:rsidR="00753057" w:rsidRPr="00B342D4">
        <w:t xml:space="preserve">can be viewed as </w:t>
      </w:r>
      <w:r w:rsidR="00F62185">
        <w:t>being</w:t>
      </w:r>
      <w:r w:rsidR="00753057" w:rsidRPr="00B342D4">
        <w:t xml:space="preserve"> complementary to the R</w:t>
      </w:r>
      <w:r w:rsidR="00BE3BF1">
        <w:t>oad Safety Act</w:t>
      </w:r>
      <w:r w:rsidR="00F62185">
        <w:t>.</w:t>
      </w:r>
      <w:r w:rsidR="009A4E6C">
        <w:t xml:space="preserve"> </w:t>
      </w:r>
    </w:p>
    <w:p w14:paraId="3D352D46" w14:textId="39B20637" w:rsidR="002200DE" w:rsidRPr="003611EF" w:rsidRDefault="00E879AD" w:rsidP="002200DE">
      <w:r>
        <w:t>However, d</w:t>
      </w:r>
      <w:r w:rsidR="002200DE">
        <w:t xml:space="preserve">espite the current requirements under the </w:t>
      </w:r>
      <w:r w:rsidR="00BE3BF1">
        <w:t xml:space="preserve">Road Safety Act </w:t>
      </w:r>
      <w:r w:rsidR="002200DE">
        <w:t xml:space="preserve">and </w:t>
      </w:r>
      <w:r w:rsidR="00BE3BF1">
        <w:t>Bus Safety Act</w:t>
      </w:r>
      <w:r w:rsidR="002200DE">
        <w:t>, there are still instance</w:t>
      </w:r>
      <w:r w:rsidR="001F2B54">
        <w:t>s</w:t>
      </w:r>
      <w:r w:rsidR="002200DE">
        <w:t xml:space="preserve"> of positive alcohol and other drugs by bus drivers. </w:t>
      </w:r>
      <w:r w:rsidR="002200DE" w:rsidRPr="003611EF">
        <w:fldChar w:fldCharType="begin"/>
      </w:r>
      <w:r w:rsidR="002200DE" w:rsidRPr="003611EF">
        <w:instrText xml:space="preserve"> REF _Ref30082782 \h  \* MERGEFORMAT </w:instrText>
      </w:r>
      <w:r w:rsidR="002200DE" w:rsidRPr="003611EF">
        <w:fldChar w:fldCharType="separate"/>
      </w:r>
      <w:r w:rsidR="00277F6E" w:rsidRPr="00277F6E">
        <w:t xml:space="preserve">Table </w:t>
      </w:r>
      <w:r w:rsidR="00277F6E" w:rsidRPr="00277F6E">
        <w:rPr>
          <w:noProof/>
        </w:rPr>
        <w:t>3</w:t>
      </w:r>
      <w:r w:rsidR="00277F6E" w:rsidRPr="00277F6E">
        <w:rPr>
          <w:noProof/>
        </w:rPr>
        <w:noBreakHyphen/>
        <w:t>12</w:t>
      </w:r>
      <w:r w:rsidR="002200DE" w:rsidRPr="003611EF">
        <w:fldChar w:fldCharType="end"/>
      </w:r>
      <w:r w:rsidR="002200DE" w:rsidRPr="003611EF">
        <w:t xml:space="preserve"> sho</w:t>
      </w:r>
      <w:r w:rsidR="002200DE">
        <w:t>w</w:t>
      </w:r>
      <w:r w:rsidR="002200DE" w:rsidRPr="003611EF">
        <w:t xml:space="preserve">s the incidence </w:t>
      </w:r>
      <w:r w:rsidR="002200DE">
        <w:t xml:space="preserve">of a positive presence alcohol and drug in a bus driver. </w:t>
      </w:r>
      <w:bookmarkStart w:id="347" w:name="_Hlk43359319"/>
      <w:r w:rsidR="002200DE">
        <w:t>Note that this only includes information received by TSV on the incidence of positive alcohol and drugs by bus drivers. It does not include information held by Victoria Police</w:t>
      </w:r>
      <w:r w:rsidR="008C2C85">
        <w:t xml:space="preserve"> in relation to their road policing and enforcement activities</w:t>
      </w:r>
      <w:r w:rsidR="002200DE">
        <w:t>.</w:t>
      </w:r>
      <w:bookmarkEnd w:id="347"/>
    </w:p>
    <w:p w14:paraId="3C16A6AE" w14:textId="114E58BC" w:rsidR="002200DE" w:rsidRDefault="002200DE" w:rsidP="005E479A">
      <w:pPr>
        <w:pStyle w:val="Caption"/>
        <w:keepNext/>
        <w:spacing w:after="60"/>
        <w:rPr>
          <w:b/>
          <w:i w:val="0"/>
        </w:rPr>
      </w:pPr>
      <w:bookmarkStart w:id="348" w:name="_Ref30082782"/>
      <w:bookmarkStart w:id="349" w:name="_Toc44603389"/>
      <w:bookmarkStart w:id="350" w:name="_Toc44437364"/>
      <w:bookmarkStart w:id="351" w:name="_Toc44597435"/>
      <w:bookmarkStart w:id="352" w:name="_Toc44597499"/>
      <w:bookmarkStart w:id="353" w:name="_Toc44600069"/>
      <w:bookmarkStart w:id="354" w:name="_Toc44600524"/>
      <w:bookmarkStart w:id="355" w:name="_Toc44600691"/>
      <w:bookmarkStart w:id="356" w:name="_Toc44601188"/>
      <w:bookmarkStart w:id="357" w:name="_Toc44601241"/>
      <w:bookmarkStart w:id="358" w:name="_Toc45704437"/>
      <w:r w:rsidRPr="00A13F5E">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12</w:t>
      </w:r>
      <w:r w:rsidR="00D2483C">
        <w:rPr>
          <w:b/>
          <w:i w:val="0"/>
        </w:rPr>
        <w:fldChar w:fldCharType="end"/>
      </w:r>
      <w:bookmarkEnd w:id="348"/>
      <w:r w:rsidRPr="00A13F5E">
        <w:rPr>
          <w:b/>
          <w:i w:val="0"/>
        </w:rPr>
        <w:t xml:space="preserve">: </w:t>
      </w:r>
      <w:r w:rsidRPr="00871169">
        <w:rPr>
          <w:b/>
          <w:i w:val="0"/>
        </w:rPr>
        <w:t xml:space="preserve">Incidence </w:t>
      </w:r>
      <w:r>
        <w:rPr>
          <w:b/>
          <w:i w:val="0"/>
        </w:rPr>
        <w:t>of positive test for alcohol or drugs –</w:t>
      </w:r>
      <w:r w:rsidRPr="00871169">
        <w:rPr>
          <w:b/>
          <w:i w:val="0"/>
        </w:rPr>
        <w:t xml:space="preserve"> 2011-2019</w:t>
      </w:r>
      <w:bookmarkEnd w:id="349"/>
      <w:bookmarkEnd w:id="350"/>
      <w:bookmarkEnd w:id="351"/>
      <w:bookmarkEnd w:id="352"/>
      <w:bookmarkEnd w:id="353"/>
      <w:bookmarkEnd w:id="354"/>
      <w:bookmarkEnd w:id="355"/>
      <w:bookmarkEnd w:id="356"/>
      <w:bookmarkEnd w:id="357"/>
      <w:bookmarkEnd w:id="358"/>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66"/>
        <w:gridCol w:w="667"/>
        <w:gridCol w:w="667"/>
        <w:gridCol w:w="667"/>
        <w:gridCol w:w="667"/>
        <w:gridCol w:w="666"/>
        <w:gridCol w:w="667"/>
        <w:gridCol w:w="667"/>
        <w:gridCol w:w="667"/>
        <w:gridCol w:w="667"/>
      </w:tblGrid>
      <w:tr w:rsidR="002200DE" w:rsidRPr="009D706B" w14:paraId="53244B50" w14:textId="77777777" w:rsidTr="00FC11B4">
        <w:trPr>
          <w:cantSplit/>
          <w:trHeight w:val="58"/>
        </w:trPr>
        <w:tc>
          <w:tcPr>
            <w:tcW w:w="2263" w:type="dxa"/>
            <w:shd w:val="clear" w:color="auto" w:fill="D6ECED"/>
            <w:noWrap/>
            <w:vAlign w:val="bottom"/>
            <w:hideMark/>
          </w:tcPr>
          <w:p w14:paraId="4C05294B" w14:textId="77777777" w:rsidR="002200DE" w:rsidRPr="009D706B" w:rsidRDefault="002200DE" w:rsidP="00FC11B4">
            <w:pPr>
              <w:keepNext/>
              <w:spacing w:before="60" w:after="60"/>
              <w:rPr>
                <w:rFonts w:eastAsia="Times New Roman" w:cstheme="minorHAnsi"/>
                <w:b/>
                <w:bCs/>
                <w:color w:val="000000"/>
                <w:sz w:val="18"/>
                <w:lang w:eastAsia="en-AU"/>
              </w:rPr>
            </w:pPr>
            <w:r>
              <w:rPr>
                <w:rFonts w:eastAsia="Times New Roman" w:cstheme="minorHAnsi"/>
                <w:b/>
                <w:bCs/>
                <w:color w:val="000000"/>
                <w:sz w:val="18"/>
                <w:lang w:eastAsia="en-AU"/>
              </w:rPr>
              <w:t>Incidence type</w:t>
            </w:r>
          </w:p>
        </w:tc>
        <w:tc>
          <w:tcPr>
            <w:tcW w:w="666" w:type="dxa"/>
            <w:shd w:val="clear" w:color="auto" w:fill="D6ECED"/>
            <w:noWrap/>
            <w:vAlign w:val="bottom"/>
            <w:hideMark/>
          </w:tcPr>
          <w:p w14:paraId="7D0DF20B" w14:textId="77777777" w:rsidR="002200DE" w:rsidRPr="009D706B" w:rsidRDefault="002200DE" w:rsidP="004471EA">
            <w:pPr>
              <w:spacing w:before="60" w:after="60"/>
              <w:jc w:val="right"/>
              <w:rPr>
                <w:rFonts w:eastAsia="Times New Roman" w:cstheme="minorHAnsi"/>
                <w:b/>
                <w:bCs/>
                <w:color w:val="000000"/>
                <w:sz w:val="18"/>
                <w:lang w:eastAsia="en-AU"/>
              </w:rPr>
            </w:pPr>
            <w:r w:rsidRPr="009D706B">
              <w:rPr>
                <w:rFonts w:eastAsia="Times New Roman" w:cstheme="minorHAnsi"/>
                <w:b/>
                <w:bCs/>
                <w:color w:val="000000"/>
                <w:sz w:val="18"/>
                <w:lang w:eastAsia="en-AU"/>
              </w:rPr>
              <w:t>2011</w:t>
            </w:r>
          </w:p>
        </w:tc>
        <w:tc>
          <w:tcPr>
            <w:tcW w:w="667" w:type="dxa"/>
            <w:shd w:val="clear" w:color="auto" w:fill="D6ECED"/>
            <w:noWrap/>
            <w:vAlign w:val="bottom"/>
            <w:hideMark/>
          </w:tcPr>
          <w:p w14:paraId="1B0B7AFF" w14:textId="77777777" w:rsidR="002200DE" w:rsidRPr="009D706B" w:rsidRDefault="002200DE" w:rsidP="004471EA">
            <w:pPr>
              <w:spacing w:before="60" w:after="60"/>
              <w:jc w:val="right"/>
              <w:rPr>
                <w:rFonts w:eastAsia="Times New Roman" w:cstheme="minorHAnsi"/>
                <w:b/>
                <w:bCs/>
                <w:color w:val="000000"/>
                <w:sz w:val="18"/>
                <w:lang w:eastAsia="en-AU"/>
              </w:rPr>
            </w:pPr>
            <w:r w:rsidRPr="009D706B">
              <w:rPr>
                <w:rFonts w:eastAsia="Times New Roman" w:cstheme="minorHAnsi"/>
                <w:b/>
                <w:bCs/>
                <w:color w:val="000000"/>
                <w:sz w:val="18"/>
                <w:lang w:eastAsia="en-AU"/>
              </w:rPr>
              <w:t>2012</w:t>
            </w:r>
          </w:p>
        </w:tc>
        <w:tc>
          <w:tcPr>
            <w:tcW w:w="667" w:type="dxa"/>
            <w:shd w:val="clear" w:color="auto" w:fill="D6ECED"/>
            <w:noWrap/>
            <w:vAlign w:val="bottom"/>
            <w:hideMark/>
          </w:tcPr>
          <w:p w14:paraId="227A4ACD" w14:textId="77777777" w:rsidR="002200DE" w:rsidRPr="009D706B" w:rsidRDefault="002200DE" w:rsidP="004471EA">
            <w:pPr>
              <w:spacing w:before="60" w:after="60"/>
              <w:jc w:val="right"/>
              <w:rPr>
                <w:rFonts w:eastAsia="Times New Roman" w:cstheme="minorHAnsi"/>
                <w:b/>
                <w:bCs/>
                <w:color w:val="000000"/>
                <w:sz w:val="18"/>
                <w:lang w:eastAsia="en-AU"/>
              </w:rPr>
            </w:pPr>
            <w:r w:rsidRPr="009D706B">
              <w:rPr>
                <w:rFonts w:eastAsia="Times New Roman" w:cstheme="minorHAnsi"/>
                <w:b/>
                <w:bCs/>
                <w:color w:val="000000"/>
                <w:sz w:val="18"/>
                <w:lang w:eastAsia="en-AU"/>
              </w:rPr>
              <w:t>2013</w:t>
            </w:r>
          </w:p>
        </w:tc>
        <w:tc>
          <w:tcPr>
            <w:tcW w:w="667" w:type="dxa"/>
            <w:shd w:val="clear" w:color="auto" w:fill="D6ECED"/>
            <w:noWrap/>
            <w:vAlign w:val="bottom"/>
            <w:hideMark/>
          </w:tcPr>
          <w:p w14:paraId="48945CDC" w14:textId="77777777" w:rsidR="002200DE" w:rsidRPr="009D706B" w:rsidRDefault="002200DE" w:rsidP="004471EA">
            <w:pPr>
              <w:spacing w:before="60" w:after="60"/>
              <w:jc w:val="right"/>
              <w:rPr>
                <w:rFonts w:eastAsia="Times New Roman" w:cstheme="minorHAnsi"/>
                <w:b/>
                <w:bCs/>
                <w:color w:val="000000"/>
                <w:sz w:val="18"/>
                <w:lang w:eastAsia="en-AU"/>
              </w:rPr>
            </w:pPr>
            <w:r w:rsidRPr="009D706B">
              <w:rPr>
                <w:rFonts w:eastAsia="Times New Roman" w:cstheme="minorHAnsi"/>
                <w:b/>
                <w:bCs/>
                <w:color w:val="000000"/>
                <w:sz w:val="18"/>
                <w:lang w:eastAsia="en-AU"/>
              </w:rPr>
              <w:t>2014</w:t>
            </w:r>
          </w:p>
        </w:tc>
        <w:tc>
          <w:tcPr>
            <w:tcW w:w="667" w:type="dxa"/>
            <w:shd w:val="clear" w:color="auto" w:fill="D6ECED"/>
            <w:noWrap/>
            <w:vAlign w:val="bottom"/>
            <w:hideMark/>
          </w:tcPr>
          <w:p w14:paraId="7EBB3B36" w14:textId="77777777" w:rsidR="002200DE" w:rsidRPr="009D706B" w:rsidRDefault="002200DE" w:rsidP="004471EA">
            <w:pPr>
              <w:spacing w:before="60" w:after="60"/>
              <w:jc w:val="right"/>
              <w:rPr>
                <w:rFonts w:eastAsia="Times New Roman" w:cstheme="minorHAnsi"/>
                <w:b/>
                <w:bCs/>
                <w:color w:val="000000"/>
                <w:sz w:val="18"/>
                <w:lang w:eastAsia="en-AU"/>
              </w:rPr>
            </w:pPr>
            <w:r w:rsidRPr="009D706B">
              <w:rPr>
                <w:rFonts w:eastAsia="Times New Roman" w:cstheme="minorHAnsi"/>
                <w:b/>
                <w:bCs/>
                <w:color w:val="000000"/>
                <w:sz w:val="18"/>
                <w:lang w:eastAsia="en-AU"/>
              </w:rPr>
              <w:t>2015</w:t>
            </w:r>
          </w:p>
        </w:tc>
        <w:tc>
          <w:tcPr>
            <w:tcW w:w="666" w:type="dxa"/>
            <w:shd w:val="clear" w:color="auto" w:fill="D6ECED"/>
            <w:noWrap/>
            <w:vAlign w:val="bottom"/>
            <w:hideMark/>
          </w:tcPr>
          <w:p w14:paraId="6FDB77E8" w14:textId="77777777" w:rsidR="002200DE" w:rsidRPr="009D706B" w:rsidRDefault="002200DE" w:rsidP="004471EA">
            <w:pPr>
              <w:spacing w:before="60" w:after="60"/>
              <w:jc w:val="right"/>
              <w:rPr>
                <w:rFonts w:eastAsia="Times New Roman" w:cstheme="minorHAnsi"/>
                <w:b/>
                <w:bCs/>
                <w:color w:val="000000"/>
                <w:sz w:val="18"/>
                <w:lang w:eastAsia="en-AU"/>
              </w:rPr>
            </w:pPr>
            <w:r w:rsidRPr="009D706B">
              <w:rPr>
                <w:rFonts w:eastAsia="Times New Roman" w:cstheme="minorHAnsi"/>
                <w:b/>
                <w:bCs/>
                <w:color w:val="000000"/>
                <w:sz w:val="18"/>
                <w:lang w:eastAsia="en-AU"/>
              </w:rPr>
              <w:t>2016</w:t>
            </w:r>
          </w:p>
        </w:tc>
        <w:tc>
          <w:tcPr>
            <w:tcW w:w="667" w:type="dxa"/>
            <w:shd w:val="clear" w:color="auto" w:fill="D6ECED"/>
            <w:noWrap/>
            <w:vAlign w:val="bottom"/>
            <w:hideMark/>
          </w:tcPr>
          <w:p w14:paraId="5193F1B2" w14:textId="77777777" w:rsidR="002200DE" w:rsidRPr="009D706B" w:rsidRDefault="002200DE" w:rsidP="004471EA">
            <w:pPr>
              <w:spacing w:before="60" w:after="60"/>
              <w:jc w:val="right"/>
              <w:rPr>
                <w:rFonts w:eastAsia="Times New Roman" w:cstheme="minorHAnsi"/>
                <w:b/>
                <w:bCs/>
                <w:color w:val="000000"/>
                <w:sz w:val="18"/>
                <w:lang w:eastAsia="en-AU"/>
              </w:rPr>
            </w:pPr>
            <w:r w:rsidRPr="009D706B">
              <w:rPr>
                <w:rFonts w:eastAsia="Times New Roman" w:cstheme="minorHAnsi"/>
                <w:b/>
                <w:bCs/>
                <w:color w:val="000000"/>
                <w:sz w:val="18"/>
                <w:lang w:eastAsia="en-AU"/>
              </w:rPr>
              <w:t>2017</w:t>
            </w:r>
          </w:p>
        </w:tc>
        <w:tc>
          <w:tcPr>
            <w:tcW w:w="667" w:type="dxa"/>
            <w:shd w:val="clear" w:color="auto" w:fill="D6ECED"/>
            <w:noWrap/>
            <w:vAlign w:val="bottom"/>
            <w:hideMark/>
          </w:tcPr>
          <w:p w14:paraId="33AC2197" w14:textId="77777777" w:rsidR="002200DE" w:rsidRPr="009D706B" w:rsidRDefault="002200DE" w:rsidP="004471EA">
            <w:pPr>
              <w:spacing w:before="60" w:after="60"/>
              <w:jc w:val="right"/>
              <w:rPr>
                <w:rFonts w:eastAsia="Times New Roman" w:cstheme="minorHAnsi"/>
                <w:b/>
                <w:bCs/>
                <w:color w:val="000000"/>
                <w:sz w:val="18"/>
                <w:lang w:eastAsia="en-AU"/>
              </w:rPr>
            </w:pPr>
            <w:r w:rsidRPr="009D706B">
              <w:rPr>
                <w:rFonts w:eastAsia="Times New Roman" w:cstheme="minorHAnsi"/>
                <w:b/>
                <w:bCs/>
                <w:color w:val="000000"/>
                <w:sz w:val="18"/>
                <w:lang w:eastAsia="en-AU"/>
              </w:rPr>
              <w:t>2018</w:t>
            </w:r>
          </w:p>
        </w:tc>
        <w:tc>
          <w:tcPr>
            <w:tcW w:w="667" w:type="dxa"/>
            <w:shd w:val="clear" w:color="auto" w:fill="D6ECED"/>
            <w:noWrap/>
            <w:vAlign w:val="bottom"/>
            <w:hideMark/>
          </w:tcPr>
          <w:p w14:paraId="6D917538" w14:textId="77777777" w:rsidR="002200DE" w:rsidRPr="009D706B" w:rsidRDefault="002200DE" w:rsidP="004471EA">
            <w:pPr>
              <w:spacing w:before="60" w:after="60"/>
              <w:jc w:val="right"/>
              <w:rPr>
                <w:rFonts w:eastAsia="Times New Roman" w:cstheme="minorHAnsi"/>
                <w:b/>
                <w:bCs/>
                <w:color w:val="000000"/>
                <w:sz w:val="18"/>
                <w:lang w:eastAsia="en-AU"/>
              </w:rPr>
            </w:pPr>
            <w:r w:rsidRPr="009D706B">
              <w:rPr>
                <w:rFonts w:eastAsia="Times New Roman" w:cstheme="minorHAnsi"/>
                <w:b/>
                <w:bCs/>
                <w:color w:val="000000"/>
                <w:sz w:val="18"/>
                <w:lang w:eastAsia="en-AU"/>
              </w:rPr>
              <w:t>2019</w:t>
            </w:r>
          </w:p>
        </w:tc>
        <w:tc>
          <w:tcPr>
            <w:tcW w:w="667" w:type="dxa"/>
            <w:shd w:val="clear" w:color="auto" w:fill="D6ECED"/>
            <w:noWrap/>
            <w:vAlign w:val="bottom"/>
            <w:hideMark/>
          </w:tcPr>
          <w:p w14:paraId="004ADD9C" w14:textId="77777777" w:rsidR="002200DE" w:rsidRPr="009D706B" w:rsidRDefault="002200DE" w:rsidP="004471EA">
            <w:pPr>
              <w:spacing w:before="60" w:after="60"/>
              <w:rPr>
                <w:rFonts w:eastAsia="Times New Roman" w:cstheme="minorHAnsi"/>
                <w:b/>
                <w:bCs/>
                <w:color w:val="000000"/>
                <w:sz w:val="18"/>
                <w:lang w:eastAsia="en-AU"/>
              </w:rPr>
            </w:pPr>
            <w:r w:rsidRPr="009D706B">
              <w:rPr>
                <w:rFonts w:eastAsia="Times New Roman" w:cstheme="minorHAnsi"/>
                <w:b/>
                <w:bCs/>
                <w:color w:val="000000"/>
                <w:sz w:val="18"/>
                <w:lang w:eastAsia="en-AU"/>
              </w:rPr>
              <w:t>Total</w:t>
            </w:r>
          </w:p>
        </w:tc>
      </w:tr>
      <w:tr w:rsidR="002200DE" w:rsidRPr="009D706B" w14:paraId="14DD3B57" w14:textId="77777777" w:rsidTr="004471EA">
        <w:trPr>
          <w:trHeight w:val="58"/>
        </w:trPr>
        <w:tc>
          <w:tcPr>
            <w:tcW w:w="2263" w:type="dxa"/>
            <w:shd w:val="clear" w:color="auto" w:fill="auto"/>
            <w:noWrap/>
            <w:vAlign w:val="bottom"/>
            <w:hideMark/>
          </w:tcPr>
          <w:p w14:paraId="326A2B42" w14:textId="40064242" w:rsidR="002200DE" w:rsidRPr="00072223" w:rsidRDefault="008F6CF0" w:rsidP="004471EA">
            <w:pPr>
              <w:spacing w:before="60" w:after="60"/>
              <w:rPr>
                <w:rFonts w:eastAsia="Times New Roman" w:cstheme="minorHAnsi"/>
                <w:color w:val="000000"/>
                <w:sz w:val="18"/>
                <w:lang w:eastAsia="en-AU"/>
              </w:rPr>
            </w:pPr>
            <w:r>
              <w:rPr>
                <w:rFonts w:eastAsia="Times New Roman" w:cstheme="minorHAnsi"/>
                <w:color w:val="000000"/>
                <w:sz w:val="18"/>
                <w:lang w:eastAsia="en-AU"/>
              </w:rPr>
              <w:t>Driver p</w:t>
            </w:r>
            <w:r w:rsidR="002200DE" w:rsidRPr="00072223">
              <w:rPr>
                <w:rFonts w:eastAsia="Times New Roman" w:cstheme="minorHAnsi"/>
                <w:color w:val="000000"/>
                <w:sz w:val="18"/>
                <w:lang w:eastAsia="en-AU"/>
              </w:rPr>
              <w:t>ositive</w:t>
            </w:r>
            <w:r>
              <w:rPr>
                <w:rFonts w:eastAsia="Times New Roman" w:cstheme="minorHAnsi"/>
                <w:color w:val="000000"/>
                <w:sz w:val="18"/>
                <w:lang w:eastAsia="en-AU"/>
              </w:rPr>
              <w:t xml:space="preserve"> test for</w:t>
            </w:r>
            <w:r w:rsidR="002200DE" w:rsidRPr="00072223">
              <w:rPr>
                <w:rFonts w:eastAsia="Times New Roman" w:cstheme="minorHAnsi"/>
                <w:color w:val="000000"/>
                <w:sz w:val="18"/>
                <w:lang w:eastAsia="en-AU"/>
              </w:rPr>
              <w:t xml:space="preserve"> alcohol or drugs</w:t>
            </w:r>
          </w:p>
        </w:tc>
        <w:tc>
          <w:tcPr>
            <w:tcW w:w="666" w:type="dxa"/>
            <w:shd w:val="clear" w:color="auto" w:fill="auto"/>
            <w:noWrap/>
            <w:vAlign w:val="bottom"/>
            <w:hideMark/>
          </w:tcPr>
          <w:p w14:paraId="2E0A5A1F" w14:textId="77777777" w:rsidR="002200DE" w:rsidRPr="009D706B" w:rsidRDefault="002200DE" w:rsidP="004471EA">
            <w:pPr>
              <w:spacing w:before="60" w:after="60"/>
              <w:jc w:val="right"/>
              <w:rPr>
                <w:rFonts w:eastAsia="Times New Roman" w:cstheme="minorHAnsi"/>
                <w:color w:val="000000"/>
                <w:sz w:val="18"/>
                <w:lang w:eastAsia="en-AU"/>
              </w:rPr>
            </w:pPr>
            <w:r w:rsidRPr="009D706B">
              <w:rPr>
                <w:rFonts w:eastAsia="Times New Roman" w:cstheme="minorHAnsi"/>
                <w:color w:val="000000"/>
                <w:sz w:val="18"/>
                <w:lang w:eastAsia="en-AU"/>
              </w:rPr>
              <w:t>2</w:t>
            </w:r>
          </w:p>
        </w:tc>
        <w:tc>
          <w:tcPr>
            <w:tcW w:w="667" w:type="dxa"/>
            <w:shd w:val="clear" w:color="auto" w:fill="auto"/>
            <w:noWrap/>
            <w:vAlign w:val="bottom"/>
            <w:hideMark/>
          </w:tcPr>
          <w:p w14:paraId="5E301440" w14:textId="77777777" w:rsidR="002200DE" w:rsidRPr="009D706B" w:rsidRDefault="002200DE" w:rsidP="004471EA">
            <w:pPr>
              <w:spacing w:before="60" w:after="60"/>
              <w:jc w:val="right"/>
              <w:rPr>
                <w:rFonts w:eastAsia="Times New Roman" w:cstheme="minorHAnsi"/>
                <w:color w:val="000000"/>
                <w:sz w:val="18"/>
                <w:lang w:eastAsia="en-AU"/>
              </w:rPr>
            </w:pPr>
            <w:r>
              <w:rPr>
                <w:rFonts w:eastAsia="Times New Roman" w:cstheme="minorHAnsi"/>
                <w:color w:val="000000"/>
                <w:sz w:val="18"/>
                <w:lang w:eastAsia="en-AU"/>
              </w:rPr>
              <w:t>0</w:t>
            </w:r>
          </w:p>
        </w:tc>
        <w:tc>
          <w:tcPr>
            <w:tcW w:w="667" w:type="dxa"/>
            <w:shd w:val="clear" w:color="auto" w:fill="auto"/>
            <w:noWrap/>
            <w:vAlign w:val="bottom"/>
            <w:hideMark/>
          </w:tcPr>
          <w:p w14:paraId="7585D5E8" w14:textId="77777777" w:rsidR="002200DE" w:rsidRPr="009D706B" w:rsidRDefault="002200DE" w:rsidP="004471EA">
            <w:pPr>
              <w:spacing w:before="60" w:after="60"/>
              <w:jc w:val="right"/>
              <w:rPr>
                <w:rFonts w:eastAsia="Times New Roman" w:cstheme="minorHAnsi"/>
                <w:color w:val="000000"/>
                <w:sz w:val="18"/>
                <w:lang w:eastAsia="en-AU"/>
              </w:rPr>
            </w:pPr>
            <w:r w:rsidRPr="009D706B">
              <w:rPr>
                <w:rFonts w:eastAsia="Times New Roman" w:cstheme="minorHAnsi"/>
                <w:color w:val="000000"/>
                <w:sz w:val="18"/>
                <w:lang w:eastAsia="en-AU"/>
              </w:rPr>
              <w:t>1</w:t>
            </w:r>
          </w:p>
        </w:tc>
        <w:tc>
          <w:tcPr>
            <w:tcW w:w="667" w:type="dxa"/>
            <w:shd w:val="clear" w:color="auto" w:fill="auto"/>
            <w:noWrap/>
            <w:vAlign w:val="bottom"/>
            <w:hideMark/>
          </w:tcPr>
          <w:p w14:paraId="2A6C0C62" w14:textId="77777777" w:rsidR="002200DE" w:rsidRPr="009D706B" w:rsidRDefault="002200DE" w:rsidP="004471EA">
            <w:pPr>
              <w:spacing w:before="60" w:after="60"/>
              <w:jc w:val="right"/>
              <w:rPr>
                <w:rFonts w:eastAsia="Times New Roman" w:cstheme="minorHAnsi"/>
                <w:color w:val="000000"/>
                <w:sz w:val="18"/>
                <w:lang w:eastAsia="en-AU"/>
              </w:rPr>
            </w:pPr>
            <w:r w:rsidRPr="009D706B">
              <w:rPr>
                <w:rFonts w:eastAsia="Times New Roman" w:cstheme="minorHAnsi"/>
                <w:color w:val="000000"/>
                <w:sz w:val="18"/>
                <w:lang w:eastAsia="en-AU"/>
              </w:rPr>
              <w:t>1</w:t>
            </w:r>
          </w:p>
        </w:tc>
        <w:tc>
          <w:tcPr>
            <w:tcW w:w="667" w:type="dxa"/>
            <w:shd w:val="clear" w:color="auto" w:fill="auto"/>
            <w:noWrap/>
            <w:vAlign w:val="bottom"/>
            <w:hideMark/>
          </w:tcPr>
          <w:p w14:paraId="0E23E30C" w14:textId="77777777" w:rsidR="002200DE" w:rsidRPr="009D706B" w:rsidRDefault="002200DE" w:rsidP="004471EA">
            <w:pPr>
              <w:spacing w:before="60" w:after="60"/>
              <w:jc w:val="right"/>
              <w:rPr>
                <w:rFonts w:eastAsia="Times New Roman" w:cstheme="minorHAnsi"/>
                <w:color w:val="000000"/>
                <w:sz w:val="18"/>
                <w:lang w:eastAsia="en-AU"/>
              </w:rPr>
            </w:pPr>
            <w:r>
              <w:rPr>
                <w:rFonts w:eastAsia="Times New Roman" w:cstheme="minorHAnsi"/>
                <w:color w:val="000000"/>
                <w:sz w:val="18"/>
                <w:lang w:eastAsia="en-AU"/>
              </w:rPr>
              <w:t>0</w:t>
            </w:r>
          </w:p>
        </w:tc>
        <w:tc>
          <w:tcPr>
            <w:tcW w:w="666" w:type="dxa"/>
            <w:shd w:val="clear" w:color="auto" w:fill="auto"/>
            <w:noWrap/>
            <w:vAlign w:val="bottom"/>
            <w:hideMark/>
          </w:tcPr>
          <w:p w14:paraId="11C9F5DD" w14:textId="77777777" w:rsidR="002200DE" w:rsidRPr="009D706B" w:rsidRDefault="002200DE" w:rsidP="004471EA">
            <w:pPr>
              <w:spacing w:before="60" w:after="60"/>
              <w:jc w:val="right"/>
              <w:rPr>
                <w:rFonts w:eastAsia="Times New Roman" w:cstheme="minorHAnsi"/>
                <w:color w:val="000000"/>
                <w:sz w:val="18"/>
                <w:lang w:eastAsia="en-AU"/>
              </w:rPr>
            </w:pPr>
            <w:r w:rsidRPr="009D706B">
              <w:rPr>
                <w:rFonts w:eastAsia="Times New Roman" w:cstheme="minorHAnsi"/>
                <w:color w:val="000000"/>
                <w:sz w:val="18"/>
                <w:lang w:eastAsia="en-AU"/>
              </w:rPr>
              <w:t>2</w:t>
            </w:r>
          </w:p>
        </w:tc>
        <w:tc>
          <w:tcPr>
            <w:tcW w:w="667" w:type="dxa"/>
            <w:shd w:val="clear" w:color="auto" w:fill="auto"/>
            <w:noWrap/>
            <w:vAlign w:val="bottom"/>
            <w:hideMark/>
          </w:tcPr>
          <w:p w14:paraId="0BE9E319" w14:textId="77777777" w:rsidR="002200DE" w:rsidRPr="009D706B" w:rsidRDefault="002200DE" w:rsidP="004471EA">
            <w:pPr>
              <w:spacing w:before="60" w:after="60"/>
              <w:jc w:val="right"/>
              <w:rPr>
                <w:rFonts w:eastAsia="Times New Roman" w:cstheme="minorHAnsi"/>
                <w:color w:val="000000"/>
                <w:sz w:val="18"/>
                <w:lang w:eastAsia="en-AU"/>
              </w:rPr>
            </w:pPr>
            <w:r>
              <w:rPr>
                <w:rFonts w:eastAsia="Times New Roman" w:cstheme="minorHAnsi"/>
                <w:color w:val="000000"/>
                <w:sz w:val="18"/>
                <w:lang w:eastAsia="en-AU"/>
              </w:rPr>
              <w:t>0</w:t>
            </w:r>
          </w:p>
        </w:tc>
        <w:tc>
          <w:tcPr>
            <w:tcW w:w="667" w:type="dxa"/>
            <w:shd w:val="clear" w:color="auto" w:fill="auto"/>
            <w:noWrap/>
            <w:vAlign w:val="bottom"/>
            <w:hideMark/>
          </w:tcPr>
          <w:p w14:paraId="26B9F852" w14:textId="77777777" w:rsidR="002200DE" w:rsidRPr="009D706B" w:rsidRDefault="002200DE" w:rsidP="004471EA">
            <w:pPr>
              <w:spacing w:before="60" w:after="60"/>
              <w:jc w:val="right"/>
              <w:rPr>
                <w:rFonts w:eastAsia="Times New Roman" w:cstheme="minorHAnsi"/>
                <w:color w:val="000000"/>
                <w:sz w:val="18"/>
                <w:lang w:eastAsia="en-AU"/>
              </w:rPr>
            </w:pPr>
            <w:r w:rsidRPr="009D706B">
              <w:rPr>
                <w:rFonts w:eastAsia="Times New Roman" w:cstheme="minorHAnsi"/>
                <w:color w:val="000000"/>
                <w:sz w:val="18"/>
                <w:lang w:eastAsia="en-AU"/>
              </w:rPr>
              <w:t>1</w:t>
            </w:r>
          </w:p>
        </w:tc>
        <w:tc>
          <w:tcPr>
            <w:tcW w:w="667" w:type="dxa"/>
            <w:shd w:val="clear" w:color="auto" w:fill="auto"/>
            <w:noWrap/>
            <w:vAlign w:val="bottom"/>
            <w:hideMark/>
          </w:tcPr>
          <w:p w14:paraId="47782B25" w14:textId="77777777" w:rsidR="002200DE" w:rsidRPr="009D706B" w:rsidRDefault="002200DE" w:rsidP="004471EA">
            <w:pPr>
              <w:spacing w:before="60" w:after="60"/>
              <w:jc w:val="right"/>
              <w:rPr>
                <w:rFonts w:eastAsia="Times New Roman" w:cstheme="minorHAnsi"/>
                <w:color w:val="000000"/>
                <w:sz w:val="18"/>
                <w:lang w:eastAsia="en-AU"/>
              </w:rPr>
            </w:pPr>
            <w:r w:rsidRPr="009D706B">
              <w:rPr>
                <w:rFonts w:eastAsia="Times New Roman" w:cstheme="minorHAnsi"/>
                <w:color w:val="000000"/>
                <w:sz w:val="18"/>
                <w:lang w:eastAsia="en-AU"/>
              </w:rPr>
              <w:t>5</w:t>
            </w:r>
          </w:p>
        </w:tc>
        <w:tc>
          <w:tcPr>
            <w:tcW w:w="667" w:type="dxa"/>
            <w:shd w:val="clear" w:color="auto" w:fill="auto"/>
            <w:noWrap/>
            <w:vAlign w:val="bottom"/>
            <w:hideMark/>
          </w:tcPr>
          <w:p w14:paraId="681BFD9C" w14:textId="77777777" w:rsidR="002200DE" w:rsidRPr="009D706B" w:rsidRDefault="002200DE" w:rsidP="004471EA">
            <w:pPr>
              <w:spacing w:before="60" w:after="60"/>
              <w:jc w:val="right"/>
              <w:rPr>
                <w:rFonts w:eastAsia="Times New Roman" w:cstheme="minorHAnsi"/>
                <w:b/>
                <w:color w:val="000000"/>
                <w:sz w:val="18"/>
                <w:lang w:eastAsia="en-AU"/>
              </w:rPr>
            </w:pPr>
            <w:r w:rsidRPr="009D706B">
              <w:rPr>
                <w:rFonts w:eastAsia="Times New Roman" w:cstheme="minorHAnsi"/>
                <w:b/>
                <w:color w:val="000000"/>
                <w:sz w:val="18"/>
                <w:lang w:eastAsia="en-AU"/>
              </w:rPr>
              <w:t>12</w:t>
            </w:r>
          </w:p>
        </w:tc>
      </w:tr>
    </w:tbl>
    <w:p w14:paraId="3BCD83EB" w14:textId="4DA01B3A" w:rsidR="00CE0F30" w:rsidRPr="00CE0F30" w:rsidRDefault="00CE0F30" w:rsidP="00CE0F30">
      <w:pPr>
        <w:spacing w:before="40"/>
        <w:rPr>
          <w:sz w:val="16"/>
          <w:szCs w:val="16"/>
        </w:rPr>
      </w:pPr>
      <w:r w:rsidRPr="00CE0F30">
        <w:rPr>
          <w:sz w:val="16"/>
          <w:szCs w:val="16"/>
        </w:rPr>
        <w:t>Source: TSV</w:t>
      </w:r>
    </w:p>
    <w:p w14:paraId="60A2017F" w14:textId="52CA73E9" w:rsidR="00BE796F" w:rsidRDefault="004E46F3" w:rsidP="00BE796F">
      <w:r>
        <w:t xml:space="preserve">Continuing to have </w:t>
      </w:r>
      <w:r w:rsidR="001E0E16">
        <w:t>r</w:t>
      </w:r>
      <w:r w:rsidR="00BE796F">
        <w:t xml:space="preserve">egulations </w:t>
      </w:r>
      <w:r w:rsidR="005603F9">
        <w:t>restricting the use of</w:t>
      </w:r>
      <w:r w:rsidR="00BE796F">
        <w:t xml:space="preserve"> alcohol</w:t>
      </w:r>
      <w:r w:rsidR="00BE32F8">
        <w:t xml:space="preserve"> and drugs</w:t>
      </w:r>
      <w:r w:rsidR="00BE796F">
        <w:t xml:space="preserve"> </w:t>
      </w:r>
      <w:r w:rsidR="005603F9">
        <w:t xml:space="preserve">during the provision of bus services </w:t>
      </w:r>
      <w:r w:rsidR="00BE796F">
        <w:t>may be warranted.</w:t>
      </w:r>
    </w:p>
    <w:p w14:paraId="2426DD56" w14:textId="32E0441E" w:rsidR="00BB070C" w:rsidRDefault="00BB070C" w:rsidP="00BB070C">
      <w:pPr>
        <w:pStyle w:val="Heading3"/>
      </w:pPr>
      <w:bookmarkStart w:id="359" w:name="_Toc32909793"/>
      <w:bookmarkStart w:id="360" w:name="_Toc45704343"/>
      <w:r>
        <w:t>School buses</w:t>
      </w:r>
      <w:bookmarkEnd w:id="359"/>
      <w:bookmarkEnd w:id="360"/>
    </w:p>
    <w:p w14:paraId="0205FB12" w14:textId="1E90AD83" w:rsidR="00BB070C" w:rsidRDefault="00BB070C" w:rsidP="00BB070C">
      <w:r>
        <w:t>School buses carry a</w:t>
      </w:r>
      <w:r w:rsidRPr="00775AC1">
        <w:t xml:space="preserve"> </w:t>
      </w:r>
      <w:r>
        <w:t xml:space="preserve">particularly </w:t>
      </w:r>
      <w:r w:rsidRPr="00775AC1">
        <w:t xml:space="preserve">vulnerable </w:t>
      </w:r>
      <w:r>
        <w:t>cohort of passengers</w:t>
      </w:r>
      <w:r w:rsidR="000D08EE">
        <w:t>,</w:t>
      </w:r>
      <w:r>
        <w:t xml:space="preserve"> children. </w:t>
      </w:r>
      <w:r w:rsidRPr="00FE44CE">
        <w:t>School children</w:t>
      </w:r>
      <w:r w:rsidR="000D08EE">
        <w:t xml:space="preserve"> in and around vehicles and/or the road pose different risks. School children may not take the same level of care around vehicles </w:t>
      </w:r>
      <w:r w:rsidR="004B5911">
        <w:t xml:space="preserve">or </w:t>
      </w:r>
      <w:r w:rsidR="000D08EE">
        <w:t xml:space="preserve">the road </w:t>
      </w:r>
      <w:r w:rsidR="005139D9">
        <w:t xml:space="preserve">as adults </w:t>
      </w:r>
      <w:r w:rsidR="000D08EE">
        <w:t>and may</w:t>
      </w:r>
      <w:r>
        <w:t xml:space="preserve"> rush to catch a bus or may</w:t>
      </w:r>
      <w:r w:rsidRPr="00FE44CE">
        <w:t xml:space="preserve"> not cross the road with care</w:t>
      </w:r>
      <w:r w:rsidR="00D20EFA">
        <w:t xml:space="preserve"> when disembarking</w:t>
      </w:r>
      <w:r>
        <w:t xml:space="preserve">. </w:t>
      </w:r>
      <w:r w:rsidR="000D08EE">
        <w:t xml:space="preserve">This means that additional measures may be needed to ensure that children are </w:t>
      </w:r>
      <w:r w:rsidR="00E26AC6">
        <w:t>protected around school buses.</w:t>
      </w:r>
    </w:p>
    <w:p w14:paraId="3A7D9850" w14:textId="0A6E2FB1" w:rsidR="00BB070C" w:rsidRPr="00183E31" w:rsidRDefault="00E26AC6" w:rsidP="00BB070C">
      <w:r>
        <w:lastRenderedPageBreak/>
        <w:t xml:space="preserve">In the absence of any signs alerting motorists that the bus is a school bus or that there are children on board a bus, motorists may not be aware that there are children in the vicinity of the bus when the bus </w:t>
      </w:r>
      <w:r w:rsidR="008602A4">
        <w:t>is stopping to pick up or drop off passengers. A</w:t>
      </w:r>
      <w:r w:rsidR="00BB070C">
        <w:t xml:space="preserve"> stationary bus presents the highest risk of a motorist collision with a child passenger as this is when it is most likely a child is in the vicinity of a school bus to either board or </w:t>
      </w:r>
      <w:r w:rsidR="00BB070C" w:rsidRPr="00183E31">
        <w:t xml:space="preserve">disembark from the bus. </w:t>
      </w:r>
    </w:p>
    <w:p w14:paraId="7F49066F" w14:textId="538E853C" w:rsidR="00BB070C" w:rsidRDefault="00E26AC6" w:rsidP="00BB070C">
      <w:r>
        <w:t>T</w:t>
      </w:r>
      <w:r w:rsidR="00BB070C" w:rsidRPr="00183E31">
        <w:t>he Road Safety (Vehicles) Regulations 2009</w:t>
      </w:r>
      <w:r>
        <w:rPr>
          <w:rStyle w:val="FootnoteReference"/>
        </w:rPr>
        <w:footnoteReference w:id="7"/>
      </w:r>
      <w:r w:rsidR="00481485">
        <w:t xml:space="preserve"> (the Vehicles Regulations)</w:t>
      </w:r>
      <w:r w:rsidR="00BB070C" w:rsidRPr="00183E31">
        <w:t xml:space="preserve"> specify</w:t>
      </w:r>
      <w:r w:rsidR="00BB070C">
        <w:t xml:space="preserve"> </w:t>
      </w:r>
      <w:r w:rsidR="00F82DA9">
        <w:t xml:space="preserve">requirements for </w:t>
      </w:r>
      <w:r w:rsidR="00BB070C" w:rsidRPr="00183E31">
        <w:t xml:space="preserve">warning lights and signs for buses mainly used for carrying children if the bus is fitted with </w:t>
      </w:r>
      <w:r w:rsidR="006A1990">
        <w:t>these devices</w:t>
      </w:r>
      <w:r w:rsidR="006A1990" w:rsidRPr="00183E31">
        <w:t xml:space="preserve"> </w:t>
      </w:r>
      <w:r w:rsidR="00BB070C" w:rsidRPr="00183E31">
        <w:t>after June 1999.</w:t>
      </w:r>
      <w:r w:rsidR="00420DC2">
        <w:t xml:space="preserve"> Additionally, under the Vehicles Regulations, b</w:t>
      </w:r>
      <w:r w:rsidR="00481485">
        <w:t xml:space="preserve">uses with warning lights and signs </w:t>
      </w:r>
      <w:r w:rsidR="00420DC2">
        <w:t xml:space="preserve">fitted prior to July 1999 are permitted to </w:t>
      </w:r>
      <w:r w:rsidR="007F4DE4">
        <w:t>display one or more flashing yellow lights.</w:t>
      </w:r>
      <w:r w:rsidR="00481485">
        <w:t xml:space="preserve"> </w:t>
      </w:r>
      <w:r w:rsidR="007F4DE4">
        <w:t xml:space="preserve">The vehicle standards and requirements in the Vehicles Regulations apply to the registered owner of the vehicle. This may not necessarily be the bus operator that is responsible for </w:t>
      </w:r>
      <w:r w:rsidR="00CA3B0E">
        <w:t xml:space="preserve">the </w:t>
      </w:r>
      <w:r w:rsidR="007F4DE4">
        <w:t>service being provided.</w:t>
      </w:r>
    </w:p>
    <w:p w14:paraId="2F88CB35" w14:textId="429AC36C" w:rsidR="00BB070C" w:rsidRDefault="007F4DE4" w:rsidP="00BB070C">
      <w:r>
        <w:t>W</w:t>
      </w:r>
      <w:r w:rsidR="00BB070C">
        <w:t xml:space="preserve">hile there </w:t>
      </w:r>
      <w:r w:rsidR="00050D3B">
        <w:t xml:space="preserve">are requirements </w:t>
      </w:r>
      <w:r w:rsidR="00BC3AD2">
        <w:t>for</w:t>
      </w:r>
      <w:r w:rsidR="006E76A4">
        <w:t xml:space="preserve"> </w:t>
      </w:r>
      <w:r w:rsidR="00BB070C">
        <w:t>warning lights and signs</w:t>
      </w:r>
      <w:r w:rsidR="00050D3B">
        <w:t xml:space="preserve"> set out in</w:t>
      </w:r>
      <w:r w:rsidR="003A60B1">
        <w:t xml:space="preserve"> the</w:t>
      </w:r>
      <w:r w:rsidR="00050D3B">
        <w:t xml:space="preserve"> </w:t>
      </w:r>
      <w:r w:rsidR="00FD753A">
        <w:t>Vehicle</w:t>
      </w:r>
      <w:r>
        <w:t>s</w:t>
      </w:r>
      <w:r w:rsidR="00FD753A">
        <w:t xml:space="preserve"> Regulations</w:t>
      </w:r>
      <w:r w:rsidR="00BB070C">
        <w:t>, the risks of collision with a child passenger will only be mitigated if there is a requirement for the ongoing operation of lights or hazard warning lights.</w:t>
      </w:r>
      <w:r>
        <w:t xml:space="preserve"> This is not a requirement of the Vehicles Regulations.</w:t>
      </w:r>
    </w:p>
    <w:p w14:paraId="2DE885E6" w14:textId="098E4645" w:rsidR="00BB070C" w:rsidRDefault="008602A4" w:rsidP="00BB070C">
      <w:r>
        <w:t xml:space="preserve">Motorists should be alert to the possibility of children on or near the road when in the vicinity of a school bus. </w:t>
      </w:r>
      <w:r w:rsidR="00BB070C">
        <w:t xml:space="preserve">For this reason, it may be reasonable to prescribe additional safety requirements in relation to the operation of school buses to ensure the safety of school children. </w:t>
      </w:r>
    </w:p>
    <w:p w14:paraId="429878E5" w14:textId="28F59497" w:rsidR="008D1630" w:rsidRDefault="004F099D" w:rsidP="00BB070C">
      <w:r>
        <w:fldChar w:fldCharType="begin"/>
      </w:r>
      <w:r>
        <w:instrText xml:space="preserve"> REF _Ref36725641 \h  \* MERGEFORMAT </w:instrText>
      </w:r>
      <w:r>
        <w:fldChar w:fldCharType="separate"/>
      </w:r>
      <w:r w:rsidR="00277F6E" w:rsidRPr="00277F6E">
        <w:t>Table 3</w:t>
      </w:r>
      <w:r w:rsidR="00277F6E" w:rsidRPr="00277F6E">
        <w:noBreakHyphen/>
        <w:t>13</w:t>
      </w:r>
      <w:r>
        <w:fldChar w:fldCharType="end"/>
      </w:r>
      <w:r>
        <w:t xml:space="preserve"> </w:t>
      </w:r>
      <w:r w:rsidR="001C0371">
        <w:t xml:space="preserve">shows </w:t>
      </w:r>
      <w:r w:rsidR="00A90B4C">
        <w:t>in the past two years</w:t>
      </w:r>
      <w:r w:rsidR="0000408B">
        <w:t xml:space="preserve"> </w:t>
      </w:r>
      <w:r w:rsidR="00765DBF">
        <w:t xml:space="preserve">there </w:t>
      </w:r>
      <w:r w:rsidR="00A90B4C">
        <w:t xml:space="preserve">has been broad </w:t>
      </w:r>
      <w:r w:rsidR="00765DBF">
        <w:t xml:space="preserve">compliance with </w:t>
      </w:r>
      <w:r w:rsidR="003B77CC">
        <w:t>school bus</w:t>
      </w:r>
      <w:r w:rsidR="00765DBF">
        <w:t xml:space="preserve"> </w:t>
      </w:r>
      <w:r w:rsidR="00833F0A">
        <w:t xml:space="preserve">requirements in the </w:t>
      </w:r>
      <w:r w:rsidR="00765DBF">
        <w:t xml:space="preserve">current </w:t>
      </w:r>
      <w:r w:rsidR="003567DB">
        <w:t>R</w:t>
      </w:r>
      <w:r w:rsidR="00765DBF">
        <w:t>egulations</w:t>
      </w:r>
      <w:r w:rsidR="00762F26">
        <w:t>. A</w:t>
      </w:r>
      <w:r w:rsidR="00DB4070">
        <w:t xml:space="preserve">bout </w:t>
      </w:r>
      <w:r w:rsidR="001345C9">
        <w:t xml:space="preserve">5 per cent of buses inspected </w:t>
      </w:r>
      <w:r w:rsidR="00F823FD">
        <w:t xml:space="preserve">by TSV </w:t>
      </w:r>
      <w:r w:rsidR="00762F26">
        <w:t>for compliance with school bus requirement</w:t>
      </w:r>
      <w:r w:rsidR="00F823FD">
        <w:t>s</w:t>
      </w:r>
      <w:r w:rsidR="00762F26">
        <w:t xml:space="preserve"> </w:t>
      </w:r>
      <w:r w:rsidR="001345C9">
        <w:t xml:space="preserve">failed or had a defect notice issued. </w:t>
      </w:r>
    </w:p>
    <w:p w14:paraId="6EF37DDC" w14:textId="15AA714B" w:rsidR="008D1630" w:rsidRPr="005017A8" w:rsidRDefault="008D1630" w:rsidP="005E479A">
      <w:pPr>
        <w:pStyle w:val="Caption"/>
        <w:keepNext/>
        <w:spacing w:after="60"/>
        <w:rPr>
          <w:b/>
          <w:i w:val="0"/>
        </w:rPr>
      </w:pPr>
      <w:bookmarkStart w:id="361" w:name="_Ref36725641"/>
      <w:bookmarkStart w:id="362" w:name="_Toc44603390"/>
      <w:bookmarkStart w:id="363" w:name="_Toc44437365"/>
      <w:bookmarkStart w:id="364" w:name="_Toc44597436"/>
      <w:bookmarkStart w:id="365" w:name="_Toc44597500"/>
      <w:bookmarkStart w:id="366" w:name="_Toc44600070"/>
      <w:bookmarkStart w:id="367" w:name="_Toc44600525"/>
      <w:bookmarkStart w:id="368" w:name="_Toc44600692"/>
      <w:bookmarkStart w:id="369" w:name="_Toc44601189"/>
      <w:bookmarkStart w:id="370" w:name="_Toc44601242"/>
      <w:bookmarkStart w:id="371" w:name="_Toc45704438"/>
      <w:r w:rsidRPr="005017A8">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13</w:t>
      </w:r>
      <w:r w:rsidR="00D2483C">
        <w:rPr>
          <w:b/>
          <w:i w:val="0"/>
        </w:rPr>
        <w:fldChar w:fldCharType="end"/>
      </w:r>
      <w:bookmarkEnd w:id="361"/>
      <w:r w:rsidRPr="005017A8">
        <w:rPr>
          <w:b/>
          <w:i w:val="0"/>
        </w:rPr>
        <w:t xml:space="preserve">: </w:t>
      </w:r>
      <w:r w:rsidRPr="00D722A4">
        <w:rPr>
          <w:b/>
          <w:i w:val="0"/>
        </w:rPr>
        <w:t>Compliance inspection</w:t>
      </w:r>
      <w:r>
        <w:rPr>
          <w:b/>
          <w:i w:val="0"/>
        </w:rPr>
        <w:t xml:space="preserve"> outcomes</w:t>
      </w:r>
      <w:r w:rsidRPr="00D722A4">
        <w:rPr>
          <w:b/>
          <w:i w:val="0"/>
        </w:rPr>
        <w:t xml:space="preserve"> relating to</w:t>
      </w:r>
      <w:r>
        <w:rPr>
          <w:b/>
          <w:i w:val="0"/>
        </w:rPr>
        <w:t xml:space="preserve"> school bus lights</w:t>
      </w:r>
      <w:r w:rsidR="00CC23AE">
        <w:rPr>
          <w:b/>
          <w:i w:val="0"/>
        </w:rPr>
        <w:t xml:space="preserve"> – 2018-2019</w:t>
      </w:r>
      <w:bookmarkEnd w:id="362"/>
      <w:bookmarkEnd w:id="363"/>
      <w:bookmarkEnd w:id="364"/>
      <w:bookmarkEnd w:id="365"/>
      <w:bookmarkEnd w:id="366"/>
      <w:bookmarkEnd w:id="367"/>
      <w:bookmarkEnd w:id="368"/>
      <w:bookmarkEnd w:id="369"/>
      <w:bookmarkEnd w:id="370"/>
      <w:bookmarkEnd w:id="371"/>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397"/>
        <w:gridCol w:w="1872"/>
        <w:gridCol w:w="1873"/>
        <w:gridCol w:w="1873"/>
      </w:tblGrid>
      <w:tr w:rsidR="008D1630" w:rsidRPr="00CD0A51" w14:paraId="5ABD2D98" w14:textId="77777777" w:rsidTr="00FC11B4">
        <w:trPr>
          <w:cantSplit/>
          <w:trHeight w:val="285"/>
        </w:trPr>
        <w:tc>
          <w:tcPr>
            <w:tcW w:w="3397" w:type="dxa"/>
            <w:shd w:val="clear" w:color="auto" w:fill="D6ECED"/>
            <w:noWrap/>
            <w:tcMar>
              <w:top w:w="15" w:type="dxa"/>
              <w:left w:w="15" w:type="dxa"/>
              <w:bottom w:w="0" w:type="dxa"/>
              <w:right w:w="15" w:type="dxa"/>
            </w:tcMar>
            <w:vAlign w:val="bottom"/>
            <w:hideMark/>
          </w:tcPr>
          <w:p w14:paraId="0E306566" w14:textId="77777777" w:rsidR="008D1630" w:rsidRPr="008D2CDA" w:rsidRDefault="008D1630" w:rsidP="00FC11B4">
            <w:pPr>
              <w:keepNext/>
              <w:spacing w:before="60" w:after="60"/>
              <w:ind w:left="119"/>
              <w:rPr>
                <w:rFonts w:eastAsia="Times New Roman" w:cstheme="minorHAnsi"/>
                <w:b/>
                <w:bCs/>
                <w:color w:val="000000"/>
                <w:sz w:val="18"/>
                <w:lang w:eastAsia="en-AU"/>
              </w:rPr>
            </w:pPr>
            <w:r>
              <w:rPr>
                <w:rFonts w:eastAsia="Times New Roman" w:cstheme="minorHAnsi"/>
                <w:b/>
                <w:bCs/>
                <w:color w:val="000000"/>
                <w:sz w:val="18"/>
                <w:lang w:eastAsia="en-AU"/>
              </w:rPr>
              <w:t>Year</w:t>
            </w:r>
          </w:p>
        </w:tc>
        <w:tc>
          <w:tcPr>
            <w:tcW w:w="1872" w:type="dxa"/>
            <w:shd w:val="clear" w:color="auto" w:fill="D6ECED"/>
            <w:noWrap/>
            <w:tcMar>
              <w:top w:w="15" w:type="dxa"/>
              <w:left w:w="15" w:type="dxa"/>
              <w:bottom w:w="0" w:type="dxa"/>
              <w:right w:w="15" w:type="dxa"/>
            </w:tcMar>
            <w:vAlign w:val="bottom"/>
            <w:hideMark/>
          </w:tcPr>
          <w:p w14:paraId="71AEB2EC" w14:textId="77777777" w:rsidR="008D1630" w:rsidRPr="008D2CDA" w:rsidRDefault="008D1630" w:rsidP="00FC11B4">
            <w:pPr>
              <w:keepNext/>
              <w:spacing w:before="60" w:after="60"/>
              <w:jc w:val="center"/>
              <w:rPr>
                <w:rFonts w:eastAsia="Times New Roman" w:cstheme="minorHAnsi"/>
                <w:b/>
                <w:bCs/>
                <w:color w:val="000000"/>
                <w:sz w:val="18"/>
                <w:lang w:eastAsia="en-AU"/>
              </w:rPr>
            </w:pPr>
            <w:r w:rsidRPr="008D2CDA">
              <w:rPr>
                <w:rFonts w:eastAsia="Times New Roman" w:cstheme="minorHAnsi"/>
                <w:b/>
                <w:bCs/>
                <w:color w:val="000000"/>
                <w:sz w:val="18"/>
                <w:lang w:eastAsia="en-AU"/>
              </w:rPr>
              <w:t>2018</w:t>
            </w:r>
          </w:p>
        </w:tc>
        <w:tc>
          <w:tcPr>
            <w:tcW w:w="1873" w:type="dxa"/>
            <w:shd w:val="clear" w:color="auto" w:fill="D6ECED"/>
            <w:noWrap/>
            <w:tcMar>
              <w:top w:w="15" w:type="dxa"/>
              <w:left w:w="15" w:type="dxa"/>
              <w:bottom w:w="0" w:type="dxa"/>
              <w:right w:w="15" w:type="dxa"/>
            </w:tcMar>
            <w:vAlign w:val="bottom"/>
            <w:hideMark/>
          </w:tcPr>
          <w:p w14:paraId="561302C4" w14:textId="77777777" w:rsidR="008D1630" w:rsidRPr="008D2CDA" w:rsidRDefault="008D1630" w:rsidP="00FC11B4">
            <w:pPr>
              <w:keepNext/>
              <w:spacing w:before="60" w:after="60"/>
              <w:jc w:val="center"/>
              <w:rPr>
                <w:rFonts w:eastAsia="Times New Roman" w:cstheme="minorHAnsi"/>
                <w:b/>
                <w:bCs/>
                <w:color w:val="000000"/>
                <w:sz w:val="18"/>
                <w:lang w:eastAsia="en-AU"/>
              </w:rPr>
            </w:pPr>
            <w:r w:rsidRPr="008D2CDA">
              <w:rPr>
                <w:rFonts w:eastAsia="Times New Roman" w:cstheme="minorHAnsi"/>
                <w:b/>
                <w:bCs/>
                <w:color w:val="000000"/>
                <w:sz w:val="18"/>
                <w:lang w:eastAsia="en-AU"/>
              </w:rPr>
              <w:t>2019</w:t>
            </w:r>
          </w:p>
        </w:tc>
        <w:tc>
          <w:tcPr>
            <w:tcW w:w="1873" w:type="dxa"/>
            <w:shd w:val="clear" w:color="auto" w:fill="D6ECED"/>
          </w:tcPr>
          <w:p w14:paraId="325DFCEF" w14:textId="77777777" w:rsidR="008D1630" w:rsidRPr="008D2CDA" w:rsidRDefault="008D1630" w:rsidP="00FC11B4">
            <w:pPr>
              <w:keepNext/>
              <w:spacing w:before="60" w:after="60"/>
              <w:jc w:val="center"/>
              <w:rPr>
                <w:rFonts w:eastAsia="Times New Roman" w:cstheme="minorHAnsi"/>
                <w:b/>
                <w:bCs/>
                <w:color w:val="000000"/>
                <w:sz w:val="18"/>
                <w:lang w:eastAsia="en-AU"/>
              </w:rPr>
            </w:pPr>
            <w:r>
              <w:rPr>
                <w:rFonts w:eastAsia="Times New Roman" w:cstheme="minorHAnsi"/>
                <w:b/>
                <w:bCs/>
                <w:color w:val="000000"/>
                <w:sz w:val="18"/>
                <w:lang w:eastAsia="en-AU"/>
              </w:rPr>
              <w:t>Total</w:t>
            </w:r>
          </w:p>
        </w:tc>
      </w:tr>
      <w:tr w:rsidR="008D1630" w:rsidRPr="00CD0A51" w14:paraId="6BE2C8B5" w14:textId="77777777" w:rsidTr="00FC11B4">
        <w:trPr>
          <w:cantSplit/>
          <w:trHeight w:val="285"/>
        </w:trPr>
        <w:tc>
          <w:tcPr>
            <w:tcW w:w="3397" w:type="dxa"/>
            <w:shd w:val="clear" w:color="auto" w:fill="auto"/>
            <w:noWrap/>
            <w:tcMar>
              <w:top w:w="15" w:type="dxa"/>
              <w:left w:w="15" w:type="dxa"/>
              <w:bottom w:w="0" w:type="dxa"/>
              <w:right w:w="15" w:type="dxa"/>
            </w:tcMar>
            <w:vAlign w:val="bottom"/>
          </w:tcPr>
          <w:p w14:paraId="268B1914" w14:textId="77777777" w:rsidR="008D1630" w:rsidRPr="00CD0A51" w:rsidRDefault="008D1630" w:rsidP="00FC11B4">
            <w:pPr>
              <w:keepNext/>
              <w:spacing w:before="60" w:after="60"/>
              <w:ind w:left="119"/>
              <w:rPr>
                <w:rFonts w:eastAsia="Times New Roman" w:cstheme="minorHAnsi"/>
                <w:color w:val="000000"/>
                <w:sz w:val="18"/>
                <w:lang w:eastAsia="en-AU"/>
              </w:rPr>
            </w:pPr>
            <w:r w:rsidRPr="00FC47BD">
              <w:rPr>
                <w:rFonts w:eastAsia="Times New Roman" w:cstheme="minorHAnsi"/>
                <w:color w:val="000000"/>
                <w:sz w:val="18"/>
                <w:lang w:eastAsia="en-AU"/>
              </w:rPr>
              <w:t>Pass</w:t>
            </w:r>
          </w:p>
        </w:tc>
        <w:tc>
          <w:tcPr>
            <w:tcW w:w="1872" w:type="dxa"/>
            <w:shd w:val="clear" w:color="auto" w:fill="auto"/>
            <w:noWrap/>
            <w:tcMar>
              <w:top w:w="15" w:type="dxa"/>
              <w:left w:w="15" w:type="dxa"/>
              <w:bottom w:w="0" w:type="dxa"/>
              <w:right w:w="15" w:type="dxa"/>
            </w:tcMar>
            <w:vAlign w:val="bottom"/>
          </w:tcPr>
          <w:p w14:paraId="414DED95" w14:textId="77777777" w:rsidR="008D1630" w:rsidRPr="00CD0A51" w:rsidRDefault="008D1630" w:rsidP="00FC11B4">
            <w:pPr>
              <w:keepNext/>
              <w:spacing w:before="60" w:after="60"/>
              <w:ind w:right="130"/>
              <w:jc w:val="right"/>
              <w:rPr>
                <w:rFonts w:eastAsia="Times New Roman" w:cstheme="minorHAnsi"/>
                <w:color w:val="000000"/>
                <w:sz w:val="18"/>
                <w:lang w:eastAsia="en-AU"/>
              </w:rPr>
            </w:pPr>
            <w:r w:rsidRPr="00FC47BD">
              <w:rPr>
                <w:rFonts w:eastAsia="Times New Roman" w:cstheme="minorHAnsi"/>
                <w:color w:val="000000"/>
                <w:sz w:val="18"/>
                <w:lang w:eastAsia="en-AU"/>
              </w:rPr>
              <w:t>117</w:t>
            </w:r>
          </w:p>
        </w:tc>
        <w:tc>
          <w:tcPr>
            <w:tcW w:w="1873" w:type="dxa"/>
            <w:shd w:val="clear" w:color="auto" w:fill="auto"/>
            <w:noWrap/>
            <w:tcMar>
              <w:top w:w="15" w:type="dxa"/>
              <w:left w:w="15" w:type="dxa"/>
              <w:bottom w:w="0" w:type="dxa"/>
              <w:right w:w="15" w:type="dxa"/>
            </w:tcMar>
            <w:vAlign w:val="bottom"/>
          </w:tcPr>
          <w:p w14:paraId="65A03462" w14:textId="77777777" w:rsidR="008D1630" w:rsidRPr="00CD0A51" w:rsidRDefault="008D1630" w:rsidP="00FC11B4">
            <w:pPr>
              <w:keepNext/>
              <w:spacing w:before="60" w:after="60"/>
              <w:ind w:right="130"/>
              <w:jc w:val="right"/>
              <w:rPr>
                <w:rFonts w:eastAsia="Times New Roman" w:cstheme="minorHAnsi"/>
                <w:color w:val="000000"/>
                <w:sz w:val="18"/>
                <w:lang w:eastAsia="en-AU"/>
              </w:rPr>
            </w:pPr>
            <w:r w:rsidRPr="00FC47BD">
              <w:rPr>
                <w:rFonts w:eastAsia="Times New Roman" w:cstheme="minorHAnsi"/>
                <w:color w:val="000000"/>
                <w:sz w:val="18"/>
                <w:lang w:eastAsia="en-AU"/>
              </w:rPr>
              <w:t>151</w:t>
            </w:r>
          </w:p>
        </w:tc>
        <w:tc>
          <w:tcPr>
            <w:tcW w:w="1873" w:type="dxa"/>
          </w:tcPr>
          <w:p w14:paraId="4E0689D6" w14:textId="77777777" w:rsidR="008D1630" w:rsidRPr="00742996" w:rsidRDefault="008D1630" w:rsidP="00FC11B4">
            <w:pPr>
              <w:keepNext/>
              <w:spacing w:before="60" w:after="60"/>
              <w:ind w:right="130"/>
              <w:jc w:val="right"/>
              <w:rPr>
                <w:rFonts w:eastAsia="Times New Roman" w:cstheme="minorHAnsi"/>
                <w:b/>
                <w:bCs/>
                <w:color w:val="000000"/>
                <w:sz w:val="18"/>
                <w:lang w:eastAsia="en-AU"/>
              </w:rPr>
            </w:pPr>
            <w:r w:rsidRPr="00742996">
              <w:rPr>
                <w:rFonts w:eastAsia="Times New Roman" w:cstheme="minorHAnsi"/>
                <w:b/>
                <w:bCs/>
                <w:color w:val="000000"/>
                <w:sz w:val="18"/>
                <w:lang w:eastAsia="en-AU"/>
              </w:rPr>
              <w:t>268</w:t>
            </w:r>
          </w:p>
        </w:tc>
      </w:tr>
      <w:tr w:rsidR="008D1630" w:rsidRPr="00CD0A51" w14:paraId="11136CB7" w14:textId="77777777" w:rsidTr="00FC11B4">
        <w:trPr>
          <w:cantSplit/>
          <w:trHeight w:val="285"/>
        </w:trPr>
        <w:tc>
          <w:tcPr>
            <w:tcW w:w="3397" w:type="dxa"/>
            <w:shd w:val="clear" w:color="auto" w:fill="auto"/>
            <w:noWrap/>
            <w:tcMar>
              <w:top w:w="15" w:type="dxa"/>
              <w:left w:w="15" w:type="dxa"/>
              <w:bottom w:w="0" w:type="dxa"/>
              <w:right w:w="15" w:type="dxa"/>
            </w:tcMar>
            <w:vAlign w:val="bottom"/>
            <w:hideMark/>
          </w:tcPr>
          <w:p w14:paraId="763AAC28" w14:textId="77777777" w:rsidR="008D1630" w:rsidRPr="008D2CDA" w:rsidRDefault="008D1630" w:rsidP="00FC11B4">
            <w:pPr>
              <w:keepNext/>
              <w:spacing w:before="60" w:after="60"/>
              <w:ind w:left="119"/>
              <w:rPr>
                <w:rFonts w:eastAsia="Times New Roman" w:cstheme="minorHAnsi"/>
                <w:color w:val="000000"/>
                <w:sz w:val="18"/>
                <w:lang w:eastAsia="en-AU"/>
              </w:rPr>
            </w:pPr>
            <w:r w:rsidRPr="008D2CDA">
              <w:rPr>
                <w:rFonts w:eastAsia="Times New Roman" w:cstheme="minorHAnsi"/>
                <w:color w:val="000000"/>
                <w:sz w:val="18"/>
                <w:lang w:eastAsia="en-AU"/>
              </w:rPr>
              <w:t>Defect Issued</w:t>
            </w:r>
          </w:p>
        </w:tc>
        <w:tc>
          <w:tcPr>
            <w:tcW w:w="1872" w:type="dxa"/>
            <w:shd w:val="clear" w:color="auto" w:fill="auto"/>
            <w:noWrap/>
            <w:tcMar>
              <w:top w:w="15" w:type="dxa"/>
              <w:left w:w="15" w:type="dxa"/>
              <w:bottom w:w="0" w:type="dxa"/>
              <w:right w:w="15" w:type="dxa"/>
            </w:tcMar>
            <w:vAlign w:val="bottom"/>
            <w:hideMark/>
          </w:tcPr>
          <w:p w14:paraId="43EB63A8" w14:textId="77777777" w:rsidR="008D1630" w:rsidRPr="008D2CDA" w:rsidRDefault="008D1630" w:rsidP="00FC11B4">
            <w:pPr>
              <w:keepNext/>
              <w:spacing w:before="60" w:after="60"/>
              <w:ind w:right="130"/>
              <w:jc w:val="right"/>
              <w:rPr>
                <w:rFonts w:eastAsia="Times New Roman" w:cstheme="minorHAnsi"/>
                <w:color w:val="000000"/>
                <w:sz w:val="18"/>
                <w:lang w:eastAsia="en-AU"/>
              </w:rPr>
            </w:pPr>
            <w:r w:rsidRPr="008D2CDA">
              <w:rPr>
                <w:rFonts w:eastAsia="Times New Roman" w:cstheme="minorHAnsi"/>
                <w:color w:val="000000"/>
                <w:sz w:val="18"/>
                <w:lang w:eastAsia="en-AU"/>
              </w:rPr>
              <w:t>3</w:t>
            </w:r>
          </w:p>
        </w:tc>
        <w:tc>
          <w:tcPr>
            <w:tcW w:w="1873" w:type="dxa"/>
            <w:shd w:val="clear" w:color="auto" w:fill="auto"/>
            <w:noWrap/>
            <w:tcMar>
              <w:top w:w="15" w:type="dxa"/>
              <w:left w:w="15" w:type="dxa"/>
              <w:bottom w:w="0" w:type="dxa"/>
              <w:right w:w="15" w:type="dxa"/>
            </w:tcMar>
            <w:vAlign w:val="bottom"/>
            <w:hideMark/>
          </w:tcPr>
          <w:p w14:paraId="385AF7E0" w14:textId="77777777" w:rsidR="008D1630" w:rsidRPr="008D2CDA" w:rsidRDefault="008D1630" w:rsidP="00FC11B4">
            <w:pPr>
              <w:keepNext/>
              <w:spacing w:before="60" w:after="60"/>
              <w:ind w:right="130"/>
              <w:jc w:val="right"/>
              <w:rPr>
                <w:rFonts w:eastAsia="Times New Roman" w:cstheme="minorHAnsi"/>
                <w:color w:val="000000"/>
                <w:sz w:val="18"/>
                <w:lang w:eastAsia="en-AU"/>
              </w:rPr>
            </w:pPr>
          </w:p>
        </w:tc>
        <w:tc>
          <w:tcPr>
            <w:tcW w:w="1873" w:type="dxa"/>
          </w:tcPr>
          <w:p w14:paraId="14E43008" w14:textId="77777777" w:rsidR="008D1630" w:rsidRPr="00742996" w:rsidRDefault="008D1630" w:rsidP="00FC11B4">
            <w:pPr>
              <w:keepNext/>
              <w:spacing w:before="60" w:after="60"/>
              <w:ind w:right="130"/>
              <w:jc w:val="right"/>
              <w:rPr>
                <w:rFonts w:eastAsia="Times New Roman" w:cstheme="minorHAnsi"/>
                <w:b/>
                <w:bCs/>
                <w:color w:val="000000"/>
                <w:sz w:val="18"/>
                <w:lang w:eastAsia="en-AU"/>
              </w:rPr>
            </w:pPr>
            <w:r w:rsidRPr="00742996">
              <w:rPr>
                <w:rFonts w:eastAsia="Times New Roman" w:cstheme="minorHAnsi"/>
                <w:b/>
                <w:bCs/>
                <w:color w:val="000000"/>
                <w:sz w:val="18"/>
                <w:lang w:eastAsia="en-AU"/>
              </w:rPr>
              <w:t>3</w:t>
            </w:r>
          </w:p>
        </w:tc>
      </w:tr>
      <w:tr w:rsidR="008D1630" w:rsidRPr="00CD0A51" w14:paraId="3F58C7DA" w14:textId="77777777" w:rsidTr="00FC11B4">
        <w:trPr>
          <w:cantSplit/>
          <w:trHeight w:val="285"/>
        </w:trPr>
        <w:tc>
          <w:tcPr>
            <w:tcW w:w="3397" w:type="dxa"/>
            <w:shd w:val="clear" w:color="auto" w:fill="auto"/>
            <w:noWrap/>
            <w:tcMar>
              <w:top w:w="15" w:type="dxa"/>
              <w:left w:w="15" w:type="dxa"/>
              <w:bottom w:w="0" w:type="dxa"/>
              <w:right w:w="15" w:type="dxa"/>
            </w:tcMar>
            <w:vAlign w:val="bottom"/>
            <w:hideMark/>
          </w:tcPr>
          <w:p w14:paraId="313E58BC" w14:textId="77777777" w:rsidR="008D1630" w:rsidRPr="008D2CDA" w:rsidRDefault="008D1630" w:rsidP="00FC11B4">
            <w:pPr>
              <w:keepNext/>
              <w:spacing w:before="60" w:after="60"/>
              <w:ind w:left="119"/>
              <w:rPr>
                <w:rFonts w:eastAsia="Times New Roman" w:cstheme="minorHAnsi"/>
                <w:color w:val="000000"/>
                <w:sz w:val="18"/>
                <w:lang w:eastAsia="en-AU"/>
              </w:rPr>
            </w:pPr>
            <w:r w:rsidRPr="008D2CDA">
              <w:rPr>
                <w:rFonts w:eastAsia="Times New Roman" w:cstheme="minorHAnsi"/>
                <w:color w:val="000000"/>
                <w:sz w:val="18"/>
                <w:lang w:eastAsia="en-AU"/>
              </w:rPr>
              <w:t>Fail</w:t>
            </w:r>
          </w:p>
        </w:tc>
        <w:tc>
          <w:tcPr>
            <w:tcW w:w="1872" w:type="dxa"/>
            <w:shd w:val="clear" w:color="auto" w:fill="auto"/>
            <w:noWrap/>
            <w:tcMar>
              <w:top w:w="15" w:type="dxa"/>
              <w:left w:w="15" w:type="dxa"/>
              <w:bottom w:w="0" w:type="dxa"/>
              <w:right w:w="15" w:type="dxa"/>
            </w:tcMar>
            <w:vAlign w:val="bottom"/>
            <w:hideMark/>
          </w:tcPr>
          <w:p w14:paraId="3FDEFD3D" w14:textId="77777777" w:rsidR="008D1630" w:rsidRPr="008D2CDA" w:rsidRDefault="008D1630" w:rsidP="00FC11B4">
            <w:pPr>
              <w:keepNext/>
              <w:spacing w:before="60" w:after="60"/>
              <w:ind w:right="130"/>
              <w:jc w:val="right"/>
              <w:rPr>
                <w:rFonts w:eastAsia="Times New Roman" w:cstheme="minorHAnsi"/>
                <w:color w:val="000000"/>
                <w:sz w:val="18"/>
                <w:lang w:eastAsia="en-AU"/>
              </w:rPr>
            </w:pPr>
            <w:r w:rsidRPr="008D2CDA">
              <w:rPr>
                <w:rFonts w:eastAsia="Times New Roman" w:cstheme="minorHAnsi"/>
                <w:color w:val="000000"/>
                <w:sz w:val="18"/>
                <w:lang w:eastAsia="en-AU"/>
              </w:rPr>
              <w:t>3</w:t>
            </w:r>
          </w:p>
        </w:tc>
        <w:tc>
          <w:tcPr>
            <w:tcW w:w="1873" w:type="dxa"/>
            <w:shd w:val="clear" w:color="auto" w:fill="auto"/>
            <w:noWrap/>
            <w:tcMar>
              <w:top w:w="15" w:type="dxa"/>
              <w:left w:w="15" w:type="dxa"/>
              <w:bottom w:w="0" w:type="dxa"/>
              <w:right w:w="15" w:type="dxa"/>
            </w:tcMar>
            <w:vAlign w:val="bottom"/>
            <w:hideMark/>
          </w:tcPr>
          <w:p w14:paraId="68A5D7F0" w14:textId="77777777" w:rsidR="008D1630" w:rsidRPr="008D2CDA" w:rsidRDefault="008D1630" w:rsidP="00FC11B4">
            <w:pPr>
              <w:keepNext/>
              <w:spacing w:before="60" w:after="60"/>
              <w:ind w:right="130"/>
              <w:jc w:val="right"/>
              <w:rPr>
                <w:rFonts w:eastAsia="Times New Roman" w:cstheme="minorHAnsi"/>
                <w:color w:val="000000"/>
                <w:sz w:val="18"/>
                <w:lang w:eastAsia="en-AU"/>
              </w:rPr>
            </w:pPr>
            <w:r w:rsidRPr="008D2CDA">
              <w:rPr>
                <w:rFonts w:eastAsia="Times New Roman" w:cstheme="minorHAnsi"/>
                <w:color w:val="000000"/>
                <w:sz w:val="18"/>
                <w:lang w:eastAsia="en-AU"/>
              </w:rPr>
              <w:t>7</w:t>
            </w:r>
          </w:p>
        </w:tc>
        <w:tc>
          <w:tcPr>
            <w:tcW w:w="1873" w:type="dxa"/>
          </w:tcPr>
          <w:p w14:paraId="3D59F6AB" w14:textId="77777777" w:rsidR="008D1630" w:rsidRPr="00742996" w:rsidRDefault="008D1630" w:rsidP="00FC11B4">
            <w:pPr>
              <w:keepNext/>
              <w:spacing w:before="60" w:after="60"/>
              <w:ind w:right="130"/>
              <w:jc w:val="right"/>
              <w:rPr>
                <w:rFonts w:eastAsia="Times New Roman" w:cstheme="minorHAnsi"/>
                <w:b/>
                <w:bCs/>
                <w:color w:val="000000"/>
                <w:sz w:val="18"/>
                <w:lang w:eastAsia="en-AU"/>
              </w:rPr>
            </w:pPr>
            <w:r w:rsidRPr="00742996">
              <w:rPr>
                <w:rFonts w:eastAsia="Times New Roman" w:cstheme="minorHAnsi"/>
                <w:b/>
                <w:bCs/>
                <w:color w:val="000000"/>
                <w:sz w:val="18"/>
                <w:lang w:eastAsia="en-AU"/>
              </w:rPr>
              <w:t>10</w:t>
            </w:r>
          </w:p>
        </w:tc>
      </w:tr>
      <w:tr w:rsidR="008D1630" w:rsidRPr="00CD0A51" w14:paraId="50176091" w14:textId="77777777" w:rsidTr="00FC11B4">
        <w:trPr>
          <w:cantSplit/>
          <w:trHeight w:val="285"/>
        </w:trPr>
        <w:tc>
          <w:tcPr>
            <w:tcW w:w="3397" w:type="dxa"/>
            <w:shd w:val="clear" w:color="auto" w:fill="D6ECED"/>
            <w:noWrap/>
            <w:tcMar>
              <w:top w:w="15" w:type="dxa"/>
              <w:left w:w="15" w:type="dxa"/>
              <w:bottom w:w="0" w:type="dxa"/>
              <w:right w:w="15" w:type="dxa"/>
            </w:tcMar>
            <w:vAlign w:val="bottom"/>
            <w:hideMark/>
          </w:tcPr>
          <w:p w14:paraId="559F07F3" w14:textId="77777777" w:rsidR="008D1630" w:rsidRPr="008D2CDA" w:rsidRDefault="008D1630" w:rsidP="00FC11B4">
            <w:pPr>
              <w:keepNext/>
              <w:spacing w:before="60" w:after="60"/>
              <w:ind w:left="119"/>
              <w:rPr>
                <w:rFonts w:eastAsia="Times New Roman" w:cstheme="minorHAnsi"/>
                <w:b/>
                <w:bCs/>
                <w:color w:val="000000"/>
                <w:sz w:val="18"/>
                <w:lang w:eastAsia="en-AU"/>
              </w:rPr>
            </w:pPr>
            <w:r w:rsidRPr="008D2CDA">
              <w:rPr>
                <w:rFonts w:eastAsia="Times New Roman" w:cstheme="minorHAnsi"/>
                <w:b/>
                <w:bCs/>
                <w:color w:val="000000"/>
                <w:sz w:val="18"/>
                <w:lang w:eastAsia="en-AU"/>
              </w:rPr>
              <w:t>Total</w:t>
            </w:r>
          </w:p>
        </w:tc>
        <w:tc>
          <w:tcPr>
            <w:tcW w:w="1872" w:type="dxa"/>
            <w:shd w:val="clear" w:color="auto" w:fill="D6ECED"/>
            <w:noWrap/>
            <w:tcMar>
              <w:top w:w="15" w:type="dxa"/>
              <w:left w:w="15" w:type="dxa"/>
              <w:bottom w:w="0" w:type="dxa"/>
              <w:right w:w="15" w:type="dxa"/>
            </w:tcMar>
            <w:vAlign w:val="bottom"/>
            <w:hideMark/>
          </w:tcPr>
          <w:p w14:paraId="5100E452" w14:textId="77777777" w:rsidR="008D1630" w:rsidRPr="008D2CDA" w:rsidRDefault="008D1630" w:rsidP="00FC11B4">
            <w:pPr>
              <w:keepNext/>
              <w:spacing w:before="60" w:after="60"/>
              <w:ind w:left="127" w:right="63"/>
              <w:jc w:val="right"/>
              <w:rPr>
                <w:rFonts w:eastAsia="Times New Roman" w:cstheme="minorHAnsi"/>
                <w:b/>
                <w:bCs/>
                <w:color w:val="000000"/>
                <w:sz w:val="18"/>
                <w:lang w:eastAsia="en-AU"/>
              </w:rPr>
            </w:pPr>
            <w:r w:rsidRPr="008D2CDA">
              <w:rPr>
                <w:rFonts w:eastAsia="Times New Roman" w:cstheme="minorHAnsi"/>
                <w:b/>
                <w:bCs/>
                <w:color w:val="000000"/>
                <w:sz w:val="18"/>
                <w:lang w:eastAsia="en-AU"/>
              </w:rPr>
              <w:t>155</w:t>
            </w:r>
          </w:p>
        </w:tc>
        <w:tc>
          <w:tcPr>
            <w:tcW w:w="1873" w:type="dxa"/>
            <w:shd w:val="clear" w:color="auto" w:fill="D6ECED"/>
            <w:noWrap/>
            <w:tcMar>
              <w:top w:w="15" w:type="dxa"/>
              <w:left w:w="15" w:type="dxa"/>
              <w:bottom w:w="0" w:type="dxa"/>
              <w:right w:w="15" w:type="dxa"/>
            </w:tcMar>
            <w:vAlign w:val="bottom"/>
            <w:hideMark/>
          </w:tcPr>
          <w:p w14:paraId="2A43FEF9" w14:textId="77777777" w:rsidR="008D1630" w:rsidRPr="008D2CDA" w:rsidRDefault="008D1630" w:rsidP="00FC11B4">
            <w:pPr>
              <w:keepNext/>
              <w:spacing w:before="60" w:after="60"/>
              <w:ind w:left="127" w:right="63"/>
              <w:jc w:val="right"/>
              <w:rPr>
                <w:rFonts w:eastAsia="Times New Roman" w:cstheme="minorHAnsi"/>
                <w:b/>
                <w:bCs/>
                <w:color w:val="000000"/>
                <w:sz w:val="18"/>
                <w:lang w:eastAsia="en-AU"/>
              </w:rPr>
            </w:pPr>
            <w:r w:rsidRPr="008D2CDA">
              <w:rPr>
                <w:rFonts w:eastAsia="Times New Roman" w:cstheme="minorHAnsi"/>
                <w:b/>
                <w:bCs/>
                <w:color w:val="000000"/>
                <w:sz w:val="18"/>
                <w:lang w:eastAsia="en-AU"/>
              </w:rPr>
              <w:t>236</w:t>
            </w:r>
          </w:p>
        </w:tc>
        <w:tc>
          <w:tcPr>
            <w:tcW w:w="1873" w:type="dxa"/>
            <w:shd w:val="clear" w:color="auto" w:fill="D6ECED"/>
          </w:tcPr>
          <w:p w14:paraId="0D99607D" w14:textId="77777777" w:rsidR="008D1630" w:rsidRPr="008D2CDA" w:rsidRDefault="008D1630" w:rsidP="00FC11B4">
            <w:pPr>
              <w:keepNext/>
              <w:spacing w:before="60" w:after="60"/>
              <w:jc w:val="right"/>
              <w:rPr>
                <w:rFonts w:eastAsia="Times New Roman" w:cstheme="minorHAnsi"/>
                <w:b/>
                <w:bCs/>
                <w:color w:val="000000"/>
                <w:sz w:val="18"/>
                <w:lang w:eastAsia="en-AU"/>
              </w:rPr>
            </w:pPr>
          </w:p>
        </w:tc>
      </w:tr>
    </w:tbl>
    <w:p w14:paraId="171D6462" w14:textId="6B624568" w:rsidR="00CE0F30" w:rsidRPr="00CE0F30" w:rsidRDefault="00CE0F30" w:rsidP="00CE0F30">
      <w:pPr>
        <w:spacing w:before="40"/>
        <w:rPr>
          <w:sz w:val="16"/>
          <w:szCs w:val="16"/>
        </w:rPr>
      </w:pPr>
      <w:bookmarkStart w:id="372" w:name="_Toc32909794"/>
      <w:r w:rsidRPr="00CE0F30">
        <w:rPr>
          <w:sz w:val="16"/>
          <w:szCs w:val="16"/>
        </w:rPr>
        <w:t>Source: TSV</w:t>
      </w:r>
    </w:p>
    <w:p w14:paraId="2C1C40B0" w14:textId="2A804D2C" w:rsidR="00045E7D" w:rsidRDefault="000D6E55" w:rsidP="00E022BD">
      <w:pPr>
        <w:pStyle w:val="Heading2"/>
        <w:tabs>
          <w:tab w:val="num" w:pos="709"/>
        </w:tabs>
        <w:ind w:left="709" w:hanging="709"/>
      </w:pPr>
      <w:bookmarkStart w:id="373" w:name="_Toc45704344"/>
      <w:r>
        <w:t>P</w:t>
      </w:r>
      <w:r w:rsidR="00045E7D">
        <w:t>ermission</w:t>
      </w:r>
      <w:r w:rsidR="00727814">
        <w:t xml:space="preserve"> to operate a bu</w:t>
      </w:r>
      <w:r w:rsidR="00D12183">
        <w:t>s</w:t>
      </w:r>
      <w:r w:rsidR="00727814">
        <w:t xml:space="preserve"> service</w:t>
      </w:r>
      <w:bookmarkEnd w:id="372"/>
      <w:bookmarkEnd w:id="373"/>
    </w:p>
    <w:p w14:paraId="2E27786F" w14:textId="2C66A436" w:rsidR="00CC7626" w:rsidRDefault="004F4EA2" w:rsidP="004F4EA2">
      <w:r>
        <w:t xml:space="preserve">The </w:t>
      </w:r>
      <w:r w:rsidR="00F716A7">
        <w:t>Bus Safety Act</w:t>
      </w:r>
      <w:r>
        <w:t xml:space="preserve"> </w:t>
      </w:r>
      <w:r w:rsidR="006A6B1D">
        <w:t xml:space="preserve">provides for </w:t>
      </w:r>
      <w:r w:rsidR="00E617BD">
        <w:t>an</w:t>
      </w:r>
      <w:r w:rsidR="006A6B1D">
        <w:t xml:space="preserve"> accreditation and registration scheme for bus operators. </w:t>
      </w:r>
      <w:r w:rsidR="006D3D47">
        <w:t xml:space="preserve">Operators of a commercial bus service or local bus service </w:t>
      </w:r>
      <w:r w:rsidR="00B43607">
        <w:t>must</w:t>
      </w:r>
      <w:r w:rsidR="00546905">
        <w:t xml:space="preserve"> apply and become</w:t>
      </w:r>
      <w:r w:rsidR="006D3D47">
        <w:t xml:space="preserve"> accredited. </w:t>
      </w:r>
      <w:r w:rsidR="005B54D2">
        <w:t xml:space="preserve">All other bus service operators must apply and become registered. </w:t>
      </w:r>
      <w:r w:rsidR="00960812">
        <w:t xml:space="preserve">There is also a process where an operator can apply for an exemption </w:t>
      </w:r>
      <w:r w:rsidR="00687966">
        <w:t>from certain requirements of</w:t>
      </w:r>
      <w:r w:rsidR="00960812">
        <w:t xml:space="preserve"> accreditation or registration. </w:t>
      </w:r>
    </w:p>
    <w:p w14:paraId="2A08B62B" w14:textId="3CDB75B9" w:rsidR="004F4EA2" w:rsidRDefault="00A17390" w:rsidP="004F4EA2">
      <w:r w:rsidRPr="00A25D76">
        <w:fldChar w:fldCharType="begin"/>
      </w:r>
      <w:r w:rsidRPr="00A25D76">
        <w:instrText xml:space="preserve"> REF _Ref29911845 \h  \* MERGEFORMAT </w:instrText>
      </w:r>
      <w:r w:rsidRPr="00A25D76">
        <w:fldChar w:fldCharType="separate"/>
      </w:r>
      <w:r w:rsidR="00277F6E" w:rsidRPr="00277F6E">
        <w:t xml:space="preserve">Table </w:t>
      </w:r>
      <w:r w:rsidR="00277F6E" w:rsidRPr="00277F6E">
        <w:rPr>
          <w:noProof/>
        </w:rPr>
        <w:t>3</w:t>
      </w:r>
      <w:r w:rsidR="00277F6E" w:rsidRPr="00277F6E">
        <w:rPr>
          <w:noProof/>
        </w:rPr>
        <w:noBreakHyphen/>
        <w:t>14</w:t>
      </w:r>
      <w:r w:rsidRPr="00A25D76">
        <w:fldChar w:fldCharType="end"/>
      </w:r>
      <w:r w:rsidR="004F4EA2" w:rsidRPr="00A25D76">
        <w:t xml:space="preserve"> shows</w:t>
      </w:r>
      <w:r w:rsidR="004F4EA2">
        <w:t xml:space="preserve"> the number of applications </w:t>
      </w:r>
      <w:r w:rsidR="00626E27">
        <w:t xml:space="preserve">for accreditation and registration </w:t>
      </w:r>
      <w:r w:rsidR="004F4EA2">
        <w:t>granted by TSV per</w:t>
      </w:r>
      <w:r w:rsidR="00095BFB">
        <w:t xml:space="preserve"> </w:t>
      </w:r>
      <w:r w:rsidR="00102F04">
        <w:t>calendar</w:t>
      </w:r>
      <w:r w:rsidR="004F4EA2">
        <w:t xml:space="preserve"> year from 2011 to 2019. </w:t>
      </w:r>
      <w:r w:rsidR="00102F04">
        <w:t>In all years,</w:t>
      </w:r>
      <w:r w:rsidR="00FD263C">
        <w:t xml:space="preserve"> except 2014 and 2015, there has been more operators applying for and being granted registration</w:t>
      </w:r>
      <w:r w:rsidR="00086DF1">
        <w:t>s compared to accreditation.</w:t>
      </w:r>
      <w:r w:rsidR="00DD4621">
        <w:rPr>
          <w:rStyle w:val="FootnoteReference"/>
        </w:rPr>
        <w:footnoteReference w:id="8"/>
      </w:r>
      <w:r w:rsidR="00272D7E">
        <w:t xml:space="preserve"> </w:t>
      </w:r>
      <w:r w:rsidR="003E0B1B">
        <w:t xml:space="preserve">The </w:t>
      </w:r>
      <w:r w:rsidR="00C117D9">
        <w:t xml:space="preserve">relatively </w:t>
      </w:r>
      <w:r w:rsidR="003E0B1B">
        <w:t xml:space="preserve">large number of </w:t>
      </w:r>
      <w:r w:rsidR="004D3A38">
        <w:t>application</w:t>
      </w:r>
      <w:r w:rsidR="00EA169C">
        <w:t>s</w:t>
      </w:r>
      <w:r w:rsidR="004D3A38">
        <w:t xml:space="preserve"> for </w:t>
      </w:r>
      <w:r w:rsidR="003E0B1B">
        <w:t xml:space="preserve">registration in </w:t>
      </w:r>
      <w:r w:rsidR="00272D7E">
        <w:t>2011 and 2012</w:t>
      </w:r>
      <w:r w:rsidR="00A60DC9">
        <w:t xml:space="preserve"> (compared to </w:t>
      </w:r>
      <w:r w:rsidR="005A2897">
        <w:t xml:space="preserve">all </w:t>
      </w:r>
      <w:r w:rsidR="00A60DC9">
        <w:t>application from 2013)</w:t>
      </w:r>
      <w:r w:rsidR="003E0B1B">
        <w:t xml:space="preserve"> </w:t>
      </w:r>
      <w:r w:rsidR="00F52EC6">
        <w:t>are due to the</w:t>
      </w:r>
      <w:r w:rsidR="003E0B1B">
        <w:t xml:space="preserve"> </w:t>
      </w:r>
      <w:r w:rsidR="008713FE">
        <w:t>commencement of the</w:t>
      </w:r>
      <w:r w:rsidR="003E0B1B">
        <w:t xml:space="preserve"> </w:t>
      </w:r>
      <w:r w:rsidR="00F716A7">
        <w:t xml:space="preserve">Bus Safety Act </w:t>
      </w:r>
      <w:r w:rsidR="0071746F">
        <w:t>which introduced</w:t>
      </w:r>
      <w:r w:rsidR="001A4399">
        <w:t xml:space="preserve"> a </w:t>
      </w:r>
      <w:r w:rsidR="00B467D6">
        <w:t xml:space="preserve">new </w:t>
      </w:r>
      <w:r w:rsidR="00074A56">
        <w:t>registration scheme for the mini-bus secto</w:t>
      </w:r>
      <w:r w:rsidR="00F53416">
        <w:t>r</w:t>
      </w:r>
      <w:r w:rsidR="00074A56">
        <w:t xml:space="preserve"> of the industry</w:t>
      </w:r>
      <w:r w:rsidR="00F53416">
        <w:t xml:space="preserve">. </w:t>
      </w:r>
    </w:p>
    <w:p w14:paraId="2B4152FC" w14:textId="4557019F" w:rsidR="004F4EA2" w:rsidRPr="00616C9C" w:rsidRDefault="004F4EA2" w:rsidP="005E479A">
      <w:pPr>
        <w:pStyle w:val="Caption"/>
        <w:keepNext/>
        <w:spacing w:after="60"/>
        <w:rPr>
          <w:b/>
          <w:i w:val="0"/>
        </w:rPr>
      </w:pPr>
      <w:bookmarkStart w:id="374" w:name="_Ref29911845"/>
      <w:bookmarkStart w:id="375" w:name="_Toc44603391"/>
      <w:bookmarkStart w:id="376" w:name="_Toc44437366"/>
      <w:bookmarkStart w:id="377" w:name="_Toc44597437"/>
      <w:bookmarkStart w:id="378" w:name="_Toc44597501"/>
      <w:bookmarkStart w:id="379" w:name="_Toc44600071"/>
      <w:bookmarkStart w:id="380" w:name="_Toc44600526"/>
      <w:bookmarkStart w:id="381" w:name="_Toc44600693"/>
      <w:bookmarkStart w:id="382" w:name="_Toc44601190"/>
      <w:bookmarkStart w:id="383" w:name="_Toc44601243"/>
      <w:bookmarkStart w:id="384" w:name="_Toc45704439"/>
      <w:r w:rsidRPr="00616C9C">
        <w:rPr>
          <w:b/>
          <w:i w:val="0"/>
        </w:rPr>
        <w:lastRenderedPageBreak/>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14</w:t>
      </w:r>
      <w:r w:rsidR="00D2483C">
        <w:rPr>
          <w:b/>
          <w:i w:val="0"/>
        </w:rPr>
        <w:fldChar w:fldCharType="end"/>
      </w:r>
      <w:bookmarkEnd w:id="374"/>
      <w:r w:rsidRPr="00616C9C">
        <w:rPr>
          <w:b/>
          <w:i w:val="0"/>
        </w:rPr>
        <w:t>: Number of applications</w:t>
      </w:r>
      <w:r w:rsidR="00A5096F">
        <w:rPr>
          <w:b/>
          <w:i w:val="0"/>
        </w:rPr>
        <w:t xml:space="preserve"> for accreditation or registration</w:t>
      </w:r>
      <w:r w:rsidRPr="00616C9C">
        <w:rPr>
          <w:b/>
          <w:i w:val="0"/>
        </w:rPr>
        <w:t xml:space="preserve"> granted per year </w:t>
      </w:r>
      <w:r>
        <w:rPr>
          <w:b/>
          <w:i w:val="0"/>
        </w:rPr>
        <w:t>–</w:t>
      </w:r>
      <w:r w:rsidRPr="00616C9C">
        <w:rPr>
          <w:b/>
          <w:i w:val="0"/>
        </w:rPr>
        <w:t xml:space="preserve"> 2011-2019</w:t>
      </w:r>
      <w:bookmarkEnd w:id="375"/>
      <w:bookmarkEnd w:id="376"/>
      <w:bookmarkEnd w:id="377"/>
      <w:bookmarkEnd w:id="378"/>
      <w:bookmarkEnd w:id="379"/>
      <w:bookmarkEnd w:id="380"/>
      <w:bookmarkEnd w:id="381"/>
      <w:bookmarkEnd w:id="382"/>
      <w:bookmarkEnd w:id="383"/>
      <w:bookmarkEnd w:id="384"/>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737"/>
        <w:gridCol w:w="738"/>
        <w:gridCol w:w="737"/>
        <w:gridCol w:w="738"/>
        <w:gridCol w:w="738"/>
        <w:gridCol w:w="737"/>
        <w:gridCol w:w="738"/>
        <w:gridCol w:w="737"/>
        <w:gridCol w:w="738"/>
        <w:gridCol w:w="738"/>
      </w:tblGrid>
      <w:tr w:rsidR="004F4EA2" w:rsidRPr="00616C9C" w14:paraId="39EA826F" w14:textId="77777777" w:rsidTr="00810CD3">
        <w:trPr>
          <w:cantSplit/>
          <w:trHeight w:val="288"/>
        </w:trPr>
        <w:tc>
          <w:tcPr>
            <w:tcW w:w="1644" w:type="dxa"/>
            <w:shd w:val="clear" w:color="auto" w:fill="D6ECED"/>
            <w:noWrap/>
            <w:vAlign w:val="bottom"/>
            <w:hideMark/>
          </w:tcPr>
          <w:p w14:paraId="04194C57" w14:textId="77777777" w:rsidR="004F4EA2" w:rsidRPr="00616C9C" w:rsidRDefault="004F4EA2" w:rsidP="00FC11B4">
            <w:pPr>
              <w:keepNext/>
              <w:spacing w:before="60" w:after="60"/>
              <w:rPr>
                <w:rFonts w:eastAsia="Times New Roman" w:cstheme="minorHAnsi"/>
                <w:b/>
                <w:bCs/>
                <w:color w:val="000000"/>
                <w:sz w:val="18"/>
                <w:lang w:eastAsia="en-AU"/>
              </w:rPr>
            </w:pPr>
            <w:r w:rsidRPr="00616C9C">
              <w:rPr>
                <w:rFonts w:eastAsia="Times New Roman" w:cstheme="minorHAnsi"/>
                <w:b/>
                <w:bCs/>
                <w:color w:val="000000"/>
                <w:sz w:val="18"/>
                <w:lang w:eastAsia="en-AU"/>
              </w:rPr>
              <w:t>Operator type</w:t>
            </w:r>
          </w:p>
        </w:tc>
        <w:tc>
          <w:tcPr>
            <w:tcW w:w="737" w:type="dxa"/>
            <w:shd w:val="clear" w:color="auto" w:fill="D6ECED"/>
            <w:noWrap/>
            <w:vAlign w:val="bottom"/>
            <w:hideMark/>
          </w:tcPr>
          <w:p w14:paraId="59926152"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2011</w:t>
            </w:r>
          </w:p>
        </w:tc>
        <w:tc>
          <w:tcPr>
            <w:tcW w:w="738" w:type="dxa"/>
            <w:shd w:val="clear" w:color="auto" w:fill="D6ECED"/>
            <w:noWrap/>
            <w:vAlign w:val="bottom"/>
            <w:hideMark/>
          </w:tcPr>
          <w:p w14:paraId="5FAC7E13"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2012</w:t>
            </w:r>
          </w:p>
        </w:tc>
        <w:tc>
          <w:tcPr>
            <w:tcW w:w="737" w:type="dxa"/>
            <w:shd w:val="clear" w:color="auto" w:fill="D6ECED"/>
            <w:noWrap/>
            <w:vAlign w:val="bottom"/>
            <w:hideMark/>
          </w:tcPr>
          <w:p w14:paraId="776D7F55"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2013</w:t>
            </w:r>
          </w:p>
        </w:tc>
        <w:tc>
          <w:tcPr>
            <w:tcW w:w="738" w:type="dxa"/>
            <w:shd w:val="clear" w:color="auto" w:fill="D6ECED"/>
            <w:noWrap/>
            <w:vAlign w:val="bottom"/>
            <w:hideMark/>
          </w:tcPr>
          <w:p w14:paraId="3EBAD751"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2014</w:t>
            </w:r>
          </w:p>
        </w:tc>
        <w:tc>
          <w:tcPr>
            <w:tcW w:w="738" w:type="dxa"/>
            <w:shd w:val="clear" w:color="auto" w:fill="D6ECED"/>
            <w:noWrap/>
            <w:vAlign w:val="bottom"/>
            <w:hideMark/>
          </w:tcPr>
          <w:p w14:paraId="20E30695"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2015</w:t>
            </w:r>
          </w:p>
        </w:tc>
        <w:tc>
          <w:tcPr>
            <w:tcW w:w="737" w:type="dxa"/>
            <w:shd w:val="clear" w:color="auto" w:fill="D6ECED"/>
            <w:noWrap/>
            <w:vAlign w:val="bottom"/>
            <w:hideMark/>
          </w:tcPr>
          <w:p w14:paraId="408058E5"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2016</w:t>
            </w:r>
          </w:p>
        </w:tc>
        <w:tc>
          <w:tcPr>
            <w:tcW w:w="738" w:type="dxa"/>
            <w:shd w:val="clear" w:color="auto" w:fill="D6ECED"/>
            <w:noWrap/>
            <w:vAlign w:val="bottom"/>
            <w:hideMark/>
          </w:tcPr>
          <w:p w14:paraId="16DF3012"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2017</w:t>
            </w:r>
          </w:p>
        </w:tc>
        <w:tc>
          <w:tcPr>
            <w:tcW w:w="737" w:type="dxa"/>
            <w:shd w:val="clear" w:color="auto" w:fill="D6ECED"/>
            <w:noWrap/>
            <w:vAlign w:val="bottom"/>
            <w:hideMark/>
          </w:tcPr>
          <w:p w14:paraId="0B43E514"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2018</w:t>
            </w:r>
          </w:p>
        </w:tc>
        <w:tc>
          <w:tcPr>
            <w:tcW w:w="738" w:type="dxa"/>
            <w:shd w:val="clear" w:color="auto" w:fill="D6ECED"/>
            <w:noWrap/>
            <w:vAlign w:val="bottom"/>
            <w:hideMark/>
          </w:tcPr>
          <w:p w14:paraId="46B7EF21"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2019</w:t>
            </w:r>
          </w:p>
        </w:tc>
        <w:tc>
          <w:tcPr>
            <w:tcW w:w="738" w:type="dxa"/>
            <w:shd w:val="clear" w:color="auto" w:fill="D6ECED"/>
            <w:noWrap/>
            <w:vAlign w:val="bottom"/>
            <w:hideMark/>
          </w:tcPr>
          <w:p w14:paraId="195DAE0A" w14:textId="77777777" w:rsidR="004F4EA2" w:rsidRPr="00616C9C" w:rsidRDefault="004F4EA2" w:rsidP="00FC11B4">
            <w:pPr>
              <w:keepNext/>
              <w:spacing w:before="60" w:after="60"/>
              <w:rPr>
                <w:rFonts w:eastAsia="Times New Roman" w:cstheme="minorHAnsi"/>
                <w:b/>
                <w:bCs/>
                <w:color w:val="000000"/>
                <w:sz w:val="18"/>
                <w:lang w:eastAsia="en-AU"/>
              </w:rPr>
            </w:pPr>
            <w:r w:rsidRPr="00616C9C">
              <w:rPr>
                <w:rFonts w:eastAsia="Times New Roman" w:cstheme="minorHAnsi"/>
                <w:b/>
                <w:bCs/>
                <w:color w:val="000000"/>
                <w:sz w:val="18"/>
                <w:lang w:eastAsia="en-AU"/>
              </w:rPr>
              <w:t>Total</w:t>
            </w:r>
          </w:p>
        </w:tc>
      </w:tr>
      <w:tr w:rsidR="004F4EA2" w:rsidRPr="00616C9C" w14:paraId="07E42234" w14:textId="77777777" w:rsidTr="00810CD3">
        <w:trPr>
          <w:cantSplit/>
          <w:trHeight w:val="288"/>
        </w:trPr>
        <w:tc>
          <w:tcPr>
            <w:tcW w:w="1644" w:type="dxa"/>
            <w:shd w:val="clear" w:color="auto" w:fill="auto"/>
            <w:noWrap/>
            <w:vAlign w:val="bottom"/>
            <w:hideMark/>
          </w:tcPr>
          <w:p w14:paraId="749ABD21" w14:textId="77777777" w:rsidR="004F4EA2" w:rsidRPr="00616C9C" w:rsidRDefault="004F4EA2" w:rsidP="00FC11B4">
            <w:pPr>
              <w:keepNext/>
              <w:spacing w:before="60" w:after="60"/>
              <w:rPr>
                <w:rFonts w:eastAsia="Times New Roman" w:cstheme="minorHAnsi"/>
                <w:color w:val="000000"/>
                <w:sz w:val="18"/>
                <w:lang w:eastAsia="en-AU"/>
              </w:rPr>
            </w:pPr>
            <w:r w:rsidRPr="00616C9C">
              <w:rPr>
                <w:rFonts w:eastAsia="Times New Roman" w:cstheme="minorHAnsi"/>
                <w:color w:val="000000"/>
                <w:sz w:val="18"/>
                <w:lang w:eastAsia="en-AU"/>
              </w:rPr>
              <w:t>Accreditation</w:t>
            </w:r>
          </w:p>
        </w:tc>
        <w:tc>
          <w:tcPr>
            <w:tcW w:w="737" w:type="dxa"/>
            <w:shd w:val="clear" w:color="auto" w:fill="auto"/>
            <w:noWrap/>
            <w:vAlign w:val="bottom"/>
            <w:hideMark/>
          </w:tcPr>
          <w:p w14:paraId="6F568EE6"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5</w:t>
            </w:r>
          </w:p>
        </w:tc>
        <w:tc>
          <w:tcPr>
            <w:tcW w:w="738" w:type="dxa"/>
            <w:shd w:val="clear" w:color="auto" w:fill="auto"/>
            <w:noWrap/>
            <w:vAlign w:val="bottom"/>
            <w:hideMark/>
          </w:tcPr>
          <w:p w14:paraId="66B50DC1"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28</w:t>
            </w:r>
          </w:p>
        </w:tc>
        <w:tc>
          <w:tcPr>
            <w:tcW w:w="737" w:type="dxa"/>
            <w:shd w:val="clear" w:color="auto" w:fill="auto"/>
            <w:noWrap/>
            <w:vAlign w:val="bottom"/>
            <w:hideMark/>
          </w:tcPr>
          <w:p w14:paraId="4ADD9D39"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70</w:t>
            </w:r>
          </w:p>
        </w:tc>
        <w:tc>
          <w:tcPr>
            <w:tcW w:w="738" w:type="dxa"/>
            <w:shd w:val="clear" w:color="auto" w:fill="auto"/>
            <w:noWrap/>
            <w:vAlign w:val="bottom"/>
            <w:hideMark/>
          </w:tcPr>
          <w:p w14:paraId="32E57411"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160</w:t>
            </w:r>
          </w:p>
        </w:tc>
        <w:tc>
          <w:tcPr>
            <w:tcW w:w="738" w:type="dxa"/>
            <w:shd w:val="clear" w:color="auto" w:fill="auto"/>
            <w:noWrap/>
            <w:vAlign w:val="bottom"/>
            <w:hideMark/>
          </w:tcPr>
          <w:p w14:paraId="27A27A48"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291</w:t>
            </w:r>
          </w:p>
        </w:tc>
        <w:tc>
          <w:tcPr>
            <w:tcW w:w="737" w:type="dxa"/>
            <w:shd w:val="clear" w:color="auto" w:fill="auto"/>
            <w:noWrap/>
            <w:vAlign w:val="bottom"/>
            <w:hideMark/>
          </w:tcPr>
          <w:p w14:paraId="1F39E849"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42</w:t>
            </w:r>
          </w:p>
        </w:tc>
        <w:tc>
          <w:tcPr>
            <w:tcW w:w="738" w:type="dxa"/>
            <w:shd w:val="clear" w:color="auto" w:fill="auto"/>
            <w:noWrap/>
            <w:vAlign w:val="bottom"/>
            <w:hideMark/>
          </w:tcPr>
          <w:p w14:paraId="0B9100FB"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41</w:t>
            </w:r>
          </w:p>
        </w:tc>
        <w:tc>
          <w:tcPr>
            <w:tcW w:w="737" w:type="dxa"/>
            <w:shd w:val="clear" w:color="auto" w:fill="auto"/>
            <w:noWrap/>
            <w:vAlign w:val="bottom"/>
            <w:hideMark/>
          </w:tcPr>
          <w:p w14:paraId="54DF4319"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43</w:t>
            </w:r>
          </w:p>
        </w:tc>
        <w:tc>
          <w:tcPr>
            <w:tcW w:w="738" w:type="dxa"/>
            <w:shd w:val="clear" w:color="auto" w:fill="auto"/>
            <w:noWrap/>
            <w:vAlign w:val="bottom"/>
            <w:hideMark/>
          </w:tcPr>
          <w:p w14:paraId="141DEC7A"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40</w:t>
            </w:r>
          </w:p>
        </w:tc>
        <w:tc>
          <w:tcPr>
            <w:tcW w:w="738" w:type="dxa"/>
            <w:shd w:val="clear" w:color="auto" w:fill="auto"/>
            <w:noWrap/>
            <w:vAlign w:val="bottom"/>
            <w:hideMark/>
          </w:tcPr>
          <w:p w14:paraId="5B05C85B"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720</w:t>
            </w:r>
          </w:p>
        </w:tc>
      </w:tr>
      <w:tr w:rsidR="004F4EA2" w:rsidRPr="00616C9C" w14:paraId="255F1D62" w14:textId="77777777" w:rsidTr="00810CD3">
        <w:trPr>
          <w:cantSplit/>
          <w:trHeight w:val="288"/>
        </w:trPr>
        <w:tc>
          <w:tcPr>
            <w:tcW w:w="1644" w:type="dxa"/>
            <w:shd w:val="clear" w:color="auto" w:fill="auto"/>
            <w:noWrap/>
            <w:vAlign w:val="bottom"/>
            <w:hideMark/>
          </w:tcPr>
          <w:p w14:paraId="5600E1E2" w14:textId="77777777" w:rsidR="004F4EA2" w:rsidRPr="00616C9C" w:rsidRDefault="004F4EA2" w:rsidP="00FC11B4">
            <w:pPr>
              <w:keepNext/>
              <w:spacing w:before="60" w:after="60"/>
              <w:rPr>
                <w:rFonts w:eastAsia="Times New Roman" w:cstheme="minorHAnsi"/>
                <w:color w:val="000000"/>
                <w:sz w:val="18"/>
                <w:lang w:eastAsia="en-AU"/>
              </w:rPr>
            </w:pPr>
            <w:r w:rsidRPr="00616C9C">
              <w:rPr>
                <w:rFonts w:eastAsia="Times New Roman" w:cstheme="minorHAnsi"/>
                <w:color w:val="000000"/>
                <w:sz w:val="18"/>
                <w:lang w:eastAsia="en-AU"/>
              </w:rPr>
              <w:t>Registration</w:t>
            </w:r>
          </w:p>
        </w:tc>
        <w:tc>
          <w:tcPr>
            <w:tcW w:w="737" w:type="dxa"/>
            <w:shd w:val="clear" w:color="auto" w:fill="auto"/>
            <w:noWrap/>
            <w:vAlign w:val="bottom"/>
            <w:hideMark/>
          </w:tcPr>
          <w:p w14:paraId="7AE66F65"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829</w:t>
            </w:r>
          </w:p>
        </w:tc>
        <w:tc>
          <w:tcPr>
            <w:tcW w:w="738" w:type="dxa"/>
            <w:shd w:val="clear" w:color="auto" w:fill="auto"/>
            <w:noWrap/>
            <w:vAlign w:val="bottom"/>
            <w:hideMark/>
          </w:tcPr>
          <w:p w14:paraId="754C5CCA"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636</w:t>
            </w:r>
          </w:p>
        </w:tc>
        <w:tc>
          <w:tcPr>
            <w:tcW w:w="737" w:type="dxa"/>
            <w:shd w:val="clear" w:color="auto" w:fill="auto"/>
            <w:noWrap/>
            <w:vAlign w:val="bottom"/>
            <w:hideMark/>
          </w:tcPr>
          <w:p w14:paraId="0D90AF31"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126</w:t>
            </w:r>
          </w:p>
        </w:tc>
        <w:tc>
          <w:tcPr>
            <w:tcW w:w="738" w:type="dxa"/>
            <w:shd w:val="clear" w:color="auto" w:fill="auto"/>
            <w:noWrap/>
            <w:vAlign w:val="bottom"/>
            <w:hideMark/>
          </w:tcPr>
          <w:p w14:paraId="029D9D62"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113</w:t>
            </w:r>
          </w:p>
        </w:tc>
        <w:tc>
          <w:tcPr>
            <w:tcW w:w="738" w:type="dxa"/>
            <w:shd w:val="clear" w:color="auto" w:fill="auto"/>
            <w:noWrap/>
            <w:vAlign w:val="bottom"/>
            <w:hideMark/>
          </w:tcPr>
          <w:p w14:paraId="73AB5D04"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160</w:t>
            </w:r>
          </w:p>
        </w:tc>
        <w:tc>
          <w:tcPr>
            <w:tcW w:w="737" w:type="dxa"/>
            <w:shd w:val="clear" w:color="auto" w:fill="auto"/>
            <w:noWrap/>
            <w:vAlign w:val="bottom"/>
            <w:hideMark/>
          </w:tcPr>
          <w:p w14:paraId="101C46F0"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213</w:t>
            </w:r>
          </w:p>
        </w:tc>
        <w:tc>
          <w:tcPr>
            <w:tcW w:w="738" w:type="dxa"/>
            <w:shd w:val="clear" w:color="auto" w:fill="auto"/>
            <w:noWrap/>
            <w:vAlign w:val="bottom"/>
            <w:hideMark/>
          </w:tcPr>
          <w:p w14:paraId="27DA1F8F"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183</w:t>
            </w:r>
          </w:p>
        </w:tc>
        <w:tc>
          <w:tcPr>
            <w:tcW w:w="737" w:type="dxa"/>
            <w:shd w:val="clear" w:color="auto" w:fill="auto"/>
            <w:noWrap/>
            <w:vAlign w:val="bottom"/>
            <w:hideMark/>
          </w:tcPr>
          <w:p w14:paraId="75F97787"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131</w:t>
            </w:r>
          </w:p>
        </w:tc>
        <w:tc>
          <w:tcPr>
            <w:tcW w:w="738" w:type="dxa"/>
            <w:shd w:val="clear" w:color="auto" w:fill="auto"/>
            <w:noWrap/>
            <w:vAlign w:val="bottom"/>
            <w:hideMark/>
          </w:tcPr>
          <w:p w14:paraId="7E6B7A4A" w14:textId="77777777"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157</w:t>
            </w:r>
          </w:p>
        </w:tc>
        <w:tc>
          <w:tcPr>
            <w:tcW w:w="738" w:type="dxa"/>
            <w:shd w:val="clear" w:color="auto" w:fill="auto"/>
            <w:noWrap/>
            <w:vAlign w:val="bottom"/>
            <w:hideMark/>
          </w:tcPr>
          <w:p w14:paraId="7C3F59A6" w14:textId="58677653" w:rsidR="004F4EA2" w:rsidRPr="00616C9C" w:rsidRDefault="004F4EA2" w:rsidP="00FC11B4">
            <w:pPr>
              <w:keepNext/>
              <w:spacing w:before="60" w:after="60"/>
              <w:jc w:val="right"/>
              <w:rPr>
                <w:rFonts w:eastAsia="Times New Roman" w:cstheme="minorHAnsi"/>
                <w:color w:val="000000"/>
                <w:sz w:val="18"/>
                <w:lang w:eastAsia="en-AU"/>
              </w:rPr>
            </w:pPr>
            <w:r w:rsidRPr="00616C9C">
              <w:rPr>
                <w:rFonts w:eastAsia="Times New Roman" w:cstheme="minorHAnsi"/>
                <w:color w:val="000000"/>
                <w:sz w:val="18"/>
                <w:lang w:eastAsia="en-AU"/>
              </w:rPr>
              <w:t>2</w:t>
            </w:r>
            <w:r w:rsidR="007256A7">
              <w:rPr>
                <w:rFonts w:eastAsia="Times New Roman" w:cstheme="minorHAnsi"/>
                <w:color w:val="000000"/>
                <w:sz w:val="18"/>
                <w:lang w:eastAsia="en-AU"/>
              </w:rPr>
              <w:t>,</w:t>
            </w:r>
            <w:r w:rsidRPr="00616C9C">
              <w:rPr>
                <w:rFonts w:eastAsia="Times New Roman" w:cstheme="minorHAnsi"/>
                <w:color w:val="000000"/>
                <w:sz w:val="18"/>
                <w:lang w:eastAsia="en-AU"/>
              </w:rPr>
              <w:t>548</w:t>
            </w:r>
          </w:p>
        </w:tc>
      </w:tr>
      <w:tr w:rsidR="004F4EA2" w:rsidRPr="00616C9C" w14:paraId="153FF2F3" w14:textId="77777777" w:rsidTr="00810CD3">
        <w:trPr>
          <w:cantSplit/>
          <w:trHeight w:val="288"/>
        </w:trPr>
        <w:tc>
          <w:tcPr>
            <w:tcW w:w="1644" w:type="dxa"/>
            <w:shd w:val="clear" w:color="auto" w:fill="D6ECED"/>
            <w:noWrap/>
            <w:vAlign w:val="bottom"/>
            <w:hideMark/>
          </w:tcPr>
          <w:p w14:paraId="4CF6F79E" w14:textId="77777777" w:rsidR="004F4EA2" w:rsidRPr="00616C9C" w:rsidRDefault="004F4EA2" w:rsidP="00FC11B4">
            <w:pPr>
              <w:keepNext/>
              <w:spacing w:before="60" w:after="60"/>
              <w:rPr>
                <w:rFonts w:eastAsia="Times New Roman" w:cstheme="minorHAnsi"/>
                <w:b/>
                <w:bCs/>
                <w:color w:val="000000"/>
                <w:sz w:val="18"/>
                <w:lang w:eastAsia="en-AU"/>
              </w:rPr>
            </w:pPr>
            <w:r w:rsidRPr="00616C9C">
              <w:rPr>
                <w:rFonts w:eastAsia="Times New Roman" w:cstheme="minorHAnsi"/>
                <w:b/>
                <w:bCs/>
                <w:color w:val="000000"/>
                <w:sz w:val="18"/>
                <w:lang w:eastAsia="en-AU"/>
              </w:rPr>
              <w:t>Total</w:t>
            </w:r>
          </w:p>
        </w:tc>
        <w:tc>
          <w:tcPr>
            <w:tcW w:w="737" w:type="dxa"/>
            <w:shd w:val="clear" w:color="auto" w:fill="D6ECED"/>
            <w:noWrap/>
            <w:vAlign w:val="bottom"/>
            <w:hideMark/>
          </w:tcPr>
          <w:p w14:paraId="39863906"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834</w:t>
            </w:r>
          </w:p>
        </w:tc>
        <w:tc>
          <w:tcPr>
            <w:tcW w:w="738" w:type="dxa"/>
            <w:shd w:val="clear" w:color="auto" w:fill="D6ECED"/>
            <w:noWrap/>
            <w:vAlign w:val="bottom"/>
            <w:hideMark/>
          </w:tcPr>
          <w:p w14:paraId="6D465FBD"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664</w:t>
            </w:r>
          </w:p>
        </w:tc>
        <w:tc>
          <w:tcPr>
            <w:tcW w:w="737" w:type="dxa"/>
            <w:shd w:val="clear" w:color="auto" w:fill="D6ECED"/>
            <w:noWrap/>
            <w:vAlign w:val="bottom"/>
            <w:hideMark/>
          </w:tcPr>
          <w:p w14:paraId="3FD3B738"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196</w:t>
            </w:r>
          </w:p>
        </w:tc>
        <w:tc>
          <w:tcPr>
            <w:tcW w:w="738" w:type="dxa"/>
            <w:shd w:val="clear" w:color="auto" w:fill="D6ECED"/>
            <w:noWrap/>
            <w:vAlign w:val="bottom"/>
            <w:hideMark/>
          </w:tcPr>
          <w:p w14:paraId="3828A600"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273</w:t>
            </w:r>
          </w:p>
        </w:tc>
        <w:tc>
          <w:tcPr>
            <w:tcW w:w="738" w:type="dxa"/>
            <w:shd w:val="clear" w:color="auto" w:fill="D6ECED"/>
            <w:noWrap/>
            <w:vAlign w:val="bottom"/>
            <w:hideMark/>
          </w:tcPr>
          <w:p w14:paraId="0A7532DB"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451</w:t>
            </w:r>
          </w:p>
        </w:tc>
        <w:tc>
          <w:tcPr>
            <w:tcW w:w="737" w:type="dxa"/>
            <w:shd w:val="clear" w:color="auto" w:fill="D6ECED"/>
            <w:noWrap/>
            <w:vAlign w:val="bottom"/>
            <w:hideMark/>
          </w:tcPr>
          <w:p w14:paraId="4D2CC1C4"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255</w:t>
            </w:r>
          </w:p>
        </w:tc>
        <w:tc>
          <w:tcPr>
            <w:tcW w:w="738" w:type="dxa"/>
            <w:shd w:val="clear" w:color="auto" w:fill="D6ECED"/>
            <w:noWrap/>
            <w:vAlign w:val="bottom"/>
            <w:hideMark/>
          </w:tcPr>
          <w:p w14:paraId="49125D9C"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224</w:t>
            </w:r>
          </w:p>
        </w:tc>
        <w:tc>
          <w:tcPr>
            <w:tcW w:w="737" w:type="dxa"/>
            <w:shd w:val="clear" w:color="auto" w:fill="D6ECED"/>
            <w:noWrap/>
            <w:vAlign w:val="bottom"/>
            <w:hideMark/>
          </w:tcPr>
          <w:p w14:paraId="609E089B"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174</w:t>
            </w:r>
          </w:p>
        </w:tc>
        <w:tc>
          <w:tcPr>
            <w:tcW w:w="738" w:type="dxa"/>
            <w:shd w:val="clear" w:color="auto" w:fill="D6ECED"/>
            <w:noWrap/>
            <w:vAlign w:val="bottom"/>
            <w:hideMark/>
          </w:tcPr>
          <w:p w14:paraId="29BD0178" w14:textId="77777777"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197</w:t>
            </w:r>
          </w:p>
        </w:tc>
        <w:tc>
          <w:tcPr>
            <w:tcW w:w="738" w:type="dxa"/>
            <w:shd w:val="clear" w:color="auto" w:fill="D6ECED"/>
            <w:noWrap/>
            <w:vAlign w:val="bottom"/>
            <w:hideMark/>
          </w:tcPr>
          <w:p w14:paraId="52EE264B" w14:textId="1B2AEA33" w:rsidR="004F4EA2" w:rsidRPr="00616C9C" w:rsidRDefault="004F4EA2" w:rsidP="00FC11B4">
            <w:pPr>
              <w:keepNext/>
              <w:spacing w:before="60" w:after="60"/>
              <w:jc w:val="right"/>
              <w:rPr>
                <w:rFonts w:eastAsia="Times New Roman" w:cstheme="minorHAnsi"/>
                <w:b/>
                <w:bCs/>
                <w:color w:val="000000"/>
                <w:sz w:val="18"/>
                <w:lang w:eastAsia="en-AU"/>
              </w:rPr>
            </w:pPr>
            <w:r w:rsidRPr="00616C9C">
              <w:rPr>
                <w:rFonts w:eastAsia="Times New Roman" w:cstheme="minorHAnsi"/>
                <w:b/>
                <w:bCs/>
                <w:color w:val="000000"/>
                <w:sz w:val="18"/>
                <w:lang w:eastAsia="en-AU"/>
              </w:rPr>
              <w:t>3</w:t>
            </w:r>
            <w:r w:rsidR="007256A7">
              <w:rPr>
                <w:rFonts w:eastAsia="Times New Roman" w:cstheme="minorHAnsi"/>
                <w:b/>
                <w:bCs/>
                <w:color w:val="000000"/>
                <w:sz w:val="18"/>
                <w:lang w:eastAsia="en-AU"/>
              </w:rPr>
              <w:t>,</w:t>
            </w:r>
            <w:r w:rsidRPr="00616C9C">
              <w:rPr>
                <w:rFonts w:eastAsia="Times New Roman" w:cstheme="minorHAnsi"/>
                <w:b/>
                <w:bCs/>
                <w:color w:val="000000"/>
                <w:sz w:val="18"/>
                <w:lang w:eastAsia="en-AU"/>
              </w:rPr>
              <w:t>268</w:t>
            </w:r>
          </w:p>
        </w:tc>
      </w:tr>
    </w:tbl>
    <w:p w14:paraId="7B03C9C8" w14:textId="0FB01D38" w:rsidR="00B16BFC" w:rsidRPr="00B16BFC" w:rsidRDefault="00B16BFC" w:rsidP="00B16BFC">
      <w:pPr>
        <w:spacing w:before="40"/>
        <w:rPr>
          <w:sz w:val="16"/>
          <w:szCs w:val="16"/>
        </w:rPr>
      </w:pPr>
      <w:r w:rsidRPr="00B16BFC">
        <w:rPr>
          <w:sz w:val="16"/>
          <w:szCs w:val="16"/>
        </w:rPr>
        <w:t>Source: TSV</w:t>
      </w:r>
    </w:p>
    <w:p w14:paraId="00CC16E6" w14:textId="10B1407E" w:rsidR="003E3008" w:rsidRDefault="003E3008" w:rsidP="003E3008">
      <w:r>
        <w:t xml:space="preserve">The </w:t>
      </w:r>
      <w:r w:rsidR="00F716A7">
        <w:t>Bus Safety Act</w:t>
      </w:r>
      <w:r>
        <w:t xml:space="preserve"> </w:t>
      </w:r>
      <w:r w:rsidRPr="00BE5AFC">
        <w:t>envisages that regulations will be made to specify procedural and information requirements as well as providing the Safety Director with sufficient authority to enforce these requirements.</w:t>
      </w:r>
      <w:r w:rsidR="00960812">
        <w:t xml:space="preserve"> </w:t>
      </w:r>
      <w:r w:rsidR="00960812" w:rsidRPr="00BE5AFC">
        <w:t>It is not practicable to have a</w:t>
      </w:r>
      <w:r w:rsidR="00960812">
        <w:t>n operator accreditation or registration scheme</w:t>
      </w:r>
      <w:r w:rsidR="00960812" w:rsidRPr="00BE5AFC">
        <w:t xml:space="preserve"> </w:t>
      </w:r>
      <w:r w:rsidR="00960812">
        <w:t xml:space="preserve">without specifying </w:t>
      </w:r>
      <w:r w:rsidR="00960812" w:rsidRPr="00BE5AFC">
        <w:t xml:space="preserve">procedural </w:t>
      </w:r>
      <w:r w:rsidR="00960812">
        <w:t xml:space="preserve">or information </w:t>
      </w:r>
      <w:r w:rsidR="00960812" w:rsidRPr="00BE5AFC">
        <w:t>requirement</w:t>
      </w:r>
      <w:r w:rsidR="00960812">
        <w:t>s relevant to the application for that scheme.</w:t>
      </w:r>
    </w:p>
    <w:p w14:paraId="309736F8" w14:textId="40571331" w:rsidR="003E3008" w:rsidRDefault="003E3008" w:rsidP="003E3008">
      <w:r>
        <w:t xml:space="preserve">The </w:t>
      </w:r>
      <w:r w:rsidR="00F716A7">
        <w:t>Bus Safety Act</w:t>
      </w:r>
      <w:r>
        <w:t xml:space="preserve"> </w:t>
      </w:r>
      <w:r w:rsidR="00412D2C">
        <w:t>provides</w:t>
      </w:r>
      <w:r w:rsidRPr="00BE5AFC">
        <w:t xml:space="preserve"> that a person </w:t>
      </w:r>
      <w:r>
        <w:t>can</w:t>
      </w:r>
      <w:r w:rsidRPr="00BE5AFC">
        <w:t xml:space="preserve"> make </w:t>
      </w:r>
      <w:r>
        <w:t xml:space="preserve">an </w:t>
      </w:r>
      <w:r w:rsidRPr="00BE5AFC">
        <w:t xml:space="preserve">application </w:t>
      </w:r>
      <w:r>
        <w:t xml:space="preserve">to </w:t>
      </w:r>
      <w:r w:rsidR="006E5C67">
        <w:t xml:space="preserve">become accredited or registered </w:t>
      </w:r>
      <w:r>
        <w:t xml:space="preserve">to operate a bus service </w:t>
      </w:r>
      <w:r w:rsidRPr="00BE5AFC">
        <w:t>in accordance with requirements specified in the regulations</w:t>
      </w:r>
      <w:r>
        <w:t>:</w:t>
      </w:r>
    </w:p>
    <w:p w14:paraId="34249187" w14:textId="7C3A3844" w:rsidR="003E3008" w:rsidRPr="0098365B" w:rsidRDefault="003E3008"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 xml:space="preserve">Section 25(b)(i) of the </w:t>
      </w:r>
      <w:r w:rsidR="00F716A7" w:rsidRPr="0098365B">
        <w:rPr>
          <w:rFonts w:asciiTheme="minorHAnsi" w:eastAsiaTheme="minorHAnsi" w:hAnsiTheme="minorHAnsi" w:cstheme="minorBidi"/>
          <w:color w:val="000000" w:themeColor="text1"/>
          <w:sz w:val="20"/>
          <w:szCs w:val="18"/>
          <w:lang w:eastAsia="en-US"/>
        </w:rPr>
        <w:t xml:space="preserve">Bus Safety Act </w:t>
      </w:r>
      <w:r w:rsidRPr="0098365B">
        <w:rPr>
          <w:rFonts w:asciiTheme="minorHAnsi" w:eastAsiaTheme="minorHAnsi" w:hAnsiTheme="minorHAnsi" w:cstheme="minorBidi"/>
          <w:color w:val="000000" w:themeColor="text1"/>
          <w:sz w:val="20"/>
          <w:szCs w:val="18"/>
          <w:lang w:eastAsia="en-US"/>
        </w:rPr>
        <w:t>provides that an application must be accompanied by an application fee</w:t>
      </w:r>
    </w:p>
    <w:p w14:paraId="79EFA751" w14:textId="33AAE678" w:rsidR="003E3008" w:rsidRPr="0098365B" w:rsidRDefault="003E3008"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 xml:space="preserve">Section 25(b)(ii) of the </w:t>
      </w:r>
      <w:r w:rsidR="00F716A7" w:rsidRPr="0098365B">
        <w:rPr>
          <w:rFonts w:asciiTheme="minorHAnsi" w:eastAsiaTheme="minorHAnsi" w:hAnsiTheme="minorHAnsi" w:cstheme="minorBidi"/>
          <w:color w:val="000000" w:themeColor="text1"/>
          <w:sz w:val="20"/>
          <w:szCs w:val="18"/>
          <w:lang w:eastAsia="en-US"/>
        </w:rPr>
        <w:t xml:space="preserve">Bus Safety Act </w:t>
      </w:r>
      <w:r w:rsidRPr="0098365B">
        <w:rPr>
          <w:rFonts w:asciiTheme="minorHAnsi" w:eastAsiaTheme="minorHAnsi" w:hAnsiTheme="minorHAnsi" w:cstheme="minorBidi"/>
          <w:color w:val="000000" w:themeColor="text1"/>
          <w:sz w:val="20"/>
          <w:szCs w:val="18"/>
          <w:lang w:eastAsia="en-US"/>
        </w:rPr>
        <w:t>provides that an application must be accompanied by evidence, “as required by regulations”, that each relevant person satisfies the requirements for accreditation, respectively</w:t>
      </w:r>
    </w:p>
    <w:p w14:paraId="79F2CA9E" w14:textId="0E4DC5C3" w:rsidR="003E3008" w:rsidRPr="0098365B" w:rsidRDefault="003E3008"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 xml:space="preserve">Section 25(2)(d) of the </w:t>
      </w:r>
      <w:r w:rsidR="00F716A7" w:rsidRPr="0098365B">
        <w:rPr>
          <w:rFonts w:asciiTheme="minorHAnsi" w:eastAsiaTheme="minorHAnsi" w:hAnsiTheme="minorHAnsi" w:cstheme="minorBidi"/>
          <w:color w:val="000000" w:themeColor="text1"/>
          <w:sz w:val="20"/>
          <w:szCs w:val="18"/>
          <w:lang w:eastAsia="en-US"/>
        </w:rPr>
        <w:t xml:space="preserve">Bus Safety Act </w:t>
      </w:r>
      <w:r w:rsidRPr="0098365B">
        <w:rPr>
          <w:rFonts w:asciiTheme="minorHAnsi" w:eastAsiaTheme="minorHAnsi" w:hAnsiTheme="minorHAnsi" w:cstheme="minorBidi"/>
          <w:color w:val="000000" w:themeColor="text1"/>
          <w:sz w:val="20"/>
          <w:szCs w:val="18"/>
          <w:lang w:eastAsia="en-US"/>
        </w:rPr>
        <w:t xml:space="preserve">provides that an application </w:t>
      </w:r>
      <w:r w:rsidR="00C90DEC" w:rsidRPr="0098365B">
        <w:rPr>
          <w:rFonts w:asciiTheme="minorHAnsi" w:eastAsiaTheme="minorHAnsi" w:hAnsiTheme="minorHAnsi" w:cstheme="minorBidi"/>
          <w:color w:val="000000" w:themeColor="text1"/>
          <w:sz w:val="20"/>
          <w:szCs w:val="18"/>
          <w:lang w:eastAsia="en-US"/>
        </w:rPr>
        <w:t xml:space="preserve">must </w:t>
      </w:r>
      <w:r w:rsidRPr="0098365B">
        <w:rPr>
          <w:rFonts w:asciiTheme="minorHAnsi" w:eastAsiaTheme="minorHAnsi" w:hAnsiTheme="minorHAnsi" w:cstheme="minorBidi"/>
          <w:color w:val="000000" w:themeColor="text1"/>
          <w:sz w:val="20"/>
          <w:szCs w:val="18"/>
          <w:lang w:eastAsia="en-US"/>
        </w:rPr>
        <w:t>be accompanied by any other matter that is “required by the regulations”</w:t>
      </w:r>
    </w:p>
    <w:p w14:paraId="7253FF1D" w14:textId="2715C10B" w:rsidR="003E3008" w:rsidRPr="0098365B" w:rsidRDefault="003E3008"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 xml:space="preserve">Section 34 of the </w:t>
      </w:r>
      <w:r w:rsidR="00F716A7" w:rsidRPr="0098365B">
        <w:rPr>
          <w:rFonts w:asciiTheme="minorHAnsi" w:eastAsiaTheme="minorHAnsi" w:hAnsiTheme="minorHAnsi" w:cstheme="minorBidi"/>
          <w:color w:val="000000" w:themeColor="text1"/>
          <w:sz w:val="20"/>
          <w:szCs w:val="18"/>
          <w:lang w:eastAsia="en-US"/>
        </w:rPr>
        <w:t xml:space="preserve">Bus Safety Act </w:t>
      </w:r>
      <w:r w:rsidRPr="0098365B">
        <w:rPr>
          <w:rFonts w:asciiTheme="minorHAnsi" w:eastAsiaTheme="minorHAnsi" w:hAnsiTheme="minorHAnsi" w:cstheme="minorBidi"/>
          <w:color w:val="000000" w:themeColor="text1"/>
          <w:sz w:val="20"/>
          <w:szCs w:val="18"/>
          <w:lang w:eastAsia="en-US"/>
        </w:rPr>
        <w:t>provides that accreditation be granted to an operator subject to any “prescribed conditions”</w:t>
      </w:r>
    </w:p>
    <w:p w14:paraId="1B6EF525" w14:textId="48FAF8CE" w:rsidR="003E3008" w:rsidRPr="0098365B" w:rsidRDefault="003E3008"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 xml:space="preserve">Section 22(3)(b) provides that an application for registration of an operator of a bus service that is not a commercial bus </w:t>
      </w:r>
      <w:r w:rsidR="003F7215" w:rsidRPr="0098365B">
        <w:rPr>
          <w:rFonts w:asciiTheme="minorHAnsi" w:eastAsiaTheme="minorHAnsi" w:hAnsiTheme="minorHAnsi" w:cstheme="minorBidi"/>
          <w:color w:val="000000" w:themeColor="text1"/>
          <w:sz w:val="20"/>
          <w:szCs w:val="18"/>
          <w:lang w:eastAsia="en-US"/>
        </w:rPr>
        <w:t>service,</w:t>
      </w:r>
      <w:r w:rsidRPr="0098365B">
        <w:rPr>
          <w:rFonts w:asciiTheme="minorHAnsi" w:eastAsiaTheme="minorHAnsi" w:hAnsiTheme="minorHAnsi" w:cstheme="minorBidi"/>
          <w:color w:val="000000" w:themeColor="text1"/>
          <w:sz w:val="20"/>
          <w:szCs w:val="18"/>
          <w:lang w:eastAsia="en-US"/>
        </w:rPr>
        <w:t xml:space="preserve"> or a local bus service</w:t>
      </w:r>
      <w:r w:rsidR="003F7215" w:rsidRPr="0098365B">
        <w:rPr>
          <w:rFonts w:asciiTheme="minorHAnsi" w:eastAsiaTheme="minorHAnsi" w:hAnsiTheme="minorHAnsi" w:cstheme="minorBidi"/>
          <w:color w:val="000000" w:themeColor="text1"/>
          <w:sz w:val="20"/>
          <w:szCs w:val="18"/>
          <w:lang w:eastAsia="en-US"/>
        </w:rPr>
        <w:t>,</w:t>
      </w:r>
      <w:r w:rsidRPr="0098365B">
        <w:rPr>
          <w:rFonts w:asciiTheme="minorHAnsi" w:eastAsiaTheme="minorHAnsi" w:hAnsiTheme="minorHAnsi" w:cstheme="minorBidi"/>
          <w:color w:val="000000" w:themeColor="text1"/>
          <w:sz w:val="20"/>
          <w:szCs w:val="18"/>
          <w:lang w:eastAsia="en-US"/>
        </w:rPr>
        <w:t xml:space="preserve"> must “contain any prescribed information”.</w:t>
      </w:r>
    </w:p>
    <w:p w14:paraId="5F27C057" w14:textId="58A871A0" w:rsidR="00D33F2B" w:rsidRPr="00BE5AFC" w:rsidRDefault="00484435" w:rsidP="00635009">
      <w:r>
        <w:t xml:space="preserve">As part of this RIS, </w:t>
      </w:r>
      <w:r w:rsidR="00C5376E">
        <w:t xml:space="preserve">DoT </w:t>
      </w:r>
      <w:r>
        <w:t xml:space="preserve">will </w:t>
      </w:r>
      <w:r w:rsidR="00C5376E">
        <w:t xml:space="preserve">consider </w:t>
      </w:r>
      <w:r w:rsidR="0050497B">
        <w:t xml:space="preserve">what information the Safety Director needs to </w:t>
      </w:r>
      <w:r w:rsidR="001F410E">
        <w:t>gather in order</w:t>
      </w:r>
      <w:r w:rsidR="00B3438B">
        <w:t xml:space="preserve"> for the Safety Director </w:t>
      </w:r>
      <w:r w:rsidR="0088668B">
        <w:t xml:space="preserve">to </w:t>
      </w:r>
      <w:r w:rsidR="00DD2C68">
        <w:t>assess</w:t>
      </w:r>
      <w:r w:rsidR="00D33F2B">
        <w:t xml:space="preserve"> </w:t>
      </w:r>
      <w:r w:rsidR="00AF5C04">
        <w:t>an</w:t>
      </w:r>
      <w:r w:rsidR="00D33F2B">
        <w:t xml:space="preserve"> application</w:t>
      </w:r>
      <w:r w:rsidR="00C616B2">
        <w:t>,</w:t>
      </w:r>
      <w:r w:rsidR="00D33F2B">
        <w:t xml:space="preserve"> or</w:t>
      </w:r>
      <w:r w:rsidR="00DD2C68">
        <w:t xml:space="preserve"> to</w:t>
      </w:r>
      <w:r w:rsidR="00D33F2B">
        <w:t xml:space="preserve"> </w:t>
      </w:r>
      <w:r w:rsidR="009D46CD">
        <w:t>monitor</w:t>
      </w:r>
      <w:r w:rsidR="00D33F2B">
        <w:t xml:space="preserve"> compliance and enforce bus safety laws. </w:t>
      </w:r>
      <w:r w:rsidR="00AF5C04">
        <w:t>It follows that r</w:t>
      </w:r>
      <w:r w:rsidR="00D33F2B">
        <w:t>egulations</w:t>
      </w:r>
      <w:r w:rsidR="00A03356">
        <w:t xml:space="preserve"> may be required that prescribe</w:t>
      </w:r>
      <w:r w:rsidR="00D33F2B">
        <w:t xml:space="preserve"> necessary information </w:t>
      </w:r>
      <w:r w:rsidR="00A03356">
        <w:t xml:space="preserve">to be provided with an application for accreditation or registration. </w:t>
      </w:r>
    </w:p>
    <w:p w14:paraId="5997A6FE" w14:textId="03251EFF" w:rsidR="00E022BD" w:rsidRPr="00E022BD" w:rsidRDefault="00045E7D" w:rsidP="00E022BD">
      <w:pPr>
        <w:pStyle w:val="Heading2"/>
        <w:tabs>
          <w:tab w:val="num" w:pos="709"/>
        </w:tabs>
        <w:ind w:left="709" w:hanging="709"/>
      </w:pPr>
      <w:bookmarkStart w:id="385" w:name="_Ref30412152"/>
      <w:bookmarkStart w:id="386" w:name="_Ref30412158"/>
      <w:bookmarkStart w:id="387" w:name="_Ref30412162"/>
      <w:bookmarkStart w:id="388" w:name="_Toc32909795"/>
      <w:bookmarkStart w:id="389" w:name="_Toc45704345"/>
      <w:r>
        <w:t>Identification</w:t>
      </w:r>
      <w:bookmarkEnd w:id="385"/>
      <w:bookmarkEnd w:id="386"/>
      <w:bookmarkEnd w:id="387"/>
      <w:r w:rsidR="006A1AA5">
        <w:t xml:space="preserve"> of services</w:t>
      </w:r>
      <w:bookmarkEnd w:id="388"/>
      <w:bookmarkEnd w:id="389"/>
      <w:r w:rsidR="006A1AA5">
        <w:t xml:space="preserve"> </w:t>
      </w:r>
    </w:p>
    <w:p w14:paraId="5E8A0990" w14:textId="1737CA00" w:rsidR="00FD18E0" w:rsidRDefault="00B349FC" w:rsidP="009D6540">
      <w:r>
        <w:t>Enforcement of b</w:t>
      </w:r>
      <w:r w:rsidR="001B62C7">
        <w:t>us safety</w:t>
      </w:r>
      <w:r>
        <w:t xml:space="preserve"> laws</w:t>
      </w:r>
      <w:r w:rsidR="001B62C7">
        <w:t xml:space="preserve"> is reliant on </w:t>
      </w:r>
      <w:r w:rsidR="002D1DF6">
        <w:t xml:space="preserve">ensuring </w:t>
      </w:r>
      <w:r w:rsidR="007677E8">
        <w:t xml:space="preserve">information related to the </w:t>
      </w:r>
      <w:r w:rsidR="00C03784">
        <w:t>bus service and</w:t>
      </w:r>
      <w:r w:rsidR="00953233">
        <w:t xml:space="preserve"> the</w:t>
      </w:r>
      <w:r w:rsidR="00C03784">
        <w:t xml:space="preserve"> bus operator</w:t>
      </w:r>
      <w:r w:rsidR="002701F6">
        <w:t xml:space="preserve"> </w:t>
      </w:r>
      <w:r w:rsidR="00953233">
        <w:t xml:space="preserve">responsible for the service </w:t>
      </w:r>
      <w:r w:rsidR="002701F6">
        <w:t>is available</w:t>
      </w:r>
      <w:r w:rsidR="00ED16D2">
        <w:t xml:space="preserve"> to </w:t>
      </w:r>
      <w:r w:rsidR="00267861">
        <w:t>the regulat</w:t>
      </w:r>
      <w:r w:rsidR="00A34CD6">
        <w:t>or</w:t>
      </w:r>
      <w:r w:rsidR="00177B51">
        <w:t>. T</w:t>
      </w:r>
      <w:r w:rsidR="00747425">
        <w:t xml:space="preserve">hat information may need to be displayed on a vehicle to </w:t>
      </w:r>
      <w:r w:rsidR="003E120B">
        <w:t>show</w:t>
      </w:r>
      <w:r w:rsidR="006C49AA">
        <w:t xml:space="preserve"> </w:t>
      </w:r>
      <w:r w:rsidR="003E120B">
        <w:t>information relevant to the bus service being provided</w:t>
      </w:r>
      <w:r w:rsidR="00D81BC7">
        <w:t xml:space="preserve"> while the vehicle is being used</w:t>
      </w:r>
      <w:r w:rsidR="003E120B">
        <w:t xml:space="preserve">. </w:t>
      </w:r>
      <w:r w:rsidR="0081003D">
        <w:t>Identification i</w:t>
      </w:r>
      <w:r w:rsidR="002D29A3">
        <w:t xml:space="preserve">nformation helps to ensure </w:t>
      </w:r>
      <w:r w:rsidR="00813196" w:rsidRPr="00EC4E2A">
        <w:t>effective and efficient compliance monitoring and enforcement</w:t>
      </w:r>
      <w:r w:rsidR="00FD18E0">
        <w:t xml:space="preserve"> as well as providing information to the community relating to the bus service</w:t>
      </w:r>
      <w:r w:rsidR="00201B39">
        <w:t>.</w:t>
      </w:r>
      <w:r w:rsidR="002A1847">
        <w:t xml:space="preserve"> </w:t>
      </w:r>
    </w:p>
    <w:p w14:paraId="7FADB5A1" w14:textId="46263EA9" w:rsidR="002A1847" w:rsidRDefault="00306D02" w:rsidP="009D6540">
      <w:r>
        <w:t>For effective compliance monitoring and</w:t>
      </w:r>
      <w:r w:rsidR="004200AB">
        <w:t xml:space="preserve"> enforcement, it </w:t>
      </w:r>
      <w:r w:rsidR="00C932B1">
        <w:t>is</w:t>
      </w:r>
      <w:r w:rsidR="004200AB">
        <w:t xml:space="preserve"> important for </w:t>
      </w:r>
      <w:r w:rsidR="00917790">
        <w:t>transport safety</w:t>
      </w:r>
      <w:r w:rsidR="008B6FC8">
        <w:t xml:space="preserve"> officers</w:t>
      </w:r>
      <w:r w:rsidR="002A1847">
        <w:t xml:space="preserve"> </w:t>
      </w:r>
      <w:r w:rsidR="00BA0D0E">
        <w:t xml:space="preserve">to identify from the vehicle who </w:t>
      </w:r>
      <w:r w:rsidR="00B40D93">
        <w:t xml:space="preserve">is responsible for the bus service being provided. </w:t>
      </w:r>
      <w:r w:rsidR="00B57471">
        <w:t xml:space="preserve">It is also important to be able to identify whether a </w:t>
      </w:r>
      <w:r w:rsidR="004D50E4">
        <w:t xml:space="preserve">bus is being used to provide an </w:t>
      </w:r>
      <w:r w:rsidR="004D50E4" w:rsidRPr="00EC4E2A">
        <w:t>accredited or registered bus service. This assists the</w:t>
      </w:r>
      <w:r w:rsidR="00EA30F7">
        <w:t xml:space="preserve"> regulator and transport safety officers</w:t>
      </w:r>
      <w:r w:rsidR="000117F0">
        <w:t xml:space="preserve"> </w:t>
      </w:r>
      <w:r w:rsidR="004D50E4" w:rsidRPr="00EC4E2A">
        <w:t xml:space="preserve">to establish whether a person is committing an offence under the </w:t>
      </w:r>
      <w:r w:rsidR="00F716A7">
        <w:t xml:space="preserve">Bus Safety Act </w:t>
      </w:r>
      <w:r w:rsidR="004D50E4" w:rsidRPr="00EC4E2A">
        <w:t>or regulations</w:t>
      </w:r>
      <w:r w:rsidR="0088127F">
        <w:t xml:space="preserve"> made under that Act</w:t>
      </w:r>
      <w:r w:rsidR="004D50E4" w:rsidRPr="00EC4E2A">
        <w:t xml:space="preserve">. </w:t>
      </w:r>
      <w:r w:rsidR="003D4155">
        <w:t xml:space="preserve">This is particularly </w:t>
      </w:r>
      <w:r w:rsidR="000F65D7">
        <w:t>essential</w:t>
      </w:r>
      <w:r w:rsidR="003D4155">
        <w:t xml:space="preserve"> for </w:t>
      </w:r>
      <w:r w:rsidR="00A11024">
        <w:t>real-time</w:t>
      </w:r>
      <w:r w:rsidR="0028340C">
        <w:t xml:space="preserve"> on-r</w:t>
      </w:r>
      <w:r w:rsidR="00C15EB9">
        <w:t>oad</w:t>
      </w:r>
      <w:r w:rsidR="00A11024">
        <w:t xml:space="preserve"> enforcement activities. </w:t>
      </w:r>
    </w:p>
    <w:p w14:paraId="7F4DE953" w14:textId="75214968" w:rsidR="00E36D42" w:rsidRDefault="00F43D53" w:rsidP="009D6540">
      <w:r>
        <w:t>All vehicles are required</w:t>
      </w:r>
      <w:r w:rsidR="0092372E">
        <w:t xml:space="preserve">, under the </w:t>
      </w:r>
      <w:r w:rsidR="00547B93">
        <w:t>Road Safety Act</w:t>
      </w:r>
      <w:r w:rsidR="0092372E">
        <w:t xml:space="preserve"> and the regulations made under that Act, to display number plates</w:t>
      </w:r>
      <w:r w:rsidR="00BD131A">
        <w:t>. Th</w:t>
      </w:r>
      <w:r w:rsidR="00F56348">
        <w:t>e display of number plates</w:t>
      </w:r>
      <w:r w:rsidR="00BD131A">
        <w:t xml:space="preserve"> enables the vehicle to be identified</w:t>
      </w:r>
      <w:r w:rsidR="00BB43B3">
        <w:t xml:space="preserve"> and the </w:t>
      </w:r>
      <w:r w:rsidR="004D04E9">
        <w:t>registered operator of the vehicles to be identified. I</w:t>
      </w:r>
      <w:r w:rsidR="00557FA2">
        <w:t>n the case of o</w:t>
      </w:r>
      <w:r w:rsidR="004D04E9">
        <w:t>perator</w:t>
      </w:r>
      <w:r w:rsidR="00557FA2">
        <w:t xml:space="preserve"> onus offences, </w:t>
      </w:r>
      <w:r w:rsidR="004D04E9">
        <w:t xml:space="preserve">number plates enable the driver </w:t>
      </w:r>
      <w:r w:rsidR="00BA5B94">
        <w:t>of the vehicle to be identified (i.e. through a nomination by the operator of the vehicle).</w:t>
      </w:r>
      <w:r w:rsidR="00BD131A">
        <w:t xml:space="preserve"> </w:t>
      </w:r>
      <w:r w:rsidR="00084F4B">
        <w:t xml:space="preserve">Therefore, </w:t>
      </w:r>
      <w:r w:rsidR="00D70C9E">
        <w:t xml:space="preserve">number plates, under that regulatory scheme, are used </w:t>
      </w:r>
      <w:r w:rsidR="00113894">
        <w:t xml:space="preserve">for </w:t>
      </w:r>
      <w:r w:rsidR="0066566C">
        <w:t xml:space="preserve">compliance and enforcement </w:t>
      </w:r>
      <w:r w:rsidR="00141641">
        <w:t xml:space="preserve">activity. </w:t>
      </w:r>
    </w:p>
    <w:p w14:paraId="5F6950BD" w14:textId="511BF246" w:rsidR="003768ED" w:rsidRDefault="00E36D42" w:rsidP="009D6540">
      <w:r>
        <w:t>Under the current Regulations, accredited bus operators</w:t>
      </w:r>
      <w:r w:rsidR="00DE57F8">
        <w:t xml:space="preserve"> are required to display </w:t>
      </w:r>
      <w:r w:rsidR="00CA7AD2">
        <w:t xml:space="preserve">special number plates which signify </w:t>
      </w:r>
      <w:r w:rsidR="008F4DD7">
        <w:t>that the bus is being operated by an accredited bus operator.</w:t>
      </w:r>
      <w:r w:rsidR="00CA7AD2">
        <w:t xml:space="preserve"> </w:t>
      </w:r>
      <w:r w:rsidR="009A09B7">
        <w:t xml:space="preserve"> These number plates identify that the bus is operated by an accredited bus operator as the </w:t>
      </w:r>
      <w:r w:rsidR="00266096">
        <w:t xml:space="preserve">number plates will only be </w:t>
      </w:r>
      <w:r w:rsidR="00266096">
        <w:lastRenderedPageBreak/>
        <w:t xml:space="preserve">issued to buses </w:t>
      </w:r>
      <w:r w:rsidR="009A3C15">
        <w:t xml:space="preserve">with registered operators (under the </w:t>
      </w:r>
      <w:r w:rsidR="00547B93">
        <w:t>Road Safety Act</w:t>
      </w:r>
      <w:r w:rsidR="0026455A">
        <w:t xml:space="preserve"> </w:t>
      </w:r>
      <w:r w:rsidR="009A3C15">
        <w:t xml:space="preserve">scheme) who are also </w:t>
      </w:r>
      <w:r w:rsidR="00F54AF9">
        <w:t xml:space="preserve">accredited bus operators (under the </w:t>
      </w:r>
      <w:r w:rsidR="00F716A7">
        <w:t>Bus Safety Act</w:t>
      </w:r>
      <w:r w:rsidR="00F54AF9">
        <w:t>).</w:t>
      </w:r>
      <w:r w:rsidR="00E2785C">
        <w:t xml:space="preserve"> However, the special issue number plates </w:t>
      </w:r>
      <w:r w:rsidR="009E3483">
        <w:t xml:space="preserve">do </w:t>
      </w:r>
      <w:r w:rsidR="009D6540">
        <w:t>not necessarily identify who is primarily responsible for the vehicle</w:t>
      </w:r>
      <w:r w:rsidR="00C82C65">
        <w:t xml:space="preserve"> as a bus operator</w:t>
      </w:r>
      <w:r w:rsidR="00523603">
        <w:t xml:space="preserve"> (as this information is not recorded in the VicRoads Registration and Licensing database)</w:t>
      </w:r>
      <w:r w:rsidR="008B0D5B">
        <w:t>.</w:t>
      </w:r>
      <w:r w:rsidR="00F94C7F">
        <w:t xml:space="preserve"> </w:t>
      </w:r>
    </w:p>
    <w:p w14:paraId="4F3EAC54" w14:textId="1087F1B7" w:rsidR="007B2A19" w:rsidRDefault="00E50ADC" w:rsidP="009D6540">
      <w:r>
        <w:t xml:space="preserve">The </w:t>
      </w:r>
      <w:r w:rsidR="00F716A7">
        <w:t>Bus Safety Act</w:t>
      </w:r>
      <w:r>
        <w:t xml:space="preserve"> require</w:t>
      </w:r>
      <w:r w:rsidR="004540AA">
        <w:t>s</w:t>
      </w:r>
      <w:r>
        <w:t xml:space="preserve"> the operator to become accredited or registered</w:t>
      </w:r>
      <w:r w:rsidR="00C94A2E">
        <w:t>, but there is no equivalent permission or registration</w:t>
      </w:r>
      <w:r w:rsidR="00D81140">
        <w:t xml:space="preserve"> </w:t>
      </w:r>
      <w:r w:rsidR="009B6E62">
        <w:t>required in respect of the vehicle itself</w:t>
      </w:r>
      <w:r>
        <w:t xml:space="preserve"> – </w:t>
      </w:r>
      <w:r w:rsidR="008F4605">
        <w:t>the vehicle used to provide a bus service</w:t>
      </w:r>
      <w:r>
        <w:t xml:space="preserve"> is not registered under the </w:t>
      </w:r>
      <w:r w:rsidR="00F716A7">
        <w:t>Bus Safety Act</w:t>
      </w:r>
      <w:r>
        <w:t xml:space="preserve">. </w:t>
      </w:r>
      <w:r w:rsidR="00DA7B7E">
        <w:t>This is in contrast to commercial passenger vehicles</w:t>
      </w:r>
      <w:r w:rsidR="00E348E8">
        <w:t xml:space="preserve"> (e.g. taxis, hire cars and rideshare)</w:t>
      </w:r>
      <w:r w:rsidR="00DA7B7E">
        <w:t>, in which the vehicle itself is registered</w:t>
      </w:r>
      <w:r w:rsidR="00EE3A09">
        <w:t xml:space="preserve"> under the </w:t>
      </w:r>
      <w:r w:rsidR="00EE3A09" w:rsidRPr="00C8750F">
        <w:rPr>
          <w:i/>
          <w:iCs/>
        </w:rPr>
        <w:t>Commercial Passenger Vehicle Industry Act 2017</w:t>
      </w:r>
      <w:r w:rsidR="00DA7B7E">
        <w:t>.</w:t>
      </w:r>
      <w:r w:rsidR="00412D72">
        <w:t xml:space="preserve"> </w:t>
      </w:r>
    </w:p>
    <w:p w14:paraId="71A96A39" w14:textId="46A1168D" w:rsidR="009D6540" w:rsidRDefault="003B28BF" w:rsidP="009D6540">
      <w:r>
        <w:t>Considering</w:t>
      </w:r>
      <w:r w:rsidR="00AE734F">
        <w:t xml:space="preserve"> these factors</w:t>
      </w:r>
      <w:r w:rsidR="00412D72">
        <w:t xml:space="preserve">, </w:t>
      </w:r>
      <w:r w:rsidR="00025C24">
        <w:t xml:space="preserve">enforcement activity may be hindered </w:t>
      </w:r>
      <w:r w:rsidR="002A1301">
        <w:t xml:space="preserve">where </w:t>
      </w:r>
      <w:r w:rsidR="001145C0">
        <w:t xml:space="preserve">buses </w:t>
      </w:r>
      <w:r w:rsidR="009E6164">
        <w:t xml:space="preserve">are used to provide bus services </w:t>
      </w:r>
      <w:r w:rsidR="001145C0">
        <w:t>that are not</w:t>
      </w:r>
      <w:r w:rsidR="000125D1">
        <w:t xml:space="preserve"> directly</w:t>
      </w:r>
      <w:r w:rsidR="001145C0">
        <w:t xml:space="preserve"> owned by the</w:t>
      </w:r>
      <w:r w:rsidR="000125D1">
        <w:t xml:space="preserve"> bus</w:t>
      </w:r>
      <w:r w:rsidR="001145C0">
        <w:t xml:space="preserve"> operator or are leased </w:t>
      </w:r>
      <w:r w:rsidR="00FE5EDC">
        <w:t>to another operator.</w:t>
      </w:r>
      <w:r w:rsidR="005654B3">
        <w:t xml:space="preserve"> </w:t>
      </w:r>
      <w:r w:rsidR="000125D1">
        <w:t>That is, it may be difficult for</w:t>
      </w:r>
      <w:r w:rsidR="004A27DB">
        <w:t xml:space="preserve"> </w:t>
      </w:r>
      <w:r w:rsidR="00EA30F7">
        <w:t>the regulator or transport safety officers</w:t>
      </w:r>
      <w:r w:rsidR="000125D1">
        <w:t xml:space="preserve"> to identify who is responsible for the service if the bus </w:t>
      </w:r>
      <w:r w:rsidR="00361C35">
        <w:t xml:space="preserve">does not </w:t>
      </w:r>
      <w:r w:rsidR="000125D1">
        <w:t xml:space="preserve">sufficiently </w:t>
      </w:r>
      <w:r w:rsidR="00361C35">
        <w:t>identify who is responsible for the service.</w:t>
      </w:r>
      <w:r w:rsidR="00D12F9D">
        <w:t xml:space="preserve"> A n</w:t>
      </w:r>
      <w:r w:rsidR="00FE5EDC">
        <w:t xml:space="preserve">umber plate in these cases </w:t>
      </w:r>
      <w:r w:rsidR="00D12F9D">
        <w:t xml:space="preserve">may </w:t>
      </w:r>
      <w:r w:rsidR="00FE5EDC">
        <w:t>not provide</w:t>
      </w:r>
      <w:r w:rsidR="00D12F9D">
        <w:t xml:space="preserve"> enough</w:t>
      </w:r>
      <w:r w:rsidR="00FE5EDC">
        <w:t xml:space="preserve"> identification for who is responsible for the bus service being provided. </w:t>
      </w:r>
      <w:r w:rsidR="00EE4F09">
        <w:t>Consultation with TSV indicated that their transport safety officers have encountered numerous instances where buses have no identifying information other than a number plate on a bus. This meant that transport safety officers were unable to quickly ascertain the accreditation or registration details, including contact details, of the operator from the number plate.</w:t>
      </w:r>
    </w:p>
    <w:p w14:paraId="16380ECA" w14:textId="11160311" w:rsidR="002D0061" w:rsidRDefault="00EF4A52" w:rsidP="002D0061">
      <w:r>
        <w:t>Other i</w:t>
      </w:r>
      <w:r w:rsidR="00B969EF">
        <w:t>d</w:t>
      </w:r>
      <w:r w:rsidR="00424A35">
        <w:t xml:space="preserve">entification issues </w:t>
      </w:r>
      <w:r>
        <w:t xml:space="preserve">may also arise </w:t>
      </w:r>
      <w:r w:rsidR="002D0061">
        <w:t>for identifying</w:t>
      </w:r>
      <w:r w:rsidR="007F7664">
        <w:t xml:space="preserve"> </w:t>
      </w:r>
      <w:r w:rsidR="00311700">
        <w:t xml:space="preserve">some </w:t>
      </w:r>
      <w:r w:rsidR="007F7664">
        <w:t>bus</w:t>
      </w:r>
      <w:r w:rsidR="00B46CC0">
        <w:t>es</w:t>
      </w:r>
      <w:r w:rsidR="007F7664">
        <w:t xml:space="preserve"> operated by</w:t>
      </w:r>
      <w:r w:rsidR="002D0061">
        <w:t xml:space="preserve"> registered</w:t>
      </w:r>
      <w:r w:rsidR="007F7664">
        <w:t xml:space="preserve"> bus operators </w:t>
      </w:r>
      <w:r w:rsidR="00131570">
        <w:t>(e.g.</w:t>
      </w:r>
      <w:r w:rsidR="002D0061">
        <w:t xml:space="preserve"> mini-buses</w:t>
      </w:r>
      <w:r w:rsidR="00311700">
        <w:t>)</w:t>
      </w:r>
      <w:r w:rsidR="002D0061">
        <w:t xml:space="preserve">. </w:t>
      </w:r>
      <w:r w:rsidR="00553F08">
        <w:t>A bus operator is required</w:t>
      </w:r>
      <w:r w:rsidR="00391D20">
        <w:t xml:space="preserve"> to be registered</w:t>
      </w:r>
      <w:r w:rsidR="00553F08">
        <w:t xml:space="preserve"> </w:t>
      </w:r>
      <w:r w:rsidR="001E1321">
        <w:t xml:space="preserve">if the </w:t>
      </w:r>
      <w:r w:rsidR="002D0061">
        <w:t>vehicle</w:t>
      </w:r>
      <w:r w:rsidR="001E1321">
        <w:t xml:space="preserve"> </w:t>
      </w:r>
      <w:r w:rsidR="00C47F11">
        <w:t xml:space="preserve">used </w:t>
      </w:r>
      <w:r w:rsidR="001E1321">
        <w:t xml:space="preserve">to provide a bus service </w:t>
      </w:r>
      <w:r w:rsidR="00084848">
        <w:t xml:space="preserve">is </w:t>
      </w:r>
      <w:r w:rsidR="002D0061">
        <w:t>equipped to seat 10-12 passengers, including the driver. However,</w:t>
      </w:r>
      <w:r w:rsidR="00617290">
        <w:t xml:space="preserve"> a </w:t>
      </w:r>
      <w:r w:rsidR="00F6273A">
        <w:t>bus operator is only required to be registered i</w:t>
      </w:r>
      <w:r w:rsidR="00C0235B">
        <w:t xml:space="preserve">f the vehicle is used to provide </w:t>
      </w:r>
      <w:r w:rsidR="003867F0">
        <w:t>a bus service</w:t>
      </w:r>
      <w:r w:rsidR="000671C0">
        <w:t>;</w:t>
      </w:r>
      <w:r w:rsidR="003867F0">
        <w:t xml:space="preserve"> if the vehicle is used for private </w:t>
      </w:r>
      <w:r w:rsidR="00F80647">
        <w:t>purposes</w:t>
      </w:r>
      <w:r w:rsidR="00443FD1">
        <w:t xml:space="preserve"> then the </w:t>
      </w:r>
      <w:r w:rsidR="00F716A7">
        <w:t xml:space="preserve">Bus Safety Act </w:t>
      </w:r>
      <w:r w:rsidR="00443FD1">
        <w:t>does not apply.</w:t>
      </w:r>
      <w:r w:rsidR="00F6273A">
        <w:t xml:space="preserve"> </w:t>
      </w:r>
      <w:r w:rsidR="002D0061">
        <w:t xml:space="preserve"> This</w:t>
      </w:r>
      <w:r w:rsidR="00D923E1">
        <w:t xml:space="preserve"> may</w:t>
      </w:r>
      <w:r w:rsidR="002D0061">
        <w:t xml:space="preserve"> make it difficult for</w:t>
      </w:r>
      <w:r w:rsidR="005923B9">
        <w:t xml:space="preserve"> </w:t>
      </w:r>
      <w:r w:rsidR="00C66726">
        <w:t>transport safety</w:t>
      </w:r>
      <w:r w:rsidR="005923B9">
        <w:t xml:space="preserve"> officers</w:t>
      </w:r>
      <w:r w:rsidR="002D0061">
        <w:t xml:space="preserve"> to discern whether a bus is registered under the </w:t>
      </w:r>
      <w:r w:rsidR="00F716A7">
        <w:t xml:space="preserve">Bus Safety Act </w:t>
      </w:r>
      <w:r w:rsidR="00E4337D">
        <w:t>(i.e. being used to provide a bus service)</w:t>
      </w:r>
      <w:r w:rsidR="002D0061">
        <w:t xml:space="preserve"> or whether it is a bus used for private purposes (e.g. for a large family). </w:t>
      </w:r>
    </w:p>
    <w:p w14:paraId="1408E343" w14:textId="1DC7E7C8" w:rsidR="00395327" w:rsidRDefault="0039427C" w:rsidP="009D74E6">
      <w:r>
        <w:t>Taken together, it is difficult for</w:t>
      </w:r>
      <w:r w:rsidR="00EA30F7">
        <w:t xml:space="preserve"> the regulator</w:t>
      </w:r>
      <w:r>
        <w:t xml:space="preserve"> to identify the operators or responsible person of</w:t>
      </w:r>
      <w:r w:rsidR="000B69CB">
        <w:t xml:space="preserve"> a bus given </w:t>
      </w:r>
      <w:r w:rsidR="002F7CDF">
        <w:t xml:space="preserve">the </w:t>
      </w:r>
      <w:r w:rsidR="00F716A7">
        <w:t xml:space="preserve">Bus Safety Act </w:t>
      </w:r>
      <w:r w:rsidR="00AA1CCC">
        <w:t xml:space="preserve">provides for an operator accreditation and </w:t>
      </w:r>
      <w:r w:rsidR="00356E4B">
        <w:t>registration</w:t>
      </w:r>
      <w:r w:rsidR="00AA1CCC">
        <w:t xml:space="preserve"> scheme, </w:t>
      </w:r>
      <w:r w:rsidR="00EE7EF8">
        <w:t>as opposed to a bus service vehicle registration scheme</w:t>
      </w:r>
      <w:r w:rsidR="003803E5">
        <w:t xml:space="preserve">. </w:t>
      </w:r>
      <w:r w:rsidR="00446222">
        <w:t xml:space="preserve">As is the case, </w:t>
      </w:r>
      <w:r w:rsidR="004D50E4" w:rsidRPr="00EC4E2A">
        <w:t>TSV advised that</w:t>
      </w:r>
      <w:r w:rsidR="000671C0">
        <w:t>,</w:t>
      </w:r>
      <w:r w:rsidR="004D50E4" w:rsidRPr="00EC4E2A">
        <w:t xml:space="preserve"> in practice, on-road identification </w:t>
      </w:r>
      <w:r w:rsidR="00EA5596">
        <w:t xml:space="preserve">of vehicles and their </w:t>
      </w:r>
      <w:r w:rsidR="00E876DB">
        <w:t>corresponding</w:t>
      </w:r>
      <w:r w:rsidR="00EA5596">
        <w:t xml:space="preserve"> operator </w:t>
      </w:r>
      <w:r w:rsidR="004D50E4" w:rsidRPr="00EC4E2A">
        <w:t xml:space="preserve">is not </w:t>
      </w:r>
      <w:r w:rsidR="00DE7F2F">
        <w:t>always immediately apparent nor</w:t>
      </w:r>
      <w:r w:rsidR="004D50E4" w:rsidRPr="00EC4E2A">
        <w:t xml:space="preserve"> readily available.</w:t>
      </w:r>
    </w:p>
    <w:p w14:paraId="3E109476" w14:textId="1663759F" w:rsidR="004030EF" w:rsidRDefault="001B33AB" w:rsidP="00A65DC5">
      <w:r>
        <w:t xml:space="preserve">DoT </w:t>
      </w:r>
      <w:r w:rsidR="00F72870">
        <w:t xml:space="preserve">considers </w:t>
      </w:r>
      <w:r>
        <w:t>that the case for</w:t>
      </w:r>
      <w:r w:rsidR="001B4DD0">
        <w:t xml:space="preserve"> </w:t>
      </w:r>
      <w:r w:rsidR="00D85E3E">
        <w:t xml:space="preserve">identification </w:t>
      </w:r>
      <w:r w:rsidR="00B16DC7" w:rsidRPr="005E6446">
        <w:t>for</w:t>
      </w:r>
      <w:r w:rsidR="002471D0">
        <w:t xml:space="preserve"> the</w:t>
      </w:r>
      <w:r w:rsidR="00B16DC7" w:rsidRPr="005E6446">
        <w:t xml:space="preserve"> purposes of</w:t>
      </w:r>
      <w:r w:rsidR="00B969EF">
        <w:t xml:space="preserve"> </w:t>
      </w:r>
      <w:r w:rsidR="00D85E3E">
        <w:t>ensuring</w:t>
      </w:r>
      <w:r w:rsidR="00B969EF">
        <w:t xml:space="preserve"> the public </w:t>
      </w:r>
      <w:r w:rsidR="00590DEC">
        <w:t xml:space="preserve">are </w:t>
      </w:r>
      <w:r w:rsidR="00D85E3E">
        <w:t>made</w:t>
      </w:r>
      <w:r w:rsidR="00B969EF">
        <w:t xml:space="preserve"> aware of </w:t>
      </w:r>
      <w:r w:rsidR="00B16DC7" w:rsidRPr="005E6446">
        <w:t>the responsible operator of each bus service</w:t>
      </w:r>
      <w:r w:rsidR="002529C0">
        <w:t xml:space="preserve"> is not as </w:t>
      </w:r>
      <w:r w:rsidR="00DF7D09">
        <w:t>compelling</w:t>
      </w:r>
      <w:r w:rsidR="002529C0">
        <w:t xml:space="preserve">. </w:t>
      </w:r>
      <w:r w:rsidR="00372B99">
        <w:t>I</w:t>
      </w:r>
      <w:r w:rsidR="002529C0">
        <w:t xml:space="preserve">t may be argued that </w:t>
      </w:r>
      <w:r w:rsidR="00A65DC5">
        <w:t xml:space="preserve">the display of identifying bus service information could provide the public with information </w:t>
      </w:r>
      <w:r w:rsidR="006D24EA">
        <w:t xml:space="preserve">in </w:t>
      </w:r>
      <w:r w:rsidR="00A65DC5">
        <w:t>relation to whether a</w:t>
      </w:r>
      <w:r w:rsidR="00A65DC5" w:rsidRPr="005E6446">
        <w:t xml:space="preserve"> bus service is safe and is subject to the obligations to ensure safety under the </w:t>
      </w:r>
      <w:r w:rsidR="00F716A7">
        <w:t>Bus Safety Act</w:t>
      </w:r>
      <w:r w:rsidR="00E2749E">
        <w:t>.</w:t>
      </w:r>
      <w:r w:rsidR="00372B99">
        <w:t xml:space="preserve"> </w:t>
      </w:r>
      <w:r w:rsidR="00F62D02">
        <w:t>However, m</w:t>
      </w:r>
      <w:r w:rsidR="00372B99">
        <w:t>any</w:t>
      </w:r>
      <w:r w:rsidR="00E2749E">
        <w:t xml:space="preserve"> </w:t>
      </w:r>
      <w:r w:rsidR="00F362E9">
        <w:t xml:space="preserve">bus </w:t>
      </w:r>
      <w:r w:rsidR="00A65DC5" w:rsidRPr="005E6446">
        <w:t>services are booked in advance (</w:t>
      </w:r>
      <w:r w:rsidR="007C09E8">
        <w:t xml:space="preserve">e.g. </w:t>
      </w:r>
      <w:r w:rsidR="00A65DC5" w:rsidRPr="005E6446">
        <w:t>tour and charter), have responsible parties already known to the customer (</w:t>
      </w:r>
      <w:r w:rsidR="007C09E8">
        <w:t xml:space="preserve">e.g. </w:t>
      </w:r>
      <w:r w:rsidR="00A65DC5" w:rsidRPr="005E6446">
        <w:t xml:space="preserve">community and not-for profit buses), or are contracted </w:t>
      </w:r>
      <w:r w:rsidR="00A40D11">
        <w:t xml:space="preserve">(with safety requirement built into contracts) </w:t>
      </w:r>
      <w:r w:rsidR="00A65DC5" w:rsidRPr="005E6446">
        <w:t>by the government (</w:t>
      </w:r>
      <w:r w:rsidR="007C09E8">
        <w:t xml:space="preserve">e.g. </w:t>
      </w:r>
      <w:r w:rsidR="00A65DC5" w:rsidRPr="005E6446">
        <w:t xml:space="preserve">route services). </w:t>
      </w:r>
    </w:p>
    <w:p w14:paraId="64ACC8B0" w14:textId="14806E1B" w:rsidR="00A65DC5" w:rsidRDefault="00590DEC" w:rsidP="00A65DC5">
      <w:r>
        <w:t>In many cases, the public is in</w:t>
      </w:r>
      <w:r w:rsidR="00367F3F">
        <w:t xml:space="preserve"> </w:t>
      </w:r>
      <w:r w:rsidR="00B73172">
        <w:t xml:space="preserve">a position to </w:t>
      </w:r>
      <w:r w:rsidR="00E07A72">
        <w:t>be able to inform themselves of the</w:t>
      </w:r>
      <w:r w:rsidR="003909D7">
        <w:t xml:space="preserve"> responsible operator of the bus service</w:t>
      </w:r>
      <w:r w:rsidR="00633945">
        <w:t xml:space="preserve"> prio</w:t>
      </w:r>
      <w:r w:rsidR="00905F50">
        <w:t>r to using the service.</w:t>
      </w:r>
      <w:r w:rsidR="003B0002">
        <w:t xml:space="preserve"> For example, aged care facilities often provide transport for their residents to access the broader community or places of interest.</w:t>
      </w:r>
      <w:r w:rsidR="00A25456">
        <w:t xml:space="preserve"> Often, </w:t>
      </w:r>
      <w:r w:rsidR="004030EF">
        <w:t>the bus operator providing the bus services to the</w:t>
      </w:r>
      <w:r w:rsidR="00A25456">
        <w:t xml:space="preserve"> aged care facilit</w:t>
      </w:r>
      <w:r w:rsidR="004030EF">
        <w:t>y may be an employee of facility</w:t>
      </w:r>
      <w:r w:rsidR="00A25456">
        <w:t xml:space="preserve"> and are therefore well-known to both the aged care company and reside</w:t>
      </w:r>
      <w:r w:rsidR="00A04DEC">
        <w:t>nts.</w:t>
      </w:r>
      <w:r w:rsidR="003A39F7">
        <w:t xml:space="preserve"> In this case, the aged care company </w:t>
      </w:r>
      <w:r w:rsidR="006F55E6">
        <w:t xml:space="preserve">will be in a good position to determine the safety of the buses used to transport their residents, as well as the </w:t>
      </w:r>
      <w:r w:rsidR="00401109">
        <w:t>competency</w:t>
      </w:r>
      <w:r w:rsidR="006F55E6">
        <w:t xml:space="preserve"> of the bus driver. </w:t>
      </w:r>
      <w:r w:rsidR="00A04DEC">
        <w:t xml:space="preserve"> </w:t>
      </w:r>
    </w:p>
    <w:p w14:paraId="630F5DB2" w14:textId="036C3807" w:rsidR="00675004" w:rsidRPr="00D14E93" w:rsidRDefault="00675004" w:rsidP="00675004">
      <w:pPr>
        <w:pStyle w:val="Heading2"/>
        <w:tabs>
          <w:tab w:val="num" w:pos="709"/>
        </w:tabs>
        <w:ind w:left="709" w:hanging="709"/>
      </w:pPr>
      <w:bookmarkStart w:id="390" w:name="_Toc33709307"/>
      <w:bookmarkStart w:id="391" w:name="_Toc33711759"/>
      <w:bookmarkStart w:id="392" w:name="_Toc32909797"/>
      <w:bookmarkStart w:id="393" w:name="_Toc45704346"/>
      <w:bookmarkEnd w:id="390"/>
      <w:bookmarkEnd w:id="391"/>
      <w:r w:rsidRPr="00D14E93">
        <w:t>Cost recovery</w:t>
      </w:r>
      <w:bookmarkEnd w:id="392"/>
      <w:bookmarkEnd w:id="393"/>
    </w:p>
    <w:p w14:paraId="23E5D3D5" w14:textId="77777777" w:rsidR="00C141DF" w:rsidRPr="00C2185B" w:rsidRDefault="00C141DF" w:rsidP="00C141DF">
      <w:pPr>
        <w:pStyle w:val="Heading3"/>
      </w:pPr>
      <w:bookmarkStart w:id="394" w:name="_Toc424820964"/>
      <w:bookmarkStart w:id="395" w:name="_Toc425253498"/>
      <w:bookmarkStart w:id="396" w:name="_Toc425354125"/>
      <w:bookmarkStart w:id="397" w:name="_Toc424820965"/>
      <w:bookmarkStart w:id="398" w:name="_Toc425253499"/>
      <w:bookmarkStart w:id="399" w:name="_Toc425354126"/>
      <w:bookmarkStart w:id="400" w:name="_Toc40101415"/>
      <w:bookmarkStart w:id="401" w:name="_Toc32909803"/>
      <w:bookmarkStart w:id="402" w:name="_Toc45704347"/>
      <w:bookmarkEnd w:id="394"/>
      <w:bookmarkEnd w:id="395"/>
      <w:bookmarkEnd w:id="396"/>
      <w:bookmarkEnd w:id="397"/>
      <w:bookmarkEnd w:id="398"/>
      <w:bookmarkEnd w:id="399"/>
      <w:r w:rsidRPr="00C2185B">
        <w:t>General principles of cost recovery</w:t>
      </w:r>
      <w:bookmarkEnd w:id="400"/>
      <w:bookmarkEnd w:id="402"/>
    </w:p>
    <w:p w14:paraId="42FC54EA" w14:textId="77777777" w:rsidR="00C141DF" w:rsidRPr="00C2185B" w:rsidRDefault="00C141DF" w:rsidP="00C141DF">
      <w:pPr>
        <w:rPr>
          <w:rFonts w:cstheme="minorHAnsi"/>
          <w:szCs w:val="20"/>
        </w:rPr>
      </w:pPr>
      <w:bookmarkStart w:id="403" w:name="_Hlk43455882"/>
      <w:r w:rsidRPr="00C2185B">
        <w:rPr>
          <w:rFonts w:cstheme="minorHAnsi"/>
          <w:szCs w:val="20"/>
        </w:rPr>
        <w:t>The costs of administering and enforcing regulation are borne by the government and its agencies</w:t>
      </w:r>
      <w:bookmarkEnd w:id="403"/>
      <w:r w:rsidRPr="00C2185B">
        <w:rPr>
          <w:rFonts w:cstheme="minorHAnsi"/>
          <w:szCs w:val="20"/>
        </w:rPr>
        <w:t xml:space="preserve">. Such costs would be avoided if the regulated activity ceased. Accordingly, the incidence of these costs can be attributed to those participating in the activity. </w:t>
      </w:r>
    </w:p>
    <w:p w14:paraId="65527A3C" w14:textId="77777777" w:rsidR="00C141DF" w:rsidRPr="00C2185B" w:rsidRDefault="00C141DF" w:rsidP="00C141DF">
      <w:pPr>
        <w:rPr>
          <w:rFonts w:cstheme="minorHAnsi"/>
          <w:szCs w:val="20"/>
        </w:rPr>
      </w:pPr>
      <w:r w:rsidRPr="00C2185B">
        <w:rPr>
          <w:rFonts w:cstheme="minorHAnsi"/>
          <w:szCs w:val="20"/>
        </w:rPr>
        <w:t xml:space="preserve">The </w:t>
      </w:r>
      <w:r w:rsidRPr="00C2185B">
        <w:rPr>
          <w:rFonts w:cstheme="minorHAnsi"/>
          <w:i/>
          <w:szCs w:val="20"/>
        </w:rPr>
        <w:t>Cost Recovery Guidelines 2013</w:t>
      </w:r>
      <w:r w:rsidRPr="00C2185B">
        <w:rPr>
          <w:rFonts w:cstheme="minorHAnsi"/>
          <w:szCs w:val="20"/>
        </w:rPr>
        <w:t xml:space="preserve"> issued by the Department of Treasury and Finance define cost recovery as:</w:t>
      </w:r>
    </w:p>
    <w:p w14:paraId="282838D9" w14:textId="77777777" w:rsidR="00C141DF" w:rsidRPr="00C2185B" w:rsidRDefault="00C141DF" w:rsidP="00C141DF">
      <w:pPr>
        <w:pStyle w:val="bodyCopy"/>
        <w:ind w:left="720"/>
        <w:rPr>
          <w:rFonts w:asciiTheme="minorHAnsi" w:hAnsiTheme="minorHAnsi" w:cstheme="minorHAnsi"/>
        </w:rPr>
      </w:pPr>
      <w:r w:rsidRPr="00C2185B">
        <w:rPr>
          <w:rFonts w:asciiTheme="minorHAnsi" w:hAnsiTheme="minorHAnsi" w:cstheme="minorHAnsi"/>
        </w:rPr>
        <w:lastRenderedPageBreak/>
        <w:t>“</w:t>
      </w:r>
      <w:r w:rsidRPr="00C2185B">
        <w:rPr>
          <w:rFonts w:asciiTheme="minorHAnsi" w:hAnsiTheme="minorHAnsi" w:cstheme="minorHAnsi"/>
          <w:i/>
        </w:rPr>
        <w:t>the recuperation of the costs of government-provided or funded products, services, or activities that, at least in part, provide benefits to individuals, entities o</w:t>
      </w:r>
      <w:r>
        <w:rPr>
          <w:rFonts w:asciiTheme="minorHAnsi" w:hAnsiTheme="minorHAnsi" w:cstheme="minorHAnsi"/>
          <w:i/>
        </w:rPr>
        <w:t>r</w:t>
      </w:r>
      <w:r w:rsidRPr="00C2185B">
        <w:rPr>
          <w:rFonts w:asciiTheme="minorHAnsi" w:hAnsiTheme="minorHAnsi" w:cstheme="minorHAnsi"/>
          <w:i/>
        </w:rPr>
        <w:t xml:space="preserve"> groups, or reflect the costs their actions impose</w:t>
      </w:r>
      <w:r w:rsidRPr="00C2185B">
        <w:rPr>
          <w:rFonts w:asciiTheme="minorHAnsi" w:hAnsiTheme="minorHAnsi" w:cstheme="minorHAnsi"/>
        </w:rPr>
        <w:t>.” (Page 5)</w:t>
      </w:r>
      <w:r w:rsidRPr="00C2185B">
        <w:rPr>
          <w:rStyle w:val="FootnoteReference"/>
          <w:rFonts w:asciiTheme="minorHAnsi" w:hAnsiTheme="minorHAnsi" w:cstheme="minorHAnsi"/>
          <w:i/>
        </w:rPr>
        <w:footnoteReference w:id="9"/>
      </w:r>
    </w:p>
    <w:p w14:paraId="2A19A9A3" w14:textId="530069D6" w:rsidR="00C141DF" w:rsidRPr="00C2185B" w:rsidRDefault="00C141DF" w:rsidP="00C141DF">
      <w:pPr>
        <w:pStyle w:val="bodyCopy"/>
        <w:rPr>
          <w:rFonts w:asciiTheme="minorHAnsi" w:hAnsiTheme="minorHAnsi" w:cstheme="minorHAnsi"/>
        </w:rPr>
      </w:pPr>
      <w:r w:rsidRPr="00C2185B">
        <w:rPr>
          <w:rFonts w:asciiTheme="minorHAnsi" w:hAnsiTheme="minorHAnsi" w:cstheme="minorHAnsi"/>
        </w:rPr>
        <w:t>In practice, cost recovery involves setting and collecting fees or charges to cover the costs incurred in undertaking activities such as the administration of regulation, the provision by government of certain goods and services purchased by customers, or government measures in natural resource-based sectors and ecologic</w:t>
      </w:r>
      <w:r w:rsidR="000C5CD7">
        <w:rPr>
          <w:rFonts w:asciiTheme="minorHAnsi" w:hAnsiTheme="minorHAnsi" w:cstheme="minorHAnsi"/>
        </w:rPr>
        <w:t>al</w:t>
      </w:r>
      <w:r w:rsidRPr="00C2185B">
        <w:rPr>
          <w:rFonts w:asciiTheme="minorHAnsi" w:hAnsiTheme="minorHAnsi" w:cstheme="minorHAnsi"/>
        </w:rPr>
        <w:t xml:space="preserve"> services.</w:t>
      </w:r>
    </w:p>
    <w:p w14:paraId="358D8CA9" w14:textId="6C4258C5" w:rsidR="00C141DF" w:rsidRDefault="00C141DF" w:rsidP="00C141DF">
      <w:pPr>
        <w:pStyle w:val="bodyCopy"/>
        <w:rPr>
          <w:rFonts w:asciiTheme="minorHAnsi" w:hAnsiTheme="minorHAnsi" w:cstheme="minorHAnsi"/>
        </w:rPr>
      </w:pPr>
      <w:r w:rsidRPr="00C2185B">
        <w:rPr>
          <w:rFonts w:asciiTheme="minorHAnsi" w:hAnsiTheme="minorHAnsi" w:cstheme="minorHAnsi"/>
        </w:rPr>
        <w:t>In the context of bus safety, there are safety risks associated with</w:t>
      </w:r>
      <w:r>
        <w:rPr>
          <w:rFonts w:asciiTheme="minorHAnsi" w:hAnsiTheme="minorHAnsi" w:cstheme="minorHAnsi"/>
        </w:rPr>
        <w:t xml:space="preserve"> operating</w:t>
      </w:r>
      <w:r w:rsidRPr="00C2185B">
        <w:rPr>
          <w:rFonts w:asciiTheme="minorHAnsi" w:hAnsiTheme="minorHAnsi" w:cstheme="minorHAnsi"/>
        </w:rPr>
        <w:t xml:space="preserve"> bus services. In order to reduce safety risks</w:t>
      </w:r>
      <w:r>
        <w:rPr>
          <w:rFonts w:asciiTheme="minorHAnsi" w:hAnsiTheme="minorHAnsi" w:cstheme="minorHAnsi"/>
        </w:rPr>
        <w:t>,</w:t>
      </w:r>
      <w:r w:rsidRPr="00C2185B">
        <w:rPr>
          <w:rFonts w:asciiTheme="minorHAnsi" w:hAnsiTheme="minorHAnsi" w:cstheme="minorHAnsi"/>
        </w:rPr>
        <w:t xml:space="preserve"> the </w:t>
      </w:r>
      <w:r>
        <w:rPr>
          <w:rFonts w:asciiTheme="minorHAnsi" w:hAnsiTheme="minorHAnsi" w:cstheme="minorHAnsi"/>
        </w:rPr>
        <w:t>g</w:t>
      </w:r>
      <w:r w:rsidRPr="00C2185B">
        <w:rPr>
          <w:rFonts w:asciiTheme="minorHAnsi" w:hAnsiTheme="minorHAnsi" w:cstheme="minorHAnsi"/>
        </w:rPr>
        <w:t>overnment intervenes by regulating bus industry participants. This intervention has costs associated with it</w:t>
      </w:r>
      <w:r>
        <w:rPr>
          <w:rFonts w:asciiTheme="minorHAnsi" w:hAnsiTheme="minorHAnsi" w:cstheme="minorHAnsi"/>
        </w:rPr>
        <w:t>, some of which are directly incurred by those regulated, i</w:t>
      </w:r>
      <w:r w:rsidR="00B75183">
        <w:rPr>
          <w:rFonts w:asciiTheme="minorHAnsi" w:hAnsiTheme="minorHAnsi" w:cstheme="minorHAnsi"/>
        </w:rPr>
        <w:t>.</w:t>
      </w:r>
      <w:r>
        <w:rPr>
          <w:rFonts w:asciiTheme="minorHAnsi" w:hAnsiTheme="minorHAnsi" w:cstheme="minorHAnsi"/>
        </w:rPr>
        <w:t>e</w:t>
      </w:r>
      <w:r w:rsidR="00B75183">
        <w:rPr>
          <w:rFonts w:asciiTheme="minorHAnsi" w:hAnsiTheme="minorHAnsi" w:cstheme="minorHAnsi"/>
        </w:rPr>
        <w:t>.</w:t>
      </w:r>
      <w:r>
        <w:rPr>
          <w:rFonts w:asciiTheme="minorHAnsi" w:hAnsiTheme="minorHAnsi" w:cstheme="minorHAnsi"/>
        </w:rPr>
        <w:t xml:space="preserve"> bus operators and others are incurred by the government</w:t>
      </w:r>
      <w:r w:rsidRPr="00C2185B">
        <w:rPr>
          <w:rFonts w:asciiTheme="minorHAnsi" w:hAnsiTheme="minorHAnsi" w:cstheme="minorHAnsi"/>
        </w:rPr>
        <w:t xml:space="preserve">. </w:t>
      </w:r>
      <w:r>
        <w:rPr>
          <w:rFonts w:asciiTheme="minorHAnsi" w:hAnsiTheme="minorHAnsi" w:cstheme="minorHAnsi"/>
        </w:rPr>
        <w:t xml:space="preserve">The government </w:t>
      </w:r>
      <w:r w:rsidRPr="00C2185B">
        <w:rPr>
          <w:rFonts w:asciiTheme="minorHAnsi" w:hAnsiTheme="minorHAnsi" w:cstheme="minorHAnsi"/>
        </w:rPr>
        <w:t xml:space="preserve">costs </w:t>
      </w:r>
      <w:r>
        <w:rPr>
          <w:rFonts w:asciiTheme="minorHAnsi" w:hAnsiTheme="minorHAnsi" w:cstheme="minorHAnsi"/>
        </w:rPr>
        <w:t xml:space="preserve">are those that are </w:t>
      </w:r>
      <w:r w:rsidRPr="00C2185B">
        <w:rPr>
          <w:rFonts w:asciiTheme="minorHAnsi" w:hAnsiTheme="minorHAnsi" w:cstheme="minorHAnsi"/>
        </w:rPr>
        <w:t xml:space="preserve">incurred in the administration of regulation (registration, accreditation, monitoring compliance, investigations, enforcement activities etc.). The fees prescribed </w:t>
      </w:r>
      <w:r>
        <w:rPr>
          <w:rFonts w:asciiTheme="minorHAnsi" w:hAnsiTheme="minorHAnsi" w:cstheme="minorHAnsi"/>
        </w:rPr>
        <w:t>in r</w:t>
      </w:r>
      <w:r w:rsidRPr="00C2185B">
        <w:rPr>
          <w:rFonts w:asciiTheme="minorHAnsi" w:hAnsiTheme="minorHAnsi" w:cstheme="minorHAnsi"/>
        </w:rPr>
        <w:t>egulations aim to recover costs from those that give rise to the need for them.</w:t>
      </w:r>
    </w:p>
    <w:p w14:paraId="1259FCF3" w14:textId="77777777" w:rsidR="00C141DF" w:rsidRPr="00C2185B" w:rsidRDefault="00C141DF" w:rsidP="00C141DF">
      <w:pPr>
        <w:pStyle w:val="bodyCopy"/>
        <w:rPr>
          <w:rFonts w:asciiTheme="minorHAnsi" w:hAnsiTheme="minorHAnsi" w:cstheme="minorHAnsi"/>
        </w:rPr>
      </w:pPr>
      <w:r w:rsidRPr="00C2185B">
        <w:rPr>
          <w:rFonts w:asciiTheme="minorHAnsi" w:hAnsiTheme="minorHAnsi" w:cstheme="minorHAnsi"/>
        </w:rPr>
        <w:t xml:space="preserve">As stated in the </w:t>
      </w:r>
      <w:r w:rsidRPr="00C2185B">
        <w:rPr>
          <w:rFonts w:asciiTheme="minorHAnsi" w:hAnsiTheme="minorHAnsi" w:cstheme="minorHAnsi"/>
          <w:i/>
        </w:rPr>
        <w:t>Victorian Guide to Regulation</w:t>
      </w:r>
      <w:r w:rsidRPr="00C2185B">
        <w:rPr>
          <w:rFonts w:asciiTheme="minorHAnsi" w:hAnsiTheme="minorHAnsi" w:cstheme="minorHAnsi"/>
        </w:rPr>
        <w:t>, general government policy is that regulatory fees should be set on a full cost recovery basis because it ensures that both efficiency and equity objectives are met. Full cost represents the value of all the resources used or consumed in the provision of an output or activity. It includes all indirect costs (i.e. on-costs) and capital costs.</w:t>
      </w:r>
    </w:p>
    <w:p w14:paraId="2149A9AE" w14:textId="77777777" w:rsidR="00C141DF" w:rsidRPr="00C2185B" w:rsidRDefault="00C141DF" w:rsidP="00C141DF">
      <w:pPr>
        <w:pStyle w:val="bodyCopy"/>
        <w:rPr>
          <w:rFonts w:asciiTheme="minorHAnsi" w:hAnsiTheme="minorHAnsi" w:cstheme="minorHAnsi"/>
        </w:rPr>
      </w:pPr>
      <w:r w:rsidRPr="00C2185B">
        <w:rPr>
          <w:rFonts w:asciiTheme="minorHAnsi" w:hAnsiTheme="minorHAnsi" w:cstheme="minorHAnsi"/>
        </w:rPr>
        <w:t xml:space="preserve">Cost recovery aims to ensure that, to the extent practicable and efficient, all efficient costs of necessary regulation, are incorporated into the cost base and reflected in the ‘price signal’ to regulated parties. Cost recovery through specific fees and charges is appropriate when government services are directly attributed to a regulated party.  </w:t>
      </w:r>
    </w:p>
    <w:p w14:paraId="21FF42EB" w14:textId="77777777" w:rsidR="00C141DF" w:rsidRPr="00C2185B" w:rsidRDefault="00C141DF" w:rsidP="00C141DF">
      <w:pPr>
        <w:pStyle w:val="bodyCopy"/>
        <w:rPr>
          <w:rFonts w:asciiTheme="minorHAnsi" w:hAnsiTheme="minorHAnsi" w:cstheme="minorHAnsi"/>
        </w:rPr>
      </w:pPr>
      <w:r w:rsidRPr="00C2185B">
        <w:rPr>
          <w:rFonts w:asciiTheme="minorHAnsi" w:hAnsiTheme="minorHAnsi" w:cstheme="minorHAnsi"/>
        </w:rPr>
        <w:t>By contrast, if a law has a general beneficial effect for all, then there is generally no attempt to directly recover costs from those that give rise to the need for regulations. This is because the cost of regulation is not attributable to any particular activity (for which a fee could be attached) and because there is no particular person or group who benefits from the administration and enforcement of such laws – all Victorians are taken to benefit from this form of regulation.</w:t>
      </w:r>
    </w:p>
    <w:p w14:paraId="58B6E884" w14:textId="77777777" w:rsidR="00C141DF" w:rsidRPr="00C2185B" w:rsidRDefault="00C141DF" w:rsidP="00C141DF">
      <w:pPr>
        <w:pStyle w:val="bodyCopy"/>
        <w:rPr>
          <w:rFonts w:asciiTheme="minorHAnsi" w:hAnsiTheme="minorHAnsi" w:cstheme="minorHAnsi"/>
        </w:rPr>
      </w:pPr>
      <w:r w:rsidRPr="00C2185B">
        <w:rPr>
          <w:rFonts w:asciiTheme="minorHAnsi" w:hAnsiTheme="minorHAnsi" w:cstheme="minorHAnsi"/>
        </w:rPr>
        <w:t>This means that despite the general rule, full cost</w:t>
      </w:r>
      <w:r>
        <w:rPr>
          <w:rFonts w:asciiTheme="minorHAnsi" w:hAnsiTheme="minorHAnsi" w:cstheme="minorHAnsi"/>
        </w:rPr>
        <w:t xml:space="preserve"> recovery</w:t>
      </w:r>
      <w:r w:rsidRPr="00C2185B">
        <w:rPr>
          <w:rFonts w:asciiTheme="minorHAnsi" w:hAnsiTheme="minorHAnsi" w:cstheme="minorHAnsi"/>
        </w:rPr>
        <w:t xml:space="preserve"> may not always be the most appropriate basis for setting fees. There may be circumstances in which fees should be set at levels entailing subsidies (i.e. less than full-cost recovery). This may occur, for example, where the </w:t>
      </w:r>
      <w:r>
        <w:rPr>
          <w:rFonts w:asciiTheme="minorHAnsi" w:hAnsiTheme="minorHAnsi" w:cstheme="minorHAnsi"/>
        </w:rPr>
        <w:t>risks or harms</w:t>
      </w:r>
      <w:r w:rsidRPr="00C2185B">
        <w:rPr>
          <w:rFonts w:asciiTheme="minorHAnsi" w:hAnsiTheme="minorHAnsi" w:cstheme="minorHAnsi"/>
        </w:rPr>
        <w:t xml:space="preserve"> </w:t>
      </w:r>
      <w:r>
        <w:rPr>
          <w:rFonts w:asciiTheme="minorHAnsi" w:hAnsiTheme="minorHAnsi" w:cstheme="minorHAnsi"/>
        </w:rPr>
        <w:t xml:space="preserve">associated with </w:t>
      </w:r>
      <w:r w:rsidRPr="00C2185B">
        <w:rPr>
          <w:rFonts w:asciiTheme="minorHAnsi" w:hAnsiTheme="minorHAnsi" w:cstheme="minorHAnsi"/>
        </w:rPr>
        <w:t>the activity are not fully restricted to the entity being charged the fee. This may be because:</w:t>
      </w:r>
    </w:p>
    <w:p w14:paraId="7C03042A" w14:textId="77777777" w:rsidR="00C141DF" w:rsidRPr="0098365B" w:rsidRDefault="00C141DF"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there are impediments to the entity passing on regulatory costs to the regulated party; or</w:t>
      </w:r>
    </w:p>
    <w:p w14:paraId="1AC3B4E6" w14:textId="77777777" w:rsidR="00C141DF" w:rsidRPr="0098365B" w:rsidRDefault="00C141DF"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the affected parties of the regulation, at least in part, are not readily identifiable and so cannot be charged a proportion of the costs that can be attributed to them.</w:t>
      </w:r>
    </w:p>
    <w:p w14:paraId="721D7CF8" w14:textId="77777777" w:rsidR="008D3746" w:rsidRDefault="008D3746" w:rsidP="008D3746">
      <w:pPr>
        <w:pStyle w:val="ListBullet"/>
        <w:numPr>
          <w:ilvl w:val="0"/>
          <w:numId w:val="0"/>
        </w:numPr>
      </w:pPr>
      <w:bookmarkStart w:id="404" w:name="_Hlk43395137"/>
    </w:p>
    <w:p w14:paraId="07E5572B" w14:textId="43ECE517" w:rsidR="008D3746" w:rsidRPr="008D3746" w:rsidRDefault="008D3746" w:rsidP="008D3746">
      <w:pPr>
        <w:pStyle w:val="ListBullet"/>
        <w:numPr>
          <w:ilvl w:val="0"/>
          <w:numId w:val="0"/>
        </w:numPr>
        <w:rPr>
          <w:rFonts w:cstheme="minorHAnsi"/>
        </w:rPr>
      </w:pPr>
      <w:r>
        <w:t xml:space="preserve">It may also be appropriate to consider partial cost recovery due to the nature of the services provided. A </w:t>
      </w:r>
      <w:r w:rsidRPr="008D3746">
        <w:rPr>
          <w:rFonts w:cstheme="minorHAnsi"/>
        </w:rPr>
        <w:t xml:space="preserve">proportion of bus services are provided as public transport services or are provided as courtesy or community services. The purposes of these types of services is to improve the accessibility of the transport system and to enable the mobility of persons who otherwise are unable to access other parts of the transport system or travel independently. These services are provided so that such persons are able to remain socially (e.g. visiting family, friends or others in the community) and economically (e.g. for work or education purposes) connected in the community. Governments may subsidise the provision of such services and this subsidy could take the form of lower regulatory fees. </w:t>
      </w:r>
    </w:p>
    <w:p w14:paraId="044DB370" w14:textId="70501939" w:rsidR="008D3746" w:rsidRPr="008D3746" w:rsidRDefault="008D3746" w:rsidP="008D3746">
      <w:pPr>
        <w:pStyle w:val="bodyCopy"/>
        <w:rPr>
          <w:rFonts w:asciiTheme="minorHAnsi" w:hAnsiTheme="minorHAnsi" w:cstheme="minorHAnsi"/>
        </w:rPr>
      </w:pPr>
      <w:r w:rsidRPr="008D3746">
        <w:rPr>
          <w:rFonts w:asciiTheme="minorHAnsi" w:hAnsiTheme="minorHAnsi" w:cstheme="minorHAnsi"/>
        </w:rPr>
        <w:t>There may also be circumstances where fees and charges are set to over-recover the costs of the regulation. This approach could be used to act as a disincentive to address undesirable behaviours.</w:t>
      </w:r>
    </w:p>
    <w:p w14:paraId="20DDEDFC" w14:textId="54B0F64D" w:rsidR="008D3746" w:rsidRPr="008D3746" w:rsidRDefault="008D3746" w:rsidP="008D3746">
      <w:pPr>
        <w:pStyle w:val="bodyCopy"/>
        <w:rPr>
          <w:rFonts w:asciiTheme="minorHAnsi" w:hAnsiTheme="minorHAnsi" w:cstheme="minorHAnsi"/>
        </w:rPr>
      </w:pPr>
      <w:r w:rsidRPr="008D3746">
        <w:rPr>
          <w:rFonts w:asciiTheme="minorHAnsi" w:hAnsiTheme="minorHAnsi" w:cstheme="minorHAnsi"/>
        </w:rPr>
        <w:t xml:space="preserve">On the whole DoT considers it appropriate to attribute the costs of bus safety regulatory services to the regulated parties. Bus operators, both accredited and registered operators, are subject to regulatory interventions under the Bus Safety Act and the proposed regulations. But there may be a </w:t>
      </w:r>
      <w:r w:rsidRPr="008D3746">
        <w:rPr>
          <w:rFonts w:asciiTheme="minorHAnsi" w:hAnsiTheme="minorHAnsi" w:cstheme="minorHAnsi"/>
        </w:rPr>
        <w:lastRenderedPageBreak/>
        <w:t xml:space="preserve">valid argument for the under-recovery of costs based on the degree to which buses are used to provide public transport or courtesy services. </w:t>
      </w:r>
    </w:p>
    <w:p w14:paraId="491243E3" w14:textId="77777777" w:rsidR="00C141DF" w:rsidRPr="00C2185B" w:rsidRDefault="00C141DF" w:rsidP="00C141DF">
      <w:pPr>
        <w:pStyle w:val="Heading3"/>
      </w:pPr>
      <w:bookmarkStart w:id="405" w:name="_Toc32909799"/>
      <w:bookmarkStart w:id="406" w:name="_Toc33709310"/>
      <w:bookmarkStart w:id="407" w:name="_Toc40101416"/>
      <w:bookmarkStart w:id="408" w:name="_Toc45704348"/>
      <w:bookmarkEnd w:id="404"/>
      <w:r w:rsidRPr="00C2185B">
        <w:t>Current legislative and regulatory requirements</w:t>
      </w:r>
      <w:bookmarkEnd w:id="405"/>
      <w:bookmarkEnd w:id="406"/>
      <w:bookmarkEnd w:id="407"/>
      <w:bookmarkEnd w:id="408"/>
    </w:p>
    <w:p w14:paraId="5CC3444A" w14:textId="77777777" w:rsidR="00C141DF" w:rsidRPr="00754988" w:rsidRDefault="00C141DF" w:rsidP="00C141DF">
      <w:pPr>
        <w:pStyle w:val="bodyCopy"/>
        <w:rPr>
          <w:rFonts w:asciiTheme="minorHAnsi" w:hAnsiTheme="minorHAnsi" w:cstheme="minorHAnsi"/>
        </w:rPr>
      </w:pPr>
      <w:r w:rsidRPr="00C2185B">
        <w:rPr>
          <w:rFonts w:asciiTheme="minorHAnsi" w:hAnsiTheme="minorHAnsi" w:cstheme="minorHAnsi"/>
        </w:rPr>
        <w:t>The B</w:t>
      </w:r>
      <w:r>
        <w:rPr>
          <w:rFonts w:asciiTheme="minorHAnsi" w:hAnsiTheme="minorHAnsi" w:cstheme="minorHAnsi"/>
        </w:rPr>
        <w:t xml:space="preserve">us </w:t>
      </w:r>
      <w:r w:rsidRPr="00C2185B">
        <w:rPr>
          <w:rFonts w:asciiTheme="minorHAnsi" w:hAnsiTheme="minorHAnsi" w:cstheme="minorHAnsi"/>
        </w:rPr>
        <w:t>S</w:t>
      </w:r>
      <w:r>
        <w:rPr>
          <w:rFonts w:asciiTheme="minorHAnsi" w:hAnsiTheme="minorHAnsi" w:cstheme="minorHAnsi"/>
        </w:rPr>
        <w:t xml:space="preserve">afety </w:t>
      </w:r>
      <w:r w:rsidRPr="00C2185B">
        <w:rPr>
          <w:rFonts w:asciiTheme="minorHAnsi" w:hAnsiTheme="minorHAnsi" w:cstheme="minorHAnsi"/>
        </w:rPr>
        <w:t>A</w:t>
      </w:r>
      <w:r>
        <w:rPr>
          <w:rFonts w:asciiTheme="minorHAnsi" w:hAnsiTheme="minorHAnsi" w:cstheme="minorHAnsi"/>
        </w:rPr>
        <w:t>ct</w:t>
      </w:r>
      <w:r w:rsidRPr="00C2185B">
        <w:rPr>
          <w:rFonts w:asciiTheme="minorHAnsi" w:hAnsiTheme="minorHAnsi" w:cstheme="minorHAnsi"/>
        </w:rPr>
        <w:t xml:space="preserve"> empowers the Governor in Council to make regulations for prescribing </w:t>
      </w:r>
      <w:r>
        <w:rPr>
          <w:rFonts w:asciiTheme="minorHAnsi" w:hAnsiTheme="minorHAnsi" w:cstheme="minorHAnsi"/>
        </w:rPr>
        <w:t xml:space="preserve">a range of fees to </w:t>
      </w:r>
      <w:r w:rsidRPr="00FB1DE7">
        <w:rPr>
          <w:rFonts w:asciiTheme="minorHAnsi" w:hAnsiTheme="minorHAnsi" w:cstheme="minorHAnsi"/>
        </w:rPr>
        <w:t>recover the costs of regulatory services, including application fees for registration or accreditation</w:t>
      </w:r>
      <w:r w:rsidRPr="00754988">
        <w:rPr>
          <w:rFonts w:asciiTheme="minorHAnsi" w:hAnsiTheme="minorHAnsi" w:cstheme="minorHAnsi"/>
        </w:rPr>
        <w:t xml:space="preserve"> and annual</w:t>
      </w:r>
      <w:r>
        <w:rPr>
          <w:rFonts w:asciiTheme="minorHAnsi" w:hAnsiTheme="minorHAnsi" w:cstheme="minorHAnsi"/>
        </w:rPr>
        <w:t xml:space="preserve"> fees</w:t>
      </w:r>
      <w:r w:rsidRPr="00754988">
        <w:rPr>
          <w:rFonts w:asciiTheme="minorHAnsi" w:hAnsiTheme="minorHAnsi" w:cstheme="minorHAnsi"/>
        </w:rPr>
        <w:t xml:space="preserve"> to be paid by registered operators and accredited operators.</w:t>
      </w:r>
    </w:p>
    <w:p w14:paraId="4A1FA924" w14:textId="3387BD6C" w:rsidR="00C141DF" w:rsidRPr="00FB1DE7" w:rsidRDefault="00C141DF" w:rsidP="00C141DF">
      <w:pPr>
        <w:pStyle w:val="bodyCopy"/>
        <w:rPr>
          <w:rFonts w:asciiTheme="minorHAnsi" w:hAnsiTheme="minorHAnsi" w:cstheme="minorHAnsi"/>
        </w:rPr>
      </w:pPr>
      <w:r w:rsidRPr="00754988">
        <w:rPr>
          <w:rFonts w:asciiTheme="minorHAnsi" w:hAnsiTheme="minorHAnsi" w:cstheme="minorHAnsi"/>
        </w:rPr>
        <w:t>Current fees are specified in Schedule 3 of the Bus Safety Regulations 2010 and summarised in</w:t>
      </w:r>
      <w:r w:rsidR="00442733">
        <w:rPr>
          <w:rFonts w:asciiTheme="minorHAnsi" w:hAnsiTheme="minorHAnsi" w:cstheme="minorHAnsi"/>
        </w:rPr>
        <w:t xml:space="preserve"> </w:t>
      </w:r>
      <w:r w:rsidR="00442733">
        <w:rPr>
          <w:rFonts w:asciiTheme="minorHAnsi" w:hAnsiTheme="minorHAnsi" w:cstheme="minorHAnsi"/>
        </w:rPr>
        <w:fldChar w:fldCharType="begin"/>
      </w:r>
      <w:r w:rsidR="00442733">
        <w:rPr>
          <w:rFonts w:asciiTheme="minorHAnsi" w:hAnsiTheme="minorHAnsi" w:cstheme="minorHAnsi"/>
        </w:rPr>
        <w:instrText xml:space="preserve"> REF _Ref43976334 \h  \* MERGEFORMAT </w:instrText>
      </w:r>
      <w:r w:rsidR="00442733">
        <w:rPr>
          <w:rFonts w:asciiTheme="minorHAnsi" w:hAnsiTheme="minorHAnsi" w:cstheme="minorHAnsi"/>
        </w:rPr>
      </w:r>
      <w:r w:rsidR="00442733">
        <w:rPr>
          <w:rFonts w:asciiTheme="minorHAnsi" w:hAnsiTheme="minorHAnsi" w:cstheme="minorHAnsi"/>
        </w:rPr>
        <w:fldChar w:fldCharType="separate"/>
      </w:r>
      <w:r w:rsidR="00277F6E" w:rsidRPr="00277F6E">
        <w:rPr>
          <w:rFonts w:asciiTheme="minorHAnsi" w:hAnsiTheme="minorHAnsi" w:cstheme="minorHAnsi"/>
        </w:rPr>
        <w:t>Table 3</w:t>
      </w:r>
      <w:r w:rsidR="00277F6E" w:rsidRPr="00277F6E">
        <w:rPr>
          <w:rFonts w:asciiTheme="minorHAnsi" w:hAnsiTheme="minorHAnsi" w:cstheme="minorHAnsi"/>
        </w:rPr>
        <w:noBreakHyphen/>
        <w:t>15</w:t>
      </w:r>
      <w:r w:rsidR="00442733">
        <w:rPr>
          <w:rFonts w:asciiTheme="minorHAnsi" w:hAnsiTheme="minorHAnsi" w:cstheme="minorHAnsi"/>
        </w:rPr>
        <w:fldChar w:fldCharType="end"/>
      </w:r>
      <w:r w:rsidRPr="00FB1DE7">
        <w:rPr>
          <w:rFonts w:asciiTheme="minorHAnsi" w:hAnsiTheme="minorHAnsi" w:cstheme="minorHAnsi"/>
        </w:rPr>
        <w:t xml:space="preserve">. They cover the fee to accompany an application for accreditation and an annual accreditation fee.  </w:t>
      </w:r>
    </w:p>
    <w:p w14:paraId="0C7A3201" w14:textId="3C465C6D" w:rsidR="003106F1" w:rsidRDefault="003106F1" w:rsidP="007620AA">
      <w:pPr>
        <w:pStyle w:val="Caption"/>
        <w:keepNext/>
        <w:spacing w:after="60"/>
      </w:pPr>
      <w:bookmarkStart w:id="409" w:name="_Ref43976334"/>
      <w:bookmarkStart w:id="410" w:name="_Toc44437367"/>
      <w:bookmarkStart w:id="411" w:name="_Toc44597438"/>
      <w:bookmarkStart w:id="412" w:name="_Toc44597502"/>
      <w:bookmarkStart w:id="413" w:name="_Toc44600072"/>
      <w:bookmarkStart w:id="414" w:name="_Toc44600527"/>
      <w:bookmarkStart w:id="415" w:name="_Toc44600694"/>
      <w:bookmarkStart w:id="416" w:name="_Toc44601191"/>
      <w:bookmarkStart w:id="417" w:name="_Toc44601244"/>
      <w:bookmarkStart w:id="418" w:name="_Toc44603392"/>
      <w:bookmarkStart w:id="419" w:name="_Toc45704440"/>
      <w:r w:rsidRPr="00130963">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15</w:t>
      </w:r>
      <w:r w:rsidR="00D2483C">
        <w:rPr>
          <w:b/>
          <w:i w:val="0"/>
        </w:rPr>
        <w:fldChar w:fldCharType="end"/>
      </w:r>
      <w:bookmarkEnd w:id="409"/>
      <w:r w:rsidR="00130963" w:rsidRPr="00130963">
        <w:rPr>
          <w:b/>
          <w:i w:val="0"/>
        </w:rPr>
        <w:t xml:space="preserve">: </w:t>
      </w:r>
      <w:r w:rsidR="00130963">
        <w:rPr>
          <w:b/>
          <w:i w:val="0"/>
        </w:rPr>
        <w:t>Current fees prescribed under the Bus Safety Regulations and estimated revenue in 2019-2020</w:t>
      </w:r>
      <w:bookmarkEnd w:id="410"/>
      <w:bookmarkEnd w:id="411"/>
      <w:bookmarkEnd w:id="412"/>
      <w:bookmarkEnd w:id="413"/>
      <w:bookmarkEnd w:id="414"/>
      <w:bookmarkEnd w:id="415"/>
      <w:bookmarkEnd w:id="416"/>
      <w:bookmarkEnd w:id="417"/>
      <w:bookmarkEnd w:id="418"/>
      <w:bookmarkEnd w:id="419"/>
    </w:p>
    <w:tbl>
      <w:tblPr>
        <w:tblW w:w="9021" w:type="dxa"/>
        <w:tblLayout w:type="fixed"/>
        <w:tblLook w:val="04A0" w:firstRow="1" w:lastRow="0" w:firstColumn="1" w:lastColumn="0" w:noHBand="0" w:noVBand="1"/>
      </w:tblPr>
      <w:tblGrid>
        <w:gridCol w:w="2215"/>
        <w:gridCol w:w="1361"/>
        <w:gridCol w:w="1361"/>
        <w:gridCol w:w="1361"/>
        <w:gridCol w:w="1352"/>
        <w:gridCol w:w="9"/>
        <w:gridCol w:w="1362"/>
      </w:tblGrid>
      <w:tr w:rsidR="003106F1" w:rsidRPr="000A772A" w14:paraId="0324C6A3" w14:textId="77777777" w:rsidTr="00810CD3">
        <w:trPr>
          <w:cantSplit/>
          <w:trHeight w:val="58"/>
        </w:trPr>
        <w:tc>
          <w:tcPr>
            <w:tcW w:w="2215" w:type="dxa"/>
            <w:tcBorders>
              <w:top w:val="single" w:sz="4" w:space="0" w:color="auto"/>
              <w:left w:val="single" w:sz="4" w:space="0" w:color="auto"/>
              <w:bottom w:val="single" w:sz="4" w:space="0" w:color="auto"/>
              <w:right w:val="nil"/>
            </w:tcBorders>
            <w:shd w:val="clear" w:color="auto" w:fill="D6ECED"/>
            <w:noWrap/>
            <w:vAlign w:val="center"/>
            <w:hideMark/>
          </w:tcPr>
          <w:p w14:paraId="7D75DEDC" w14:textId="77777777" w:rsidR="003106F1" w:rsidRPr="00C2185B" w:rsidRDefault="003106F1" w:rsidP="00810CD3">
            <w:pPr>
              <w:keepNext/>
              <w:spacing w:before="60" w:after="60"/>
              <w:jc w:val="center"/>
              <w:rPr>
                <w:rFonts w:cs="Arial"/>
                <w:b/>
                <w:color w:val="auto"/>
                <w:sz w:val="18"/>
                <w:lang w:eastAsia="en-AU"/>
              </w:rPr>
            </w:pPr>
            <w:r w:rsidRPr="00C2185B">
              <w:rPr>
                <w:rFonts w:cs="Arial"/>
                <w:b/>
                <w:color w:val="auto"/>
                <w:sz w:val="18"/>
                <w:lang w:eastAsia="en-AU"/>
              </w:rPr>
              <w:t>Fee revenue source</w:t>
            </w:r>
          </w:p>
        </w:tc>
        <w:tc>
          <w:tcPr>
            <w:tcW w:w="1361" w:type="dxa"/>
            <w:tcBorders>
              <w:top w:val="single" w:sz="4" w:space="0" w:color="auto"/>
              <w:left w:val="single" w:sz="4" w:space="0" w:color="auto"/>
              <w:bottom w:val="single" w:sz="4" w:space="0" w:color="auto"/>
              <w:right w:val="single" w:sz="4" w:space="0" w:color="auto"/>
            </w:tcBorders>
            <w:shd w:val="clear" w:color="auto" w:fill="D6ECED"/>
          </w:tcPr>
          <w:p w14:paraId="2DF3A28C" w14:textId="77777777" w:rsidR="003106F1" w:rsidRDefault="003106F1" w:rsidP="00810CD3">
            <w:pPr>
              <w:keepNext/>
              <w:spacing w:before="60" w:after="60"/>
              <w:jc w:val="center"/>
              <w:rPr>
                <w:rFonts w:cs="Arial"/>
                <w:b/>
                <w:color w:val="auto"/>
                <w:sz w:val="18"/>
                <w:lang w:eastAsia="en-AU"/>
              </w:rPr>
            </w:pPr>
            <w:r>
              <w:rPr>
                <w:rFonts w:cs="Arial"/>
                <w:b/>
                <w:color w:val="auto"/>
                <w:sz w:val="18"/>
                <w:lang w:eastAsia="en-AU"/>
              </w:rPr>
              <w:t>Average fee unit</w:t>
            </w:r>
          </w:p>
        </w:tc>
        <w:tc>
          <w:tcPr>
            <w:tcW w:w="1361" w:type="dxa"/>
            <w:tcBorders>
              <w:top w:val="single" w:sz="4" w:space="0" w:color="auto"/>
              <w:left w:val="single" w:sz="4" w:space="0" w:color="auto"/>
              <w:bottom w:val="single" w:sz="4" w:space="0" w:color="auto"/>
              <w:right w:val="single" w:sz="4" w:space="0" w:color="auto"/>
            </w:tcBorders>
            <w:shd w:val="clear" w:color="auto" w:fill="D6ECED"/>
          </w:tcPr>
          <w:p w14:paraId="76AF9BD0" w14:textId="77777777" w:rsidR="003106F1" w:rsidRDefault="003106F1" w:rsidP="00810CD3">
            <w:pPr>
              <w:keepNext/>
              <w:spacing w:before="60" w:after="60"/>
              <w:jc w:val="center"/>
              <w:rPr>
                <w:rFonts w:cs="Arial"/>
                <w:b/>
                <w:color w:val="auto"/>
                <w:sz w:val="18"/>
                <w:lang w:eastAsia="en-AU"/>
              </w:rPr>
            </w:pPr>
            <w:r>
              <w:rPr>
                <w:rFonts w:cs="Arial"/>
                <w:b/>
                <w:color w:val="auto"/>
                <w:sz w:val="18"/>
                <w:lang w:eastAsia="en-AU"/>
              </w:rPr>
              <w:t>Fee unit value</w:t>
            </w:r>
          </w:p>
        </w:tc>
        <w:tc>
          <w:tcPr>
            <w:tcW w:w="1361" w:type="dxa"/>
            <w:tcBorders>
              <w:top w:val="single" w:sz="4" w:space="0" w:color="auto"/>
              <w:left w:val="single" w:sz="4" w:space="0" w:color="auto"/>
              <w:bottom w:val="single" w:sz="4" w:space="0" w:color="auto"/>
              <w:right w:val="single" w:sz="4" w:space="0" w:color="auto"/>
            </w:tcBorders>
            <w:shd w:val="clear" w:color="auto" w:fill="D6ECED"/>
          </w:tcPr>
          <w:p w14:paraId="49F97B4A" w14:textId="77777777" w:rsidR="003106F1" w:rsidRDefault="003106F1" w:rsidP="00810CD3">
            <w:pPr>
              <w:keepNext/>
              <w:spacing w:before="60" w:after="60"/>
              <w:jc w:val="center"/>
              <w:rPr>
                <w:rFonts w:cs="Arial"/>
                <w:b/>
                <w:color w:val="auto"/>
                <w:sz w:val="18"/>
                <w:lang w:eastAsia="en-AU"/>
              </w:rPr>
            </w:pPr>
            <w:r>
              <w:rPr>
                <w:rFonts w:cs="Arial"/>
                <w:b/>
                <w:color w:val="auto"/>
                <w:sz w:val="18"/>
                <w:lang w:eastAsia="en-AU"/>
              </w:rPr>
              <w:t>Average fee per operator</w:t>
            </w:r>
          </w:p>
        </w:tc>
        <w:tc>
          <w:tcPr>
            <w:tcW w:w="1361" w:type="dxa"/>
            <w:gridSpan w:val="2"/>
            <w:tcBorders>
              <w:top w:val="single" w:sz="4" w:space="0" w:color="auto"/>
              <w:left w:val="single" w:sz="4" w:space="0" w:color="auto"/>
              <w:bottom w:val="single" w:sz="4" w:space="0" w:color="auto"/>
              <w:right w:val="single" w:sz="4" w:space="0" w:color="auto"/>
            </w:tcBorders>
            <w:shd w:val="clear" w:color="auto" w:fill="D6ECED"/>
          </w:tcPr>
          <w:p w14:paraId="02FBA220" w14:textId="77777777" w:rsidR="003106F1" w:rsidRDefault="003106F1" w:rsidP="00810CD3">
            <w:pPr>
              <w:keepNext/>
              <w:spacing w:before="60" w:after="60"/>
              <w:jc w:val="center"/>
              <w:rPr>
                <w:rFonts w:cs="Arial"/>
                <w:b/>
                <w:color w:val="auto"/>
                <w:sz w:val="18"/>
                <w:lang w:eastAsia="en-AU"/>
              </w:rPr>
            </w:pPr>
            <w:r>
              <w:rPr>
                <w:rFonts w:cs="Arial"/>
                <w:b/>
                <w:color w:val="auto"/>
                <w:sz w:val="18"/>
                <w:lang w:eastAsia="en-AU"/>
              </w:rPr>
              <w:t>Number of transactions (operators)</w:t>
            </w:r>
          </w:p>
        </w:tc>
        <w:tc>
          <w:tcPr>
            <w:tcW w:w="1362"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0A8749BE" w14:textId="77777777" w:rsidR="003106F1" w:rsidRPr="00C2185B" w:rsidRDefault="003106F1" w:rsidP="00810CD3">
            <w:pPr>
              <w:keepNext/>
              <w:spacing w:before="60" w:after="60"/>
              <w:jc w:val="center"/>
              <w:rPr>
                <w:rFonts w:cs="Arial"/>
                <w:b/>
                <w:color w:val="auto"/>
                <w:sz w:val="18"/>
                <w:lang w:eastAsia="en-AU"/>
              </w:rPr>
            </w:pPr>
            <w:r>
              <w:rPr>
                <w:rFonts w:cs="Arial"/>
                <w:b/>
                <w:color w:val="auto"/>
                <w:sz w:val="18"/>
                <w:lang w:eastAsia="en-AU"/>
              </w:rPr>
              <w:t>Estimated r</w:t>
            </w:r>
            <w:r w:rsidRPr="00C2185B">
              <w:rPr>
                <w:rFonts w:cs="Arial"/>
                <w:b/>
                <w:color w:val="auto"/>
                <w:sz w:val="18"/>
                <w:lang w:eastAsia="en-AU"/>
              </w:rPr>
              <w:t>evenue</w:t>
            </w:r>
            <w:r>
              <w:rPr>
                <w:rFonts w:cs="Arial"/>
                <w:b/>
                <w:color w:val="auto"/>
                <w:sz w:val="18"/>
                <w:lang w:eastAsia="en-AU"/>
              </w:rPr>
              <w:t xml:space="preserve"> 2019-2020</w:t>
            </w:r>
          </w:p>
        </w:tc>
      </w:tr>
      <w:tr w:rsidR="003106F1" w:rsidRPr="000A772A" w14:paraId="7C33F1D2" w14:textId="77777777" w:rsidTr="00810CD3">
        <w:trPr>
          <w:cantSplit/>
          <w:trHeight w:val="58"/>
        </w:trPr>
        <w:tc>
          <w:tcPr>
            <w:tcW w:w="22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E4FFB2" w14:textId="77777777" w:rsidR="003106F1" w:rsidRPr="00C2185B" w:rsidRDefault="003106F1" w:rsidP="00810CD3">
            <w:pPr>
              <w:keepNext/>
              <w:spacing w:before="60" w:after="60"/>
              <w:rPr>
                <w:rFonts w:cs="Arial"/>
                <w:color w:val="000000"/>
                <w:sz w:val="18"/>
                <w:lang w:eastAsia="en-AU"/>
              </w:rPr>
            </w:pPr>
            <w:r w:rsidRPr="00C2185B">
              <w:rPr>
                <w:rFonts w:cs="Arial"/>
                <w:color w:val="000000"/>
                <w:sz w:val="18"/>
                <w:lang w:eastAsia="en-AU"/>
              </w:rPr>
              <w:t>Accreditation Application Fee</w:t>
            </w:r>
            <w:r>
              <w:rPr>
                <w:rFonts w:cs="Arial"/>
                <w:color w:val="000000"/>
                <w:sz w:val="18"/>
                <w:lang w:eastAsia="en-AU"/>
              </w:rPr>
              <w:t>s</w:t>
            </w:r>
          </w:p>
        </w:tc>
        <w:tc>
          <w:tcPr>
            <w:tcW w:w="1361" w:type="dxa"/>
            <w:tcBorders>
              <w:top w:val="single" w:sz="4" w:space="0" w:color="auto"/>
              <w:left w:val="single" w:sz="4" w:space="0" w:color="auto"/>
              <w:bottom w:val="single" w:sz="4" w:space="0" w:color="auto"/>
              <w:right w:val="single" w:sz="4" w:space="0" w:color="auto"/>
            </w:tcBorders>
            <w:vAlign w:val="center"/>
          </w:tcPr>
          <w:p w14:paraId="50322BDB" w14:textId="77777777" w:rsidR="003106F1" w:rsidRPr="00C2185B" w:rsidRDefault="003106F1" w:rsidP="00810CD3">
            <w:pPr>
              <w:keepNext/>
              <w:spacing w:before="60" w:after="60"/>
              <w:jc w:val="center"/>
              <w:rPr>
                <w:rFonts w:cs="Arial"/>
                <w:color w:val="000000"/>
                <w:sz w:val="18"/>
                <w:lang w:eastAsia="en-AU"/>
              </w:rPr>
            </w:pPr>
            <w:r>
              <w:rPr>
                <w:rFonts w:cs="Arial"/>
                <w:color w:val="000000"/>
                <w:sz w:val="18"/>
                <w:lang w:eastAsia="en-AU"/>
              </w:rPr>
              <w:t>40</w:t>
            </w:r>
          </w:p>
        </w:tc>
        <w:tc>
          <w:tcPr>
            <w:tcW w:w="1361" w:type="dxa"/>
            <w:tcBorders>
              <w:top w:val="single" w:sz="4" w:space="0" w:color="auto"/>
              <w:left w:val="single" w:sz="4" w:space="0" w:color="auto"/>
              <w:bottom w:val="single" w:sz="4" w:space="0" w:color="auto"/>
              <w:right w:val="single" w:sz="4" w:space="0" w:color="auto"/>
            </w:tcBorders>
            <w:vAlign w:val="center"/>
          </w:tcPr>
          <w:p w14:paraId="2FC9527E" w14:textId="77777777" w:rsidR="003106F1" w:rsidRDefault="003106F1" w:rsidP="00810CD3">
            <w:pPr>
              <w:keepNext/>
              <w:spacing w:before="60" w:after="60"/>
              <w:jc w:val="center"/>
              <w:rPr>
                <w:rFonts w:cs="Arial"/>
                <w:color w:val="000000"/>
                <w:sz w:val="18"/>
                <w:lang w:eastAsia="en-AU"/>
              </w:rPr>
            </w:pPr>
            <w:r>
              <w:rPr>
                <w:rFonts w:cs="Arial"/>
                <w:color w:val="000000"/>
                <w:sz w:val="18"/>
                <w:lang w:eastAsia="en-AU"/>
              </w:rPr>
              <w:t>$14.81</w:t>
            </w:r>
          </w:p>
        </w:tc>
        <w:tc>
          <w:tcPr>
            <w:tcW w:w="1361" w:type="dxa"/>
            <w:tcBorders>
              <w:top w:val="single" w:sz="4" w:space="0" w:color="auto"/>
              <w:left w:val="single" w:sz="4" w:space="0" w:color="auto"/>
              <w:bottom w:val="single" w:sz="4" w:space="0" w:color="auto"/>
              <w:right w:val="single" w:sz="4" w:space="0" w:color="auto"/>
            </w:tcBorders>
            <w:vAlign w:val="center"/>
          </w:tcPr>
          <w:p w14:paraId="596E6EC2" w14:textId="77777777" w:rsidR="003106F1" w:rsidRDefault="003106F1" w:rsidP="00810CD3">
            <w:pPr>
              <w:keepNext/>
              <w:spacing w:before="60" w:after="60"/>
              <w:jc w:val="center"/>
              <w:rPr>
                <w:rFonts w:cs="Arial"/>
                <w:color w:val="000000"/>
                <w:sz w:val="18"/>
                <w:lang w:eastAsia="en-AU"/>
              </w:rPr>
            </w:pPr>
            <w:r>
              <w:rPr>
                <w:rFonts w:cs="Arial"/>
                <w:color w:val="000000"/>
                <w:sz w:val="18"/>
                <w:lang w:eastAsia="en-AU"/>
              </w:rPr>
              <w:t>$592.40</w:t>
            </w:r>
          </w:p>
        </w:tc>
        <w:tc>
          <w:tcPr>
            <w:tcW w:w="1361" w:type="dxa"/>
            <w:gridSpan w:val="2"/>
            <w:tcBorders>
              <w:top w:val="single" w:sz="4" w:space="0" w:color="auto"/>
              <w:left w:val="single" w:sz="4" w:space="0" w:color="auto"/>
              <w:bottom w:val="single" w:sz="4" w:space="0" w:color="auto"/>
              <w:right w:val="single" w:sz="4" w:space="0" w:color="auto"/>
            </w:tcBorders>
            <w:vAlign w:val="center"/>
          </w:tcPr>
          <w:p w14:paraId="7C9BF126" w14:textId="77777777" w:rsidR="003106F1" w:rsidRPr="00C2185B" w:rsidRDefault="003106F1" w:rsidP="00810CD3">
            <w:pPr>
              <w:keepNext/>
              <w:spacing w:before="60" w:after="60"/>
              <w:jc w:val="center"/>
              <w:rPr>
                <w:rFonts w:cs="Arial"/>
                <w:color w:val="000000"/>
                <w:sz w:val="18"/>
                <w:lang w:eastAsia="en-AU"/>
              </w:rPr>
            </w:pPr>
            <w:r>
              <w:rPr>
                <w:rFonts w:cs="Arial"/>
                <w:color w:val="000000"/>
                <w:sz w:val="18"/>
                <w:lang w:eastAsia="en-AU"/>
              </w:rPr>
              <w:t>40</w:t>
            </w:r>
          </w:p>
        </w:tc>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F357F" w14:textId="77777777" w:rsidR="003106F1" w:rsidRPr="00C2185B" w:rsidRDefault="003106F1" w:rsidP="00810CD3">
            <w:pPr>
              <w:keepNext/>
              <w:spacing w:before="60" w:after="60"/>
              <w:jc w:val="center"/>
              <w:rPr>
                <w:rFonts w:cs="Arial"/>
                <w:color w:val="000000"/>
                <w:sz w:val="18"/>
                <w:lang w:eastAsia="en-AU"/>
              </w:rPr>
            </w:pPr>
            <w:r w:rsidRPr="00C2185B">
              <w:rPr>
                <w:rFonts w:cs="Arial"/>
                <w:color w:val="000000"/>
                <w:sz w:val="18"/>
                <w:lang w:eastAsia="en-AU"/>
              </w:rPr>
              <w:t>$</w:t>
            </w:r>
            <w:r>
              <w:rPr>
                <w:rFonts w:cs="Arial"/>
                <w:color w:val="000000"/>
                <w:sz w:val="18"/>
                <w:lang w:eastAsia="en-AU"/>
              </w:rPr>
              <w:t>23,696</w:t>
            </w:r>
          </w:p>
        </w:tc>
      </w:tr>
      <w:tr w:rsidR="003106F1" w:rsidRPr="000A772A" w14:paraId="6744718A" w14:textId="77777777" w:rsidTr="00810CD3">
        <w:trPr>
          <w:cantSplit/>
          <w:trHeight w:val="58"/>
        </w:trPr>
        <w:tc>
          <w:tcPr>
            <w:tcW w:w="2215" w:type="dxa"/>
            <w:tcBorders>
              <w:top w:val="single" w:sz="4" w:space="0" w:color="auto"/>
              <w:left w:val="single" w:sz="4" w:space="0" w:color="auto"/>
              <w:bottom w:val="single" w:sz="4" w:space="0" w:color="auto"/>
              <w:right w:val="single" w:sz="4" w:space="0" w:color="auto"/>
            </w:tcBorders>
            <w:shd w:val="clear" w:color="auto" w:fill="auto"/>
            <w:vAlign w:val="bottom"/>
          </w:tcPr>
          <w:p w14:paraId="6FD0F754" w14:textId="77777777" w:rsidR="003106F1" w:rsidRPr="00C2185B" w:rsidRDefault="003106F1" w:rsidP="00810CD3">
            <w:pPr>
              <w:keepNext/>
              <w:spacing w:before="60" w:after="60"/>
              <w:rPr>
                <w:rFonts w:cs="Arial"/>
                <w:color w:val="000000"/>
                <w:sz w:val="18"/>
                <w:lang w:eastAsia="en-AU"/>
              </w:rPr>
            </w:pPr>
            <w:r w:rsidRPr="00C2185B">
              <w:rPr>
                <w:rFonts w:cs="Arial"/>
                <w:color w:val="000000"/>
                <w:sz w:val="18"/>
                <w:lang w:eastAsia="en-AU"/>
              </w:rPr>
              <w:t>Annual Accreditation Fees</w:t>
            </w:r>
          </w:p>
        </w:tc>
        <w:tc>
          <w:tcPr>
            <w:tcW w:w="1361" w:type="dxa"/>
            <w:tcBorders>
              <w:top w:val="single" w:sz="4" w:space="0" w:color="auto"/>
              <w:left w:val="single" w:sz="4" w:space="0" w:color="auto"/>
              <w:bottom w:val="single" w:sz="4" w:space="0" w:color="auto"/>
              <w:right w:val="single" w:sz="4" w:space="0" w:color="auto"/>
            </w:tcBorders>
            <w:vAlign w:val="center"/>
          </w:tcPr>
          <w:p w14:paraId="3EAD3D0A" w14:textId="77777777" w:rsidR="003106F1" w:rsidRPr="00C2185B" w:rsidRDefault="003106F1" w:rsidP="00810CD3">
            <w:pPr>
              <w:keepNext/>
              <w:spacing w:before="60" w:after="60"/>
              <w:jc w:val="center"/>
              <w:rPr>
                <w:rFonts w:cs="Arial"/>
                <w:color w:val="000000"/>
                <w:sz w:val="18"/>
                <w:lang w:eastAsia="en-AU"/>
              </w:rPr>
            </w:pPr>
            <w:r>
              <w:rPr>
                <w:rFonts w:cs="Arial"/>
                <w:color w:val="000000"/>
                <w:sz w:val="18"/>
                <w:lang w:eastAsia="en-AU"/>
              </w:rPr>
              <w:t>74.71</w:t>
            </w:r>
            <w:r>
              <w:rPr>
                <w:rStyle w:val="FootnoteReference"/>
                <w:rFonts w:cs="Arial"/>
                <w:color w:val="000000"/>
                <w:sz w:val="18"/>
                <w:lang w:eastAsia="en-AU"/>
              </w:rPr>
              <w:footnoteReference w:id="10"/>
            </w:r>
          </w:p>
        </w:tc>
        <w:tc>
          <w:tcPr>
            <w:tcW w:w="1361" w:type="dxa"/>
            <w:tcBorders>
              <w:top w:val="single" w:sz="4" w:space="0" w:color="auto"/>
              <w:left w:val="single" w:sz="4" w:space="0" w:color="auto"/>
              <w:bottom w:val="single" w:sz="4" w:space="0" w:color="auto"/>
              <w:right w:val="single" w:sz="4" w:space="0" w:color="auto"/>
            </w:tcBorders>
            <w:vAlign w:val="center"/>
          </w:tcPr>
          <w:p w14:paraId="170B754A" w14:textId="77777777" w:rsidR="003106F1" w:rsidRDefault="003106F1" w:rsidP="00810CD3">
            <w:pPr>
              <w:keepNext/>
              <w:spacing w:before="60" w:after="60"/>
              <w:jc w:val="center"/>
              <w:rPr>
                <w:rFonts w:cs="Arial"/>
                <w:color w:val="000000"/>
                <w:sz w:val="18"/>
                <w:lang w:eastAsia="en-AU"/>
              </w:rPr>
            </w:pPr>
            <w:r>
              <w:rPr>
                <w:rFonts w:cs="Arial"/>
                <w:color w:val="000000"/>
                <w:sz w:val="18"/>
                <w:lang w:eastAsia="en-AU"/>
              </w:rPr>
              <w:t>$14.81</w:t>
            </w:r>
          </w:p>
        </w:tc>
        <w:tc>
          <w:tcPr>
            <w:tcW w:w="1361" w:type="dxa"/>
            <w:tcBorders>
              <w:top w:val="single" w:sz="4" w:space="0" w:color="auto"/>
              <w:left w:val="single" w:sz="4" w:space="0" w:color="auto"/>
              <w:bottom w:val="single" w:sz="4" w:space="0" w:color="auto"/>
              <w:right w:val="single" w:sz="4" w:space="0" w:color="auto"/>
            </w:tcBorders>
            <w:vAlign w:val="center"/>
          </w:tcPr>
          <w:p w14:paraId="2D9F4464" w14:textId="77777777" w:rsidR="003106F1" w:rsidRDefault="003106F1" w:rsidP="00810CD3">
            <w:pPr>
              <w:keepNext/>
              <w:spacing w:before="60" w:after="60"/>
              <w:jc w:val="center"/>
              <w:rPr>
                <w:rFonts w:cs="Arial"/>
                <w:color w:val="000000"/>
                <w:sz w:val="18"/>
                <w:lang w:eastAsia="en-AU"/>
              </w:rPr>
            </w:pPr>
            <w:r>
              <w:rPr>
                <w:rFonts w:cs="Arial"/>
                <w:color w:val="000000"/>
                <w:sz w:val="18"/>
                <w:lang w:eastAsia="en-AU"/>
              </w:rPr>
              <w:t>$1,106.48</w:t>
            </w:r>
          </w:p>
        </w:tc>
        <w:tc>
          <w:tcPr>
            <w:tcW w:w="1361" w:type="dxa"/>
            <w:gridSpan w:val="2"/>
            <w:tcBorders>
              <w:top w:val="single" w:sz="4" w:space="0" w:color="auto"/>
              <w:left w:val="single" w:sz="4" w:space="0" w:color="auto"/>
              <w:bottom w:val="single" w:sz="4" w:space="0" w:color="auto"/>
              <w:right w:val="single" w:sz="4" w:space="0" w:color="auto"/>
            </w:tcBorders>
            <w:vAlign w:val="center"/>
          </w:tcPr>
          <w:p w14:paraId="520F861F" w14:textId="77777777" w:rsidR="003106F1" w:rsidRPr="00C2185B" w:rsidRDefault="003106F1" w:rsidP="00810CD3">
            <w:pPr>
              <w:keepNext/>
              <w:spacing w:before="60" w:after="60"/>
              <w:jc w:val="center"/>
              <w:rPr>
                <w:rFonts w:cs="Arial"/>
                <w:color w:val="000000"/>
                <w:sz w:val="18"/>
                <w:lang w:eastAsia="en-AU"/>
              </w:rPr>
            </w:pPr>
            <w:r>
              <w:rPr>
                <w:rFonts w:cs="Arial"/>
                <w:color w:val="000000"/>
                <w:sz w:val="18"/>
                <w:lang w:eastAsia="en-AU"/>
              </w:rPr>
              <w:t>667</w:t>
            </w:r>
          </w:p>
        </w:tc>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92C47" w14:textId="77777777" w:rsidR="003106F1" w:rsidRPr="00C2185B" w:rsidRDefault="003106F1" w:rsidP="00810CD3">
            <w:pPr>
              <w:keepNext/>
              <w:spacing w:before="60" w:after="60"/>
              <w:jc w:val="center"/>
              <w:rPr>
                <w:rFonts w:cs="Arial"/>
                <w:color w:val="000000"/>
                <w:sz w:val="18"/>
                <w:lang w:eastAsia="en-AU"/>
              </w:rPr>
            </w:pPr>
            <w:r w:rsidRPr="00C2185B">
              <w:rPr>
                <w:rFonts w:cs="Arial"/>
                <w:color w:val="000000"/>
                <w:sz w:val="18"/>
                <w:lang w:eastAsia="en-AU"/>
              </w:rPr>
              <w:t>$</w:t>
            </w:r>
            <w:r>
              <w:rPr>
                <w:rFonts w:cs="Arial"/>
                <w:color w:val="000000"/>
                <w:sz w:val="18"/>
                <w:lang w:eastAsia="en-AU"/>
              </w:rPr>
              <w:t>738,019</w:t>
            </w:r>
          </w:p>
        </w:tc>
      </w:tr>
      <w:tr w:rsidR="003106F1" w:rsidRPr="000A772A" w14:paraId="4DDE55DD" w14:textId="77777777" w:rsidTr="00810CD3">
        <w:trPr>
          <w:cantSplit/>
          <w:trHeight w:val="58"/>
        </w:trPr>
        <w:tc>
          <w:tcPr>
            <w:tcW w:w="7650" w:type="dxa"/>
            <w:gridSpan w:val="5"/>
            <w:tcBorders>
              <w:top w:val="single" w:sz="4" w:space="0" w:color="auto"/>
              <w:left w:val="single" w:sz="4" w:space="0" w:color="auto"/>
              <w:bottom w:val="single" w:sz="4" w:space="0" w:color="auto"/>
              <w:right w:val="single" w:sz="4" w:space="0" w:color="auto"/>
            </w:tcBorders>
            <w:shd w:val="clear" w:color="auto" w:fill="D6ECED"/>
            <w:noWrap/>
            <w:vAlign w:val="center"/>
            <w:hideMark/>
          </w:tcPr>
          <w:p w14:paraId="47C49B7E" w14:textId="77777777" w:rsidR="003106F1" w:rsidRPr="00C2185B" w:rsidRDefault="003106F1" w:rsidP="00810CD3">
            <w:pPr>
              <w:keepNext/>
              <w:spacing w:before="60" w:after="60"/>
              <w:jc w:val="right"/>
              <w:rPr>
                <w:rFonts w:cs="Arial"/>
                <w:b/>
                <w:color w:val="000000"/>
                <w:sz w:val="18"/>
                <w:lang w:eastAsia="en-AU"/>
              </w:rPr>
            </w:pPr>
            <w:r w:rsidRPr="00C2185B">
              <w:rPr>
                <w:rFonts w:cs="Arial"/>
                <w:b/>
                <w:color w:val="000000"/>
                <w:sz w:val="18"/>
                <w:lang w:eastAsia="en-AU"/>
              </w:rPr>
              <w:t>Total</w:t>
            </w:r>
          </w:p>
        </w:tc>
        <w:tc>
          <w:tcPr>
            <w:tcW w:w="1361" w:type="dxa"/>
            <w:gridSpan w:val="2"/>
            <w:tcBorders>
              <w:top w:val="single" w:sz="4" w:space="0" w:color="auto"/>
              <w:left w:val="nil"/>
              <w:bottom w:val="single" w:sz="4" w:space="0" w:color="auto"/>
              <w:right w:val="single" w:sz="4" w:space="0" w:color="auto"/>
            </w:tcBorders>
            <w:shd w:val="clear" w:color="auto" w:fill="D6ECED"/>
            <w:noWrap/>
            <w:vAlign w:val="center"/>
            <w:hideMark/>
          </w:tcPr>
          <w:p w14:paraId="5C8DFAE0" w14:textId="77777777" w:rsidR="003106F1" w:rsidRPr="00C2185B" w:rsidRDefault="003106F1" w:rsidP="00810CD3">
            <w:pPr>
              <w:keepNext/>
              <w:spacing w:before="60" w:after="60"/>
              <w:jc w:val="center"/>
              <w:rPr>
                <w:rFonts w:cs="Arial"/>
                <w:b/>
                <w:color w:val="000000"/>
                <w:sz w:val="18"/>
                <w:lang w:eastAsia="en-AU"/>
              </w:rPr>
            </w:pPr>
            <w:r w:rsidRPr="00C2185B">
              <w:rPr>
                <w:rFonts w:cs="Arial"/>
                <w:b/>
                <w:color w:val="000000"/>
                <w:sz w:val="18"/>
                <w:lang w:eastAsia="en-AU"/>
              </w:rPr>
              <w:t>$</w:t>
            </w:r>
            <w:r>
              <w:rPr>
                <w:rFonts w:cs="Arial"/>
                <w:b/>
                <w:color w:val="000000"/>
                <w:sz w:val="18"/>
                <w:lang w:eastAsia="en-AU"/>
              </w:rPr>
              <w:t>761,715</w:t>
            </w:r>
          </w:p>
        </w:tc>
      </w:tr>
    </w:tbl>
    <w:p w14:paraId="752B37F5" w14:textId="77777777" w:rsidR="00C141DF" w:rsidRPr="00C2185B" w:rsidRDefault="00C141DF" w:rsidP="00C141DF">
      <w:pPr>
        <w:pStyle w:val="Heading3"/>
      </w:pPr>
      <w:bookmarkStart w:id="420" w:name="_Toc45704349"/>
      <w:r>
        <w:t xml:space="preserve">Estimating the </w:t>
      </w:r>
      <w:r w:rsidRPr="00C2185B">
        <w:t>efficient costs</w:t>
      </w:r>
      <w:r>
        <w:t xml:space="preserve"> of bus safety regulation</w:t>
      </w:r>
      <w:bookmarkEnd w:id="420"/>
    </w:p>
    <w:p w14:paraId="160EAF23" w14:textId="77777777" w:rsidR="00C141DF" w:rsidRPr="00C2185B" w:rsidRDefault="00C141DF" w:rsidP="00C141DF">
      <w:pPr>
        <w:rPr>
          <w:rFonts w:cstheme="minorHAnsi"/>
          <w:szCs w:val="20"/>
        </w:rPr>
      </w:pPr>
      <w:r w:rsidRPr="00C2185B">
        <w:rPr>
          <w:rFonts w:cstheme="minorHAnsi"/>
          <w:szCs w:val="20"/>
        </w:rPr>
        <w:t>Victorian government policy, under the</w:t>
      </w:r>
      <w:r w:rsidRPr="00C2185B">
        <w:rPr>
          <w:rFonts w:cstheme="minorHAnsi"/>
          <w:i/>
          <w:szCs w:val="20"/>
        </w:rPr>
        <w:t xml:space="preserve"> Cost Recovery Guidelines 2013 </w:t>
      </w:r>
      <w:r w:rsidRPr="00C2185B">
        <w:rPr>
          <w:rFonts w:cstheme="minorHAnsi"/>
          <w:szCs w:val="20"/>
        </w:rPr>
        <w:t>published by the Department of Treasury and Finance, specify that cost recovery charges should be set according to an ‘efficient’ cost base.</w:t>
      </w:r>
      <w:r>
        <w:rPr>
          <w:rFonts w:cstheme="minorHAnsi"/>
          <w:szCs w:val="20"/>
        </w:rPr>
        <w:t xml:space="preserve"> T</w:t>
      </w:r>
      <w:r w:rsidRPr="00C2185B">
        <w:rPr>
          <w:rFonts w:cstheme="minorHAnsi"/>
          <w:szCs w:val="20"/>
        </w:rPr>
        <w:t>he ‘efficient’ (i.e. minimum) costs</w:t>
      </w:r>
      <w:r>
        <w:rPr>
          <w:rFonts w:cstheme="minorHAnsi"/>
          <w:szCs w:val="20"/>
        </w:rPr>
        <w:t xml:space="preserve"> are the costs</w:t>
      </w:r>
      <w:r w:rsidRPr="00C2185B">
        <w:rPr>
          <w:rFonts w:cstheme="minorHAnsi"/>
          <w:szCs w:val="20"/>
        </w:rPr>
        <w:t xml:space="preserve"> of providing the good/service at the required quality, or of undertaking the necessary regulatory activity, and still maintain quality or achieve government objectives over time.</w:t>
      </w:r>
    </w:p>
    <w:p w14:paraId="4C619261" w14:textId="7F1B9AE3" w:rsidR="00C141DF" w:rsidRPr="00C2185B" w:rsidRDefault="00C141DF" w:rsidP="00C141DF">
      <w:pPr>
        <w:rPr>
          <w:rFonts w:cstheme="minorHAnsi"/>
          <w:szCs w:val="20"/>
        </w:rPr>
      </w:pPr>
      <w:r w:rsidRPr="00C2185B">
        <w:rPr>
          <w:rFonts w:cstheme="minorHAnsi"/>
          <w:szCs w:val="20"/>
        </w:rPr>
        <w:t xml:space="preserve">In the context of bus safety regulation, it is important to ensure that the costs of </w:t>
      </w:r>
      <w:r>
        <w:rPr>
          <w:rFonts w:cstheme="minorHAnsi"/>
          <w:szCs w:val="20"/>
        </w:rPr>
        <w:t>TSV</w:t>
      </w:r>
      <w:r w:rsidRPr="00C2185B">
        <w:rPr>
          <w:rFonts w:cstheme="minorHAnsi"/>
          <w:szCs w:val="20"/>
        </w:rPr>
        <w:t xml:space="preserve"> in providing services are as efficient as possible. </w:t>
      </w:r>
      <w:r>
        <w:rPr>
          <w:rFonts w:cstheme="minorHAnsi"/>
          <w:szCs w:val="20"/>
        </w:rPr>
        <w:t>I</w:t>
      </w:r>
      <w:r w:rsidRPr="00C2185B">
        <w:rPr>
          <w:rFonts w:cstheme="minorHAnsi"/>
          <w:szCs w:val="20"/>
        </w:rPr>
        <w:t xml:space="preserve">f </w:t>
      </w:r>
      <w:r>
        <w:rPr>
          <w:rFonts w:cstheme="minorHAnsi"/>
          <w:szCs w:val="20"/>
        </w:rPr>
        <w:t xml:space="preserve">the efficient level of </w:t>
      </w:r>
      <w:r w:rsidRPr="00C2185B">
        <w:rPr>
          <w:rFonts w:cstheme="minorHAnsi"/>
          <w:szCs w:val="20"/>
        </w:rPr>
        <w:t xml:space="preserve">regulatory costs </w:t>
      </w:r>
      <w:r>
        <w:rPr>
          <w:rFonts w:cstheme="minorHAnsi"/>
          <w:szCs w:val="20"/>
        </w:rPr>
        <w:t>is</w:t>
      </w:r>
      <w:r w:rsidRPr="00C2185B">
        <w:rPr>
          <w:rFonts w:cstheme="minorHAnsi"/>
          <w:szCs w:val="20"/>
        </w:rPr>
        <w:t xml:space="preserve"> </w:t>
      </w:r>
      <w:r>
        <w:rPr>
          <w:rFonts w:cstheme="minorHAnsi"/>
          <w:szCs w:val="20"/>
        </w:rPr>
        <w:t>known</w:t>
      </w:r>
      <w:r w:rsidRPr="00C2185B">
        <w:rPr>
          <w:rFonts w:cstheme="minorHAnsi"/>
          <w:szCs w:val="20"/>
        </w:rPr>
        <w:t>,</w:t>
      </w:r>
      <w:r>
        <w:rPr>
          <w:rFonts w:cstheme="minorHAnsi"/>
          <w:szCs w:val="20"/>
        </w:rPr>
        <w:t xml:space="preserve"> then it is possible</w:t>
      </w:r>
      <w:r w:rsidRPr="00C2185B">
        <w:rPr>
          <w:rFonts w:cstheme="minorHAnsi"/>
          <w:szCs w:val="20"/>
        </w:rPr>
        <w:t xml:space="preserve"> </w:t>
      </w:r>
      <w:r>
        <w:rPr>
          <w:rFonts w:cstheme="minorHAnsi"/>
          <w:szCs w:val="20"/>
        </w:rPr>
        <w:t xml:space="preserve">to set efficient </w:t>
      </w:r>
      <w:r w:rsidRPr="00C2185B">
        <w:rPr>
          <w:rFonts w:cstheme="minorHAnsi"/>
          <w:szCs w:val="20"/>
        </w:rPr>
        <w:t xml:space="preserve">fees. </w:t>
      </w:r>
    </w:p>
    <w:p w14:paraId="563963B6" w14:textId="4BBF1F73" w:rsidR="00C141DF" w:rsidRDefault="00C141DF" w:rsidP="00C141DF">
      <w:pPr>
        <w:rPr>
          <w:rFonts w:cstheme="minorHAnsi"/>
          <w:szCs w:val="20"/>
        </w:rPr>
      </w:pPr>
      <w:bookmarkStart w:id="421" w:name="_Hlk43455967"/>
      <w:r w:rsidRPr="00C2185B">
        <w:rPr>
          <w:rFonts w:cstheme="minorHAnsi"/>
          <w:szCs w:val="20"/>
        </w:rPr>
        <w:t>DoT has conducted an analysis of the operations of TSV to estimate the costs</w:t>
      </w:r>
      <w:r>
        <w:rPr>
          <w:rFonts w:cstheme="minorHAnsi"/>
          <w:szCs w:val="20"/>
        </w:rPr>
        <w:t xml:space="preserve"> attributable</w:t>
      </w:r>
      <w:r w:rsidRPr="00C2185B">
        <w:rPr>
          <w:rFonts w:cstheme="minorHAnsi"/>
          <w:szCs w:val="20"/>
        </w:rPr>
        <w:t xml:space="preserve"> </w:t>
      </w:r>
      <w:r>
        <w:rPr>
          <w:rFonts w:cstheme="minorHAnsi"/>
          <w:szCs w:val="20"/>
        </w:rPr>
        <w:t>to</w:t>
      </w:r>
      <w:r w:rsidRPr="00C2185B">
        <w:rPr>
          <w:rFonts w:cstheme="minorHAnsi"/>
          <w:szCs w:val="20"/>
        </w:rPr>
        <w:t xml:space="preserve"> administering </w:t>
      </w:r>
      <w:r>
        <w:rPr>
          <w:rFonts w:cstheme="minorHAnsi"/>
          <w:szCs w:val="20"/>
        </w:rPr>
        <w:t>bus</w:t>
      </w:r>
      <w:r w:rsidRPr="00C2185B">
        <w:rPr>
          <w:rFonts w:cstheme="minorHAnsi"/>
          <w:szCs w:val="20"/>
        </w:rPr>
        <w:t xml:space="preserve"> safety regulations in Victoria.</w:t>
      </w:r>
      <w:r>
        <w:rPr>
          <w:rFonts w:cstheme="minorHAnsi"/>
          <w:szCs w:val="20"/>
        </w:rPr>
        <w:t xml:space="preserve"> </w:t>
      </w:r>
      <w:bookmarkEnd w:id="421"/>
      <w:r>
        <w:rPr>
          <w:rFonts w:cstheme="minorHAnsi"/>
          <w:szCs w:val="20"/>
        </w:rPr>
        <w:t xml:space="preserve">TSV is organised by different branches who administer the different regulatory schemes </w:t>
      </w:r>
      <w:r w:rsidR="008A1A2A">
        <w:rPr>
          <w:rFonts w:cstheme="minorHAnsi"/>
          <w:szCs w:val="20"/>
        </w:rPr>
        <w:t xml:space="preserve">for which </w:t>
      </w:r>
      <w:r>
        <w:rPr>
          <w:rFonts w:cstheme="minorHAnsi"/>
          <w:szCs w:val="20"/>
        </w:rPr>
        <w:t xml:space="preserve">TSV </w:t>
      </w:r>
      <w:r w:rsidR="008A1A2A">
        <w:rPr>
          <w:rFonts w:cstheme="minorHAnsi"/>
          <w:szCs w:val="20"/>
        </w:rPr>
        <w:t>has responsibility</w:t>
      </w:r>
      <w:r>
        <w:rPr>
          <w:rFonts w:cstheme="minorHAnsi"/>
          <w:szCs w:val="20"/>
        </w:rPr>
        <w:t>. The Bus Safety Branch</w:t>
      </w:r>
      <w:r w:rsidRPr="00C2185B">
        <w:rPr>
          <w:rFonts w:cstheme="minorHAnsi"/>
          <w:szCs w:val="20"/>
        </w:rPr>
        <w:t xml:space="preserve"> administer</w:t>
      </w:r>
      <w:r>
        <w:rPr>
          <w:rFonts w:cstheme="minorHAnsi"/>
          <w:szCs w:val="20"/>
        </w:rPr>
        <w:t>s</w:t>
      </w:r>
      <w:r w:rsidRPr="00C2185B">
        <w:rPr>
          <w:rFonts w:cstheme="minorHAnsi"/>
          <w:szCs w:val="20"/>
        </w:rPr>
        <w:t xml:space="preserve"> the </w:t>
      </w:r>
      <w:r>
        <w:rPr>
          <w:rFonts w:cstheme="minorHAnsi"/>
          <w:szCs w:val="20"/>
        </w:rPr>
        <w:t>B</w:t>
      </w:r>
      <w:r w:rsidRPr="00C2185B">
        <w:rPr>
          <w:rFonts w:cstheme="minorHAnsi"/>
          <w:szCs w:val="20"/>
        </w:rPr>
        <w:t xml:space="preserve">us </w:t>
      </w:r>
      <w:r>
        <w:rPr>
          <w:rFonts w:cstheme="minorHAnsi"/>
          <w:szCs w:val="20"/>
        </w:rPr>
        <w:t>S</w:t>
      </w:r>
      <w:r w:rsidRPr="00C2185B">
        <w:rPr>
          <w:rFonts w:cstheme="minorHAnsi"/>
          <w:szCs w:val="20"/>
        </w:rPr>
        <w:t>afety</w:t>
      </w:r>
      <w:r>
        <w:rPr>
          <w:rFonts w:cstheme="minorHAnsi"/>
          <w:szCs w:val="20"/>
        </w:rPr>
        <w:t xml:space="preserve"> Act and Regulations and is supported by general corporate branches providing policy, legal and corporate support to the Bus Safety Branch</w:t>
      </w:r>
      <w:r w:rsidRPr="00C2185B">
        <w:rPr>
          <w:rFonts w:cstheme="minorHAnsi"/>
          <w:szCs w:val="20"/>
        </w:rPr>
        <w:t xml:space="preserve">. </w:t>
      </w:r>
    </w:p>
    <w:p w14:paraId="72B31A1A" w14:textId="5DFEA9D4" w:rsidR="00C141DF" w:rsidRPr="00E057AB" w:rsidRDefault="007F3DCB" w:rsidP="00C141DF">
      <w:pPr>
        <w:rPr>
          <w:i/>
        </w:rPr>
      </w:pPr>
      <w:r>
        <w:rPr>
          <w:rFonts w:cstheme="minorHAnsi"/>
          <w:szCs w:val="20"/>
        </w:rPr>
        <w:fldChar w:fldCharType="begin"/>
      </w:r>
      <w:r>
        <w:rPr>
          <w:rFonts w:cstheme="minorHAnsi"/>
          <w:szCs w:val="20"/>
        </w:rPr>
        <w:instrText xml:space="preserve"> REF _Ref42850517 \h  \* MERGEFORMAT </w:instrText>
      </w:r>
      <w:r>
        <w:rPr>
          <w:rFonts w:cstheme="minorHAnsi"/>
          <w:szCs w:val="20"/>
        </w:rPr>
      </w:r>
      <w:r>
        <w:rPr>
          <w:rFonts w:cstheme="minorHAnsi"/>
          <w:szCs w:val="20"/>
        </w:rPr>
        <w:fldChar w:fldCharType="separate"/>
      </w:r>
      <w:r w:rsidR="00277F6E" w:rsidRPr="00277F6E">
        <w:rPr>
          <w:rFonts w:cstheme="minorHAnsi"/>
          <w:szCs w:val="20"/>
        </w:rPr>
        <w:t>Table 3</w:t>
      </w:r>
      <w:r w:rsidR="00277F6E" w:rsidRPr="00277F6E">
        <w:rPr>
          <w:rFonts w:cstheme="minorHAnsi"/>
          <w:szCs w:val="20"/>
        </w:rPr>
        <w:noBreakHyphen/>
        <w:t>16</w:t>
      </w:r>
      <w:r>
        <w:rPr>
          <w:rFonts w:cstheme="minorHAnsi"/>
          <w:szCs w:val="20"/>
        </w:rPr>
        <w:fldChar w:fldCharType="end"/>
      </w:r>
      <w:r>
        <w:rPr>
          <w:rFonts w:cstheme="minorHAnsi"/>
          <w:szCs w:val="20"/>
        </w:rPr>
        <w:t xml:space="preserve"> </w:t>
      </w:r>
      <w:r w:rsidR="00C141DF" w:rsidRPr="00E057AB">
        <w:rPr>
          <w:rFonts w:cstheme="minorHAnsi"/>
          <w:szCs w:val="20"/>
        </w:rPr>
        <w:t>below summarise</w:t>
      </w:r>
      <w:r w:rsidR="00C141DF">
        <w:rPr>
          <w:rFonts w:cstheme="minorHAnsi"/>
          <w:szCs w:val="20"/>
        </w:rPr>
        <w:t>s</w:t>
      </w:r>
      <w:r w:rsidR="00C141DF" w:rsidRPr="00E057AB">
        <w:rPr>
          <w:rFonts w:cstheme="minorHAnsi"/>
          <w:szCs w:val="20"/>
        </w:rPr>
        <w:t xml:space="preserve"> the estimates of the costs incurred by TSV in the process of undertaking bus safety regulation under the Bus Safety Act.</w:t>
      </w:r>
      <w:r w:rsidR="00C141DF">
        <w:rPr>
          <w:rFonts w:cstheme="minorHAnsi"/>
          <w:szCs w:val="20"/>
        </w:rPr>
        <w:t xml:space="preserve"> These estimates include the direct costs that are incurred by the Bus Safety Branch of TSV and the indirect costs incurred by other branches of TSV (e.g. legal, policy and corporate).</w:t>
      </w:r>
    </w:p>
    <w:p w14:paraId="5BFD413E" w14:textId="27953824" w:rsidR="00C141DF" w:rsidRPr="00E057AB" w:rsidRDefault="00C141DF" w:rsidP="007620AA">
      <w:pPr>
        <w:pStyle w:val="Caption"/>
        <w:keepNext/>
        <w:spacing w:after="60"/>
        <w:rPr>
          <w:b/>
          <w:i w:val="0"/>
        </w:rPr>
      </w:pPr>
      <w:bookmarkStart w:id="422" w:name="_Ref42850517"/>
      <w:bookmarkStart w:id="423" w:name="_Toc44437368"/>
      <w:bookmarkStart w:id="424" w:name="_Toc44597439"/>
      <w:bookmarkStart w:id="425" w:name="_Toc44597503"/>
      <w:bookmarkStart w:id="426" w:name="_Toc44600073"/>
      <w:bookmarkStart w:id="427" w:name="_Toc44600528"/>
      <w:bookmarkStart w:id="428" w:name="_Toc44600695"/>
      <w:bookmarkStart w:id="429" w:name="_Toc44601192"/>
      <w:bookmarkStart w:id="430" w:name="_Toc44601245"/>
      <w:bookmarkStart w:id="431" w:name="_Toc44603393"/>
      <w:bookmarkStart w:id="432" w:name="_Toc45704441"/>
      <w:r w:rsidRPr="00E057AB">
        <w:rPr>
          <w:b/>
          <w:i w:val="0"/>
        </w:rPr>
        <w:lastRenderedPageBreak/>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16</w:t>
      </w:r>
      <w:r w:rsidR="00D2483C">
        <w:rPr>
          <w:b/>
          <w:i w:val="0"/>
        </w:rPr>
        <w:fldChar w:fldCharType="end"/>
      </w:r>
      <w:bookmarkEnd w:id="422"/>
      <w:r w:rsidRPr="00E057AB">
        <w:rPr>
          <w:b/>
          <w:i w:val="0"/>
        </w:rPr>
        <w:t>: Aggregate costs attributed to bus regulatory activities under the Bus Safety</w:t>
      </w:r>
      <w:r>
        <w:rPr>
          <w:b/>
          <w:i w:val="0"/>
        </w:rPr>
        <w:t xml:space="preserve"> Act and</w:t>
      </w:r>
      <w:r w:rsidRPr="00E057AB">
        <w:rPr>
          <w:b/>
          <w:i w:val="0"/>
        </w:rPr>
        <w:t xml:space="preserve"> Regulations in 2018-19 – by cost category</w:t>
      </w:r>
      <w:bookmarkEnd w:id="423"/>
      <w:bookmarkEnd w:id="424"/>
      <w:bookmarkEnd w:id="425"/>
      <w:bookmarkEnd w:id="426"/>
      <w:bookmarkEnd w:id="427"/>
      <w:bookmarkEnd w:id="428"/>
      <w:bookmarkEnd w:id="429"/>
      <w:bookmarkEnd w:id="430"/>
      <w:bookmarkEnd w:id="431"/>
      <w:bookmarkEnd w:id="432"/>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912"/>
        <w:gridCol w:w="2103"/>
      </w:tblGrid>
      <w:tr w:rsidR="00C141DF" w:rsidRPr="00E057AB" w14:paraId="3A49F537" w14:textId="77777777" w:rsidTr="00810CD3">
        <w:trPr>
          <w:cantSplit/>
          <w:trHeight w:val="255"/>
        </w:trPr>
        <w:tc>
          <w:tcPr>
            <w:tcW w:w="6521" w:type="dxa"/>
            <w:shd w:val="clear" w:color="auto" w:fill="D6ECED"/>
            <w:noWrap/>
            <w:tcMar>
              <w:top w:w="15" w:type="dxa"/>
              <w:left w:w="15" w:type="dxa"/>
              <w:bottom w:w="0" w:type="dxa"/>
              <w:right w:w="15" w:type="dxa"/>
            </w:tcMar>
            <w:vAlign w:val="bottom"/>
            <w:hideMark/>
          </w:tcPr>
          <w:p w14:paraId="1DBCD3A6" w14:textId="77777777" w:rsidR="00C141DF" w:rsidRPr="00F0016B" w:rsidRDefault="00C141DF" w:rsidP="00810CD3">
            <w:pPr>
              <w:keepNext/>
              <w:spacing w:before="60" w:after="60"/>
              <w:ind w:left="119"/>
              <w:rPr>
                <w:rFonts w:cstheme="minorHAnsi"/>
                <w:b/>
                <w:color w:val="000000"/>
                <w:sz w:val="18"/>
                <w:lang w:eastAsia="en-AU"/>
              </w:rPr>
            </w:pPr>
            <w:r w:rsidRPr="00F0016B">
              <w:rPr>
                <w:rFonts w:cstheme="minorHAnsi"/>
                <w:b/>
                <w:color w:val="000000"/>
                <w:sz w:val="18"/>
                <w:lang w:eastAsia="en-AU"/>
              </w:rPr>
              <w:t>Cost category</w:t>
            </w:r>
          </w:p>
        </w:tc>
        <w:tc>
          <w:tcPr>
            <w:tcW w:w="1984" w:type="dxa"/>
            <w:shd w:val="clear" w:color="auto" w:fill="D6ECED"/>
            <w:noWrap/>
            <w:tcMar>
              <w:top w:w="15" w:type="dxa"/>
              <w:left w:w="15" w:type="dxa"/>
              <w:bottom w:w="0" w:type="dxa"/>
              <w:right w:w="15" w:type="dxa"/>
            </w:tcMar>
            <w:vAlign w:val="bottom"/>
            <w:hideMark/>
          </w:tcPr>
          <w:p w14:paraId="70103EE6" w14:textId="77777777" w:rsidR="00C141DF" w:rsidRPr="00F0016B" w:rsidRDefault="00C141DF" w:rsidP="00810CD3">
            <w:pPr>
              <w:keepNext/>
              <w:spacing w:before="60" w:after="60"/>
              <w:ind w:left="122"/>
              <w:jc w:val="center"/>
              <w:rPr>
                <w:rFonts w:cstheme="minorHAnsi"/>
                <w:b/>
                <w:color w:val="000000"/>
                <w:sz w:val="18"/>
                <w:lang w:eastAsia="en-AU"/>
              </w:rPr>
            </w:pPr>
            <w:r w:rsidRPr="00F0016B">
              <w:rPr>
                <w:rFonts w:cstheme="minorHAnsi"/>
                <w:b/>
                <w:color w:val="000000"/>
                <w:sz w:val="18"/>
                <w:lang w:eastAsia="en-AU"/>
              </w:rPr>
              <w:t>Cost</w:t>
            </w:r>
          </w:p>
        </w:tc>
      </w:tr>
      <w:tr w:rsidR="00C141DF" w:rsidRPr="00E057AB" w14:paraId="7D0F7329" w14:textId="77777777" w:rsidTr="00810CD3">
        <w:trPr>
          <w:cantSplit/>
          <w:trHeight w:val="255"/>
        </w:trPr>
        <w:tc>
          <w:tcPr>
            <w:tcW w:w="6521" w:type="dxa"/>
            <w:shd w:val="clear" w:color="auto" w:fill="auto"/>
            <w:noWrap/>
            <w:tcMar>
              <w:top w:w="15" w:type="dxa"/>
              <w:left w:w="15" w:type="dxa"/>
              <w:bottom w:w="0" w:type="dxa"/>
              <w:right w:w="15" w:type="dxa"/>
            </w:tcMar>
            <w:vAlign w:val="bottom"/>
          </w:tcPr>
          <w:p w14:paraId="42511BF7" w14:textId="77777777" w:rsidR="00C141DF" w:rsidRPr="00F0016B" w:rsidRDefault="00C141DF" w:rsidP="00810CD3">
            <w:pPr>
              <w:keepNext/>
              <w:spacing w:before="60" w:after="60"/>
              <w:ind w:left="119"/>
              <w:rPr>
                <w:rFonts w:eastAsia="Times New Roman" w:cstheme="minorHAnsi"/>
                <w:color w:val="000000"/>
                <w:sz w:val="18"/>
                <w:lang w:eastAsia="en-AU"/>
              </w:rPr>
            </w:pPr>
            <w:r w:rsidRPr="00F0016B">
              <w:rPr>
                <w:rFonts w:eastAsia="Times New Roman" w:cstheme="minorHAnsi"/>
                <w:color w:val="000000"/>
                <w:sz w:val="18"/>
                <w:lang w:eastAsia="en-AU"/>
              </w:rPr>
              <w:t>Bus Safety Branch costs</w:t>
            </w:r>
          </w:p>
        </w:tc>
        <w:tc>
          <w:tcPr>
            <w:tcW w:w="1984" w:type="dxa"/>
            <w:shd w:val="clear" w:color="auto" w:fill="auto"/>
            <w:noWrap/>
            <w:tcMar>
              <w:top w:w="15" w:type="dxa"/>
              <w:left w:w="15" w:type="dxa"/>
              <w:bottom w:w="0" w:type="dxa"/>
              <w:right w:w="15" w:type="dxa"/>
            </w:tcMar>
            <w:vAlign w:val="bottom"/>
          </w:tcPr>
          <w:p w14:paraId="3CAABC88" w14:textId="77777777" w:rsidR="00C141DF" w:rsidRPr="00F0016B" w:rsidRDefault="00C141DF" w:rsidP="00810CD3">
            <w:pPr>
              <w:keepNext/>
              <w:spacing w:before="60" w:after="60"/>
              <w:ind w:left="119" w:right="133"/>
              <w:jc w:val="right"/>
              <w:rPr>
                <w:rFonts w:eastAsia="Times New Roman" w:cstheme="minorHAnsi"/>
                <w:color w:val="000000"/>
                <w:sz w:val="18"/>
                <w:lang w:eastAsia="en-AU"/>
              </w:rPr>
            </w:pPr>
          </w:p>
        </w:tc>
      </w:tr>
      <w:tr w:rsidR="00C141DF" w:rsidRPr="00E057AB" w14:paraId="6232E13B" w14:textId="77777777" w:rsidTr="00810CD3">
        <w:trPr>
          <w:cantSplit/>
          <w:trHeight w:val="255"/>
        </w:trPr>
        <w:tc>
          <w:tcPr>
            <w:tcW w:w="6521" w:type="dxa"/>
            <w:shd w:val="clear" w:color="auto" w:fill="auto"/>
            <w:noWrap/>
            <w:tcMar>
              <w:top w:w="15" w:type="dxa"/>
              <w:left w:w="15" w:type="dxa"/>
              <w:bottom w:w="0" w:type="dxa"/>
              <w:right w:w="15" w:type="dxa"/>
            </w:tcMar>
            <w:vAlign w:val="bottom"/>
            <w:hideMark/>
          </w:tcPr>
          <w:p w14:paraId="54C1F038" w14:textId="77777777" w:rsidR="00C141DF" w:rsidRPr="00F0016B" w:rsidRDefault="00C141DF" w:rsidP="00810CD3">
            <w:pPr>
              <w:keepNext/>
              <w:spacing w:before="60" w:after="60"/>
              <w:ind w:left="720"/>
              <w:rPr>
                <w:rFonts w:eastAsia="Times New Roman" w:cstheme="minorHAnsi"/>
                <w:color w:val="000000"/>
                <w:sz w:val="18"/>
                <w:lang w:eastAsia="en-AU"/>
              </w:rPr>
            </w:pPr>
            <w:r w:rsidRPr="00F0016B">
              <w:rPr>
                <w:rFonts w:eastAsia="Times New Roman" w:cstheme="minorHAnsi"/>
                <w:color w:val="000000"/>
                <w:sz w:val="18"/>
                <w:lang w:eastAsia="en-AU"/>
              </w:rPr>
              <w:t>Salary and on-costs of Bus Safety Branch</w:t>
            </w:r>
          </w:p>
        </w:tc>
        <w:tc>
          <w:tcPr>
            <w:tcW w:w="1984" w:type="dxa"/>
            <w:shd w:val="clear" w:color="auto" w:fill="auto"/>
            <w:noWrap/>
            <w:tcMar>
              <w:top w:w="15" w:type="dxa"/>
              <w:left w:w="15" w:type="dxa"/>
              <w:bottom w:w="0" w:type="dxa"/>
              <w:right w:w="15" w:type="dxa"/>
            </w:tcMar>
            <w:hideMark/>
          </w:tcPr>
          <w:p w14:paraId="2F2965CB" w14:textId="77777777" w:rsidR="00C141DF" w:rsidRPr="00F0016B" w:rsidRDefault="00C141DF" w:rsidP="00810CD3">
            <w:pPr>
              <w:keepNext/>
              <w:spacing w:before="60" w:after="60"/>
              <w:ind w:left="119" w:right="133"/>
              <w:jc w:val="right"/>
              <w:rPr>
                <w:rFonts w:eastAsia="Times New Roman" w:cstheme="minorHAnsi"/>
                <w:color w:val="000000"/>
                <w:sz w:val="18"/>
                <w:lang w:eastAsia="en-AU"/>
              </w:rPr>
            </w:pPr>
            <w:r w:rsidRPr="00F0016B">
              <w:rPr>
                <w:rFonts w:cstheme="minorHAnsi"/>
                <w:sz w:val="18"/>
              </w:rPr>
              <w:t>$2,107,118</w:t>
            </w:r>
          </w:p>
        </w:tc>
      </w:tr>
      <w:tr w:rsidR="00C141DF" w:rsidRPr="00E057AB" w14:paraId="2B7DF2BE" w14:textId="77777777" w:rsidTr="00810CD3">
        <w:trPr>
          <w:cantSplit/>
          <w:trHeight w:val="255"/>
        </w:trPr>
        <w:tc>
          <w:tcPr>
            <w:tcW w:w="6521" w:type="dxa"/>
            <w:shd w:val="clear" w:color="auto" w:fill="auto"/>
            <w:noWrap/>
            <w:tcMar>
              <w:top w:w="15" w:type="dxa"/>
              <w:left w:w="15" w:type="dxa"/>
              <w:bottom w:w="0" w:type="dxa"/>
              <w:right w:w="15" w:type="dxa"/>
            </w:tcMar>
            <w:vAlign w:val="bottom"/>
            <w:hideMark/>
          </w:tcPr>
          <w:p w14:paraId="54F76F05" w14:textId="77777777" w:rsidR="00C141DF" w:rsidRPr="00F0016B" w:rsidRDefault="00C141DF" w:rsidP="00810CD3">
            <w:pPr>
              <w:keepNext/>
              <w:spacing w:before="60" w:after="60"/>
              <w:ind w:left="720"/>
              <w:rPr>
                <w:rFonts w:eastAsia="Times New Roman" w:cstheme="minorHAnsi"/>
                <w:color w:val="000000"/>
                <w:sz w:val="18"/>
                <w:lang w:eastAsia="en-AU"/>
              </w:rPr>
            </w:pPr>
            <w:r w:rsidRPr="00F0016B">
              <w:rPr>
                <w:rFonts w:eastAsia="Times New Roman" w:cstheme="minorHAnsi"/>
                <w:color w:val="000000"/>
                <w:sz w:val="18"/>
                <w:lang w:eastAsia="en-AU"/>
              </w:rPr>
              <w:t>Professional and legal costs</w:t>
            </w:r>
          </w:p>
        </w:tc>
        <w:tc>
          <w:tcPr>
            <w:tcW w:w="1984" w:type="dxa"/>
            <w:shd w:val="clear" w:color="auto" w:fill="auto"/>
            <w:noWrap/>
            <w:tcMar>
              <w:top w:w="15" w:type="dxa"/>
              <w:left w:w="15" w:type="dxa"/>
              <w:bottom w:w="0" w:type="dxa"/>
              <w:right w:w="15" w:type="dxa"/>
            </w:tcMar>
            <w:hideMark/>
          </w:tcPr>
          <w:p w14:paraId="336B03CF" w14:textId="77777777" w:rsidR="00C141DF" w:rsidRPr="00F0016B" w:rsidRDefault="00C141DF" w:rsidP="00810CD3">
            <w:pPr>
              <w:keepNext/>
              <w:spacing w:before="60" w:after="60"/>
              <w:ind w:left="119" w:right="133"/>
              <w:jc w:val="right"/>
              <w:rPr>
                <w:rFonts w:eastAsia="Times New Roman" w:cstheme="minorHAnsi"/>
                <w:color w:val="000000"/>
                <w:sz w:val="18"/>
                <w:lang w:eastAsia="en-AU"/>
              </w:rPr>
            </w:pPr>
            <w:r w:rsidRPr="00F0016B">
              <w:rPr>
                <w:rFonts w:cstheme="minorHAnsi"/>
                <w:sz w:val="18"/>
              </w:rPr>
              <w:t>$12,570</w:t>
            </w:r>
          </w:p>
        </w:tc>
      </w:tr>
      <w:tr w:rsidR="00C141DF" w:rsidRPr="00E057AB" w14:paraId="48FB10E0" w14:textId="77777777" w:rsidTr="00810CD3">
        <w:trPr>
          <w:cantSplit/>
          <w:trHeight w:val="255"/>
        </w:trPr>
        <w:tc>
          <w:tcPr>
            <w:tcW w:w="6521" w:type="dxa"/>
            <w:shd w:val="clear" w:color="auto" w:fill="auto"/>
            <w:noWrap/>
            <w:tcMar>
              <w:top w:w="15" w:type="dxa"/>
              <w:left w:w="15" w:type="dxa"/>
              <w:bottom w:w="0" w:type="dxa"/>
              <w:right w:w="15" w:type="dxa"/>
            </w:tcMar>
            <w:vAlign w:val="bottom"/>
            <w:hideMark/>
          </w:tcPr>
          <w:p w14:paraId="19D634FF" w14:textId="77777777" w:rsidR="00C141DF" w:rsidRPr="00F0016B" w:rsidRDefault="00C141DF" w:rsidP="00810CD3">
            <w:pPr>
              <w:keepNext/>
              <w:spacing w:before="60" w:after="60"/>
              <w:ind w:left="720"/>
              <w:rPr>
                <w:rFonts w:eastAsia="Times New Roman" w:cstheme="minorHAnsi"/>
                <w:color w:val="000000"/>
                <w:sz w:val="18"/>
                <w:lang w:eastAsia="en-AU"/>
              </w:rPr>
            </w:pPr>
            <w:r w:rsidRPr="00F0016B">
              <w:rPr>
                <w:rFonts w:eastAsia="Times New Roman" w:cstheme="minorHAnsi"/>
                <w:color w:val="000000"/>
                <w:sz w:val="18"/>
                <w:lang w:eastAsia="en-AU"/>
              </w:rPr>
              <w:t>Information technology costs</w:t>
            </w:r>
          </w:p>
        </w:tc>
        <w:tc>
          <w:tcPr>
            <w:tcW w:w="1984" w:type="dxa"/>
            <w:shd w:val="clear" w:color="auto" w:fill="auto"/>
            <w:noWrap/>
            <w:tcMar>
              <w:top w:w="15" w:type="dxa"/>
              <w:left w:w="15" w:type="dxa"/>
              <w:bottom w:w="0" w:type="dxa"/>
              <w:right w:w="15" w:type="dxa"/>
            </w:tcMar>
            <w:hideMark/>
          </w:tcPr>
          <w:p w14:paraId="49BBE989" w14:textId="77777777" w:rsidR="00C141DF" w:rsidRPr="00F0016B" w:rsidRDefault="00C141DF" w:rsidP="00810CD3">
            <w:pPr>
              <w:keepNext/>
              <w:spacing w:before="60" w:after="60"/>
              <w:ind w:left="119" w:right="133"/>
              <w:jc w:val="right"/>
              <w:rPr>
                <w:rFonts w:eastAsia="Times New Roman" w:cstheme="minorHAnsi"/>
                <w:color w:val="000000"/>
                <w:sz w:val="18"/>
                <w:lang w:eastAsia="en-AU"/>
              </w:rPr>
            </w:pPr>
            <w:r w:rsidRPr="00F0016B">
              <w:rPr>
                <w:rFonts w:cstheme="minorHAnsi"/>
                <w:sz w:val="18"/>
              </w:rPr>
              <w:t>$33,650</w:t>
            </w:r>
          </w:p>
        </w:tc>
      </w:tr>
      <w:tr w:rsidR="00C141DF" w:rsidRPr="00E057AB" w14:paraId="66A9286D" w14:textId="77777777" w:rsidTr="00810CD3">
        <w:trPr>
          <w:cantSplit/>
          <w:trHeight w:val="255"/>
        </w:trPr>
        <w:tc>
          <w:tcPr>
            <w:tcW w:w="6521" w:type="dxa"/>
            <w:shd w:val="clear" w:color="auto" w:fill="auto"/>
            <w:noWrap/>
            <w:tcMar>
              <w:top w:w="15" w:type="dxa"/>
              <w:left w:w="15" w:type="dxa"/>
              <w:bottom w:w="0" w:type="dxa"/>
              <w:right w:w="15" w:type="dxa"/>
            </w:tcMar>
            <w:vAlign w:val="bottom"/>
            <w:hideMark/>
          </w:tcPr>
          <w:p w14:paraId="62C32EA0" w14:textId="77777777" w:rsidR="00C141DF" w:rsidRPr="00F0016B" w:rsidRDefault="00C141DF" w:rsidP="00810CD3">
            <w:pPr>
              <w:keepNext/>
              <w:spacing w:before="60" w:after="60"/>
              <w:ind w:left="720"/>
              <w:rPr>
                <w:rFonts w:eastAsia="Times New Roman" w:cstheme="minorHAnsi"/>
                <w:color w:val="000000"/>
                <w:sz w:val="18"/>
                <w:lang w:eastAsia="en-AU"/>
              </w:rPr>
            </w:pPr>
            <w:r w:rsidRPr="00F0016B">
              <w:rPr>
                <w:rFonts w:eastAsia="Times New Roman" w:cstheme="minorHAnsi"/>
                <w:color w:val="000000"/>
                <w:sz w:val="18"/>
                <w:lang w:eastAsia="en-AU"/>
              </w:rPr>
              <w:t>Office expenses (including travel and communications costs)</w:t>
            </w:r>
          </w:p>
        </w:tc>
        <w:tc>
          <w:tcPr>
            <w:tcW w:w="1984" w:type="dxa"/>
            <w:shd w:val="clear" w:color="auto" w:fill="auto"/>
            <w:noWrap/>
            <w:tcMar>
              <w:top w:w="15" w:type="dxa"/>
              <w:left w:w="15" w:type="dxa"/>
              <w:bottom w:w="0" w:type="dxa"/>
              <w:right w:w="15" w:type="dxa"/>
            </w:tcMar>
            <w:hideMark/>
          </w:tcPr>
          <w:p w14:paraId="74E09460" w14:textId="77777777" w:rsidR="00C141DF" w:rsidRPr="00F0016B" w:rsidRDefault="00C141DF" w:rsidP="00810CD3">
            <w:pPr>
              <w:keepNext/>
              <w:spacing w:before="60" w:after="60"/>
              <w:ind w:left="119" w:right="133"/>
              <w:jc w:val="right"/>
              <w:rPr>
                <w:rFonts w:eastAsia="Times New Roman" w:cstheme="minorHAnsi"/>
                <w:color w:val="000000"/>
                <w:sz w:val="18"/>
                <w:lang w:eastAsia="en-AU"/>
              </w:rPr>
            </w:pPr>
            <w:r w:rsidRPr="00F0016B">
              <w:rPr>
                <w:rFonts w:cstheme="minorHAnsi"/>
                <w:sz w:val="18"/>
              </w:rPr>
              <w:t>$110</w:t>
            </w:r>
          </w:p>
        </w:tc>
      </w:tr>
      <w:tr w:rsidR="00C141DF" w:rsidRPr="00E057AB" w14:paraId="4D22AC88" w14:textId="77777777" w:rsidTr="00810CD3">
        <w:trPr>
          <w:cantSplit/>
          <w:trHeight w:val="255"/>
        </w:trPr>
        <w:tc>
          <w:tcPr>
            <w:tcW w:w="6521" w:type="dxa"/>
            <w:shd w:val="clear" w:color="auto" w:fill="auto"/>
            <w:noWrap/>
            <w:tcMar>
              <w:top w:w="15" w:type="dxa"/>
              <w:left w:w="15" w:type="dxa"/>
              <w:bottom w:w="0" w:type="dxa"/>
              <w:right w:w="15" w:type="dxa"/>
            </w:tcMar>
            <w:vAlign w:val="bottom"/>
            <w:hideMark/>
          </w:tcPr>
          <w:p w14:paraId="0280B9B0" w14:textId="77777777" w:rsidR="00C141DF" w:rsidRPr="00F0016B" w:rsidRDefault="00C141DF" w:rsidP="00810CD3">
            <w:pPr>
              <w:keepNext/>
              <w:spacing w:before="60" w:after="60"/>
              <w:ind w:left="720"/>
              <w:rPr>
                <w:rFonts w:eastAsia="Times New Roman" w:cstheme="minorHAnsi"/>
                <w:color w:val="000000"/>
                <w:sz w:val="18"/>
                <w:lang w:eastAsia="en-AU"/>
              </w:rPr>
            </w:pPr>
            <w:r w:rsidRPr="00F0016B">
              <w:rPr>
                <w:rFonts w:eastAsia="Times New Roman" w:cstheme="minorHAnsi"/>
                <w:color w:val="000000"/>
                <w:sz w:val="18"/>
                <w:lang w:eastAsia="en-AU"/>
              </w:rPr>
              <w:t>Occupancy costs</w:t>
            </w:r>
          </w:p>
        </w:tc>
        <w:tc>
          <w:tcPr>
            <w:tcW w:w="1984" w:type="dxa"/>
            <w:shd w:val="clear" w:color="auto" w:fill="auto"/>
            <w:noWrap/>
            <w:tcMar>
              <w:top w:w="15" w:type="dxa"/>
              <w:left w:w="15" w:type="dxa"/>
              <w:bottom w:w="0" w:type="dxa"/>
              <w:right w:w="15" w:type="dxa"/>
            </w:tcMar>
            <w:hideMark/>
          </w:tcPr>
          <w:p w14:paraId="1F60517B" w14:textId="77777777" w:rsidR="00C141DF" w:rsidRPr="00F0016B" w:rsidRDefault="00C141DF" w:rsidP="00810CD3">
            <w:pPr>
              <w:keepNext/>
              <w:spacing w:before="60" w:after="60"/>
              <w:ind w:left="119" w:right="133"/>
              <w:jc w:val="right"/>
              <w:rPr>
                <w:rFonts w:eastAsia="Times New Roman" w:cstheme="minorHAnsi"/>
                <w:color w:val="000000"/>
                <w:sz w:val="18"/>
                <w:lang w:eastAsia="en-AU"/>
              </w:rPr>
            </w:pPr>
            <w:r w:rsidRPr="00F0016B">
              <w:rPr>
                <w:rFonts w:cstheme="minorHAnsi"/>
                <w:sz w:val="18"/>
              </w:rPr>
              <w:t>$107,640</w:t>
            </w:r>
          </w:p>
        </w:tc>
      </w:tr>
      <w:tr w:rsidR="00C141DF" w:rsidRPr="00E057AB" w14:paraId="0DC8DB53" w14:textId="77777777" w:rsidTr="00810CD3">
        <w:trPr>
          <w:cantSplit/>
          <w:trHeight w:val="255"/>
        </w:trPr>
        <w:tc>
          <w:tcPr>
            <w:tcW w:w="6521" w:type="dxa"/>
            <w:shd w:val="clear" w:color="auto" w:fill="auto"/>
            <w:noWrap/>
            <w:tcMar>
              <w:top w:w="15" w:type="dxa"/>
              <w:left w:w="15" w:type="dxa"/>
              <w:bottom w:w="0" w:type="dxa"/>
              <w:right w:w="15" w:type="dxa"/>
            </w:tcMar>
            <w:vAlign w:val="bottom"/>
            <w:hideMark/>
          </w:tcPr>
          <w:p w14:paraId="4641CDE0" w14:textId="77777777" w:rsidR="00C141DF" w:rsidRPr="00F0016B" w:rsidRDefault="00C141DF" w:rsidP="00810CD3">
            <w:pPr>
              <w:keepNext/>
              <w:spacing w:before="60" w:after="60"/>
              <w:ind w:left="720"/>
              <w:rPr>
                <w:rFonts w:eastAsia="Times New Roman" w:cstheme="minorHAnsi"/>
                <w:color w:val="000000"/>
                <w:sz w:val="18"/>
                <w:lang w:eastAsia="en-AU"/>
              </w:rPr>
            </w:pPr>
            <w:r w:rsidRPr="00F0016B">
              <w:rPr>
                <w:rFonts w:eastAsia="Times New Roman" w:cstheme="minorHAnsi"/>
                <w:color w:val="000000"/>
                <w:sz w:val="18"/>
                <w:lang w:eastAsia="en-AU"/>
              </w:rPr>
              <w:t>Depreciation and amortisation</w:t>
            </w:r>
          </w:p>
        </w:tc>
        <w:tc>
          <w:tcPr>
            <w:tcW w:w="1984" w:type="dxa"/>
            <w:shd w:val="clear" w:color="auto" w:fill="auto"/>
            <w:noWrap/>
            <w:tcMar>
              <w:top w:w="15" w:type="dxa"/>
              <w:left w:w="15" w:type="dxa"/>
              <w:bottom w:w="0" w:type="dxa"/>
              <w:right w:w="15" w:type="dxa"/>
            </w:tcMar>
            <w:hideMark/>
          </w:tcPr>
          <w:p w14:paraId="6583D680" w14:textId="77777777" w:rsidR="00C141DF" w:rsidRPr="00F0016B" w:rsidRDefault="00C141DF" w:rsidP="00810CD3">
            <w:pPr>
              <w:keepNext/>
              <w:spacing w:before="60" w:after="60"/>
              <w:ind w:left="119" w:right="133"/>
              <w:jc w:val="right"/>
              <w:rPr>
                <w:rFonts w:eastAsia="Times New Roman" w:cstheme="minorHAnsi"/>
                <w:color w:val="000000"/>
                <w:sz w:val="18"/>
                <w:lang w:eastAsia="en-AU"/>
              </w:rPr>
            </w:pPr>
            <w:r w:rsidRPr="00F0016B">
              <w:rPr>
                <w:rFonts w:cstheme="minorHAnsi"/>
                <w:sz w:val="18"/>
              </w:rPr>
              <w:t>$6,668</w:t>
            </w:r>
          </w:p>
        </w:tc>
      </w:tr>
      <w:tr w:rsidR="00C141DF" w:rsidRPr="00E057AB" w14:paraId="1F39CC27" w14:textId="77777777" w:rsidTr="00810CD3">
        <w:trPr>
          <w:cantSplit/>
          <w:trHeight w:val="255"/>
        </w:trPr>
        <w:tc>
          <w:tcPr>
            <w:tcW w:w="6521" w:type="dxa"/>
            <w:shd w:val="clear" w:color="auto" w:fill="auto"/>
            <w:noWrap/>
            <w:tcMar>
              <w:top w:w="15" w:type="dxa"/>
              <w:left w:w="15" w:type="dxa"/>
              <w:bottom w:w="0" w:type="dxa"/>
              <w:right w:w="15" w:type="dxa"/>
            </w:tcMar>
            <w:vAlign w:val="bottom"/>
          </w:tcPr>
          <w:p w14:paraId="6D92A510" w14:textId="77777777" w:rsidR="00C141DF" w:rsidRPr="00F0016B" w:rsidRDefault="00C141DF" w:rsidP="00810CD3">
            <w:pPr>
              <w:keepNext/>
              <w:spacing w:before="60" w:after="60"/>
              <w:ind w:left="720"/>
              <w:rPr>
                <w:rFonts w:eastAsia="Times New Roman" w:cstheme="minorHAnsi"/>
                <w:color w:val="000000"/>
                <w:sz w:val="18"/>
                <w:lang w:eastAsia="en-AU"/>
              </w:rPr>
            </w:pPr>
            <w:r w:rsidRPr="00F0016B">
              <w:rPr>
                <w:rFonts w:eastAsia="Times New Roman" w:cstheme="minorHAnsi"/>
                <w:color w:val="000000"/>
                <w:sz w:val="18"/>
                <w:lang w:eastAsia="en-AU"/>
              </w:rPr>
              <w:t>Grants</w:t>
            </w:r>
          </w:p>
        </w:tc>
        <w:tc>
          <w:tcPr>
            <w:tcW w:w="1984" w:type="dxa"/>
            <w:shd w:val="clear" w:color="auto" w:fill="auto"/>
            <w:noWrap/>
            <w:tcMar>
              <w:top w:w="15" w:type="dxa"/>
              <w:left w:w="15" w:type="dxa"/>
              <w:bottom w:w="0" w:type="dxa"/>
              <w:right w:w="15" w:type="dxa"/>
            </w:tcMar>
          </w:tcPr>
          <w:p w14:paraId="2DD35392" w14:textId="77777777" w:rsidR="00C141DF" w:rsidRPr="00F0016B" w:rsidRDefault="00C141DF" w:rsidP="00810CD3">
            <w:pPr>
              <w:keepNext/>
              <w:spacing w:before="60" w:after="60"/>
              <w:ind w:left="119" w:right="133"/>
              <w:jc w:val="right"/>
              <w:rPr>
                <w:rFonts w:eastAsia="Times New Roman" w:cstheme="minorHAnsi"/>
                <w:color w:val="000000"/>
                <w:sz w:val="18"/>
                <w:lang w:eastAsia="en-AU"/>
              </w:rPr>
            </w:pPr>
            <w:r w:rsidRPr="00F0016B">
              <w:rPr>
                <w:rFonts w:cstheme="minorHAnsi"/>
                <w:sz w:val="18"/>
              </w:rPr>
              <w:t>$20,000</w:t>
            </w:r>
          </w:p>
        </w:tc>
      </w:tr>
      <w:tr w:rsidR="00C141DF" w:rsidRPr="00E057AB" w14:paraId="26C69232" w14:textId="77777777" w:rsidTr="00810CD3">
        <w:trPr>
          <w:cantSplit/>
          <w:trHeight w:val="255"/>
        </w:trPr>
        <w:tc>
          <w:tcPr>
            <w:tcW w:w="6521" w:type="dxa"/>
            <w:shd w:val="clear" w:color="auto" w:fill="auto"/>
            <w:noWrap/>
            <w:tcMar>
              <w:top w:w="15" w:type="dxa"/>
              <w:left w:w="15" w:type="dxa"/>
              <w:bottom w:w="0" w:type="dxa"/>
              <w:right w:w="15" w:type="dxa"/>
            </w:tcMar>
            <w:vAlign w:val="bottom"/>
          </w:tcPr>
          <w:p w14:paraId="0759ABEB" w14:textId="77777777" w:rsidR="00C141DF" w:rsidRPr="00F0016B" w:rsidRDefault="00C141DF" w:rsidP="00810CD3">
            <w:pPr>
              <w:keepNext/>
              <w:spacing w:before="60" w:after="60"/>
              <w:ind w:left="119"/>
              <w:rPr>
                <w:rFonts w:eastAsia="Times New Roman" w:cstheme="minorHAnsi"/>
                <w:color w:val="000000"/>
                <w:sz w:val="18"/>
                <w:lang w:eastAsia="en-AU"/>
              </w:rPr>
            </w:pPr>
            <w:r w:rsidRPr="00F0016B">
              <w:rPr>
                <w:rFonts w:eastAsia="Times New Roman" w:cstheme="minorHAnsi"/>
                <w:color w:val="000000"/>
                <w:sz w:val="18"/>
                <w:lang w:eastAsia="en-AU"/>
              </w:rPr>
              <w:t>Total (Bus Safety Branch)</w:t>
            </w:r>
          </w:p>
        </w:tc>
        <w:tc>
          <w:tcPr>
            <w:tcW w:w="1984" w:type="dxa"/>
            <w:shd w:val="clear" w:color="auto" w:fill="auto"/>
            <w:noWrap/>
            <w:tcMar>
              <w:top w:w="15" w:type="dxa"/>
              <w:left w:w="15" w:type="dxa"/>
              <w:bottom w:w="0" w:type="dxa"/>
              <w:right w:w="15" w:type="dxa"/>
            </w:tcMar>
          </w:tcPr>
          <w:p w14:paraId="16250F3F" w14:textId="77777777" w:rsidR="00C141DF" w:rsidRPr="00F0016B" w:rsidRDefault="00C141DF" w:rsidP="00810CD3">
            <w:pPr>
              <w:keepNext/>
              <w:spacing w:before="60" w:after="60"/>
              <w:ind w:left="119" w:right="133"/>
              <w:jc w:val="right"/>
              <w:rPr>
                <w:rFonts w:eastAsia="Times New Roman" w:cstheme="minorHAnsi"/>
                <w:b/>
                <w:bCs/>
                <w:color w:val="000000"/>
                <w:sz w:val="18"/>
                <w:lang w:eastAsia="en-AU"/>
              </w:rPr>
            </w:pPr>
            <w:r w:rsidRPr="00F0016B">
              <w:rPr>
                <w:rFonts w:cstheme="minorHAnsi"/>
                <w:b/>
                <w:bCs/>
                <w:sz w:val="18"/>
              </w:rPr>
              <w:t xml:space="preserve"> $2,287,756 </w:t>
            </w:r>
          </w:p>
        </w:tc>
      </w:tr>
      <w:tr w:rsidR="00C141DF" w:rsidRPr="00E057AB" w14:paraId="78643A6C" w14:textId="77777777" w:rsidTr="00810CD3">
        <w:trPr>
          <w:cantSplit/>
          <w:trHeight w:val="255"/>
        </w:trPr>
        <w:tc>
          <w:tcPr>
            <w:tcW w:w="6521" w:type="dxa"/>
            <w:shd w:val="clear" w:color="auto" w:fill="auto"/>
            <w:noWrap/>
            <w:tcMar>
              <w:top w:w="15" w:type="dxa"/>
              <w:left w:w="15" w:type="dxa"/>
              <w:bottom w:w="0" w:type="dxa"/>
              <w:right w:w="15" w:type="dxa"/>
            </w:tcMar>
            <w:vAlign w:val="bottom"/>
          </w:tcPr>
          <w:p w14:paraId="2AE34562" w14:textId="77777777" w:rsidR="00C141DF" w:rsidRPr="00F0016B" w:rsidRDefault="00C141DF" w:rsidP="00810CD3">
            <w:pPr>
              <w:keepNext/>
              <w:spacing w:before="60" w:after="60"/>
              <w:ind w:left="119"/>
              <w:rPr>
                <w:rFonts w:eastAsia="Times New Roman" w:cstheme="minorHAnsi"/>
                <w:color w:val="000000"/>
                <w:sz w:val="18"/>
                <w:lang w:eastAsia="en-AU"/>
              </w:rPr>
            </w:pPr>
            <w:r w:rsidRPr="00F0016B">
              <w:rPr>
                <w:rFonts w:eastAsia="Times New Roman" w:cstheme="minorHAnsi"/>
                <w:color w:val="000000"/>
                <w:sz w:val="18"/>
                <w:lang w:eastAsia="en-AU"/>
              </w:rPr>
              <w:t>Indirect costs (pro-rata)</w:t>
            </w:r>
          </w:p>
        </w:tc>
        <w:tc>
          <w:tcPr>
            <w:tcW w:w="1984" w:type="dxa"/>
            <w:shd w:val="clear" w:color="auto" w:fill="auto"/>
            <w:noWrap/>
            <w:tcMar>
              <w:top w:w="15" w:type="dxa"/>
              <w:left w:w="15" w:type="dxa"/>
              <w:bottom w:w="0" w:type="dxa"/>
              <w:right w:w="15" w:type="dxa"/>
            </w:tcMar>
          </w:tcPr>
          <w:p w14:paraId="6BE9836F" w14:textId="77777777" w:rsidR="00C141DF" w:rsidRPr="00F0016B" w:rsidRDefault="00C141DF" w:rsidP="00810CD3">
            <w:pPr>
              <w:keepNext/>
              <w:spacing w:before="60" w:after="60"/>
              <w:ind w:left="119" w:right="133"/>
              <w:jc w:val="right"/>
              <w:rPr>
                <w:rFonts w:eastAsia="Times New Roman" w:cstheme="minorHAnsi"/>
                <w:b/>
                <w:bCs/>
                <w:color w:val="000000"/>
                <w:sz w:val="18"/>
                <w:lang w:eastAsia="en-AU"/>
              </w:rPr>
            </w:pPr>
            <w:r w:rsidRPr="00F0016B">
              <w:rPr>
                <w:rFonts w:cstheme="minorHAnsi"/>
                <w:b/>
                <w:bCs/>
                <w:sz w:val="18"/>
              </w:rPr>
              <w:t xml:space="preserve"> $2,192,345 </w:t>
            </w:r>
          </w:p>
        </w:tc>
      </w:tr>
      <w:tr w:rsidR="00C141DF" w:rsidRPr="00E057AB" w14:paraId="5135DF6E" w14:textId="77777777" w:rsidTr="00810CD3">
        <w:trPr>
          <w:cantSplit/>
          <w:trHeight w:val="255"/>
        </w:trPr>
        <w:tc>
          <w:tcPr>
            <w:tcW w:w="6521" w:type="dxa"/>
            <w:shd w:val="clear" w:color="auto" w:fill="auto"/>
            <w:noWrap/>
            <w:tcMar>
              <w:top w:w="15" w:type="dxa"/>
              <w:left w:w="15" w:type="dxa"/>
              <w:bottom w:w="0" w:type="dxa"/>
              <w:right w:w="15" w:type="dxa"/>
            </w:tcMar>
            <w:vAlign w:val="bottom"/>
            <w:hideMark/>
          </w:tcPr>
          <w:p w14:paraId="3822403D" w14:textId="77777777" w:rsidR="00C141DF" w:rsidRPr="00F0016B" w:rsidRDefault="00C141DF" w:rsidP="00810CD3">
            <w:pPr>
              <w:keepNext/>
              <w:spacing w:before="60" w:after="60"/>
              <w:ind w:left="119" w:right="131"/>
              <w:rPr>
                <w:rFonts w:eastAsia="Times New Roman" w:cstheme="minorHAnsi"/>
                <w:b/>
                <w:color w:val="000000"/>
                <w:sz w:val="18"/>
                <w:lang w:eastAsia="en-AU"/>
              </w:rPr>
            </w:pPr>
            <w:r w:rsidRPr="00F0016B">
              <w:rPr>
                <w:rFonts w:eastAsia="Times New Roman" w:cstheme="minorHAnsi"/>
                <w:b/>
                <w:color w:val="000000"/>
                <w:sz w:val="18"/>
                <w:lang w:eastAsia="en-AU"/>
              </w:rPr>
              <w:t>Total</w:t>
            </w:r>
          </w:p>
        </w:tc>
        <w:tc>
          <w:tcPr>
            <w:tcW w:w="1984" w:type="dxa"/>
            <w:shd w:val="clear" w:color="auto" w:fill="auto"/>
            <w:noWrap/>
            <w:tcMar>
              <w:top w:w="15" w:type="dxa"/>
              <w:left w:w="15" w:type="dxa"/>
              <w:bottom w:w="0" w:type="dxa"/>
              <w:right w:w="15" w:type="dxa"/>
            </w:tcMar>
            <w:hideMark/>
          </w:tcPr>
          <w:p w14:paraId="15073982" w14:textId="77777777" w:rsidR="00C141DF" w:rsidRPr="00F0016B" w:rsidRDefault="00C141DF" w:rsidP="00810CD3">
            <w:pPr>
              <w:keepNext/>
              <w:spacing w:before="60" w:after="60"/>
              <w:ind w:left="119" w:right="133"/>
              <w:jc w:val="right"/>
              <w:rPr>
                <w:rFonts w:eastAsia="Times New Roman" w:cstheme="minorHAnsi"/>
                <w:b/>
                <w:bCs/>
                <w:color w:val="000000"/>
                <w:sz w:val="18"/>
                <w:lang w:eastAsia="en-AU"/>
              </w:rPr>
            </w:pPr>
            <w:r w:rsidRPr="00F0016B">
              <w:rPr>
                <w:rFonts w:cstheme="minorHAnsi"/>
                <w:b/>
                <w:bCs/>
                <w:sz w:val="18"/>
              </w:rPr>
              <w:t xml:space="preserve"> $4,480,101 </w:t>
            </w:r>
          </w:p>
        </w:tc>
      </w:tr>
    </w:tbl>
    <w:p w14:paraId="7AD1CB5D" w14:textId="77777777" w:rsidR="00F0016B" w:rsidRDefault="00F0016B" w:rsidP="00F0016B">
      <w:pPr>
        <w:rPr>
          <w:rFonts w:cstheme="minorHAnsi"/>
          <w:szCs w:val="20"/>
        </w:rPr>
      </w:pPr>
      <w:bookmarkStart w:id="433" w:name="_Hlk43455935"/>
      <w:r>
        <w:rPr>
          <w:rFonts w:cstheme="minorHAnsi"/>
          <w:szCs w:val="20"/>
        </w:rPr>
        <w:t xml:space="preserve">The Bus Safety Branch of TSV conducts several activities in relation to bus safety regulation. These activities are based on the requirements of the Bus Safety Act and the Regulations and include administering the operator accreditation and registration schemes, compliance monitoring and enforcement of the general safety duties and other requirements imposed on operators (e.g. annual roadworthiness inspections, implementation of MMS and MIS etc). </w:t>
      </w:r>
      <w:bookmarkEnd w:id="433"/>
      <w:r>
        <w:rPr>
          <w:rFonts w:cstheme="minorHAnsi"/>
          <w:szCs w:val="20"/>
        </w:rPr>
        <w:t>For the purposes of estimating costs, DoT has categorised all activities into five broad groups, summarised as follows:</w:t>
      </w:r>
    </w:p>
    <w:p w14:paraId="5D739E21" w14:textId="77777777" w:rsidR="00F0016B" w:rsidRDefault="00F0016B" w:rsidP="00842F5A">
      <w:pPr>
        <w:pStyle w:val="ListParagraph"/>
        <w:numPr>
          <w:ilvl w:val="0"/>
          <w:numId w:val="35"/>
        </w:numPr>
        <w:rPr>
          <w:rFonts w:asciiTheme="minorHAnsi" w:eastAsiaTheme="minorHAnsi" w:hAnsiTheme="minorHAnsi" w:cstheme="minorBidi"/>
          <w:color w:val="000000" w:themeColor="text1"/>
          <w:sz w:val="20"/>
          <w:szCs w:val="18"/>
          <w:lang w:eastAsia="en-US"/>
        </w:rPr>
      </w:pPr>
      <w:r>
        <w:rPr>
          <w:rFonts w:asciiTheme="minorHAnsi" w:eastAsiaTheme="minorHAnsi" w:hAnsiTheme="minorHAnsi" w:cstheme="minorBidi"/>
          <w:color w:val="000000" w:themeColor="text1"/>
          <w:sz w:val="20"/>
          <w:szCs w:val="18"/>
          <w:lang w:eastAsia="en-US"/>
        </w:rPr>
        <w:t>Accreditation and registration activities, which are assessing applications for accreditation and registration, processing application and annual fees paid by operators, assessing applications for exemptions, administering the accreditation and registration schemes (e.g. updating operator information) and attending to any enquiries relating to accreditation and registration requirements.</w:t>
      </w:r>
    </w:p>
    <w:p w14:paraId="37862ED5" w14:textId="29B9EAD5" w:rsidR="00F0016B" w:rsidRDefault="00F0016B" w:rsidP="00842F5A">
      <w:pPr>
        <w:pStyle w:val="ListParagraph"/>
        <w:numPr>
          <w:ilvl w:val="0"/>
          <w:numId w:val="35"/>
        </w:numPr>
        <w:rPr>
          <w:rFonts w:asciiTheme="minorHAnsi" w:eastAsiaTheme="minorHAnsi" w:hAnsiTheme="minorHAnsi" w:cstheme="minorBidi"/>
          <w:color w:val="000000" w:themeColor="text1"/>
          <w:sz w:val="20"/>
          <w:szCs w:val="18"/>
          <w:lang w:eastAsia="en-US"/>
        </w:rPr>
      </w:pPr>
      <w:r>
        <w:rPr>
          <w:rFonts w:asciiTheme="minorHAnsi" w:eastAsiaTheme="minorHAnsi" w:hAnsiTheme="minorHAnsi" w:cstheme="minorBidi"/>
          <w:color w:val="000000" w:themeColor="text1"/>
          <w:sz w:val="20"/>
          <w:szCs w:val="18"/>
          <w:lang w:eastAsia="en-US"/>
        </w:rPr>
        <w:t>Audit activities, which involves conducting audits of bus operators, and preparing reports in relation to audits conducted</w:t>
      </w:r>
      <w:r w:rsidR="005A1EE3">
        <w:rPr>
          <w:rFonts w:asciiTheme="minorHAnsi" w:eastAsiaTheme="minorHAnsi" w:hAnsiTheme="minorHAnsi" w:cstheme="minorBidi"/>
          <w:color w:val="000000" w:themeColor="text1"/>
          <w:sz w:val="20"/>
          <w:szCs w:val="18"/>
          <w:lang w:eastAsia="en-US"/>
        </w:rPr>
        <w:t>.</w:t>
      </w:r>
      <w:r>
        <w:rPr>
          <w:rFonts w:asciiTheme="minorHAnsi" w:eastAsiaTheme="minorHAnsi" w:hAnsiTheme="minorHAnsi" w:cstheme="minorBidi"/>
          <w:color w:val="000000" w:themeColor="text1"/>
          <w:sz w:val="20"/>
          <w:szCs w:val="18"/>
          <w:lang w:eastAsia="en-US"/>
        </w:rPr>
        <w:t xml:space="preserve"> </w:t>
      </w:r>
    </w:p>
    <w:p w14:paraId="31BF68DD" w14:textId="77777777" w:rsidR="00F0016B" w:rsidRDefault="00F0016B" w:rsidP="00842F5A">
      <w:pPr>
        <w:pStyle w:val="ListParagraph"/>
        <w:numPr>
          <w:ilvl w:val="0"/>
          <w:numId w:val="35"/>
        </w:numPr>
        <w:rPr>
          <w:rFonts w:asciiTheme="minorHAnsi" w:eastAsiaTheme="minorHAnsi" w:hAnsiTheme="minorHAnsi" w:cstheme="minorBidi"/>
          <w:color w:val="000000" w:themeColor="text1"/>
          <w:sz w:val="20"/>
          <w:szCs w:val="18"/>
          <w:lang w:eastAsia="en-US"/>
        </w:rPr>
      </w:pPr>
      <w:r>
        <w:rPr>
          <w:rFonts w:asciiTheme="minorHAnsi" w:eastAsiaTheme="minorHAnsi" w:hAnsiTheme="minorHAnsi" w:cstheme="minorBidi"/>
          <w:color w:val="000000" w:themeColor="text1"/>
          <w:sz w:val="20"/>
          <w:szCs w:val="18"/>
          <w:lang w:eastAsia="en-US"/>
        </w:rPr>
        <w:t xml:space="preserve">Compliance activities, other than conducting audits, which involves undertaking compliance inspections in the field, and conducting investigations and auditing investigations undertaken by bus operators. </w:t>
      </w:r>
    </w:p>
    <w:p w14:paraId="1726A4B4" w14:textId="77777777" w:rsidR="00F0016B" w:rsidRDefault="00F0016B" w:rsidP="00842F5A">
      <w:pPr>
        <w:pStyle w:val="ListParagraph"/>
        <w:numPr>
          <w:ilvl w:val="0"/>
          <w:numId w:val="35"/>
        </w:numPr>
        <w:rPr>
          <w:rFonts w:asciiTheme="minorHAnsi" w:eastAsiaTheme="minorHAnsi" w:hAnsiTheme="minorHAnsi" w:cstheme="minorBidi"/>
          <w:color w:val="000000" w:themeColor="text1"/>
          <w:sz w:val="20"/>
          <w:szCs w:val="18"/>
          <w:lang w:eastAsia="en-US"/>
        </w:rPr>
      </w:pPr>
      <w:r>
        <w:rPr>
          <w:rFonts w:asciiTheme="minorHAnsi" w:eastAsiaTheme="minorHAnsi" w:hAnsiTheme="minorHAnsi" w:cstheme="minorBidi"/>
          <w:color w:val="000000" w:themeColor="text1"/>
          <w:sz w:val="20"/>
          <w:szCs w:val="18"/>
          <w:lang w:eastAsia="en-US"/>
        </w:rPr>
        <w:t xml:space="preserve">Enforcement activities, which includes prosecutions and court attendance, issuing and processing infringement, improvement, and prohibition notices. </w:t>
      </w:r>
    </w:p>
    <w:p w14:paraId="40894CA1" w14:textId="77777777" w:rsidR="00F0016B" w:rsidRPr="00A201F3" w:rsidRDefault="00F0016B" w:rsidP="00842F5A">
      <w:pPr>
        <w:pStyle w:val="ListParagraph"/>
        <w:numPr>
          <w:ilvl w:val="0"/>
          <w:numId w:val="35"/>
        </w:numPr>
        <w:rPr>
          <w:rFonts w:asciiTheme="minorHAnsi" w:eastAsiaTheme="minorHAnsi" w:hAnsiTheme="minorHAnsi" w:cstheme="minorBidi"/>
          <w:color w:val="000000" w:themeColor="text1"/>
          <w:sz w:val="20"/>
          <w:szCs w:val="18"/>
          <w:lang w:eastAsia="en-US"/>
        </w:rPr>
      </w:pPr>
      <w:r>
        <w:rPr>
          <w:rFonts w:asciiTheme="minorHAnsi" w:eastAsiaTheme="minorHAnsi" w:hAnsiTheme="minorHAnsi" w:cstheme="minorBidi"/>
          <w:color w:val="000000" w:themeColor="text1"/>
          <w:sz w:val="20"/>
          <w:szCs w:val="18"/>
          <w:lang w:eastAsia="en-US"/>
        </w:rPr>
        <w:t>Information activities, which involves responding to general enquiries, complaints handling, and preparing and updating guidelines and compliance information for the purposes of communicating to bus operators.</w:t>
      </w:r>
    </w:p>
    <w:p w14:paraId="6E4DA203" w14:textId="38EBE4B4" w:rsidR="00F0016B" w:rsidRPr="00EB3736" w:rsidRDefault="00277F6E" w:rsidP="00F0016B">
      <w:r w:rsidRPr="00277F6E">
        <w:fldChar w:fldCharType="begin"/>
      </w:r>
      <w:r w:rsidRPr="00277F6E">
        <w:instrText xml:space="preserve"> REF _Ref45704478 \h </w:instrText>
      </w:r>
      <w:r w:rsidRPr="00277F6E">
        <w:instrText xml:space="preserve"> \* MERGEFORMAT </w:instrText>
      </w:r>
      <w:r w:rsidRPr="00277F6E">
        <w:fldChar w:fldCharType="separate"/>
      </w:r>
      <w:r w:rsidRPr="00277F6E">
        <w:t xml:space="preserve">Table </w:t>
      </w:r>
      <w:r w:rsidRPr="00277F6E">
        <w:rPr>
          <w:noProof/>
        </w:rPr>
        <w:t>3</w:t>
      </w:r>
      <w:r w:rsidRPr="00277F6E">
        <w:noBreakHyphen/>
      </w:r>
      <w:r w:rsidRPr="00277F6E">
        <w:rPr>
          <w:noProof/>
        </w:rPr>
        <w:t>17</w:t>
      </w:r>
      <w:r w:rsidRPr="00277F6E">
        <w:fldChar w:fldCharType="end"/>
      </w:r>
      <w:r>
        <w:t xml:space="preserve"> </w:t>
      </w:r>
      <w:r w:rsidR="00B56C01">
        <w:t xml:space="preserve">summarises the five broad activity categories and provides an estimate of the costs attributable to each activity. DoT has calculated these costs estimates based on an estimate of the proportion of time spent by TSV for each activity. This information was collected at a high level through discussions with TSV, and therefore are indicative costs only. </w:t>
      </w:r>
    </w:p>
    <w:p w14:paraId="1522EEF7" w14:textId="1123D476" w:rsidR="00D2483C" w:rsidRPr="00D2483C" w:rsidRDefault="00D2483C" w:rsidP="007620AA">
      <w:pPr>
        <w:pStyle w:val="Caption"/>
        <w:keepNext/>
        <w:spacing w:after="60"/>
        <w:rPr>
          <w:b/>
          <w:i w:val="0"/>
        </w:rPr>
      </w:pPr>
      <w:bookmarkStart w:id="434" w:name="_Toc44603394"/>
      <w:bookmarkStart w:id="435" w:name="_Toc45704442"/>
      <w:bookmarkStart w:id="436" w:name="_Ref45704478"/>
      <w:r w:rsidRPr="00D2483C">
        <w:rPr>
          <w:b/>
          <w:i w:val="0"/>
        </w:rPr>
        <w:lastRenderedPageBreak/>
        <w:t xml:space="preserve">Table </w:t>
      </w:r>
      <w:r w:rsidRPr="00D2483C">
        <w:rPr>
          <w:b/>
          <w:i w:val="0"/>
        </w:rPr>
        <w:fldChar w:fldCharType="begin"/>
      </w:r>
      <w:r w:rsidRPr="00D2483C">
        <w:rPr>
          <w:b/>
          <w:i w:val="0"/>
        </w:rPr>
        <w:instrText xml:space="preserve"> STYLEREF 1 \s </w:instrText>
      </w:r>
      <w:r w:rsidRPr="00D2483C">
        <w:rPr>
          <w:b/>
          <w:i w:val="0"/>
        </w:rPr>
        <w:fldChar w:fldCharType="separate"/>
      </w:r>
      <w:r w:rsidR="00277F6E">
        <w:rPr>
          <w:b/>
          <w:i w:val="0"/>
          <w:noProof/>
        </w:rPr>
        <w:t>3</w:t>
      </w:r>
      <w:r w:rsidRPr="00D2483C">
        <w:rPr>
          <w:b/>
          <w:i w:val="0"/>
        </w:rPr>
        <w:fldChar w:fldCharType="end"/>
      </w:r>
      <w:r w:rsidRPr="00D2483C">
        <w:rPr>
          <w:b/>
          <w:i w:val="0"/>
        </w:rPr>
        <w:noBreakHyphen/>
      </w:r>
      <w:r w:rsidRPr="00D2483C">
        <w:rPr>
          <w:b/>
          <w:i w:val="0"/>
        </w:rPr>
        <w:fldChar w:fldCharType="begin"/>
      </w:r>
      <w:r w:rsidRPr="00D2483C">
        <w:rPr>
          <w:b/>
          <w:i w:val="0"/>
        </w:rPr>
        <w:instrText xml:space="preserve"> SEQ Table \* ARABIC \s 1 </w:instrText>
      </w:r>
      <w:r w:rsidRPr="00D2483C">
        <w:rPr>
          <w:b/>
          <w:i w:val="0"/>
        </w:rPr>
        <w:fldChar w:fldCharType="separate"/>
      </w:r>
      <w:r w:rsidR="00277F6E">
        <w:rPr>
          <w:b/>
          <w:i w:val="0"/>
          <w:noProof/>
        </w:rPr>
        <w:t>17</w:t>
      </w:r>
      <w:r w:rsidRPr="00D2483C">
        <w:rPr>
          <w:b/>
          <w:i w:val="0"/>
        </w:rPr>
        <w:fldChar w:fldCharType="end"/>
      </w:r>
      <w:bookmarkEnd w:id="436"/>
      <w:r w:rsidRPr="00D2483C">
        <w:rPr>
          <w:b/>
          <w:i w:val="0"/>
        </w:rPr>
        <w:t>: Aggregate direct costs attributed to bus regulatory activities under the Bus Safety Act and Regulations in 2018-19 – by activity category</w:t>
      </w:r>
      <w:bookmarkEnd w:id="434"/>
      <w:bookmarkEnd w:id="435"/>
    </w:p>
    <w:tbl>
      <w:tblPr>
        <w:tblW w:w="9015" w:type="dxa"/>
        <w:tblInd w:w="-5" w:type="dxa"/>
        <w:tblLayout w:type="fixed"/>
        <w:tblLook w:val="04A0" w:firstRow="1" w:lastRow="0" w:firstColumn="1" w:lastColumn="0" w:noHBand="0" w:noVBand="1"/>
      </w:tblPr>
      <w:tblGrid>
        <w:gridCol w:w="5405"/>
        <w:gridCol w:w="1805"/>
        <w:gridCol w:w="1805"/>
      </w:tblGrid>
      <w:tr w:rsidR="00A0065C" w:rsidRPr="00DE27C7" w14:paraId="3C2C1462" w14:textId="77777777" w:rsidTr="00D2483C">
        <w:trPr>
          <w:cantSplit/>
          <w:trHeight w:val="58"/>
        </w:trPr>
        <w:tc>
          <w:tcPr>
            <w:tcW w:w="5405"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1C022744" w14:textId="77777777" w:rsidR="00A0065C" w:rsidRPr="004C76A7" w:rsidRDefault="00A0065C" w:rsidP="00D2483C">
            <w:pPr>
              <w:keepNext/>
              <w:spacing w:before="60" w:after="60"/>
              <w:rPr>
                <w:rFonts w:cstheme="minorHAnsi"/>
                <w:b/>
                <w:color w:val="000000"/>
                <w:sz w:val="18"/>
                <w:lang w:eastAsia="en-AU"/>
              </w:rPr>
            </w:pPr>
            <w:r w:rsidRPr="004C76A7">
              <w:rPr>
                <w:rFonts w:cstheme="minorHAnsi"/>
                <w:b/>
                <w:color w:val="000000"/>
                <w:sz w:val="18"/>
                <w:lang w:eastAsia="en-AU"/>
              </w:rPr>
              <w:t>Activity category</w:t>
            </w:r>
          </w:p>
        </w:tc>
        <w:tc>
          <w:tcPr>
            <w:tcW w:w="1805" w:type="dxa"/>
            <w:tcBorders>
              <w:top w:val="single" w:sz="4" w:space="0" w:color="auto"/>
              <w:left w:val="nil"/>
              <w:bottom w:val="single" w:sz="4" w:space="0" w:color="auto"/>
              <w:right w:val="single" w:sz="4" w:space="0" w:color="auto"/>
            </w:tcBorders>
            <w:shd w:val="clear" w:color="auto" w:fill="D6ECED"/>
          </w:tcPr>
          <w:p w14:paraId="1EE5E08B" w14:textId="1104CAC4" w:rsidR="00A0065C" w:rsidRPr="004C76A7" w:rsidRDefault="00A0065C" w:rsidP="00D2483C">
            <w:pPr>
              <w:keepNext/>
              <w:spacing w:before="60" w:after="60"/>
              <w:jc w:val="center"/>
              <w:rPr>
                <w:rFonts w:cstheme="minorHAnsi"/>
                <w:b/>
                <w:color w:val="000000"/>
                <w:sz w:val="18"/>
                <w:lang w:eastAsia="en-AU"/>
              </w:rPr>
            </w:pPr>
            <w:r w:rsidRPr="004C76A7">
              <w:rPr>
                <w:rFonts w:cstheme="minorHAnsi"/>
                <w:b/>
                <w:color w:val="000000"/>
                <w:sz w:val="18"/>
                <w:lang w:eastAsia="en-AU"/>
              </w:rPr>
              <w:t>Proportion of total direct costs</w:t>
            </w:r>
          </w:p>
        </w:tc>
        <w:tc>
          <w:tcPr>
            <w:tcW w:w="1805"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19A911A7" w14:textId="3DCF01F0" w:rsidR="00A0065C" w:rsidRPr="004C76A7" w:rsidRDefault="00A0065C" w:rsidP="00D2483C">
            <w:pPr>
              <w:keepNext/>
              <w:spacing w:before="60" w:after="60"/>
              <w:jc w:val="center"/>
              <w:rPr>
                <w:rFonts w:cstheme="minorHAnsi"/>
                <w:b/>
                <w:color w:val="000000"/>
                <w:sz w:val="18"/>
                <w:lang w:eastAsia="en-AU"/>
              </w:rPr>
            </w:pPr>
            <w:r w:rsidRPr="004C76A7">
              <w:rPr>
                <w:rFonts w:cstheme="minorHAnsi"/>
                <w:b/>
                <w:color w:val="000000"/>
                <w:sz w:val="18"/>
                <w:lang w:eastAsia="en-AU"/>
              </w:rPr>
              <w:t>Costs</w:t>
            </w:r>
          </w:p>
        </w:tc>
      </w:tr>
      <w:tr w:rsidR="00A0065C" w:rsidRPr="00DE27C7" w14:paraId="723DBFD6" w14:textId="77777777" w:rsidTr="00D2483C">
        <w:trPr>
          <w:cantSplit/>
          <w:trHeight w:val="58"/>
        </w:trPr>
        <w:tc>
          <w:tcPr>
            <w:tcW w:w="5405" w:type="dxa"/>
            <w:tcBorders>
              <w:top w:val="nil"/>
              <w:left w:val="single" w:sz="4" w:space="0" w:color="auto"/>
              <w:bottom w:val="single" w:sz="4" w:space="0" w:color="auto"/>
              <w:right w:val="single" w:sz="4" w:space="0" w:color="auto"/>
            </w:tcBorders>
            <w:shd w:val="clear" w:color="auto" w:fill="auto"/>
            <w:vAlign w:val="center"/>
            <w:hideMark/>
          </w:tcPr>
          <w:p w14:paraId="0216CE32" w14:textId="77777777" w:rsidR="00A0065C" w:rsidRPr="004C76A7" w:rsidRDefault="00A0065C" w:rsidP="00D2483C">
            <w:pPr>
              <w:keepNext/>
              <w:spacing w:before="60" w:after="60"/>
              <w:rPr>
                <w:rFonts w:cstheme="minorHAnsi"/>
                <w:color w:val="000000"/>
                <w:sz w:val="18"/>
                <w:lang w:eastAsia="en-AU"/>
              </w:rPr>
            </w:pPr>
            <w:r w:rsidRPr="004C76A7">
              <w:rPr>
                <w:rFonts w:cstheme="minorHAnsi"/>
                <w:color w:val="000000"/>
                <w:sz w:val="18"/>
                <w:lang w:eastAsia="en-AU"/>
              </w:rPr>
              <w:t>Accreditation and registration – processing applications and administering the operator schemes</w:t>
            </w:r>
          </w:p>
        </w:tc>
        <w:tc>
          <w:tcPr>
            <w:tcW w:w="1805" w:type="dxa"/>
            <w:tcBorders>
              <w:top w:val="single" w:sz="4" w:space="0" w:color="auto"/>
              <w:left w:val="nil"/>
              <w:bottom w:val="single" w:sz="4" w:space="0" w:color="auto"/>
              <w:right w:val="single" w:sz="4" w:space="0" w:color="auto"/>
            </w:tcBorders>
          </w:tcPr>
          <w:p w14:paraId="0A01E4BA" w14:textId="7FE3817D" w:rsidR="00A0065C" w:rsidRPr="004C76A7" w:rsidRDefault="00A0065C" w:rsidP="00D2483C">
            <w:pPr>
              <w:keepNext/>
              <w:spacing w:before="60" w:after="60"/>
              <w:ind w:right="15"/>
              <w:jc w:val="right"/>
              <w:rPr>
                <w:rFonts w:cstheme="minorHAnsi"/>
                <w:color w:val="auto"/>
                <w:sz w:val="18"/>
              </w:rPr>
            </w:pPr>
            <w:r w:rsidRPr="004C76A7">
              <w:rPr>
                <w:rFonts w:cstheme="minorHAnsi"/>
                <w:color w:val="auto"/>
                <w:sz w:val="18"/>
              </w:rPr>
              <w:t>20%</w:t>
            </w:r>
          </w:p>
        </w:tc>
        <w:tc>
          <w:tcPr>
            <w:tcW w:w="1805" w:type="dxa"/>
            <w:tcBorders>
              <w:top w:val="nil"/>
              <w:left w:val="single" w:sz="4" w:space="0" w:color="auto"/>
              <w:bottom w:val="single" w:sz="4" w:space="0" w:color="auto"/>
              <w:right w:val="single" w:sz="4" w:space="0" w:color="auto"/>
            </w:tcBorders>
            <w:shd w:val="clear" w:color="auto" w:fill="auto"/>
            <w:noWrap/>
            <w:hideMark/>
          </w:tcPr>
          <w:p w14:paraId="3FF0F86E" w14:textId="5532C2D2" w:rsidR="00A0065C" w:rsidRPr="004C76A7" w:rsidRDefault="00A0065C" w:rsidP="00D2483C">
            <w:pPr>
              <w:keepNext/>
              <w:spacing w:before="60" w:after="60"/>
              <w:ind w:right="15"/>
              <w:jc w:val="right"/>
              <w:rPr>
                <w:rFonts w:cstheme="minorHAnsi"/>
                <w:color w:val="auto"/>
                <w:sz w:val="18"/>
                <w:lang w:eastAsia="en-AU"/>
              </w:rPr>
            </w:pPr>
            <w:r w:rsidRPr="004C76A7">
              <w:rPr>
                <w:rFonts w:cstheme="minorHAnsi"/>
                <w:color w:val="auto"/>
                <w:sz w:val="18"/>
              </w:rPr>
              <w:t>$457,551</w:t>
            </w:r>
          </w:p>
        </w:tc>
      </w:tr>
      <w:tr w:rsidR="00A0065C" w:rsidRPr="00DE27C7" w14:paraId="4233EE57" w14:textId="77777777" w:rsidTr="00D2483C">
        <w:trPr>
          <w:cantSplit/>
          <w:trHeight w:val="58"/>
        </w:trPr>
        <w:tc>
          <w:tcPr>
            <w:tcW w:w="5405" w:type="dxa"/>
            <w:tcBorders>
              <w:top w:val="nil"/>
              <w:left w:val="single" w:sz="4" w:space="0" w:color="auto"/>
              <w:bottom w:val="single" w:sz="4" w:space="0" w:color="auto"/>
              <w:right w:val="single" w:sz="4" w:space="0" w:color="auto"/>
            </w:tcBorders>
            <w:shd w:val="clear" w:color="auto" w:fill="auto"/>
            <w:vAlign w:val="center"/>
          </w:tcPr>
          <w:p w14:paraId="45F560F0" w14:textId="77777777" w:rsidR="00A0065C" w:rsidRPr="004C76A7" w:rsidRDefault="00A0065C" w:rsidP="00D2483C">
            <w:pPr>
              <w:keepNext/>
              <w:spacing w:before="60" w:after="60"/>
              <w:rPr>
                <w:rFonts w:cstheme="minorHAnsi"/>
                <w:color w:val="000000"/>
                <w:sz w:val="18"/>
                <w:lang w:eastAsia="en-AU"/>
              </w:rPr>
            </w:pPr>
            <w:r w:rsidRPr="004C76A7">
              <w:rPr>
                <w:rFonts w:cstheme="minorHAnsi"/>
                <w:color w:val="000000"/>
                <w:sz w:val="18"/>
                <w:lang w:eastAsia="en-AU"/>
              </w:rPr>
              <w:t xml:space="preserve">Audit activities – conducting audits of bus operators </w:t>
            </w:r>
          </w:p>
        </w:tc>
        <w:tc>
          <w:tcPr>
            <w:tcW w:w="1805" w:type="dxa"/>
            <w:tcBorders>
              <w:top w:val="single" w:sz="4" w:space="0" w:color="auto"/>
              <w:left w:val="nil"/>
              <w:bottom w:val="single" w:sz="4" w:space="0" w:color="auto"/>
              <w:right w:val="single" w:sz="4" w:space="0" w:color="auto"/>
            </w:tcBorders>
          </w:tcPr>
          <w:p w14:paraId="5B798883" w14:textId="55EB92C4" w:rsidR="00A0065C" w:rsidRPr="004C76A7" w:rsidRDefault="00A0065C" w:rsidP="00D2483C">
            <w:pPr>
              <w:keepNext/>
              <w:spacing w:before="60" w:after="60"/>
              <w:ind w:right="15"/>
              <w:jc w:val="right"/>
              <w:rPr>
                <w:rFonts w:cstheme="minorHAnsi"/>
                <w:color w:val="auto"/>
                <w:sz w:val="18"/>
              </w:rPr>
            </w:pPr>
            <w:r w:rsidRPr="004C76A7">
              <w:rPr>
                <w:rFonts w:cstheme="minorHAnsi"/>
                <w:color w:val="auto"/>
                <w:sz w:val="18"/>
              </w:rPr>
              <w:t>35%</w:t>
            </w:r>
          </w:p>
        </w:tc>
        <w:tc>
          <w:tcPr>
            <w:tcW w:w="1805" w:type="dxa"/>
            <w:tcBorders>
              <w:top w:val="nil"/>
              <w:left w:val="single" w:sz="4" w:space="0" w:color="auto"/>
              <w:bottom w:val="single" w:sz="4" w:space="0" w:color="auto"/>
              <w:right w:val="single" w:sz="4" w:space="0" w:color="auto"/>
            </w:tcBorders>
            <w:shd w:val="clear" w:color="auto" w:fill="auto"/>
            <w:noWrap/>
          </w:tcPr>
          <w:p w14:paraId="7194BC1D" w14:textId="2918AEEC" w:rsidR="00A0065C" w:rsidRPr="004C76A7" w:rsidRDefault="00A0065C" w:rsidP="00D2483C">
            <w:pPr>
              <w:keepNext/>
              <w:spacing w:before="60" w:after="60"/>
              <w:ind w:right="15"/>
              <w:jc w:val="right"/>
              <w:rPr>
                <w:rFonts w:cstheme="minorHAnsi"/>
                <w:color w:val="auto"/>
                <w:sz w:val="18"/>
              </w:rPr>
            </w:pPr>
            <w:r w:rsidRPr="004C76A7">
              <w:rPr>
                <w:rFonts w:cstheme="minorHAnsi"/>
                <w:color w:val="auto"/>
                <w:sz w:val="18"/>
              </w:rPr>
              <w:t>$800,715</w:t>
            </w:r>
          </w:p>
        </w:tc>
      </w:tr>
      <w:tr w:rsidR="00A0065C" w:rsidRPr="00DE27C7" w14:paraId="585E17BA" w14:textId="77777777" w:rsidTr="00D2483C">
        <w:trPr>
          <w:cantSplit/>
          <w:trHeight w:val="40"/>
        </w:trPr>
        <w:tc>
          <w:tcPr>
            <w:tcW w:w="5405" w:type="dxa"/>
            <w:tcBorders>
              <w:top w:val="nil"/>
              <w:left w:val="single" w:sz="4" w:space="0" w:color="auto"/>
              <w:bottom w:val="single" w:sz="4" w:space="0" w:color="auto"/>
              <w:right w:val="single" w:sz="4" w:space="0" w:color="auto"/>
            </w:tcBorders>
            <w:shd w:val="clear" w:color="auto" w:fill="auto"/>
            <w:vAlign w:val="center"/>
          </w:tcPr>
          <w:p w14:paraId="5D4B4690" w14:textId="77777777" w:rsidR="00A0065C" w:rsidRPr="004C76A7" w:rsidRDefault="00A0065C" w:rsidP="00D2483C">
            <w:pPr>
              <w:keepNext/>
              <w:spacing w:before="60" w:after="60"/>
              <w:rPr>
                <w:rFonts w:cstheme="minorHAnsi"/>
                <w:color w:val="000000"/>
                <w:sz w:val="18"/>
                <w:lang w:eastAsia="en-AU"/>
              </w:rPr>
            </w:pPr>
            <w:r w:rsidRPr="004C76A7">
              <w:rPr>
                <w:rFonts w:cstheme="minorHAnsi"/>
                <w:color w:val="000000"/>
                <w:sz w:val="18"/>
                <w:lang w:eastAsia="en-AU"/>
              </w:rPr>
              <w:t xml:space="preserve">Compliance activities – conducting non-audit compliance activities including in-field compliance monitoring and investigations </w:t>
            </w:r>
          </w:p>
        </w:tc>
        <w:tc>
          <w:tcPr>
            <w:tcW w:w="1805" w:type="dxa"/>
            <w:tcBorders>
              <w:top w:val="single" w:sz="4" w:space="0" w:color="auto"/>
              <w:left w:val="nil"/>
              <w:bottom w:val="single" w:sz="4" w:space="0" w:color="auto"/>
              <w:right w:val="single" w:sz="4" w:space="0" w:color="auto"/>
            </w:tcBorders>
          </w:tcPr>
          <w:p w14:paraId="4F35DFA5" w14:textId="496A5ADE" w:rsidR="00A0065C" w:rsidRPr="004C76A7" w:rsidRDefault="00A0065C" w:rsidP="00D2483C">
            <w:pPr>
              <w:keepNext/>
              <w:spacing w:before="60" w:after="60"/>
              <w:ind w:right="15"/>
              <w:jc w:val="right"/>
              <w:rPr>
                <w:rFonts w:cstheme="minorHAnsi"/>
                <w:color w:val="auto"/>
                <w:sz w:val="18"/>
              </w:rPr>
            </w:pPr>
            <w:r w:rsidRPr="004C76A7">
              <w:rPr>
                <w:rFonts w:cstheme="minorHAnsi"/>
                <w:color w:val="auto"/>
                <w:sz w:val="18"/>
              </w:rPr>
              <w:t>20%</w:t>
            </w:r>
          </w:p>
        </w:tc>
        <w:tc>
          <w:tcPr>
            <w:tcW w:w="1805" w:type="dxa"/>
            <w:tcBorders>
              <w:top w:val="nil"/>
              <w:left w:val="single" w:sz="4" w:space="0" w:color="auto"/>
              <w:bottom w:val="single" w:sz="4" w:space="0" w:color="auto"/>
              <w:right w:val="single" w:sz="4" w:space="0" w:color="auto"/>
            </w:tcBorders>
            <w:shd w:val="clear" w:color="auto" w:fill="auto"/>
            <w:noWrap/>
          </w:tcPr>
          <w:p w14:paraId="2BDEDCAD" w14:textId="70B90851" w:rsidR="00A0065C" w:rsidRPr="004C76A7" w:rsidRDefault="00A0065C" w:rsidP="00D2483C">
            <w:pPr>
              <w:keepNext/>
              <w:spacing w:before="60" w:after="60"/>
              <w:ind w:right="15"/>
              <w:jc w:val="right"/>
              <w:rPr>
                <w:rFonts w:cstheme="minorHAnsi"/>
                <w:color w:val="auto"/>
                <w:sz w:val="18"/>
              </w:rPr>
            </w:pPr>
            <w:r w:rsidRPr="004C76A7">
              <w:rPr>
                <w:rFonts w:cstheme="minorHAnsi"/>
                <w:color w:val="auto"/>
                <w:sz w:val="18"/>
              </w:rPr>
              <w:t>$457,551</w:t>
            </w:r>
          </w:p>
        </w:tc>
      </w:tr>
      <w:tr w:rsidR="00A0065C" w:rsidRPr="00DE27C7" w14:paraId="594A7922" w14:textId="77777777" w:rsidTr="00D2483C">
        <w:trPr>
          <w:cantSplit/>
          <w:trHeight w:val="40"/>
        </w:trPr>
        <w:tc>
          <w:tcPr>
            <w:tcW w:w="5405" w:type="dxa"/>
            <w:tcBorders>
              <w:top w:val="nil"/>
              <w:left w:val="single" w:sz="4" w:space="0" w:color="auto"/>
              <w:bottom w:val="single" w:sz="4" w:space="0" w:color="auto"/>
              <w:right w:val="single" w:sz="4" w:space="0" w:color="auto"/>
            </w:tcBorders>
            <w:shd w:val="clear" w:color="auto" w:fill="auto"/>
            <w:vAlign w:val="center"/>
          </w:tcPr>
          <w:p w14:paraId="2CC131C8" w14:textId="77777777" w:rsidR="00A0065C" w:rsidRPr="004C76A7" w:rsidRDefault="00A0065C" w:rsidP="00D2483C">
            <w:pPr>
              <w:keepNext/>
              <w:spacing w:before="60" w:after="60"/>
              <w:rPr>
                <w:rFonts w:cstheme="minorHAnsi"/>
                <w:color w:val="000000"/>
                <w:sz w:val="18"/>
                <w:lang w:eastAsia="en-AU"/>
              </w:rPr>
            </w:pPr>
            <w:r w:rsidRPr="004C76A7">
              <w:rPr>
                <w:rFonts w:cstheme="minorHAnsi"/>
                <w:color w:val="000000"/>
                <w:sz w:val="18"/>
                <w:lang w:eastAsia="en-AU"/>
              </w:rPr>
              <w:t>Enforcement activities – prosecutions and administering infringement and other legal notices</w:t>
            </w:r>
          </w:p>
        </w:tc>
        <w:tc>
          <w:tcPr>
            <w:tcW w:w="1805" w:type="dxa"/>
            <w:tcBorders>
              <w:top w:val="single" w:sz="4" w:space="0" w:color="auto"/>
              <w:left w:val="nil"/>
              <w:bottom w:val="single" w:sz="4" w:space="0" w:color="auto"/>
              <w:right w:val="single" w:sz="4" w:space="0" w:color="auto"/>
            </w:tcBorders>
          </w:tcPr>
          <w:p w14:paraId="651936BD" w14:textId="102CE58C" w:rsidR="00A0065C" w:rsidRPr="004C76A7" w:rsidRDefault="00A0065C" w:rsidP="00D2483C">
            <w:pPr>
              <w:keepNext/>
              <w:spacing w:before="60" w:after="60"/>
              <w:ind w:right="15"/>
              <w:jc w:val="right"/>
              <w:rPr>
                <w:rFonts w:cstheme="minorHAnsi"/>
                <w:color w:val="auto"/>
                <w:sz w:val="18"/>
              </w:rPr>
            </w:pPr>
            <w:r w:rsidRPr="004C76A7">
              <w:rPr>
                <w:rFonts w:cstheme="minorHAnsi"/>
                <w:color w:val="auto"/>
                <w:sz w:val="18"/>
              </w:rPr>
              <w:t>20%</w:t>
            </w:r>
          </w:p>
        </w:tc>
        <w:tc>
          <w:tcPr>
            <w:tcW w:w="1805" w:type="dxa"/>
            <w:tcBorders>
              <w:top w:val="nil"/>
              <w:left w:val="single" w:sz="4" w:space="0" w:color="auto"/>
              <w:bottom w:val="single" w:sz="4" w:space="0" w:color="auto"/>
              <w:right w:val="single" w:sz="4" w:space="0" w:color="auto"/>
            </w:tcBorders>
            <w:shd w:val="clear" w:color="auto" w:fill="auto"/>
            <w:noWrap/>
          </w:tcPr>
          <w:p w14:paraId="0A9F9F20" w14:textId="3F9454AC" w:rsidR="00A0065C" w:rsidRPr="004C76A7" w:rsidRDefault="00A0065C" w:rsidP="00D2483C">
            <w:pPr>
              <w:keepNext/>
              <w:spacing w:before="60" w:after="60"/>
              <w:ind w:right="15"/>
              <w:jc w:val="right"/>
              <w:rPr>
                <w:rFonts w:cstheme="minorHAnsi"/>
                <w:color w:val="auto"/>
                <w:sz w:val="18"/>
              </w:rPr>
            </w:pPr>
            <w:r w:rsidRPr="004C76A7">
              <w:rPr>
                <w:rFonts w:cstheme="minorHAnsi"/>
                <w:color w:val="auto"/>
                <w:sz w:val="18"/>
              </w:rPr>
              <w:t>$457,551</w:t>
            </w:r>
          </w:p>
        </w:tc>
      </w:tr>
      <w:tr w:rsidR="00A0065C" w:rsidRPr="00DE27C7" w14:paraId="10940AF4" w14:textId="77777777" w:rsidTr="00D2483C">
        <w:trPr>
          <w:cantSplit/>
          <w:trHeight w:val="58"/>
        </w:trPr>
        <w:tc>
          <w:tcPr>
            <w:tcW w:w="5405" w:type="dxa"/>
            <w:tcBorders>
              <w:top w:val="nil"/>
              <w:left w:val="single" w:sz="4" w:space="0" w:color="auto"/>
              <w:bottom w:val="single" w:sz="4" w:space="0" w:color="auto"/>
              <w:right w:val="single" w:sz="4" w:space="0" w:color="auto"/>
            </w:tcBorders>
            <w:shd w:val="clear" w:color="auto" w:fill="auto"/>
            <w:vAlign w:val="center"/>
            <w:hideMark/>
          </w:tcPr>
          <w:p w14:paraId="19160012" w14:textId="77777777" w:rsidR="00A0065C" w:rsidRPr="004C76A7" w:rsidRDefault="00A0065C" w:rsidP="00D2483C">
            <w:pPr>
              <w:keepNext/>
              <w:spacing w:before="60" w:after="60"/>
              <w:rPr>
                <w:rFonts w:cstheme="minorHAnsi"/>
                <w:color w:val="000000"/>
                <w:sz w:val="18"/>
                <w:lang w:eastAsia="en-AU"/>
              </w:rPr>
            </w:pPr>
            <w:r w:rsidRPr="004C76A7">
              <w:rPr>
                <w:rFonts w:cstheme="minorHAnsi"/>
                <w:color w:val="000000"/>
                <w:sz w:val="18"/>
                <w:lang w:eastAsia="en-AU"/>
              </w:rPr>
              <w:t>Information activities – preparing and disseminating information to bus operators</w:t>
            </w:r>
          </w:p>
        </w:tc>
        <w:tc>
          <w:tcPr>
            <w:tcW w:w="1805" w:type="dxa"/>
            <w:tcBorders>
              <w:top w:val="single" w:sz="4" w:space="0" w:color="auto"/>
              <w:left w:val="nil"/>
              <w:bottom w:val="single" w:sz="4" w:space="0" w:color="auto"/>
              <w:right w:val="single" w:sz="4" w:space="0" w:color="auto"/>
            </w:tcBorders>
          </w:tcPr>
          <w:p w14:paraId="5F740915" w14:textId="256ED8BE" w:rsidR="00A0065C" w:rsidRPr="004C76A7" w:rsidRDefault="00A0065C" w:rsidP="00D2483C">
            <w:pPr>
              <w:keepNext/>
              <w:spacing w:before="60" w:after="60"/>
              <w:ind w:right="15"/>
              <w:jc w:val="right"/>
              <w:rPr>
                <w:rFonts w:cstheme="minorHAnsi"/>
                <w:color w:val="auto"/>
                <w:sz w:val="18"/>
              </w:rPr>
            </w:pPr>
            <w:r w:rsidRPr="004C76A7">
              <w:rPr>
                <w:rFonts w:cstheme="minorHAnsi"/>
                <w:color w:val="auto"/>
                <w:sz w:val="18"/>
              </w:rPr>
              <w:t>5%</w:t>
            </w:r>
          </w:p>
        </w:tc>
        <w:tc>
          <w:tcPr>
            <w:tcW w:w="1805" w:type="dxa"/>
            <w:tcBorders>
              <w:top w:val="nil"/>
              <w:left w:val="single" w:sz="4" w:space="0" w:color="auto"/>
              <w:bottom w:val="single" w:sz="4" w:space="0" w:color="auto"/>
              <w:right w:val="single" w:sz="4" w:space="0" w:color="auto"/>
            </w:tcBorders>
            <w:shd w:val="clear" w:color="auto" w:fill="auto"/>
            <w:noWrap/>
            <w:hideMark/>
          </w:tcPr>
          <w:p w14:paraId="7C0D6988" w14:textId="4B13D014" w:rsidR="00A0065C" w:rsidRPr="004C76A7" w:rsidRDefault="00A0065C" w:rsidP="00D2483C">
            <w:pPr>
              <w:keepNext/>
              <w:spacing w:before="60" w:after="60"/>
              <w:ind w:right="15"/>
              <w:jc w:val="right"/>
              <w:rPr>
                <w:rFonts w:cstheme="minorHAnsi"/>
                <w:color w:val="auto"/>
                <w:sz w:val="18"/>
                <w:lang w:eastAsia="en-AU"/>
              </w:rPr>
            </w:pPr>
            <w:r w:rsidRPr="004C76A7">
              <w:rPr>
                <w:rFonts w:cstheme="minorHAnsi"/>
                <w:color w:val="auto"/>
                <w:sz w:val="18"/>
              </w:rPr>
              <w:t>$114,388</w:t>
            </w:r>
          </w:p>
        </w:tc>
      </w:tr>
      <w:tr w:rsidR="00A0065C" w:rsidRPr="00DE27C7" w14:paraId="7B895D43" w14:textId="77777777" w:rsidTr="00D2483C">
        <w:trPr>
          <w:cantSplit/>
          <w:trHeight w:val="58"/>
        </w:trPr>
        <w:tc>
          <w:tcPr>
            <w:tcW w:w="5405" w:type="dxa"/>
            <w:tcBorders>
              <w:top w:val="nil"/>
              <w:left w:val="single" w:sz="4" w:space="0" w:color="auto"/>
              <w:bottom w:val="single" w:sz="4" w:space="0" w:color="auto"/>
              <w:right w:val="nil"/>
            </w:tcBorders>
            <w:shd w:val="clear" w:color="auto" w:fill="D6ECED"/>
            <w:vAlign w:val="center"/>
            <w:hideMark/>
          </w:tcPr>
          <w:p w14:paraId="1A74F315" w14:textId="77777777" w:rsidR="00A0065C" w:rsidRPr="004C76A7" w:rsidRDefault="00A0065C" w:rsidP="00D2483C">
            <w:pPr>
              <w:keepNext/>
              <w:spacing w:before="60" w:after="60"/>
              <w:rPr>
                <w:rFonts w:cstheme="minorHAnsi"/>
                <w:b/>
                <w:color w:val="000000"/>
                <w:sz w:val="18"/>
                <w:lang w:eastAsia="en-AU"/>
              </w:rPr>
            </w:pPr>
            <w:r w:rsidRPr="004C76A7">
              <w:rPr>
                <w:rFonts w:cstheme="minorHAnsi"/>
                <w:b/>
                <w:color w:val="000000"/>
                <w:sz w:val="18"/>
                <w:lang w:eastAsia="en-AU"/>
              </w:rPr>
              <w:t>Total direct costs</w:t>
            </w:r>
          </w:p>
        </w:tc>
        <w:tc>
          <w:tcPr>
            <w:tcW w:w="1805" w:type="dxa"/>
            <w:tcBorders>
              <w:top w:val="single" w:sz="4" w:space="0" w:color="auto"/>
              <w:left w:val="single" w:sz="4" w:space="0" w:color="auto"/>
              <w:bottom w:val="single" w:sz="4" w:space="0" w:color="auto"/>
              <w:right w:val="single" w:sz="4" w:space="0" w:color="auto"/>
            </w:tcBorders>
            <w:shd w:val="clear" w:color="auto" w:fill="D6ECED"/>
          </w:tcPr>
          <w:p w14:paraId="2462F770" w14:textId="287DC34C" w:rsidR="00A0065C" w:rsidRPr="004C76A7" w:rsidRDefault="00A0065C" w:rsidP="00D2483C">
            <w:pPr>
              <w:keepNext/>
              <w:spacing w:before="60" w:after="60"/>
              <w:jc w:val="right"/>
              <w:rPr>
                <w:rFonts w:cstheme="minorHAnsi"/>
                <w:b/>
                <w:color w:val="000000"/>
                <w:sz w:val="18"/>
                <w:lang w:eastAsia="en-AU"/>
              </w:rPr>
            </w:pPr>
            <w:r w:rsidRPr="004C76A7">
              <w:rPr>
                <w:rFonts w:cstheme="minorHAnsi"/>
                <w:b/>
                <w:color w:val="000000"/>
                <w:sz w:val="18"/>
                <w:lang w:eastAsia="en-AU"/>
              </w:rPr>
              <w:t>100 %</w:t>
            </w:r>
          </w:p>
        </w:tc>
        <w:tc>
          <w:tcPr>
            <w:tcW w:w="1805" w:type="dxa"/>
            <w:tcBorders>
              <w:top w:val="nil"/>
              <w:left w:val="single" w:sz="4" w:space="0" w:color="auto"/>
              <w:bottom w:val="single" w:sz="4" w:space="0" w:color="auto"/>
              <w:right w:val="single" w:sz="4" w:space="0" w:color="auto"/>
            </w:tcBorders>
            <w:shd w:val="clear" w:color="auto" w:fill="D6ECED"/>
            <w:noWrap/>
            <w:vAlign w:val="center"/>
            <w:hideMark/>
          </w:tcPr>
          <w:p w14:paraId="139E2833" w14:textId="0BF93010" w:rsidR="00A0065C" w:rsidRPr="004C76A7" w:rsidRDefault="00A0065C" w:rsidP="00D2483C">
            <w:pPr>
              <w:keepNext/>
              <w:spacing w:before="60" w:after="60"/>
              <w:jc w:val="right"/>
              <w:rPr>
                <w:rFonts w:cstheme="minorHAnsi"/>
                <w:b/>
                <w:color w:val="000000"/>
                <w:sz w:val="18"/>
                <w:lang w:eastAsia="en-AU"/>
              </w:rPr>
            </w:pPr>
            <w:r w:rsidRPr="004C76A7">
              <w:rPr>
                <w:rFonts w:cstheme="minorHAnsi"/>
                <w:b/>
                <w:color w:val="000000"/>
                <w:sz w:val="18"/>
                <w:lang w:eastAsia="en-AU"/>
              </w:rPr>
              <w:t>$2,287,756</w:t>
            </w:r>
          </w:p>
        </w:tc>
      </w:tr>
    </w:tbl>
    <w:p w14:paraId="5FCBCA06" w14:textId="5CF4417D" w:rsidR="00F0016B" w:rsidRDefault="00F0016B" w:rsidP="00F0016B">
      <w:r>
        <w:t xml:space="preserve">Since, under the current Bus Safety Regulations, there is a fee imposed on applying for accreditation, DoT has conducted specific cost analysis in relation to this activity, which is summarised in </w:t>
      </w:r>
      <w:r w:rsidR="0008504E">
        <w:fldChar w:fldCharType="begin"/>
      </w:r>
      <w:r w:rsidR="0008504E">
        <w:instrText xml:space="preserve"> REF _Ref43395890 \h  \* MERGEFORMAT </w:instrText>
      </w:r>
      <w:r w:rsidR="0008504E">
        <w:fldChar w:fldCharType="separate"/>
      </w:r>
      <w:r w:rsidR="00277F6E" w:rsidRPr="00277F6E">
        <w:t>Table 3</w:t>
      </w:r>
      <w:r w:rsidR="00277F6E" w:rsidRPr="00277F6E">
        <w:noBreakHyphen/>
        <w:t>18</w:t>
      </w:r>
      <w:r w:rsidR="0008504E">
        <w:fldChar w:fldCharType="end"/>
      </w:r>
      <w:r>
        <w:t>. There are two components of this activity, processing the fee submitted as part of application and undertaking the assessment of the application itself. DoT estimates that each application cost</w:t>
      </w:r>
      <w:r w:rsidR="0054582A">
        <w:t>s</w:t>
      </w:r>
      <w:r>
        <w:t xml:space="preserve"> </w:t>
      </w:r>
      <w:r w:rsidR="00ED282D">
        <w:t>$3010.7</w:t>
      </w:r>
      <w:r w:rsidR="0035658B">
        <w:t>5</w:t>
      </w:r>
      <w:r>
        <w:t xml:space="preserve"> to process. </w:t>
      </w:r>
    </w:p>
    <w:p w14:paraId="5ED1BBE5" w14:textId="7E80B1C5" w:rsidR="00F0016B" w:rsidRPr="00A32229" w:rsidRDefault="00E90EAE" w:rsidP="007620AA">
      <w:pPr>
        <w:pStyle w:val="Caption"/>
        <w:keepNext/>
        <w:spacing w:after="60"/>
        <w:rPr>
          <w:b/>
          <w:i w:val="0"/>
        </w:rPr>
      </w:pPr>
      <w:bookmarkStart w:id="437" w:name="_Ref43395890"/>
      <w:bookmarkStart w:id="438" w:name="_Toc44437370"/>
      <w:bookmarkStart w:id="439" w:name="_Toc44597441"/>
      <w:bookmarkStart w:id="440" w:name="_Toc44597505"/>
      <w:bookmarkStart w:id="441" w:name="_Toc44600075"/>
      <w:bookmarkStart w:id="442" w:name="_Toc44600530"/>
      <w:bookmarkStart w:id="443" w:name="_Toc44600697"/>
      <w:bookmarkStart w:id="444" w:name="_Toc44601194"/>
      <w:bookmarkStart w:id="445" w:name="_Toc44601247"/>
      <w:bookmarkStart w:id="446" w:name="_Toc44603395"/>
      <w:bookmarkStart w:id="447" w:name="_Toc45704443"/>
      <w:r w:rsidRPr="00E90EAE">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18</w:t>
      </w:r>
      <w:r w:rsidR="00D2483C">
        <w:rPr>
          <w:b/>
          <w:i w:val="0"/>
        </w:rPr>
        <w:fldChar w:fldCharType="end"/>
      </w:r>
      <w:bookmarkEnd w:id="437"/>
      <w:r w:rsidR="00F0016B">
        <w:rPr>
          <w:b/>
          <w:i w:val="0"/>
        </w:rPr>
        <w:t>: Summary of input costs for assessing bus operator accreditation applications</w:t>
      </w:r>
      <w:bookmarkEnd w:id="438"/>
      <w:bookmarkEnd w:id="439"/>
      <w:bookmarkEnd w:id="440"/>
      <w:bookmarkEnd w:id="441"/>
      <w:bookmarkEnd w:id="442"/>
      <w:bookmarkEnd w:id="443"/>
      <w:bookmarkEnd w:id="444"/>
      <w:bookmarkEnd w:id="445"/>
      <w:bookmarkEnd w:id="446"/>
      <w:bookmarkEnd w:id="447"/>
    </w:p>
    <w:tbl>
      <w:tblPr>
        <w:tblW w:w="9015" w:type="dxa"/>
        <w:tblCellMar>
          <w:left w:w="0" w:type="dxa"/>
          <w:right w:w="0" w:type="dxa"/>
        </w:tblCellMar>
        <w:tblLook w:val="04A0" w:firstRow="1" w:lastRow="0" w:firstColumn="1" w:lastColumn="0" w:noHBand="0" w:noVBand="1"/>
      </w:tblPr>
      <w:tblGrid>
        <w:gridCol w:w="3190"/>
        <w:gridCol w:w="1309"/>
        <w:gridCol w:w="1454"/>
        <w:gridCol w:w="1455"/>
        <w:gridCol w:w="7"/>
        <w:gridCol w:w="1600"/>
      </w:tblGrid>
      <w:tr w:rsidR="00385C4D" w:rsidRPr="009311A7" w14:paraId="6527AF91" w14:textId="77777777" w:rsidTr="003172D1">
        <w:trPr>
          <w:cantSplit/>
          <w:trHeight w:val="300"/>
        </w:trPr>
        <w:tc>
          <w:tcPr>
            <w:tcW w:w="3109" w:type="dxa"/>
            <w:tcBorders>
              <w:top w:val="single" w:sz="4" w:space="0" w:color="auto"/>
              <w:left w:val="single" w:sz="4" w:space="0" w:color="auto"/>
              <w:bottom w:val="single" w:sz="4" w:space="0" w:color="auto"/>
              <w:right w:val="single" w:sz="4" w:space="0" w:color="auto"/>
            </w:tcBorders>
            <w:shd w:val="clear" w:color="auto" w:fill="D6ECED"/>
            <w:noWrap/>
            <w:tcMar>
              <w:top w:w="0" w:type="dxa"/>
              <w:left w:w="108" w:type="dxa"/>
              <w:bottom w:w="0" w:type="dxa"/>
              <w:right w:w="108" w:type="dxa"/>
            </w:tcMar>
            <w:hideMark/>
          </w:tcPr>
          <w:p w14:paraId="2F222B91" w14:textId="77777777" w:rsidR="00385C4D" w:rsidRPr="009311A7" w:rsidRDefault="00385C4D" w:rsidP="003172D1">
            <w:pPr>
              <w:keepNext/>
              <w:spacing w:before="60" w:after="60"/>
              <w:rPr>
                <w:color w:val="000000"/>
                <w:sz w:val="18"/>
              </w:rPr>
            </w:pPr>
          </w:p>
        </w:tc>
        <w:tc>
          <w:tcPr>
            <w:tcW w:w="1276" w:type="dxa"/>
            <w:tcBorders>
              <w:top w:val="single" w:sz="4" w:space="0" w:color="auto"/>
              <w:left w:val="single" w:sz="4" w:space="0" w:color="auto"/>
              <w:bottom w:val="single" w:sz="4" w:space="0" w:color="auto"/>
              <w:right w:val="single" w:sz="4" w:space="0" w:color="auto"/>
            </w:tcBorders>
            <w:shd w:val="clear" w:color="auto" w:fill="D6ECED"/>
          </w:tcPr>
          <w:p w14:paraId="378455FB" w14:textId="77777777" w:rsidR="00385C4D" w:rsidRPr="009311A7" w:rsidRDefault="00385C4D" w:rsidP="003172D1">
            <w:pPr>
              <w:keepNext/>
              <w:spacing w:before="60" w:after="60"/>
              <w:jc w:val="center"/>
              <w:rPr>
                <w:b/>
                <w:bCs/>
                <w:sz w:val="18"/>
              </w:rPr>
            </w:pPr>
          </w:p>
        </w:tc>
        <w:tc>
          <w:tcPr>
            <w:tcW w:w="4401" w:type="dxa"/>
            <w:gridSpan w:val="4"/>
            <w:tcBorders>
              <w:top w:val="single" w:sz="4" w:space="0" w:color="auto"/>
              <w:left w:val="single" w:sz="4" w:space="0" w:color="auto"/>
              <w:bottom w:val="single" w:sz="4" w:space="0" w:color="auto"/>
              <w:right w:val="single" w:sz="4" w:space="0" w:color="auto"/>
            </w:tcBorders>
            <w:shd w:val="clear" w:color="auto" w:fill="D6ECED"/>
            <w:noWrap/>
            <w:tcMar>
              <w:top w:w="0" w:type="dxa"/>
              <w:left w:w="108" w:type="dxa"/>
              <w:bottom w:w="0" w:type="dxa"/>
              <w:right w:w="108" w:type="dxa"/>
            </w:tcMar>
            <w:hideMark/>
          </w:tcPr>
          <w:p w14:paraId="4CEE1851" w14:textId="5A59865C" w:rsidR="00385C4D" w:rsidRPr="009311A7" w:rsidRDefault="00385C4D" w:rsidP="003172D1">
            <w:pPr>
              <w:keepNext/>
              <w:spacing w:before="60" w:after="60"/>
              <w:jc w:val="center"/>
              <w:rPr>
                <w:b/>
                <w:bCs/>
                <w:color w:val="auto"/>
                <w:sz w:val="18"/>
              </w:rPr>
            </w:pPr>
            <w:r w:rsidRPr="009311A7">
              <w:rPr>
                <w:b/>
                <w:bCs/>
                <w:sz w:val="18"/>
              </w:rPr>
              <w:t xml:space="preserve">Estimated hours to complete activity for each Victorian Public Service (VPS) and Executive level </w:t>
            </w:r>
          </w:p>
        </w:tc>
      </w:tr>
      <w:tr w:rsidR="00385C4D" w:rsidRPr="009311A7" w14:paraId="2618D825" w14:textId="77777777" w:rsidTr="003172D1">
        <w:trPr>
          <w:cantSplit/>
          <w:trHeight w:val="300"/>
        </w:trPr>
        <w:tc>
          <w:tcPr>
            <w:tcW w:w="31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3E874D34" w14:textId="77777777" w:rsidR="00385C4D" w:rsidRPr="009311A7" w:rsidRDefault="00385C4D" w:rsidP="003172D1">
            <w:pPr>
              <w:keepNext/>
              <w:spacing w:before="60" w:after="60"/>
              <w:rPr>
                <w:color w:val="000000"/>
                <w:sz w:val="18"/>
              </w:rPr>
            </w:pP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A9A392" w14:textId="77777777" w:rsidR="00385C4D" w:rsidRPr="009311A7" w:rsidRDefault="00385C4D" w:rsidP="003172D1">
            <w:pPr>
              <w:keepNext/>
              <w:spacing w:before="60" w:after="60"/>
              <w:jc w:val="center"/>
              <w:rPr>
                <w:b/>
                <w:bCs/>
                <w:color w:val="auto"/>
                <w:sz w:val="18"/>
              </w:rPr>
            </w:pPr>
            <w:r w:rsidRPr="009311A7">
              <w:rPr>
                <w:b/>
                <w:bCs/>
                <w:sz w:val="18"/>
              </w:rPr>
              <w:t>VPS 3</w:t>
            </w:r>
          </w:p>
        </w:tc>
        <w:tc>
          <w:tcPr>
            <w:tcW w:w="1417" w:type="dxa"/>
            <w:tcBorders>
              <w:top w:val="single" w:sz="4" w:space="0" w:color="auto"/>
              <w:left w:val="single" w:sz="4" w:space="0" w:color="auto"/>
              <w:bottom w:val="single" w:sz="4" w:space="0" w:color="auto"/>
              <w:right w:val="single" w:sz="4" w:space="0" w:color="auto"/>
            </w:tcBorders>
          </w:tcPr>
          <w:p w14:paraId="3007E098" w14:textId="07DDE2A7" w:rsidR="00385C4D" w:rsidRPr="009311A7" w:rsidRDefault="00385C4D" w:rsidP="003172D1">
            <w:pPr>
              <w:keepNext/>
              <w:spacing w:before="60" w:after="60"/>
              <w:jc w:val="center"/>
              <w:rPr>
                <w:b/>
                <w:bCs/>
                <w:sz w:val="18"/>
              </w:rPr>
            </w:pPr>
            <w:r>
              <w:rPr>
                <w:b/>
                <w:bCs/>
                <w:sz w:val="18"/>
              </w:rPr>
              <w:t>VPS 4</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F51684" w14:textId="6AE360DD" w:rsidR="00385C4D" w:rsidRPr="009311A7" w:rsidRDefault="00385C4D" w:rsidP="003172D1">
            <w:pPr>
              <w:keepNext/>
              <w:spacing w:before="60" w:after="60"/>
              <w:jc w:val="center"/>
              <w:rPr>
                <w:b/>
                <w:bCs/>
                <w:sz w:val="18"/>
              </w:rPr>
            </w:pPr>
            <w:r w:rsidRPr="009311A7">
              <w:rPr>
                <w:b/>
                <w:bCs/>
                <w:sz w:val="18"/>
              </w:rPr>
              <w:t>VPS 6</w:t>
            </w:r>
          </w:p>
        </w:tc>
        <w:tc>
          <w:tcPr>
            <w:tcW w:w="156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6DB72B" w14:textId="77777777" w:rsidR="00385C4D" w:rsidRPr="009311A7" w:rsidRDefault="00385C4D" w:rsidP="003172D1">
            <w:pPr>
              <w:keepNext/>
              <w:spacing w:before="60" w:after="60"/>
              <w:jc w:val="center"/>
              <w:rPr>
                <w:b/>
                <w:bCs/>
                <w:sz w:val="18"/>
              </w:rPr>
            </w:pPr>
            <w:r w:rsidRPr="009311A7">
              <w:rPr>
                <w:b/>
                <w:bCs/>
                <w:sz w:val="18"/>
              </w:rPr>
              <w:t>E03</w:t>
            </w:r>
          </w:p>
        </w:tc>
      </w:tr>
      <w:tr w:rsidR="00385C4D" w:rsidRPr="009311A7" w14:paraId="6C84062A" w14:textId="77777777" w:rsidTr="003172D1">
        <w:trPr>
          <w:cantSplit/>
          <w:trHeight w:val="300"/>
        </w:trPr>
        <w:tc>
          <w:tcPr>
            <w:tcW w:w="31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2228D005" w14:textId="77777777" w:rsidR="00385C4D" w:rsidRPr="009311A7" w:rsidRDefault="00385C4D" w:rsidP="003172D1">
            <w:pPr>
              <w:keepNext/>
              <w:spacing w:before="60" w:after="60"/>
              <w:rPr>
                <w:color w:val="000000"/>
                <w:sz w:val="18"/>
              </w:rPr>
            </w:pPr>
            <w:r w:rsidRPr="009311A7">
              <w:rPr>
                <w:color w:val="000000"/>
                <w:sz w:val="18"/>
              </w:rPr>
              <w:t>Processing Application Fees</w:t>
            </w:r>
          </w:p>
        </w:tc>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12C11BB9" w14:textId="77777777" w:rsidR="00385C4D" w:rsidRPr="009311A7" w:rsidRDefault="00385C4D" w:rsidP="003172D1">
            <w:pPr>
              <w:keepNext/>
              <w:spacing w:before="60" w:after="60"/>
              <w:jc w:val="right"/>
              <w:rPr>
                <w:color w:val="000000"/>
                <w:sz w:val="18"/>
              </w:rPr>
            </w:pPr>
            <w:r w:rsidRPr="009311A7">
              <w:rPr>
                <w:color w:val="000000"/>
                <w:sz w:val="18"/>
              </w:rPr>
              <w:t>1.4</w:t>
            </w:r>
          </w:p>
        </w:tc>
        <w:tc>
          <w:tcPr>
            <w:tcW w:w="1417" w:type="dxa"/>
            <w:tcBorders>
              <w:top w:val="single" w:sz="4" w:space="0" w:color="auto"/>
              <w:left w:val="single" w:sz="4" w:space="0" w:color="auto"/>
              <w:bottom w:val="single" w:sz="4" w:space="0" w:color="auto"/>
              <w:right w:val="single" w:sz="4" w:space="0" w:color="auto"/>
            </w:tcBorders>
          </w:tcPr>
          <w:p w14:paraId="63819BA4" w14:textId="52F9DB03" w:rsidR="00385C4D" w:rsidRPr="00385C4D" w:rsidRDefault="002574E7" w:rsidP="003172D1">
            <w:pPr>
              <w:keepNext/>
              <w:spacing w:before="60" w:after="60"/>
              <w:ind w:right="135"/>
              <w:jc w:val="right"/>
              <w:rPr>
                <w:color w:val="000000"/>
                <w:sz w:val="18"/>
              </w:rPr>
            </w:pPr>
            <w:r>
              <w:rPr>
                <w:color w:val="000000"/>
                <w:sz w:val="18"/>
              </w:rPr>
              <w:t>-</w:t>
            </w:r>
          </w:p>
        </w:tc>
        <w:tc>
          <w:tcPr>
            <w:tcW w:w="141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15513BC3" w14:textId="393FE6AF" w:rsidR="00385C4D" w:rsidRPr="009311A7" w:rsidRDefault="00385C4D" w:rsidP="003172D1">
            <w:pPr>
              <w:keepNext/>
              <w:spacing w:before="60" w:after="60"/>
              <w:jc w:val="right"/>
              <w:rPr>
                <w:color w:val="000000"/>
                <w:sz w:val="18"/>
              </w:rPr>
            </w:pPr>
            <w:r w:rsidRPr="009311A7">
              <w:rPr>
                <w:color w:val="000000"/>
                <w:sz w:val="18"/>
              </w:rPr>
              <w:t>0.07</w:t>
            </w:r>
          </w:p>
        </w:tc>
        <w:tc>
          <w:tcPr>
            <w:tcW w:w="1566"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686E5A1D" w14:textId="77777777" w:rsidR="00385C4D" w:rsidRPr="009311A7" w:rsidRDefault="00385C4D" w:rsidP="003172D1">
            <w:pPr>
              <w:keepNext/>
              <w:spacing w:before="60" w:after="60"/>
              <w:jc w:val="right"/>
              <w:rPr>
                <w:color w:val="000000"/>
                <w:sz w:val="18"/>
              </w:rPr>
            </w:pPr>
            <w:r w:rsidRPr="009311A7">
              <w:rPr>
                <w:color w:val="000000"/>
                <w:sz w:val="18"/>
              </w:rPr>
              <w:t>-</w:t>
            </w:r>
          </w:p>
        </w:tc>
      </w:tr>
      <w:tr w:rsidR="00385C4D" w:rsidRPr="009311A7" w14:paraId="57E110E3" w14:textId="77777777" w:rsidTr="003172D1">
        <w:trPr>
          <w:cantSplit/>
          <w:trHeight w:val="300"/>
        </w:trPr>
        <w:tc>
          <w:tcPr>
            <w:tcW w:w="31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1FED6E39" w14:textId="77777777" w:rsidR="00385C4D" w:rsidRPr="009311A7" w:rsidRDefault="00385C4D" w:rsidP="003172D1">
            <w:pPr>
              <w:keepNext/>
              <w:spacing w:before="60" w:after="60"/>
              <w:rPr>
                <w:color w:val="000000"/>
                <w:sz w:val="18"/>
              </w:rPr>
            </w:pPr>
            <w:r w:rsidRPr="009311A7">
              <w:rPr>
                <w:color w:val="000000"/>
                <w:sz w:val="18"/>
              </w:rPr>
              <w:t>Assessing Accreditation Applications</w:t>
            </w:r>
          </w:p>
        </w:tc>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72AA4903" w14:textId="77777777" w:rsidR="00385C4D" w:rsidRPr="009311A7" w:rsidRDefault="00385C4D" w:rsidP="003172D1">
            <w:pPr>
              <w:keepNext/>
              <w:spacing w:before="60" w:after="60"/>
              <w:jc w:val="right"/>
              <w:rPr>
                <w:color w:val="000000"/>
                <w:sz w:val="18"/>
              </w:rPr>
            </w:pPr>
            <w:r w:rsidRPr="009311A7">
              <w:rPr>
                <w:color w:val="000000"/>
                <w:sz w:val="18"/>
              </w:rPr>
              <w:t>44.5</w:t>
            </w:r>
          </w:p>
        </w:tc>
        <w:tc>
          <w:tcPr>
            <w:tcW w:w="1417" w:type="dxa"/>
            <w:tcBorders>
              <w:top w:val="single" w:sz="4" w:space="0" w:color="auto"/>
              <w:left w:val="single" w:sz="4" w:space="0" w:color="auto"/>
              <w:bottom w:val="single" w:sz="4" w:space="0" w:color="auto"/>
              <w:right w:val="single" w:sz="4" w:space="0" w:color="auto"/>
            </w:tcBorders>
          </w:tcPr>
          <w:p w14:paraId="7FAFB184" w14:textId="62E06D37" w:rsidR="00385C4D" w:rsidRPr="00385C4D" w:rsidRDefault="00D6467C" w:rsidP="003172D1">
            <w:pPr>
              <w:keepNext/>
              <w:spacing w:before="60" w:after="60"/>
              <w:ind w:right="135"/>
              <w:jc w:val="right"/>
              <w:rPr>
                <w:color w:val="000000"/>
                <w:sz w:val="18"/>
              </w:rPr>
            </w:pPr>
            <w:r>
              <w:rPr>
                <w:color w:val="000000"/>
                <w:sz w:val="18"/>
              </w:rPr>
              <w:t>7.6</w:t>
            </w:r>
          </w:p>
        </w:tc>
        <w:tc>
          <w:tcPr>
            <w:tcW w:w="141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09BFDCCC" w14:textId="7E3CDB22" w:rsidR="00385C4D" w:rsidRPr="009311A7" w:rsidRDefault="00385C4D" w:rsidP="003172D1">
            <w:pPr>
              <w:keepNext/>
              <w:spacing w:before="60" w:after="60"/>
              <w:jc w:val="right"/>
              <w:rPr>
                <w:color w:val="000000"/>
                <w:sz w:val="18"/>
              </w:rPr>
            </w:pPr>
            <w:r w:rsidRPr="009311A7">
              <w:rPr>
                <w:color w:val="000000"/>
                <w:sz w:val="18"/>
              </w:rPr>
              <w:t>5.67</w:t>
            </w:r>
          </w:p>
        </w:tc>
        <w:tc>
          <w:tcPr>
            <w:tcW w:w="1566"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14:paraId="20863662" w14:textId="77777777" w:rsidR="00385C4D" w:rsidRPr="009311A7" w:rsidRDefault="00385C4D" w:rsidP="003172D1">
            <w:pPr>
              <w:keepNext/>
              <w:spacing w:before="60" w:after="60"/>
              <w:jc w:val="right"/>
              <w:rPr>
                <w:color w:val="000000"/>
                <w:sz w:val="18"/>
              </w:rPr>
            </w:pPr>
            <w:r w:rsidRPr="009311A7">
              <w:rPr>
                <w:color w:val="000000"/>
                <w:sz w:val="18"/>
              </w:rPr>
              <w:t>0.15</w:t>
            </w:r>
          </w:p>
        </w:tc>
      </w:tr>
      <w:tr w:rsidR="00385C4D" w:rsidRPr="009311A7" w14:paraId="7155C9C7" w14:textId="77777777" w:rsidTr="003172D1">
        <w:trPr>
          <w:cantSplit/>
          <w:trHeight w:val="300"/>
        </w:trPr>
        <w:tc>
          <w:tcPr>
            <w:tcW w:w="31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051B2A6" w14:textId="77777777" w:rsidR="00385C4D" w:rsidRPr="009311A7" w:rsidRDefault="00385C4D" w:rsidP="003172D1">
            <w:pPr>
              <w:keepNext/>
              <w:spacing w:before="60" w:after="60"/>
              <w:rPr>
                <w:b/>
                <w:bCs/>
                <w:color w:val="000000"/>
                <w:sz w:val="18"/>
              </w:rPr>
            </w:pPr>
            <w:r w:rsidRPr="009311A7">
              <w:rPr>
                <w:b/>
                <w:bCs/>
                <w:color w:val="000000"/>
                <w:sz w:val="18"/>
              </w:rPr>
              <w:t>Total time to complete activity at each VPS level</w:t>
            </w:r>
          </w:p>
        </w:tc>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093F7083" w14:textId="77777777" w:rsidR="00385C4D" w:rsidRPr="009311A7" w:rsidRDefault="00385C4D" w:rsidP="003172D1">
            <w:pPr>
              <w:keepNext/>
              <w:spacing w:before="60" w:after="60"/>
              <w:jc w:val="right"/>
              <w:rPr>
                <w:b/>
                <w:bCs/>
                <w:color w:val="000000"/>
                <w:sz w:val="18"/>
              </w:rPr>
            </w:pPr>
            <w:r w:rsidRPr="009311A7">
              <w:rPr>
                <w:b/>
                <w:bCs/>
                <w:color w:val="000000"/>
                <w:sz w:val="18"/>
              </w:rPr>
              <w:t>45.9</w:t>
            </w:r>
          </w:p>
        </w:tc>
        <w:tc>
          <w:tcPr>
            <w:tcW w:w="1417" w:type="dxa"/>
            <w:tcBorders>
              <w:top w:val="single" w:sz="4" w:space="0" w:color="auto"/>
              <w:left w:val="single" w:sz="4" w:space="0" w:color="auto"/>
              <w:bottom w:val="single" w:sz="4" w:space="0" w:color="auto"/>
              <w:right w:val="single" w:sz="4" w:space="0" w:color="auto"/>
            </w:tcBorders>
          </w:tcPr>
          <w:p w14:paraId="58F9F4E6" w14:textId="0FD141C6" w:rsidR="00385C4D" w:rsidRPr="00F50DAB" w:rsidRDefault="00D6467C" w:rsidP="003172D1">
            <w:pPr>
              <w:keepNext/>
              <w:spacing w:before="60" w:after="60"/>
              <w:ind w:right="135"/>
              <w:jc w:val="right"/>
              <w:rPr>
                <w:b/>
                <w:bCs/>
                <w:color w:val="000000"/>
                <w:sz w:val="18"/>
              </w:rPr>
            </w:pPr>
            <w:r w:rsidRPr="00F50DAB">
              <w:rPr>
                <w:b/>
                <w:bCs/>
                <w:color w:val="000000"/>
                <w:sz w:val="18"/>
              </w:rPr>
              <w:t>7.6</w:t>
            </w:r>
          </w:p>
        </w:tc>
        <w:tc>
          <w:tcPr>
            <w:tcW w:w="141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61CBFBC6" w14:textId="123A1310" w:rsidR="00385C4D" w:rsidRPr="009311A7" w:rsidRDefault="00385C4D" w:rsidP="003172D1">
            <w:pPr>
              <w:keepNext/>
              <w:spacing w:before="60" w:after="60"/>
              <w:jc w:val="right"/>
              <w:rPr>
                <w:b/>
                <w:bCs/>
                <w:color w:val="000000"/>
                <w:sz w:val="18"/>
              </w:rPr>
            </w:pPr>
            <w:r w:rsidRPr="009311A7">
              <w:rPr>
                <w:b/>
                <w:bCs/>
                <w:color w:val="000000"/>
                <w:sz w:val="18"/>
              </w:rPr>
              <w:t>5.74</w:t>
            </w:r>
          </w:p>
        </w:tc>
        <w:tc>
          <w:tcPr>
            <w:tcW w:w="1566"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6986BEE2" w14:textId="77777777" w:rsidR="00385C4D" w:rsidRPr="009311A7" w:rsidRDefault="00385C4D" w:rsidP="003172D1">
            <w:pPr>
              <w:keepNext/>
              <w:spacing w:before="60" w:after="60"/>
              <w:jc w:val="right"/>
              <w:rPr>
                <w:b/>
                <w:bCs/>
                <w:color w:val="000000"/>
                <w:sz w:val="18"/>
              </w:rPr>
            </w:pPr>
            <w:r w:rsidRPr="009311A7">
              <w:rPr>
                <w:b/>
                <w:bCs/>
                <w:color w:val="000000"/>
                <w:sz w:val="18"/>
              </w:rPr>
              <w:t>0.15</w:t>
            </w:r>
          </w:p>
        </w:tc>
      </w:tr>
      <w:tr w:rsidR="00385C4D" w:rsidRPr="009311A7" w14:paraId="3E978CA2" w14:textId="77777777" w:rsidTr="003172D1">
        <w:trPr>
          <w:cantSplit/>
          <w:trHeight w:val="300"/>
        </w:trPr>
        <w:tc>
          <w:tcPr>
            <w:tcW w:w="31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032AC3CB" w14:textId="77777777" w:rsidR="00385C4D" w:rsidRPr="009311A7" w:rsidRDefault="00385C4D" w:rsidP="003172D1">
            <w:pPr>
              <w:keepNext/>
              <w:spacing w:before="60" w:after="60"/>
              <w:rPr>
                <w:i/>
                <w:iCs/>
                <w:color w:val="000000"/>
                <w:sz w:val="18"/>
              </w:rPr>
            </w:pPr>
            <w:r w:rsidRPr="009311A7">
              <w:rPr>
                <w:i/>
                <w:iCs/>
                <w:color w:val="000000"/>
                <w:sz w:val="18"/>
              </w:rPr>
              <w:t>multiplied by</w:t>
            </w:r>
          </w:p>
        </w:tc>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1AA5F6D3" w14:textId="77777777" w:rsidR="00385C4D" w:rsidRPr="009311A7" w:rsidRDefault="00385C4D" w:rsidP="003172D1">
            <w:pPr>
              <w:keepNext/>
              <w:spacing w:before="60" w:after="60"/>
              <w:jc w:val="right"/>
              <w:rPr>
                <w:color w:val="000000"/>
                <w:sz w:val="18"/>
              </w:rPr>
            </w:pPr>
          </w:p>
        </w:tc>
        <w:tc>
          <w:tcPr>
            <w:tcW w:w="1417" w:type="dxa"/>
            <w:tcBorders>
              <w:top w:val="single" w:sz="4" w:space="0" w:color="auto"/>
              <w:left w:val="single" w:sz="4" w:space="0" w:color="auto"/>
              <w:bottom w:val="single" w:sz="4" w:space="0" w:color="auto"/>
              <w:right w:val="single" w:sz="4" w:space="0" w:color="auto"/>
            </w:tcBorders>
          </w:tcPr>
          <w:p w14:paraId="73BC8997" w14:textId="77777777" w:rsidR="00385C4D" w:rsidRPr="00385C4D" w:rsidRDefault="00385C4D" w:rsidP="003172D1">
            <w:pPr>
              <w:keepNext/>
              <w:spacing w:before="60" w:after="60"/>
              <w:ind w:right="135"/>
              <w:jc w:val="right"/>
              <w:rPr>
                <w:color w:val="000000"/>
                <w:sz w:val="18"/>
              </w:rPr>
            </w:pPr>
          </w:p>
        </w:tc>
        <w:tc>
          <w:tcPr>
            <w:tcW w:w="141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6BFAB958" w14:textId="0834FC37" w:rsidR="00385C4D" w:rsidRPr="009311A7" w:rsidRDefault="00385C4D" w:rsidP="003172D1">
            <w:pPr>
              <w:keepNext/>
              <w:spacing w:before="60" w:after="60"/>
              <w:jc w:val="right"/>
              <w:rPr>
                <w:color w:val="000000"/>
                <w:sz w:val="18"/>
              </w:rPr>
            </w:pPr>
          </w:p>
        </w:tc>
        <w:tc>
          <w:tcPr>
            <w:tcW w:w="1566"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0CA55AC2" w14:textId="77777777" w:rsidR="00385C4D" w:rsidRPr="009311A7" w:rsidRDefault="00385C4D" w:rsidP="003172D1">
            <w:pPr>
              <w:keepNext/>
              <w:spacing w:before="60" w:after="60"/>
              <w:jc w:val="right"/>
              <w:rPr>
                <w:color w:val="000000"/>
                <w:sz w:val="18"/>
              </w:rPr>
            </w:pPr>
          </w:p>
        </w:tc>
      </w:tr>
      <w:tr w:rsidR="00385C4D" w:rsidRPr="009311A7" w14:paraId="15C55413" w14:textId="77777777" w:rsidTr="003172D1">
        <w:trPr>
          <w:cantSplit/>
          <w:trHeight w:val="300"/>
        </w:trPr>
        <w:tc>
          <w:tcPr>
            <w:tcW w:w="31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56FAF99E" w14:textId="77777777" w:rsidR="00385C4D" w:rsidRPr="009311A7" w:rsidRDefault="00385C4D" w:rsidP="003172D1">
            <w:pPr>
              <w:keepNext/>
              <w:spacing w:before="60" w:after="60"/>
              <w:rPr>
                <w:b/>
                <w:bCs/>
                <w:color w:val="000000"/>
                <w:sz w:val="18"/>
              </w:rPr>
            </w:pPr>
            <w:r w:rsidRPr="009311A7">
              <w:rPr>
                <w:b/>
                <w:bCs/>
                <w:color w:val="000000"/>
                <w:sz w:val="18"/>
              </w:rPr>
              <w:t>Hourly rate per VPS level</w:t>
            </w:r>
          </w:p>
        </w:tc>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75470946" w14:textId="77777777" w:rsidR="00385C4D" w:rsidRPr="009311A7" w:rsidRDefault="00385C4D" w:rsidP="003172D1">
            <w:pPr>
              <w:keepNext/>
              <w:spacing w:before="60" w:after="60"/>
              <w:jc w:val="right"/>
              <w:rPr>
                <w:b/>
                <w:bCs/>
                <w:color w:val="000000"/>
                <w:sz w:val="18"/>
              </w:rPr>
            </w:pPr>
            <w:r w:rsidRPr="009311A7">
              <w:rPr>
                <w:b/>
                <w:bCs/>
                <w:color w:val="000000"/>
                <w:sz w:val="18"/>
              </w:rPr>
              <w:t>$45.61</w:t>
            </w:r>
          </w:p>
        </w:tc>
        <w:tc>
          <w:tcPr>
            <w:tcW w:w="1417" w:type="dxa"/>
            <w:tcBorders>
              <w:top w:val="single" w:sz="4" w:space="0" w:color="auto"/>
              <w:left w:val="single" w:sz="4" w:space="0" w:color="auto"/>
              <w:bottom w:val="single" w:sz="4" w:space="0" w:color="auto"/>
              <w:right w:val="single" w:sz="4" w:space="0" w:color="auto"/>
            </w:tcBorders>
          </w:tcPr>
          <w:p w14:paraId="094C7107" w14:textId="330119CE" w:rsidR="00385C4D" w:rsidRPr="00F50DAB" w:rsidRDefault="00BA021F" w:rsidP="003172D1">
            <w:pPr>
              <w:keepNext/>
              <w:spacing w:before="60" w:after="60"/>
              <w:ind w:right="135"/>
              <w:jc w:val="right"/>
              <w:rPr>
                <w:b/>
                <w:bCs/>
                <w:color w:val="000000"/>
                <w:sz w:val="18"/>
              </w:rPr>
            </w:pPr>
            <w:r w:rsidRPr="00F50DAB">
              <w:rPr>
                <w:b/>
                <w:bCs/>
                <w:color w:val="000000"/>
                <w:sz w:val="18"/>
              </w:rPr>
              <w:t>$54.44</w:t>
            </w:r>
          </w:p>
        </w:tc>
        <w:tc>
          <w:tcPr>
            <w:tcW w:w="141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413BAB54" w14:textId="22F76E3A" w:rsidR="00385C4D" w:rsidRPr="009311A7" w:rsidRDefault="00385C4D" w:rsidP="003172D1">
            <w:pPr>
              <w:keepNext/>
              <w:spacing w:before="60" w:after="60"/>
              <w:jc w:val="right"/>
              <w:rPr>
                <w:b/>
                <w:bCs/>
                <w:color w:val="000000"/>
                <w:sz w:val="18"/>
              </w:rPr>
            </w:pPr>
            <w:r w:rsidRPr="009311A7">
              <w:rPr>
                <w:b/>
                <w:bCs/>
                <w:color w:val="000000"/>
                <w:sz w:val="18"/>
              </w:rPr>
              <w:t>$84.39</w:t>
            </w:r>
          </w:p>
        </w:tc>
        <w:tc>
          <w:tcPr>
            <w:tcW w:w="1566"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29289ABF" w14:textId="77777777" w:rsidR="00385C4D" w:rsidRPr="009311A7" w:rsidRDefault="00385C4D" w:rsidP="003172D1">
            <w:pPr>
              <w:keepNext/>
              <w:spacing w:before="60" w:after="60"/>
              <w:jc w:val="right"/>
              <w:rPr>
                <w:b/>
                <w:bCs/>
                <w:color w:val="000000"/>
                <w:sz w:val="18"/>
              </w:rPr>
            </w:pPr>
            <w:r w:rsidRPr="009311A7">
              <w:rPr>
                <w:b/>
                <w:bCs/>
                <w:color w:val="000000"/>
                <w:sz w:val="18"/>
              </w:rPr>
              <w:t>$127.54</w:t>
            </w:r>
          </w:p>
        </w:tc>
      </w:tr>
      <w:tr w:rsidR="00385C4D" w:rsidRPr="009311A7" w14:paraId="37DC0F9C" w14:textId="77777777" w:rsidTr="003172D1">
        <w:trPr>
          <w:cantSplit/>
          <w:trHeight w:val="300"/>
        </w:trPr>
        <w:tc>
          <w:tcPr>
            <w:tcW w:w="31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4E3729B4" w14:textId="77777777" w:rsidR="00385C4D" w:rsidRPr="009311A7" w:rsidRDefault="00385C4D" w:rsidP="003172D1">
            <w:pPr>
              <w:keepNext/>
              <w:spacing w:before="60" w:after="60"/>
              <w:rPr>
                <w:i/>
                <w:iCs/>
                <w:color w:val="000000"/>
                <w:sz w:val="18"/>
              </w:rPr>
            </w:pPr>
            <w:r w:rsidRPr="009311A7">
              <w:rPr>
                <w:i/>
                <w:iCs/>
                <w:color w:val="000000"/>
                <w:sz w:val="18"/>
              </w:rPr>
              <w:t>equals</w:t>
            </w:r>
          </w:p>
        </w:tc>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3547BF33" w14:textId="77777777" w:rsidR="00385C4D" w:rsidRPr="009311A7" w:rsidRDefault="00385C4D" w:rsidP="003172D1">
            <w:pPr>
              <w:keepNext/>
              <w:spacing w:before="60" w:after="60"/>
              <w:jc w:val="right"/>
              <w:rPr>
                <w:color w:val="000000"/>
                <w:sz w:val="18"/>
              </w:rPr>
            </w:pPr>
          </w:p>
        </w:tc>
        <w:tc>
          <w:tcPr>
            <w:tcW w:w="1417" w:type="dxa"/>
            <w:tcBorders>
              <w:top w:val="single" w:sz="4" w:space="0" w:color="auto"/>
              <w:left w:val="single" w:sz="4" w:space="0" w:color="auto"/>
              <w:bottom w:val="single" w:sz="4" w:space="0" w:color="auto"/>
              <w:right w:val="single" w:sz="4" w:space="0" w:color="auto"/>
            </w:tcBorders>
          </w:tcPr>
          <w:p w14:paraId="06991800" w14:textId="77777777" w:rsidR="00385C4D" w:rsidRPr="00385C4D" w:rsidRDefault="00385C4D" w:rsidP="003172D1">
            <w:pPr>
              <w:keepNext/>
              <w:spacing w:before="60" w:after="60"/>
              <w:ind w:right="135"/>
              <w:jc w:val="right"/>
              <w:rPr>
                <w:color w:val="000000"/>
                <w:sz w:val="18"/>
              </w:rPr>
            </w:pPr>
          </w:p>
        </w:tc>
        <w:tc>
          <w:tcPr>
            <w:tcW w:w="141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1C7ED515" w14:textId="5498D7BC" w:rsidR="00385C4D" w:rsidRPr="009311A7" w:rsidRDefault="00385C4D" w:rsidP="003172D1">
            <w:pPr>
              <w:keepNext/>
              <w:spacing w:before="60" w:after="60"/>
              <w:jc w:val="right"/>
              <w:rPr>
                <w:color w:val="000000"/>
                <w:sz w:val="18"/>
              </w:rPr>
            </w:pPr>
          </w:p>
        </w:tc>
        <w:tc>
          <w:tcPr>
            <w:tcW w:w="1566"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48C13A08" w14:textId="77777777" w:rsidR="00385C4D" w:rsidRPr="009311A7" w:rsidRDefault="00385C4D" w:rsidP="003172D1">
            <w:pPr>
              <w:keepNext/>
              <w:spacing w:before="60" w:after="60"/>
              <w:jc w:val="right"/>
              <w:rPr>
                <w:color w:val="000000"/>
                <w:sz w:val="18"/>
              </w:rPr>
            </w:pPr>
          </w:p>
        </w:tc>
      </w:tr>
      <w:tr w:rsidR="00385C4D" w:rsidRPr="009311A7" w14:paraId="7ED9E4B9" w14:textId="77777777" w:rsidTr="003172D1">
        <w:trPr>
          <w:cantSplit/>
          <w:trHeight w:val="300"/>
        </w:trPr>
        <w:tc>
          <w:tcPr>
            <w:tcW w:w="31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104FB130" w14:textId="77777777" w:rsidR="00385C4D" w:rsidRPr="009311A7" w:rsidRDefault="00385C4D" w:rsidP="003172D1">
            <w:pPr>
              <w:keepNext/>
              <w:spacing w:before="60" w:after="60"/>
              <w:rPr>
                <w:b/>
                <w:bCs/>
                <w:i/>
                <w:iCs/>
                <w:color w:val="000000"/>
                <w:sz w:val="18"/>
              </w:rPr>
            </w:pPr>
            <w:r w:rsidRPr="009311A7">
              <w:rPr>
                <w:b/>
                <w:bCs/>
                <w:i/>
                <w:iCs/>
                <w:color w:val="000000"/>
                <w:sz w:val="18"/>
              </w:rPr>
              <w:t>Total cost of activity at each VPS and Executive level</w:t>
            </w:r>
          </w:p>
        </w:tc>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5C4D25EC" w14:textId="77777777" w:rsidR="00385C4D" w:rsidRPr="009311A7" w:rsidRDefault="00385C4D" w:rsidP="003172D1">
            <w:pPr>
              <w:keepNext/>
              <w:spacing w:before="60" w:after="60"/>
              <w:jc w:val="right"/>
              <w:rPr>
                <w:b/>
                <w:bCs/>
                <w:color w:val="000000"/>
                <w:sz w:val="18"/>
              </w:rPr>
            </w:pPr>
            <w:r w:rsidRPr="009311A7">
              <w:rPr>
                <w:b/>
                <w:bCs/>
                <w:color w:val="000000"/>
                <w:sz w:val="18"/>
              </w:rPr>
              <w:t>$2093.49</w:t>
            </w:r>
          </w:p>
        </w:tc>
        <w:tc>
          <w:tcPr>
            <w:tcW w:w="1417" w:type="dxa"/>
            <w:tcBorders>
              <w:top w:val="single" w:sz="4" w:space="0" w:color="auto"/>
              <w:left w:val="single" w:sz="4" w:space="0" w:color="auto"/>
              <w:bottom w:val="single" w:sz="4" w:space="0" w:color="auto"/>
              <w:right w:val="single" w:sz="4" w:space="0" w:color="auto"/>
            </w:tcBorders>
          </w:tcPr>
          <w:p w14:paraId="6C14F1B1" w14:textId="2B031C6E" w:rsidR="00385C4D" w:rsidRPr="00F50DAB" w:rsidRDefault="00D8744A" w:rsidP="003172D1">
            <w:pPr>
              <w:keepNext/>
              <w:spacing w:before="60" w:after="60"/>
              <w:ind w:right="135"/>
              <w:jc w:val="right"/>
              <w:rPr>
                <w:b/>
                <w:bCs/>
                <w:color w:val="000000"/>
                <w:sz w:val="18"/>
              </w:rPr>
            </w:pPr>
            <w:r w:rsidRPr="00F50DAB">
              <w:rPr>
                <w:b/>
                <w:bCs/>
                <w:color w:val="000000"/>
                <w:sz w:val="18"/>
              </w:rPr>
              <w:t>$413.74</w:t>
            </w:r>
          </w:p>
        </w:tc>
        <w:tc>
          <w:tcPr>
            <w:tcW w:w="141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16B4C460" w14:textId="3A3A5D2A" w:rsidR="00385C4D" w:rsidRPr="009311A7" w:rsidRDefault="00385C4D" w:rsidP="003172D1">
            <w:pPr>
              <w:keepNext/>
              <w:spacing w:before="60" w:after="60"/>
              <w:jc w:val="right"/>
              <w:rPr>
                <w:b/>
                <w:bCs/>
                <w:color w:val="000000"/>
                <w:sz w:val="18"/>
              </w:rPr>
            </w:pPr>
            <w:r w:rsidRPr="009311A7">
              <w:rPr>
                <w:b/>
                <w:bCs/>
                <w:color w:val="000000"/>
                <w:sz w:val="18"/>
              </w:rPr>
              <w:t>$484,39</w:t>
            </w:r>
          </w:p>
        </w:tc>
        <w:tc>
          <w:tcPr>
            <w:tcW w:w="1566"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2FDE5118" w14:textId="77777777" w:rsidR="00385C4D" w:rsidRPr="009311A7" w:rsidRDefault="00385C4D" w:rsidP="003172D1">
            <w:pPr>
              <w:keepNext/>
              <w:spacing w:before="60" w:after="60"/>
              <w:jc w:val="right"/>
              <w:rPr>
                <w:b/>
                <w:bCs/>
                <w:color w:val="000000"/>
                <w:sz w:val="18"/>
              </w:rPr>
            </w:pPr>
            <w:r w:rsidRPr="009311A7">
              <w:rPr>
                <w:b/>
                <w:bCs/>
                <w:color w:val="000000"/>
                <w:sz w:val="18"/>
              </w:rPr>
              <w:t>$19.13</w:t>
            </w:r>
          </w:p>
        </w:tc>
      </w:tr>
      <w:tr w:rsidR="00385C4D" w:rsidRPr="009311A7" w14:paraId="6187CF41" w14:textId="77777777" w:rsidTr="003172D1">
        <w:trPr>
          <w:cantSplit/>
          <w:trHeight w:val="300"/>
        </w:trPr>
        <w:tc>
          <w:tcPr>
            <w:tcW w:w="7227" w:type="dxa"/>
            <w:gridSpan w:val="5"/>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082899B4" w14:textId="7A89008B" w:rsidR="00385C4D" w:rsidRPr="009311A7" w:rsidRDefault="00385C4D" w:rsidP="003172D1">
            <w:pPr>
              <w:keepNext/>
              <w:spacing w:before="60" w:after="60"/>
              <w:jc w:val="right"/>
              <w:rPr>
                <w:color w:val="000000"/>
                <w:sz w:val="18"/>
              </w:rPr>
            </w:pPr>
            <w:r w:rsidRPr="009311A7">
              <w:rPr>
                <w:color w:val="000000"/>
                <w:sz w:val="18"/>
              </w:rPr>
              <w:t xml:space="preserve">Cost of assessing an application for bus operator accreditation  </w:t>
            </w: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tcPr>
          <w:p w14:paraId="189D31AF" w14:textId="485EFEA1" w:rsidR="00385C4D" w:rsidRPr="009311A7" w:rsidRDefault="00385C4D" w:rsidP="003172D1">
            <w:pPr>
              <w:keepNext/>
              <w:spacing w:before="60" w:after="60"/>
              <w:jc w:val="right"/>
              <w:rPr>
                <w:color w:val="000000"/>
                <w:sz w:val="18"/>
              </w:rPr>
            </w:pPr>
            <w:r w:rsidRPr="009311A7">
              <w:rPr>
                <w:color w:val="000000"/>
                <w:sz w:val="18"/>
              </w:rPr>
              <w:t>$</w:t>
            </w:r>
            <w:r w:rsidR="00947594">
              <w:rPr>
                <w:color w:val="000000"/>
                <w:sz w:val="18"/>
              </w:rPr>
              <w:t>3010</w:t>
            </w:r>
            <w:r w:rsidRPr="009311A7">
              <w:rPr>
                <w:color w:val="000000"/>
                <w:sz w:val="18"/>
              </w:rPr>
              <w:t>.</w:t>
            </w:r>
            <w:r w:rsidR="00947594">
              <w:rPr>
                <w:color w:val="000000"/>
                <w:sz w:val="18"/>
              </w:rPr>
              <w:t>75</w:t>
            </w:r>
          </w:p>
        </w:tc>
      </w:tr>
    </w:tbl>
    <w:p w14:paraId="3226D1CC" w14:textId="45E6419E" w:rsidR="00F0016B" w:rsidRDefault="00DC1E86" w:rsidP="00F0016B">
      <w:r>
        <w:t>With an average number of 40 applications submitted each year, DoT also estimates that the aggregate revenue for this fee is $120,430 (see</w:t>
      </w:r>
      <w:r w:rsidRPr="00B16BFC">
        <w:t xml:space="preserve"> </w:t>
      </w:r>
      <w:r w:rsidRPr="00B16BFC">
        <w:fldChar w:fldCharType="begin"/>
      </w:r>
      <w:r w:rsidRPr="00B16BFC">
        <w:instrText xml:space="preserve"> REF _Ref43287256 \h </w:instrText>
      </w:r>
      <w:r w:rsidR="00B16BFC" w:rsidRPr="00B16BFC">
        <w:instrText xml:space="preserve"> \* MERGEFORMAT </w:instrText>
      </w:r>
      <w:r w:rsidRPr="00B16BFC">
        <w:fldChar w:fldCharType="separate"/>
      </w:r>
      <w:r w:rsidR="00277F6E" w:rsidRPr="00277F6E">
        <w:t xml:space="preserve">Table </w:t>
      </w:r>
      <w:r w:rsidR="00277F6E" w:rsidRPr="00277F6E">
        <w:rPr>
          <w:noProof/>
        </w:rPr>
        <w:t>3</w:t>
      </w:r>
      <w:r w:rsidR="00277F6E" w:rsidRPr="00277F6E">
        <w:rPr>
          <w:noProof/>
        </w:rPr>
        <w:noBreakHyphen/>
        <w:t>19</w:t>
      </w:r>
      <w:r w:rsidRPr="00B16BFC">
        <w:fldChar w:fldCharType="end"/>
      </w:r>
      <w:r>
        <w:t>).</w:t>
      </w:r>
    </w:p>
    <w:p w14:paraId="164B4924" w14:textId="73C3924C" w:rsidR="00F0016B" w:rsidRPr="00D80513" w:rsidRDefault="00F0016B" w:rsidP="000B2A02">
      <w:pPr>
        <w:pStyle w:val="Caption"/>
        <w:keepNext/>
        <w:spacing w:after="60"/>
        <w:rPr>
          <w:b/>
          <w:i w:val="0"/>
        </w:rPr>
      </w:pPr>
      <w:bookmarkStart w:id="448" w:name="_Ref43287256"/>
      <w:bookmarkStart w:id="449" w:name="_Toc44437371"/>
      <w:bookmarkStart w:id="450" w:name="_Toc44597442"/>
      <w:bookmarkStart w:id="451" w:name="_Toc44597506"/>
      <w:bookmarkStart w:id="452" w:name="_Toc44600076"/>
      <w:bookmarkStart w:id="453" w:name="_Toc44600531"/>
      <w:bookmarkStart w:id="454" w:name="_Toc44600698"/>
      <w:bookmarkStart w:id="455" w:name="_Toc44601195"/>
      <w:bookmarkStart w:id="456" w:name="_Toc44601248"/>
      <w:bookmarkStart w:id="457" w:name="_Toc44603396"/>
      <w:bookmarkStart w:id="458" w:name="_Toc45704444"/>
      <w:r w:rsidRPr="00D80513">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3</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19</w:t>
      </w:r>
      <w:r w:rsidR="00D2483C">
        <w:rPr>
          <w:b/>
          <w:i w:val="0"/>
        </w:rPr>
        <w:fldChar w:fldCharType="end"/>
      </w:r>
      <w:bookmarkEnd w:id="448"/>
      <w:r w:rsidRPr="00D80513">
        <w:rPr>
          <w:b/>
          <w:i w:val="0"/>
        </w:rPr>
        <w:t>: Estimate aggregate costs of processing bus operator accreditation applications</w:t>
      </w:r>
      <w:bookmarkEnd w:id="449"/>
      <w:bookmarkEnd w:id="450"/>
      <w:bookmarkEnd w:id="451"/>
      <w:bookmarkEnd w:id="452"/>
      <w:bookmarkEnd w:id="453"/>
      <w:bookmarkEnd w:id="454"/>
      <w:bookmarkEnd w:id="455"/>
      <w:bookmarkEnd w:id="456"/>
      <w:bookmarkEnd w:id="457"/>
      <w:bookmarkEnd w:id="458"/>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2254"/>
        <w:gridCol w:w="2254"/>
        <w:gridCol w:w="2254"/>
      </w:tblGrid>
      <w:tr w:rsidR="00F0016B" w:rsidRPr="000A772A" w14:paraId="52509CB6" w14:textId="77777777" w:rsidTr="007B36EE">
        <w:trPr>
          <w:trHeight w:val="58"/>
        </w:trPr>
        <w:tc>
          <w:tcPr>
            <w:tcW w:w="2196" w:type="dxa"/>
            <w:shd w:val="clear" w:color="auto" w:fill="D6ECED"/>
            <w:noWrap/>
            <w:vAlign w:val="center"/>
            <w:hideMark/>
          </w:tcPr>
          <w:p w14:paraId="6141AF3C" w14:textId="77777777" w:rsidR="00F0016B" w:rsidRPr="009311A7" w:rsidRDefault="00F0016B" w:rsidP="001A58D8">
            <w:pPr>
              <w:spacing w:before="60" w:after="60"/>
              <w:jc w:val="center"/>
              <w:rPr>
                <w:rFonts w:cs="Arial"/>
                <w:b/>
                <w:color w:val="auto"/>
                <w:sz w:val="18"/>
                <w:lang w:eastAsia="en-AU"/>
              </w:rPr>
            </w:pPr>
            <w:r w:rsidRPr="009311A7">
              <w:rPr>
                <w:rFonts w:cs="Arial"/>
                <w:b/>
                <w:color w:val="auto"/>
                <w:sz w:val="18"/>
                <w:lang w:eastAsia="en-AU"/>
              </w:rPr>
              <w:t>Fee revenue source</w:t>
            </w:r>
          </w:p>
        </w:tc>
        <w:tc>
          <w:tcPr>
            <w:tcW w:w="2196" w:type="dxa"/>
            <w:shd w:val="clear" w:color="auto" w:fill="D6ECED"/>
          </w:tcPr>
          <w:p w14:paraId="2FEC83BD" w14:textId="77777777" w:rsidR="00F0016B" w:rsidRPr="009311A7" w:rsidRDefault="00F0016B" w:rsidP="001A58D8">
            <w:pPr>
              <w:spacing w:before="60" w:after="60"/>
              <w:jc w:val="center"/>
              <w:rPr>
                <w:rFonts w:cs="Arial"/>
                <w:b/>
                <w:color w:val="auto"/>
                <w:sz w:val="18"/>
                <w:lang w:eastAsia="en-AU"/>
              </w:rPr>
            </w:pPr>
            <w:r w:rsidRPr="009311A7">
              <w:rPr>
                <w:rFonts w:cs="Arial"/>
                <w:b/>
                <w:color w:val="auto"/>
                <w:sz w:val="18"/>
                <w:lang w:eastAsia="en-AU"/>
              </w:rPr>
              <w:t>Average cost</w:t>
            </w:r>
          </w:p>
        </w:tc>
        <w:tc>
          <w:tcPr>
            <w:tcW w:w="2196" w:type="dxa"/>
            <w:shd w:val="clear" w:color="auto" w:fill="D6ECED"/>
          </w:tcPr>
          <w:p w14:paraId="1F86B591" w14:textId="77777777" w:rsidR="00F0016B" w:rsidRPr="009311A7" w:rsidRDefault="00F0016B" w:rsidP="001A58D8">
            <w:pPr>
              <w:spacing w:before="60" w:after="60"/>
              <w:jc w:val="center"/>
              <w:rPr>
                <w:rFonts w:cs="Arial"/>
                <w:b/>
                <w:color w:val="auto"/>
                <w:sz w:val="18"/>
                <w:lang w:eastAsia="en-AU"/>
              </w:rPr>
            </w:pPr>
            <w:r w:rsidRPr="009311A7">
              <w:rPr>
                <w:rFonts w:cs="Arial"/>
                <w:b/>
                <w:color w:val="auto"/>
                <w:sz w:val="18"/>
                <w:lang w:eastAsia="en-AU"/>
              </w:rPr>
              <w:t>Average number of transactions (operators)</w:t>
            </w:r>
          </w:p>
        </w:tc>
        <w:tc>
          <w:tcPr>
            <w:tcW w:w="2196" w:type="dxa"/>
            <w:shd w:val="clear" w:color="auto" w:fill="D6ECED"/>
            <w:vAlign w:val="center"/>
            <w:hideMark/>
          </w:tcPr>
          <w:p w14:paraId="0DF02F3B" w14:textId="77777777" w:rsidR="00F0016B" w:rsidRPr="009311A7" w:rsidRDefault="00F0016B" w:rsidP="001A58D8">
            <w:pPr>
              <w:spacing w:before="60" w:after="60"/>
              <w:jc w:val="center"/>
              <w:rPr>
                <w:rFonts w:cs="Arial"/>
                <w:b/>
                <w:color w:val="auto"/>
                <w:sz w:val="18"/>
                <w:lang w:eastAsia="en-AU"/>
              </w:rPr>
            </w:pPr>
            <w:r w:rsidRPr="009311A7">
              <w:rPr>
                <w:rFonts w:cs="Arial"/>
                <w:b/>
                <w:color w:val="auto"/>
                <w:sz w:val="18"/>
                <w:lang w:eastAsia="en-AU"/>
              </w:rPr>
              <w:t>Estimated revenue 2019-2020</w:t>
            </w:r>
          </w:p>
        </w:tc>
      </w:tr>
      <w:tr w:rsidR="00F0016B" w:rsidRPr="000A772A" w14:paraId="2B385CF9" w14:textId="77777777" w:rsidTr="007B36EE">
        <w:trPr>
          <w:trHeight w:val="58"/>
        </w:trPr>
        <w:tc>
          <w:tcPr>
            <w:tcW w:w="2196" w:type="dxa"/>
            <w:shd w:val="clear" w:color="auto" w:fill="auto"/>
            <w:vAlign w:val="bottom"/>
            <w:hideMark/>
          </w:tcPr>
          <w:p w14:paraId="7998C762" w14:textId="77777777" w:rsidR="00F0016B" w:rsidRPr="009311A7" w:rsidRDefault="00F0016B" w:rsidP="001A58D8">
            <w:pPr>
              <w:spacing w:before="60" w:after="60"/>
              <w:rPr>
                <w:rFonts w:cs="Arial"/>
                <w:color w:val="000000"/>
                <w:sz w:val="18"/>
                <w:lang w:eastAsia="en-AU"/>
              </w:rPr>
            </w:pPr>
            <w:r w:rsidRPr="009311A7">
              <w:rPr>
                <w:rFonts w:cs="Arial"/>
                <w:color w:val="000000"/>
                <w:sz w:val="18"/>
                <w:lang w:eastAsia="en-AU"/>
              </w:rPr>
              <w:t>Assessment of accreditation application</w:t>
            </w:r>
          </w:p>
        </w:tc>
        <w:tc>
          <w:tcPr>
            <w:tcW w:w="2196" w:type="dxa"/>
            <w:vAlign w:val="center"/>
          </w:tcPr>
          <w:p w14:paraId="7525EF90" w14:textId="512B4F0D" w:rsidR="00F0016B" w:rsidRPr="009311A7" w:rsidRDefault="00F0016B" w:rsidP="001A58D8">
            <w:pPr>
              <w:spacing w:before="60" w:after="60"/>
              <w:jc w:val="center"/>
              <w:rPr>
                <w:rFonts w:cs="Arial"/>
                <w:color w:val="000000"/>
                <w:sz w:val="18"/>
                <w:lang w:eastAsia="en-AU"/>
              </w:rPr>
            </w:pPr>
            <w:r w:rsidRPr="009311A7">
              <w:rPr>
                <w:rFonts w:cs="Arial"/>
                <w:color w:val="000000"/>
                <w:sz w:val="18"/>
                <w:lang w:eastAsia="en-AU"/>
              </w:rPr>
              <w:t>$</w:t>
            </w:r>
            <w:r w:rsidR="00947594">
              <w:rPr>
                <w:rFonts w:cs="Arial"/>
                <w:color w:val="000000"/>
                <w:sz w:val="18"/>
                <w:lang w:eastAsia="en-AU"/>
              </w:rPr>
              <w:t>3010.75</w:t>
            </w:r>
          </w:p>
        </w:tc>
        <w:tc>
          <w:tcPr>
            <w:tcW w:w="2196" w:type="dxa"/>
            <w:vAlign w:val="center"/>
          </w:tcPr>
          <w:p w14:paraId="4B6455FB" w14:textId="77777777" w:rsidR="00F0016B" w:rsidRPr="009311A7" w:rsidRDefault="00F0016B" w:rsidP="001A58D8">
            <w:pPr>
              <w:spacing w:before="60" w:after="60"/>
              <w:jc w:val="center"/>
              <w:rPr>
                <w:rFonts w:cs="Arial"/>
                <w:color w:val="000000"/>
                <w:sz w:val="18"/>
                <w:lang w:eastAsia="en-AU"/>
              </w:rPr>
            </w:pPr>
            <w:r w:rsidRPr="009311A7">
              <w:rPr>
                <w:rFonts w:cs="Arial"/>
                <w:color w:val="000000"/>
                <w:sz w:val="18"/>
                <w:lang w:eastAsia="en-AU"/>
              </w:rPr>
              <w:t>40</w:t>
            </w:r>
          </w:p>
        </w:tc>
        <w:tc>
          <w:tcPr>
            <w:tcW w:w="2196" w:type="dxa"/>
            <w:shd w:val="clear" w:color="auto" w:fill="auto"/>
            <w:noWrap/>
            <w:vAlign w:val="center"/>
            <w:hideMark/>
          </w:tcPr>
          <w:p w14:paraId="634362F6" w14:textId="26E31E01" w:rsidR="00F0016B" w:rsidRPr="009311A7" w:rsidRDefault="00F0016B" w:rsidP="001A58D8">
            <w:pPr>
              <w:spacing w:before="60" w:after="60"/>
              <w:jc w:val="center"/>
              <w:rPr>
                <w:rFonts w:cs="Arial"/>
                <w:color w:val="000000"/>
                <w:sz w:val="18"/>
                <w:lang w:eastAsia="en-AU"/>
              </w:rPr>
            </w:pPr>
            <w:r w:rsidRPr="009311A7">
              <w:rPr>
                <w:rFonts w:cs="Arial"/>
                <w:color w:val="000000"/>
                <w:sz w:val="18"/>
                <w:lang w:eastAsia="en-AU"/>
              </w:rPr>
              <w:t>$1</w:t>
            </w:r>
            <w:r w:rsidR="00F50DAB">
              <w:rPr>
                <w:rFonts w:cs="Arial"/>
                <w:color w:val="000000"/>
                <w:sz w:val="18"/>
                <w:lang w:eastAsia="en-AU"/>
              </w:rPr>
              <w:t>20</w:t>
            </w:r>
            <w:r w:rsidRPr="009311A7">
              <w:rPr>
                <w:rFonts w:cs="Arial"/>
                <w:color w:val="000000"/>
                <w:sz w:val="18"/>
                <w:lang w:eastAsia="en-AU"/>
              </w:rPr>
              <w:t>,</w:t>
            </w:r>
            <w:r w:rsidR="00F50DAB">
              <w:rPr>
                <w:rFonts w:cs="Arial"/>
                <w:color w:val="000000"/>
                <w:sz w:val="18"/>
                <w:lang w:eastAsia="en-AU"/>
              </w:rPr>
              <w:t>430</w:t>
            </w:r>
          </w:p>
        </w:tc>
      </w:tr>
    </w:tbl>
    <w:p w14:paraId="2C537BA0" w14:textId="53B75A33" w:rsidR="00F0016B" w:rsidRDefault="00F0016B" w:rsidP="00F0016B">
      <w:r>
        <w:t xml:space="preserve">The estimates of </w:t>
      </w:r>
      <w:r w:rsidR="005E21DB">
        <w:t xml:space="preserve">total </w:t>
      </w:r>
      <w:r>
        <w:t xml:space="preserve">costs include indirect costs incurred by TSV that are attributable to the administration of the Bus Safety Act and Regulations. These indirect costs include occupancy and office expenses, professional and legal costs, IT systems and the cost of staff across different regulatory functions. DoT has used the pro-rata method to allocate indirect costs to the total cost of regulating for bus safety. DoT has used the proportion of TSV staff engaged to fulfil the bus safety </w:t>
      </w:r>
      <w:r>
        <w:lastRenderedPageBreak/>
        <w:t>regulatory function as the proxy for apportioning the indirect costs. In 2018-19, TSV was also responsible for administering other regulatory schemes. This includes:</w:t>
      </w:r>
    </w:p>
    <w:p w14:paraId="19BA6153" w14:textId="77777777" w:rsidR="00F0016B" w:rsidRPr="00693DFF" w:rsidRDefault="00F0016B" w:rsidP="00842F5A">
      <w:pPr>
        <w:pStyle w:val="ListParagraph"/>
        <w:numPr>
          <w:ilvl w:val="0"/>
          <w:numId w:val="36"/>
        </w:numPr>
        <w:rPr>
          <w:rFonts w:asciiTheme="minorHAnsi" w:hAnsiTheme="minorHAnsi" w:cstheme="minorHAnsi"/>
          <w:color w:val="auto"/>
          <w:sz w:val="20"/>
          <w:szCs w:val="20"/>
        </w:rPr>
      </w:pPr>
      <w:r>
        <w:rPr>
          <w:rFonts w:asciiTheme="minorHAnsi" w:hAnsiTheme="minorHAnsi" w:cstheme="minorHAnsi"/>
          <w:color w:val="auto"/>
          <w:sz w:val="20"/>
          <w:szCs w:val="20"/>
        </w:rPr>
        <w:t xml:space="preserve">acting under a service level agreement with the Office of the National Rail Safety Regulator (ONRSR) to administer the Rail Safety National Law in Victoria </w:t>
      </w:r>
    </w:p>
    <w:p w14:paraId="1E346979" w14:textId="77777777" w:rsidR="00F0016B" w:rsidRDefault="00F0016B" w:rsidP="00842F5A">
      <w:pPr>
        <w:pStyle w:val="ListParagraph"/>
        <w:numPr>
          <w:ilvl w:val="0"/>
          <w:numId w:val="36"/>
        </w:numPr>
        <w:rPr>
          <w:rFonts w:asciiTheme="minorHAnsi" w:hAnsiTheme="minorHAnsi" w:cstheme="minorHAnsi"/>
          <w:color w:val="auto"/>
          <w:sz w:val="20"/>
          <w:szCs w:val="20"/>
        </w:rPr>
      </w:pPr>
      <w:r>
        <w:rPr>
          <w:rFonts w:asciiTheme="minorHAnsi" w:hAnsiTheme="minorHAnsi" w:cstheme="minorHAnsi"/>
          <w:color w:val="auto"/>
          <w:sz w:val="20"/>
          <w:szCs w:val="20"/>
        </w:rPr>
        <w:t>r</w:t>
      </w:r>
      <w:r w:rsidRPr="00693DFF">
        <w:rPr>
          <w:rFonts w:asciiTheme="minorHAnsi" w:hAnsiTheme="minorHAnsi" w:cstheme="minorHAnsi"/>
          <w:color w:val="auto"/>
          <w:sz w:val="20"/>
          <w:szCs w:val="20"/>
        </w:rPr>
        <w:t>egulating</w:t>
      </w:r>
      <w:r>
        <w:rPr>
          <w:rFonts w:asciiTheme="minorHAnsi" w:hAnsiTheme="minorHAnsi" w:cstheme="minorHAnsi"/>
          <w:color w:val="auto"/>
          <w:sz w:val="20"/>
          <w:szCs w:val="20"/>
        </w:rPr>
        <w:t xml:space="preserve"> local rail operators (tram operators and certain tourist and heritage rail operators) under the Rail Safety (Local Operations) Act 2006</w:t>
      </w:r>
    </w:p>
    <w:p w14:paraId="5BBF02E6" w14:textId="77777777" w:rsidR="00F0016B" w:rsidRDefault="00F0016B" w:rsidP="00842F5A">
      <w:pPr>
        <w:pStyle w:val="ListParagraph"/>
        <w:numPr>
          <w:ilvl w:val="0"/>
          <w:numId w:val="36"/>
        </w:numPr>
        <w:rPr>
          <w:rFonts w:asciiTheme="minorHAnsi" w:hAnsiTheme="minorHAnsi" w:cstheme="minorHAnsi"/>
          <w:color w:val="auto"/>
          <w:sz w:val="20"/>
          <w:szCs w:val="20"/>
        </w:rPr>
      </w:pPr>
      <w:r>
        <w:rPr>
          <w:rFonts w:asciiTheme="minorHAnsi" w:hAnsiTheme="minorHAnsi" w:cstheme="minorHAnsi"/>
          <w:color w:val="auto"/>
          <w:sz w:val="20"/>
          <w:szCs w:val="20"/>
        </w:rPr>
        <w:t>acting as an agent of the Australian Maritime Safety Authority (AMSA) in administering the Domestic Commercial Vessel National Law in Victoria, and</w:t>
      </w:r>
    </w:p>
    <w:p w14:paraId="49DF1762" w14:textId="77777777" w:rsidR="00F0016B" w:rsidRDefault="00F0016B" w:rsidP="00842F5A">
      <w:pPr>
        <w:pStyle w:val="ListParagraph"/>
        <w:numPr>
          <w:ilvl w:val="0"/>
          <w:numId w:val="36"/>
        </w:numPr>
        <w:rPr>
          <w:rFonts w:asciiTheme="minorHAnsi" w:hAnsiTheme="minorHAnsi" w:cstheme="minorHAnsi"/>
          <w:color w:val="auto"/>
          <w:sz w:val="20"/>
          <w:szCs w:val="20"/>
        </w:rPr>
      </w:pPr>
      <w:r>
        <w:rPr>
          <w:rFonts w:asciiTheme="minorHAnsi" w:hAnsiTheme="minorHAnsi" w:cstheme="minorHAnsi"/>
          <w:color w:val="auto"/>
          <w:sz w:val="20"/>
          <w:szCs w:val="20"/>
        </w:rPr>
        <w:t>regulating local waterway managers, pilots and pilotage service providers, harbour masters and recreational boaters under the Marine Safety Act 2009.</w:t>
      </w:r>
    </w:p>
    <w:p w14:paraId="0E90DEAD" w14:textId="2DE00FF0" w:rsidR="00F0016B" w:rsidRDefault="004E3404" w:rsidP="00F0016B">
      <w:r>
        <w:t xml:space="preserve">There </w:t>
      </w:r>
      <w:r w:rsidR="008F1DEF">
        <w:t>is</w:t>
      </w:r>
      <w:r>
        <w:t xml:space="preserve"> </w:t>
      </w:r>
      <w:r w:rsidR="00F0016B">
        <w:t>21.3 per cent of TSV staff who are engaged to directly fulfil a regulatory function have a primary role in regulating bus safety. Accordingly, 21.3 per cent of indirect costs ($2.19 million) have been attributed to the costs to be considered in this RIS. DoT considers that the proportion of staff is an appropriate proxy as several indirect costs incurred are proportional to the level of staff engaged to fulfil bus safety regulatory functions (for example, occupancy and office costs and HR costs). In other cases, DoT considers that staff proportions provide a reasonable proxy for allocating indirect costs.</w:t>
      </w:r>
    </w:p>
    <w:p w14:paraId="66BB3EAE" w14:textId="77777777" w:rsidR="00F0016B" w:rsidRDefault="00F0016B" w:rsidP="0095677C">
      <w:pPr>
        <w:pStyle w:val="Heading4"/>
      </w:pPr>
      <w:r>
        <w:t>Assessment of efficiency of costs</w:t>
      </w:r>
    </w:p>
    <w:p w14:paraId="38607D04" w14:textId="77777777" w:rsidR="00F0016B" w:rsidRDefault="00F0016B" w:rsidP="00F0016B">
      <w:r>
        <w:t xml:space="preserve">DoT has conducted some analysis to determine whether TSV’s current costs are efficient. </w:t>
      </w:r>
    </w:p>
    <w:p w14:paraId="68A8DA31" w14:textId="77777777" w:rsidR="00F0016B" w:rsidRDefault="00F0016B" w:rsidP="00F0016B">
      <w:r>
        <w:t xml:space="preserve">DoT notes that the scope of the TSV’s functions has changed since 2018 which may affect the degree to which the costs of regulation are efficient: </w:t>
      </w:r>
    </w:p>
    <w:p w14:paraId="30C77E8A" w14:textId="77777777" w:rsidR="00F0016B" w:rsidRPr="00BB0B2D" w:rsidRDefault="00F0016B" w:rsidP="00842F5A">
      <w:pPr>
        <w:pStyle w:val="ListParagraph"/>
        <w:numPr>
          <w:ilvl w:val="0"/>
          <w:numId w:val="36"/>
        </w:numPr>
        <w:rPr>
          <w:rFonts w:asciiTheme="minorHAnsi" w:hAnsiTheme="minorHAnsi" w:cstheme="minorHAnsi"/>
          <w:color w:val="auto"/>
          <w:sz w:val="20"/>
          <w:szCs w:val="20"/>
        </w:rPr>
      </w:pPr>
      <w:r w:rsidRPr="00BB0B2D">
        <w:rPr>
          <w:rFonts w:asciiTheme="minorHAnsi" w:hAnsiTheme="minorHAnsi" w:cstheme="minorHAnsi"/>
          <w:color w:val="auto"/>
          <w:sz w:val="20"/>
          <w:szCs w:val="20"/>
        </w:rPr>
        <w:t xml:space="preserve">Since 2018, TSV has no longer been responsible for the regulation of domestic commercial vessels. AMSA is now directly responsible for administering the Domestic Commercial Vessel National Law in Victoria. </w:t>
      </w:r>
    </w:p>
    <w:p w14:paraId="704E4DD2" w14:textId="77777777" w:rsidR="00F0016B" w:rsidRPr="00BB0B2D" w:rsidRDefault="00F0016B" w:rsidP="00842F5A">
      <w:pPr>
        <w:pStyle w:val="ListParagraph"/>
        <w:numPr>
          <w:ilvl w:val="0"/>
          <w:numId w:val="36"/>
        </w:numPr>
        <w:rPr>
          <w:rFonts w:asciiTheme="minorHAnsi" w:hAnsiTheme="minorHAnsi" w:cstheme="minorHAnsi"/>
          <w:color w:val="auto"/>
          <w:sz w:val="20"/>
          <w:szCs w:val="20"/>
        </w:rPr>
      </w:pPr>
      <w:r w:rsidRPr="00BB0B2D">
        <w:rPr>
          <w:rFonts w:asciiTheme="minorHAnsi" w:hAnsiTheme="minorHAnsi" w:cstheme="minorHAnsi"/>
          <w:color w:val="auto"/>
          <w:sz w:val="20"/>
          <w:szCs w:val="20"/>
        </w:rPr>
        <w:t xml:space="preserve">In 2019, legislation provided the transition of the local rail operators to the national rail safety scheme and that the ONRSR was directly responsible for regulating all rail operators. </w:t>
      </w:r>
    </w:p>
    <w:p w14:paraId="070C5B64" w14:textId="3AF31475" w:rsidR="00F0016B" w:rsidRDefault="00F0016B" w:rsidP="00F0016B">
      <w:r>
        <w:t>As a result of these changes, TSV staff previously employed to fulfil rail safety and domestic commercial vessel safety regulatory functions have transferred to the respective national regulators. These changes may also affect the level of indirect costs that are needed to support TSV’s remaining functions. Since costs are estimated based on actual costs incurred in the 2018-19 financial year, any such changes may not be fully reflected in the cost estimates. There may be further adjustments to indirect costs in future years to reflect the size of the organisation and the scope and function of the regulator. These changes would suggest that the total costs of regulation as estimated in this RIS may not be efficient.</w:t>
      </w:r>
    </w:p>
    <w:p w14:paraId="001AC69A" w14:textId="77777777" w:rsidR="00F0016B" w:rsidRDefault="00F0016B" w:rsidP="00F0016B">
      <w:r>
        <w:t xml:space="preserve">Other possible legislative reforms may also affect the scope and role of the Bus Safety Branch of TSV and, therefore, the total costs of regulation. There are reform proposals canvassed by DoT, other government agencies, such as the Red Tape Commissioner and the Cross-Border Commissioner, and industry which would increase or decrease the level of regulatory services provided by TSV. For example, responsibility for the bus driver accreditation scheme, which is currently administered by the commercial passenger vehicles regulator, could be transferred to TSV. Other examples including changes to the operator accreditation and registration schemes to address emerging issues and risks such as the use of mini-buses by commercial bus operators. No decision has been made by the Government in respect of these proposals yet. </w:t>
      </w:r>
    </w:p>
    <w:p w14:paraId="1E41A90F" w14:textId="1A64ADD7" w:rsidR="00F0016B" w:rsidRPr="00102888" w:rsidRDefault="00F0016B" w:rsidP="00F0016B">
      <w:r>
        <w:t>DoT has identified some factors which would suggest that the regulatory cost base is not entirely efficient and may change in future years. For this reason, DoT will consider options in relation to setting fees to seek the public’s views and feedback on different fee models</w:t>
      </w:r>
      <w:r w:rsidR="007913DD">
        <w:t>. However,</w:t>
      </w:r>
      <w:r>
        <w:t xml:space="preserve"> DoT is recommending that the regulatory fee structure and levels do not change at this time.</w:t>
      </w:r>
    </w:p>
    <w:p w14:paraId="57FF773F" w14:textId="77777777" w:rsidR="00F0016B" w:rsidRPr="00C2185B" w:rsidRDefault="00F0016B" w:rsidP="00F0016B">
      <w:pPr>
        <w:pStyle w:val="Heading3"/>
      </w:pPr>
      <w:bookmarkStart w:id="459" w:name="_Toc45704350"/>
      <w:r w:rsidRPr="00C2185B">
        <w:t>The base case</w:t>
      </w:r>
      <w:bookmarkEnd w:id="459"/>
    </w:p>
    <w:p w14:paraId="7E8E8918" w14:textId="7D3DD901" w:rsidR="00F0016B" w:rsidRPr="004E09F9" w:rsidRDefault="00F0016B" w:rsidP="00F0016B">
      <w:r w:rsidRPr="00C2185B">
        <w:t xml:space="preserve">The adoption of the base case of no regulations would imply that taxpayers fully fund the estimated cost of bus safety regulation once the current regulations expire. The estimated cost associated with this is </w:t>
      </w:r>
      <w:r w:rsidRPr="00385C4D">
        <w:t>$</w:t>
      </w:r>
      <w:r w:rsidR="00385C4D">
        <w:t>4.48</w:t>
      </w:r>
      <w:r w:rsidR="00385C4D" w:rsidRPr="00C2185B">
        <w:t xml:space="preserve"> </w:t>
      </w:r>
      <w:r w:rsidRPr="00C2185B">
        <w:t xml:space="preserve">million per annum. DoT considers this to be the least efficient and equitable option </w:t>
      </w:r>
      <w:r w:rsidRPr="00C2185B">
        <w:lastRenderedPageBreak/>
        <w:t>available when compared with alternative options which seek to achieve some level of cost recovery from the regulated parties.</w:t>
      </w:r>
    </w:p>
    <w:p w14:paraId="654F6CAE" w14:textId="6DB8124A" w:rsidR="001846D5" w:rsidRPr="001846D5" w:rsidRDefault="001846D5" w:rsidP="001846D5">
      <w:r>
        <w:br w:type="page"/>
      </w:r>
    </w:p>
    <w:p w14:paraId="08364733" w14:textId="5B5BD949" w:rsidR="003C3B53" w:rsidRDefault="003C3B53" w:rsidP="003C3B53">
      <w:pPr>
        <w:pStyle w:val="Heading1"/>
      </w:pPr>
      <w:bookmarkStart w:id="460" w:name="_Ref43309294"/>
      <w:bookmarkStart w:id="461" w:name="_Toc45704351"/>
      <w:r>
        <w:lastRenderedPageBreak/>
        <w:t>Objectives</w:t>
      </w:r>
      <w:bookmarkEnd w:id="401"/>
      <w:bookmarkEnd w:id="460"/>
      <w:bookmarkEnd w:id="461"/>
    </w:p>
    <w:p w14:paraId="24DB79C0" w14:textId="0540666E" w:rsidR="0062392B" w:rsidRDefault="00B93B6F" w:rsidP="003C3B53">
      <w:r>
        <w:t>In considering</w:t>
      </w:r>
      <w:r w:rsidR="00CE21B2">
        <w:t xml:space="preserve"> what options are available to address the problems and issues identified in </w:t>
      </w:r>
      <w:r w:rsidR="00412F1A">
        <w:t xml:space="preserve">Section </w:t>
      </w:r>
      <w:r w:rsidR="00CE21B2">
        <w:t>3 of this RIS, it is important to have regard to the objectives of the regulatory scheme.</w:t>
      </w:r>
      <w:r w:rsidR="00FB6169">
        <w:t xml:space="preserve"> The objectives </w:t>
      </w:r>
      <w:r w:rsidR="0054626A">
        <w:t xml:space="preserve">will guide </w:t>
      </w:r>
      <w:r w:rsidR="00217C73">
        <w:t>the identification of options</w:t>
      </w:r>
      <w:r w:rsidR="00417BCE">
        <w:t>. T</w:t>
      </w:r>
      <w:r w:rsidR="0016660E">
        <w:t xml:space="preserve">he merits of the options will be informed by how well the options achieve the </w:t>
      </w:r>
      <w:r w:rsidR="00417BCE">
        <w:t xml:space="preserve">intended </w:t>
      </w:r>
      <w:r w:rsidR="0062392B">
        <w:t xml:space="preserve">outcomes. </w:t>
      </w:r>
    </w:p>
    <w:p w14:paraId="77E53C79" w14:textId="3ED9282F" w:rsidR="00E940F0" w:rsidRDefault="00460638" w:rsidP="00E940F0">
      <w:bookmarkStart w:id="462" w:name="_Hlk43462934"/>
      <w:r w:rsidRPr="00A23F17">
        <w:t xml:space="preserve">In making the proposed regulations, </w:t>
      </w:r>
      <w:r w:rsidR="00E940F0" w:rsidRPr="00A23F17">
        <w:t>DoT’s overarching objective</w:t>
      </w:r>
      <w:r w:rsidR="00417BCE">
        <w:t xml:space="preserve"> is to promote and improve the safety of bus services provided in Victoria while </w:t>
      </w:r>
      <w:r w:rsidR="00E940F0" w:rsidRPr="00A23F17">
        <w:t xml:space="preserve">minimising </w:t>
      </w:r>
      <w:r w:rsidR="00FF4555">
        <w:t xml:space="preserve">regulatory and compliance costs to </w:t>
      </w:r>
      <w:r w:rsidR="00E940F0" w:rsidRPr="00A23F17">
        <w:t>industry</w:t>
      </w:r>
      <w:r w:rsidR="00FF4555">
        <w:t xml:space="preserve"> and enabling effective enforcement of bus safety laws</w:t>
      </w:r>
      <w:r w:rsidR="00E940F0" w:rsidRPr="00A23F17">
        <w:t xml:space="preserve">. </w:t>
      </w:r>
    </w:p>
    <w:bookmarkEnd w:id="462"/>
    <w:p w14:paraId="2BE76187" w14:textId="149882C3" w:rsidR="008A1D75" w:rsidRDefault="008A1D75" w:rsidP="00E940F0">
      <w:r>
        <w:t>This overarching objective is explained below.</w:t>
      </w:r>
    </w:p>
    <w:p w14:paraId="39DD1C5A" w14:textId="03DAC1B1" w:rsidR="00A23F17" w:rsidRPr="00D811AE" w:rsidRDefault="00A23F17" w:rsidP="00E940F0">
      <w:pPr>
        <w:rPr>
          <w:b/>
          <w:bCs/>
        </w:rPr>
      </w:pPr>
      <w:r w:rsidRPr="00D811AE">
        <w:rPr>
          <w:b/>
          <w:bCs/>
        </w:rPr>
        <w:t>Safety</w:t>
      </w:r>
    </w:p>
    <w:p w14:paraId="7765A154" w14:textId="6CB5AD19" w:rsidR="0067677E" w:rsidRDefault="00A23F17" w:rsidP="0067677E">
      <w:r>
        <w:t>The primary purpose of the proposed regulations is to positively affect the safety of bus services. Promoting and improving safety to the ex</w:t>
      </w:r>
      <w:r w:rsidR="0067677E">
        <w:t>tent practicable</w:t>
      </w:r>
      <w:r>
        <w:t xml:space="preserve"> in this context</w:t>
      </w:r>
      <w:r w:rsidR="0067677E">
        <w:t xml:space="preserve"> entails: </w:t>
      </w:r>
    </w:p>
    <w:p w14:paraId="08AAEABA" w14:textId="77777777" w:rsidR="001A6F6C" w:rsidRPr="008A576A" w:rsidRDefault="0067677E"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minimising fatalities and serious injuries</w:t>
      </w:r>
      <w:r w:rsidR="001A6F6C" w:rsidRPr="008A576A">
        <w:rPr>
          <w:rFonts w:asciiTheme="minorHAnsi" w:eastAsiaTheme="minorHAnsi" w:hAnsiTheme="minorHAnsi" w:cstheme="minorBidi"/>
          <w:color w:val="000000" w:themeColor="text1"/>
          <w:sz w:val="20"/>
          <w:szCs w:val="18"/>
          <w:lang w:eastAsia="en-US"/>
        </w:rPr>
        <w:t xml:space="preserve"> of drivers and passengers of buses and other road users</w:t>
      </w:r>
    </w:p>
    <w:p w14:paraId="5F79118C" w14:textId="670C1295" w:rsidR="001A6F6C" w:rsidRPr="008A576A" w:rsidRDefault="001A6F6C"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 xml:space="preserve">minimising property damage </w:t>
      </w:r>
      <w:r w:rsidR="003604D3" w:rsidRPr="008A576A">
        <w:rPr>
          <w:rFonts w:asciiTheme="minorHAnsi" w:eastAsiaTheme="minorHAnsi" w:hAnsiTheme="minorHAnsi" w:cstheme="minorBidi"/>
          <w:color w:val="000000" w:themeColor="text1"/>
          <w:sz w:val="20"/>
          <w:szCs w:val="18"/>
          <w:lang w:eastAsia="en-US"/>
        </w:rPr>
        <w:t>arising</w:t>
      </w:r>
      <w:r w:rsidRPr="008A576A">
        <w:rPr>
          <w:rFonts w:asciiTheme="minorHAnsi" w:eastAsiaTheme="minorHAnsi" w:hAnsiTheme="minorHAnsi" w:cstheme="minorBidi"/>
          <w:color w:val="000000" w:themeColor="text1"/>
          <w:sz w:val="20"/>
          <w:szCs w:val="18"/>
          <w:lang w:eastAsia="en-US"/>
        </w:rPr>
        <w:t xml:space="preserve"> from incidents that involve buses, and</w:t>
      </w:r>
    </w:p>
    <w:p w14:paraId="22D0E914" w14:textId="0A2907A1" w:rsidR="0067677E" w:rsidRPr="008A576A" w:rsidRDefault="001A6F6C"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encouraging the active management of risks to safety</w:t>
      </w:r>
      <w:r w:rsidR="0067677E" w:rsidRPr="008A576A">
        <w:rPr>
          <w:rFonts w:asciiTheme="minorHAnsi" w:eastAsiaTheme="minorHAnsi" w:hAnsiTheme="minorHAnsi" w:cstheme="minorBidi"/>
          <w:color w:val="000000" w:themeColor="text1"/>
          <w:sz w:val="20"/>
          <w:szCs w:val="18"/>
          <w:lang w:eastAsia="en-US"/>
        </w:rPr>
        <w:t>.</w:t>
      </w:r>
    </w:p>
    <w:p w14:paraId="732AFECF" w14:textId="27809B99" w:rsidR="003C3B53" w:rsidRDefault="00180646" w:rsidP="003C3B53">
      <w:r>
        <w:t xml:space="preserve">The overarching objective is consistent with the objectives prescribed in the Bus Safety Act. The Bus Safety Act objectives </w:t>
      </w:r>
      <w:r w:rsidR="003C3B53">
        <w:t>are to promote:</w:t>
      </w:r>
    </w:p>
    <w:p w14:paraId="537E4EFF" w14:textId="77777777" w:rsidR="003C3B53" w:rsidRPr="008A576A" w:rsidRDefault="003C3B53"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the safety of bus services</w:t>
      </w:r>
    </w:p>
    <w:p w14:paraId="2FA979F5" w14:textId="77777777" w:rsidR="003C3B53" w:rsidRPr="008A576A" w:rsidRDefault="003C3B53"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the effective management of safety risks in bus services</w:t>
      </w:r>
    </w:p>
    <w:p w14:paraId="13B8865F" w14:textId="77777777" w:rsidR="003C3B53" w:rsidRPr="008A576A" w:rsidRDefault="003C3B53"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continuous improvement in bus safety management</w:t>
      </w:r>
    </w:p>
    <w:p w14:paraId="2907A03D" w14:textId="77777777" w:rsidR="003C3B53" w:rsidRPr="008A576A" w:rsidRDefault="003C3B53"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public confidence in the safety of the transport of passengers by bus</w:t>
      </w:r>
    </w:p>
    <w:p w14:paraId="249B00B4" w14:textId="4B327DE7" w:rsidR="003C3B53" w:rsidRPr="008A576A" w:rsidRDefault="003C3B53"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the involvement of relevant stakeholders in bus safety</w:t>
      </w:r>
      <w:r w:rsidR="00F85DC0" w:rsidRPr="008A576A">
        <w:rPr>
          <w:rFonts w:asciiTheme="minorHAnsi" w:eastAsiaTheme="minorHAnsi" w:hAnsiTheme="minorHAnsi" w:cstheme="minorBidi"/>
          <w:color w:val="000000" w:themeColor="text1"/>
          <w:sz w:val="20"/>
          <w:szCs w:val="18"/>
          <w:lang w:eastAsia="en-US"/>
        </w:rPr>
        <w:t>, and</w:t>
      </w:r>
    </w:p>
    <w:p w14:paraId="63687B25" w14:textId="0DF7F377" w:rsidR="006D574D" w:rsidRPr="008A576A" w:rsidRDefault="003C3B53"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a safety culture among persons who participate in the provision of bus services.</w:t>
      </w:r>
    </w:p>
    <w:p w14:paraId="597E5DEC" w14:textId="78482F8E" w:rsidR="00636C5C" w:rsidRPr="00D811AE" w:rsidRDefault="00636C5C" w:rsidP="003C3B53">
      <w:pPr>
        <w:rPr>
          <w:b/>
          <w:bCs/>
        </w:rPr>
      </w:pPr>
      <w:r w:rsidRPr="00D811AE">
        <w:rPr>
          <w:b/>
          <w:bCs/>
        </w:rPr>
        <w:t>Minimise regulator</w:t>
      </w:r>
      <w:r w:rsidR="00D811AE" w:rsidRPr="00D811AE">
        <w:rPr>
          <w:b/>
          <w:bCs/>
        </w:rPr>
        <w:t>y</w:t>
      </w:r>
      <w:r w:rsidRPr="00D811AE">
        <w:rPr>
          <w:b/>
          <w:bCs/>
        </w:rPr>
        <w:t xml:space="preserve"> burden</w:t>
      </w:r>
    </w:p>
    <w:p w14:paraId="75E8B728" w14:textId="6AE75C12" w:rsidR="00631B36" w:rsidRDefault="0068687A" w:rsidP="003C3B53">
      <w:r>
        <w:t xml:space="preserve">There are other </w:t>
      </w:r>
      <w:r w:rsidR="004C2115">
        <w:t>broader government objectives which are relevant to</w:t>
      </w:r>
      <w:r w:rsidR="00066BAE">
        <w:t xml:space="preserve"> the regulatory proposal.</w:t>
      </w:r>
      <w:r w:rsidR="004C2115">
        <w:t xml:space="preserve"> </w:t>
      </w:r>
      <w:r w:rsidR="00B62F44">
        <w:t xml:space="preserve">In achieving the </w:t>
      </w:r>
      <w:r w:rsidR="00F740A2">
        <w:t xml:space="preserve">safety </w:t>
      </w:r>
      <w:r w:rsidR="00B62F44">
        <w:t>objective</w:t>
      </w:r>
      <w:r w:rsidR="006B5A00">
        <w:t xml:space="preserve"> identified</w:t>
      </w:r>
      <w:r w:rsidR="00B62F44">
        <w:t xml:space="preserve"> above, the regulations should also aim to</w:t>
      </w:r>
      <w:r w:rsidR="0010756D">
        <w:t xml:space="preserve"> minimis</w:t>
      </w:r>
      <w:r w:rsidR="00B62F44">
        <w:t>e</w:t>
      </w:r>
      <w:r w:rsidR="00631B36">
        <w:t xml:space="preserve"> regulatory burden</w:t>
      </w:r>
      <w:r w:rsidR="000C53A6">
        <w:t xml:space="preserve"> on industry participants</w:t>
      </w:r>
      <w:r w:rsidR="00631B36">
        <w:t>.</w:t>
      </w:r>
      <w:r w:rsidR="000C53A6">
        <w:t xml:space="preserve"> In terms of bus operations, th</w:t>
      </w:r>
      <w:r w:rsidR="000E2D0B">
        <w:t xml:space="preserve">e intended outcomes are that the </w:t>
      </w:r>
      <w:r w:rsidR="006E0E4F">
        <w:t xml:space="preserve">compliance, administrative and delay </w:t>
      </w:r>
      <w:r w:rsidR="000E2D0B">
        <w:t>cost</w:t>
      </w:r>
      <w:r w:rsidR="006E0E4F">
        <w:t>s</w:t>
      </w:r>
      <w:r w:rsidR="000E2D0B">
        <w:t xml:space="preserve"> </w:t>
      </w:r>
      <w:r w:rsidR="006E0E4F">
        <w:t xml:space="preserve">associated with implementing a proposed regulatory solution are the lowest necessary to achieve the primary safety objective. </w:t>
      </w:r>
      <w:r w:rsidR="000C53A6">
        <w:t xml:space="preserve"> </w:t>
      </w:r>
      <w:r w:rsidR="00631B36">
        <w:t xml:space="preserve"> </w:t>
      </w:r>
    </w:p>
    <w:p w14:paraId="65D56FF6" w14:textId="3C6B455D" w:rsidR="008B2729" w:rsidRPr="00D811AE" w:rsidRDefault="008B2729" w:rsidP="003C3B53">
      <w:pPr>
        <w:rPr>
          <w:b/>
          <w:bCs/>
        </w:rPr>
      </w:pPr>
      <w:r w:rsidRPr="00D811AE">
        <w:rPr>
          <w:b/>
          <w:bCs/>
        </w:rPr>
        <w:t>Effective and efficien</w:t>
      </w:r>
      <w:r w:rsidR="005E21DB">
        <w:rPr>
          <w:b/>
          <w:bCs/>
        </w:rPr>
        <w:t>t</w:t>
      </w:r>
      <w:r w:rsidRPr="00D811AE">
        <w:rPr>
          <w:b/>
          <w:bCs/>
        </w:rPr>
        <w:t xml:space="preserve"> compliance monitoring and enforcement</w:t>
      </w:r>
    </w:p>
    <w:p w14:paraId="61BB1314" w14:textId="4568525E" w:rsidR="00A91B8A" w:rsidRDefault="00722C35" w:rsidP="003C3B53">
      <w:r>
        <w:t>Additionally</w:t>
      </w:r>
      <w:r w:rsidR="008F5EB2">
        <w:t xml:space="preserve">, </w:t>
      </w:r>
      <w:r w:rsidR="0020136E">
        <w:t xml:space="preserve">any </w:t>
      </w:r>
      <w:r w:rsidR="008F5EB2">
        <w:t xml:space="preserve">proposed regulations to complement the bus safety scheme under the </w:t>
      </w:r>
      <w:r w:rsidR="00F716A7">
        <w:t xml:space="preserve">Bus Safety Act </w:t>
      </w:r>
      <w:r w:rsidR="00CE4415">
        <w:t>should</w:t>
      </w:r>
      <w:r w:rsidR="008F5EB2">
        <w:t xml:space="preserve"> support the efficient and effective compliance monitoring and enforcement of bus safety laws.</w:t>
      </w:r>
      <w:r w:rsidR="00D84CE6">
        <w:t xml:space="preserve"> This means that the regulator</w:t>
      </w:r>
      <w:r w:rsidR="00A56659">
        <w:t>, TSV,</w:t>
      </w:r>
      <w:r w:rsidR="00D84CE6">
        <w:t xml:space="preserve"> and </w:t>
      </w:r>
      <w:r w:rsidR="00A56659">
        <w:t>its officers, T</w:t>
      </w:r>
      <w:r w:rsidR="00D84CE6">
        <w:t xml:space="preserve">ransport </w:t>
      </w:r>
      <w:r w:rsidR="00A56659">
        <w:t>S</w:t>
      </w:r>
      <w:r w:rsidR="00D84CE6">
        <w:t xml:space="preserve">afety </w:t>
      </w:r>
      <w:r w:rsidR="00A56659">
        <w:t>O</w:t>
      </w:r>
      <w:r w:rsidR="00D84CE6">
        <w:t>fficers</w:t>
      </w:r>
      <w:r w:rsidR="00A56659">
        <w:t>,</w:t>
      </w:r>
      <w:r w:rsidR="00D84CE6">
        <w:t xml:space="preserve"> should have the appropriate regulatory powers</w:t>
      </w:r>
      <w:r w:rsidR="0010756D">
        <w:t xml:space="preserve"> and information</w:t>
      </w:r>
      <w:r w:rsidR="00D84CE6">
        <w:t xml:space="preserve"> to </w:t>
      </w:r>
      <w:r w:rsidR="00807311">
        <w:t xml:space="preserve">be able to conduct compliance monitoring and enforcement </w:t>
      </w:r>
      <w:r w:rsidR="00BE794B">
        <w:t xml:space="preserve">in a manner </w:t>
      </w:r>
      <w:r w:rsidR="0034276A">
        <w:t>that supports the primary safety objective</w:t>
      </w:r>
      <w:r w:rsidR="007329C8">
        <w:t>. Compliance monitoring and enforcement should be undertaken such that it imposes the minimum</w:t>
      </w:r>
      <w:r w:rsidR="00BE794B">
        <w:t xml:space="preserve"> burden on industry</w:t>
      </w:r>
      <w:r w:rsidR="008F08BD">
        <w:t>.</w:t>
      </w:r>
      <w:r w:rsidR="00BE794B">
        <w:t xml:space="preserve"> </w:t>
      </w:r>
    </w:p>
    <w:p w14:paraId="60A779DA" w14:textId="7F33ABAB" w:rsidR="003C3B53" w:rsidRDefault="003C3B53">
      <w:pPr>
        <w:spacing w:before="0" w:after="0"/>
        <w:rPr>
          <w:rFonts w:asciiTheme="majorHAnsi" w:eastAsiaTheme="majorEastAsia" w:hAnsiTheme="majorHAnsi" w:cstheme="majorBidi"/>
          <w:color w:val="16A3A7"/>
          <w:sz w:val="40"/>
          <w:szCs w:val="32"/>
        </w:rPr>
      </w:pPr>
    </w:p>
    <w:p w14:paraId="53365728" w14:textId="77777777" w:rsidR="004D11AD" w:rsidRDefault="004D11AD">
      <w:pPr>
        <w:spacing w:before="0" w:after="0"/>
      </w:pPr>
      <w:r>
        <w:br w:type="page"/>
      </w:r>
    </w:p>
    <w:p w14:paraId="3635EB8E" w14:textId="77777777" w:rsidR="00424A0C" w:rsidRDefault="00424A0C" w:rsidP="00424A0C">
      <w:pPr>
        <w:pStyle w:val="Heading1"/>
      </w:pPr>
      <w:bookmarkStart w:id="463" w:name="_Toc45704352"/>
      <w:r>
        <w:lastRenderedPageBreak/>
        <w:t>The base case</w:t>
      </w:r>
      <w:bookmarkEnd w:id="463"/>
    </w:p>
    <w:p w14:paraId="4D9A861E" w14:textId="77777777" w:rsidR="00424A0C" w:rsidRPr="00E23146" w:rsidRDefault="00424A0C" w:rsidP="00424A0C">
      <w:r w:rsidRPr="00E23146">
        <w:t xml:space="preserve">The </w:t>
      </w:r>
      <w:r w:rsidRPr="00112AE2">
        <w:rPr>
          <w:i/>
          <w:iCs/>
        </w:rPr>
        <w:t>Victorian Guide to Regulation</w:t>
      </w:r>
      <w:r w:rsidRPr="00E23146">
        <w:t xml:space="preserve"> requires that for new regulations or for regulations which are sunsetting, </w:t>
      </w:r>
      <w:r>
        <w:t xml:space="preserve">the </w:t>
      </w:r>
      <w:r w:rsidRPr="00E23146">
        <w:t>RIS</w:t>
      </w:r>
      <w:r>
        <w:t xml:space="preserve"> </w:t>
      </w:r>
      <w:r w:rsidRPr="00E23146">
        <w:t>should assume “zero” or no regulations as being the base case against which the proposed regulations and</w:t>
      </w:r>
      <w:r>
        <w:t xml:space="preserve"> </w:t>
      </w:r>
      <w:r w:rsidRPr="00E23146">
        <w:t>feasible alternatives should be assessed.</w:t>
      </w:r>
    </w:p>
    <w:p w14:paraId="3C181D71" w14:textId="77777777" w:rsidR="00424A0C" w:rsidRDefault="00424A0C" w:rsidP="00424A0C">
      <w:r>
        <w:t xml:space="preserve">The discussions on options are considered on the basis of several contributing factors to the safety of bus operators in Victoria. </w:t>
      </w:r>
    </w:p>
    <w:p w14:paraId="3740330B" w14:textId="393A3372" w:rsidR="007E4C19" w:rsidRPr="00BC4492" w:rsidRDefault="00405086" w:rsidP="0095677C">
      <w:pPr>
        <w:pStyle w:val="Heading5"/>
      </w:pPr>
      <w:r w:rsidRPr="00BC4492">
        <w:t xml:space="preserve">General </w:t>
      </w:r>
      <w:r w:rsidR="00897037" w:rsidRPr="00BC4492">
        <w:t>s</w:t>
      </w:r>
      <w:r w:rsidRPr="00BC4492">
        <w:t xml:space="preserve">afety </w:t>
      </w:r>
      <w:r w:rsidR="00897037" w:rsidRPr="00BC4492">
        <w:t>d</w:t>
      </w:r>
      <w:r w:rsidRPr="00BC4492">
        <w:t xml:space="preserve">uties under the </w:t>
      </w:r>
      <w:r w:rsidR="00F716A7" w:rsidRPr="00BC4492">
        <w:t>Bus Safety Act</w:t>
      </w:r>
    </w:p>
    <w:p w14:paraId="042E4B26" w14:textId="08D46D31" w:rsidR="00424A0C" w:rsidRDefault="00424A0C" w:rsidP="00424A0C">
      <w:r>
        <w:t xml:space="preserve">Firstly, options are considered on the basis that, under the </w:t>
      </w:r>
      <w:r w:rsidR="00F716A7">
        <w:t>Bus Safety Act</w:t>
      </w:r>
      <w:r>
        <w:t>, duty holders already have general safety obligations imposed on that duty holder. The duty holders are:</w:t>
      </w:r>
    </w:p>
    <w:p w14:paraId="7F05B523" w14:textId="77777777" w:rsidR="00424A0C" w:rsidRPr="008A576A" w:rsidRDefault="00424A0C"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bus operators</w:t>
      </w:r>
    </w:p>
    <w:p w14:paraId="1902F2BC" w14:textId="77777777" w:rsidR="00424A0C" w:rsidRPr="008A576A" w:rsidRDefault="00424A0C"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bus safety workers (including drivers)</w:t>
      </w:r>
    </w:p>
    <w:p w14:paraId="2126C2E2" w14:textId="34257071" w:rsidR="00424A0C" w:rsidRPr="008A576A" w:rsidRDefault="00424A0C"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procurers</w:t>
      </w:r>
      <w:r w:rsidR="001D1BF9" w:rsidRPr="008A576A">
        <w:rPr>
          <w:rFonts w:asciiTheme="minorHAnsi" w:eastAsiaTheme="minorHAnsi" w:hAnsiTheme="minorHAnsi" w:cstheme="minorBidi"/>
          <w:color w:val="000000" w:themeColor="text1"/>
          <w:sz w:val="20"/>
          <w:szCs w:val="18"/>
          <w:lang w:eastAsia="en-US"/>
        </w:rPr>
        <w:t xml:space="preserve"> of bus services</w:t>
      </w:r>
      <w:r w:rsidRPr="008A576A">
        <w:rPr>
          <w:rFonts w:asciiTheme="minorHAnsi" w:eastAsiaTheme="minorHAnsi" w:hAnsiTheme="minorHAnsi" w:cstheme="minorBidi"/>
          <w:color w:val="000000" w:themeColor="text1"/>
          <w:sz w:val="20"/>
          <w:szCs w:val="18"/>
          <w:lang w:eastAsia="en-US"/>
        </w:rPr>
        <w:t xml:space="preserve"> </w:t>
      </w:r>
    </w:p>
    <w:p w14:paraId="670F0E7F" w14:textId="39C57913" w:rsidR="00424A0C" w:rsidRPr="008A576A" w:rsidRDefault="00424A0C"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persons who determine the location of, design, construct, install, modif</w:t>
      </w:r>
      <w:r w:rsidR="004673A2" w:rsidRPr="008A576A">
        <w:rPr>
          <w:rFonts w:asciiTheme="minorHAnsi" w:eastAsiaTheme="minorHAnsi" w:hAnsiTheme="minorHAnsi" w:cstheme="minorBidi"/>
          <w:color w:val="000000" w:themeColor="text1"/>
          <w:sz w:val="20"/>
          <w:szCs w:val="18"/>
          <w:lang w:eastAsia="en-US"/>
        </w:rPr>
        <w:t>y</w:t>
      </w:r>
      <w:r w:rsidRPr="008A576A">
        <w:rPr>
          <w:rFonts w:asciiTheme="minorHAnsi" w:eastAsiaTheme="minorHAnsi" w:hAnsiTheme="minorHAnsi" w:cstheme="minorBidi"/>
          <w:color w:val="000000" w:themeColor="text1"/>
          <w:sz w:val="20"/>
          <w:szCs w:val="18"/>
          <w:lang w:eastAsia="en-US"/>
        </w:rPr>
        <w:t xml:space="preserve"> or maintain bus stopping points or bus stop infrastructure.</w:t>
      </w:r>
    </w:p>
    <w:p w14:paraId="47AC1965" w14:textId="5FF5BB6E" w:rsidR="00424A0C" w:rsidRDefault="00424A0C" w:rsidP="00424A0C">
      <w:r>
        <w:t>Th</w:t>
      </w:r>
      <w:r w:rsidR="001D1BF9">
        <w:t>e</w:t>
      </w:r>
      <w:r w:rsidR="00FF7C4B">
        <w:t xml:space="preserve"> </w:t>
      </w:r>
      <w:r w:rsidR="00F716A7">
        <w:t>Bus Safety Act</w:t>
      </w:r>
      <w:r w:rsidR="00FF7C4B">
        <w:t xml:space="preserve"> </w:t>
      </w:r>
      <w:r>
        <w:t>requires duty holders to ensure safety</w:t>
      </w:r>
      <w:r w:rsidRPr="005F3A10">
        <w:t xml:space="preserve"> </w:t>
      </w:r>
      <w:r>
        <w:t>in a manner relevant to the circumstances of each duty holder. For example, bus operators and procurers must, so far as is reasonably practicable, ensure the safety of the bus service. A bus safety worker must take reasonable measures to ensure the safety of persons who may be affected by the acts or omissions of the bus safety worker. Persons who determine the location of, design, construct, install modify or maintains bus stopping points or bus stop infrastructure must ensure these points or infrastructure are safe.</w:t>
      </w:r>
    </w:p>
    <w:p w14:paraId="305709D0" w14:textId="685B8BBC" w:rsidR="00424A0C" w:rsidRDefault="00424A0C" w:rsidP="00424A0C">
      <w:r>
        <w:t xml:space="preserve">For this reason, in the base case it would be illegal to operate, or knowingly cause or allow a person to operate, an unsafe bus or bus service. The </w:t>
      </w:r>
      <w:r w:rsidR="00F716A7">
        <w:t>Bus Safety Act</w:t>
      </w:r>
      <w:r>
        <w:t xml:space="preserve"> provides that a bus, bus service, or bus stopping point or infrastructure is considered unsafe if its operation may endanger any person.</w:t>
      </w:r>
    </w:p>
    <w:p w14:paraId="16204D67" w14:textId="184AE65C" w:rsidR="00424A0C" w:rsidRDefault="00424A0C" w:rsidP="00424A0C">
      <w:r>
        <w:t xml:space="preserve">The </w:t>
      </w:r>
      <w:r w:rsidR="00112AE2">
        <w:t xml:space="preserve">general </w:t>
      </w:r>
      <w:r>
        <w:t>safety duties imply that each duty holder would need to take steps to identify and eliminate or manage the safety risks to the extent that the person has control over that risk. This includes, but is not limited to, ensuring that:</w:t>
      </w:r>
    </w:p>
    <w:p w14:paraId="70461DEA" w14:textId="77777777" w:rsidR="00424A0C" w:rsidRPr="008A576A" w:rsidRDefault="00424A0C"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the design and operation of the bus is safe</w:t>
      </w:r>
    </w:p>
    <w:p w14:paraId="4CF68E5F" w14:textId="5942117A" w:rsidR="00424A0C" w:rsidRPr="008A576A" w:rsidRDefault="00424A0C"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the right equipment is installed in a bus to minimise safety risks</w:t>
      </w:r>
      <w:r w:rsidR="001003B9" w:rsidRPr="008A576A">
        <w:rPr>
          <w:rFonts w:asciiTheme="minorHAnsi" w:eastAsiaTheme="minorHAnsi" w:hAnsiTheme="minorHAnsi" w:cstheme="minorBidi"/>
          <w:color w:val="000000" w:themeColor="text1"/>
          <w:sz w:val="20"/>
          <w:szCs w:val="18"/>
          <w:lang w:eastAsia="en-US"/>
        </w:rPr>
        <w:t>, and</w:t>
      </w:r>
      <w:r w:rsidRPr="008A576A">
        <w:rPr>
          <w:rFonts w:asciiTheme="minorHAnsi" w:eastAsiaTheme="minorHAnsi" w:hAnsiTheme="minorHAnsi" w:cstheme="minorBidi"/>
          <w:color w:val="000000" w:themeColor="text1"/>
          <w:sz w:val="20"/>
          <w:szCs w:val="18"/>
          <w:lang w:eastAsia="en-US"/>
        </w:rPr>
        <w:t xml:space="preserve"> </w:t>
      </w:r>
    </w:p>
    <w:p w14:paraId="29C0AFCD" w14:textId="77777777" w:rsidR="00424A0C" w:rsidRPr="008A576A" w:rsidRDefault="00424A0C"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policies and procedures are in place to address safety risks.</w:t>
      </w:r>
    </w:p>
    <w:p w14:paraId="6025046B" w14:textId="2A339EF4" w:rsidR="00424A0C" w:rsidRDefault="00424A0C" w:rsidP="00424A0C">
      <w:r>
        <w:t xml:space="preserve">However, given that compliance with the safety duties can be achieved in a number of different ways, general safety duties can give rise to uncertainty with ensuring compliance with the law. Bus operators and bus safety workers (including drivers) may be uncertain </w:t>
      </w:r>
      <w:r w:rsidR="006371CC">
        <w:t xml:space="preserve">as to </w:t>
      </w:r>
      <w:r>
        <w:t xml:space="preserve">whether their actions in relation to ensuring safety </w:t>
      </w:r>
      <w:r w:rsidR="00FE3B70">
        <w:t>so</w:t>
      </w:r>
      <w:r>
        <w:t xml:space="preserve"> far as is reasonably practicable is compliant with their</w:t>
      </w:r>
      <w:r w:rsidR="00BA67C1">
        <w:t xml:space="preserve"> general</w:t>
      </w:r>
      <w:r>
        <w:t xml:space="preserve"> safety duties under </w:t>
      </w:r>
      <w:r w:rsidR="00F716A7">
        <w:t>Bus Safety Act</w:t>
      </w:r>
      <w:r>
        <w:t xml:space="preserve">. </w:t>
      </w:r>
    </w:p>
    <w:p w14:paraId="17262544" w14:textId="12A6375F" w:rsidR="000E2864" w:rsidRDefault="00424A0C" w:rsidP="000E2864">
      <w:r>
        <w:t xml:space="preserve">The broad requirements under the </w:t>
      </w:r>
      <w:r w:rsidR="00F716A7">
        <w:t xml:space="preserve">Bus Safety Act </w:t>
      </w:r>
      <w:r>
        <w:t>relating to the responsibilities of duty holders to ensure safety means that there is scope for subjectivity and interpretation in the Safety Director’s assessment of how a duty holder is complying with their safety duties. The</w:t>
      </w:r>
      <w:r w:rsidR="00537085">
        <w:t xml:space="preserve"> Bus Safety Act</w:t>
      </w:r>
      <w:r>
        <w:t xml:space="preserve"> may not sufficiently cover specific actions or omissions which constitutes a contravention and may make it difficult for the Safety Director to proactively enforce. </w:t>
      </w:r>
    </w:p>
    <w:p w14:paraId="07275883" w14:textId="6BF227AD" w:rsidR="00424A0C" w:rsidRDefault="000E2864" w:rsidP="00424A0C">
      <w:r>
        <w:t xml:space="preserve">The general </w:t>
      </w:r>
      <w:r w:rsidR="00944B7A">
        <w:t xml:space="preserve">safety duties under the </w:t>
      </w:r>
      <w:r w:rsidR="00F716A7">
        <w:t xml:space="preserve">Bus Safety Act </w:t>
      </w:r>
      <w:r w:rsidR="00944B7A">
        <w:t xml:space="preserve">are similar to the duties under the </w:t>
      </w:r>
      <w:r w:rsidRPr="00903FEE">
        <w:rPr>
          <w:i/>
          <w:iCs/>
        </w:rPr>
        <w:t xml:space="preserve">Occupational </w:t>
      </w:r>
      <w:r w:rsidR="00944B7A" w:rsidRPr="00903FEE">
        <w:rPr>
          <w:i/>
          <w:iCs/>
        </w:rPr>
        <w:t>H</w:t>
      </w:r>
      <w:r w:rsidRPr="00903FEE">
        <w:rPr>
          <w:i/>
          <w:iCs/>
        </w:rPr>
        <w:t xml:space="preserve">ealth and </w:t>
      </w:r>
      <w:r w:rsidR="00944B7A" w:rsidRPr="00903FEE">
        <w:rPr>
          <w:i/>
          <w:iCs/>
        </w:rPr>
        <w:t>S</w:t>
      </w:r>
      <w:r w:rsidRPr="00903FEE">
        <w:rPr>
          <w:i/>
          <w:iCs/>
        </w:rPr>
        <w:t>afety</w:t>
      </w:r>
      <w:r w:rsidR="00944B7A" w:rsidRPr="00903FEE">
        <w:rPr>
          <w:i/>
          <w:iCs/>
        </w:rPr>
        <w:t xml:space="preserve"> Act 2004</w:t>
      </w:r>
      <w:r w:rsidR="00A308DF">
        <w:t xml:space="preserve"> (OHS Act)</w:t>
      </w:r>
      <w:r w:rsidR="00944B7A">
        <w:t>. The OHS Act, however, applies to workplaces, employers and employees</w:t>
      </w:r>
      <w:r w:rsidRPr="00D1332F">
        <w:t xml:space="preserve">. </w:t>
      </w:r>
      <w:r w:rsidR="00A308DF">
        <w:t xml:space="preserve">The </w:t>
      </w:r>
      <w:r w:rsidR="002E3EC3">
        <w:t xml:space="preserve">Bus Safety Act </w:t>
      </w:r>
      <w:r w:rsidR="00A308DF">
        <w:t xml:space="preserve">contains provisions to make clear that the OHS Act takes precedence if there is conduct that could breach the </w:t>
      </w:r>
      <w:r w:rsidR="00187C31">
        <w:t>requirements of both Acts.</w:t>
      </w:r>
    </w:p>
    <w:p w14:paraId="7D54AB7D" w14:textId="5C4FFA8E" w:rsidR="00405086" w:rsidRPr="008C2A55" w:rsidRDefault="000E2864" w:rsidP="0095677C">
      <w:pPr>
        <w:pStyle w:val="Heading5"/>
      </w:pPr>
      <w:r>
        <w:t xml:space="preserve">Road </w:t>
      </w:r>
      <w:r w:rsidR="00897037">
        <w:t>s</w:t>
      </w:r>
      <w:r>
        <w:t xml:space="preserve">afety </w:t>
      </w:r>
      <w:r w:rsidR="00897037">
        <w:t>l</w:t>
      </w:r>
      <w:r>
        <w:t>egislation</w:t>
      </w:r>
    </w:p>
    <w:p w14:paraId="7798114D" w14:textId="3FC105A3" w:rsidR="00D514BA" w:rsidRDefault="00424A0C" w:rsidP="00424A0C">
      <w:r>
        <w:t xml:space="preserve">DoT notes </w:t>
      </w:r>
      <w:r w:rsidR="008C2A55">
        <w:t>that</w:t>
      </w:r>
      <w:r>
        <w:t xml:space="preserve"> other regulatory arrangements</w:t>
      </w:r>
      <w:r w:rsidR="008C2A55">
        <w:t xml:space="preserve"> are</w:t>
      </w:r>
      <w:r>
        <w:t xml:space="preserve"> already in place that affect the </w:t>
      </w:r>
      <w:r w:rsidRPr="00D1332F">
        <w:t xml:space="preserve">safety of bus operations in Victoria. </w:t>
      </w:r>
      <w:r w:rsidR="00D51E5A">
        <w:t>R</w:t>
      </w:r>
      <w:r w:rsidRPr="00D1332F">
        <w:t>oad safety legislation affects the design of buses, driver standards (through</w:t>
      </w:r>
      <w:r w:rsidR="00D514BA">
        <w:t xml:space="preserve"> general driver</w:t>
      </w:r>
      <w:r w:rsidRPr="00D1332F">
        <w:t xml:space="preserve"> licensing) and their conduct on the road</w:t>
      </w:r>
      <w:r>
        <w:t>.</w:t>
      </w:r>
      <w:r w:rsidR="00D514BA">
        <w:t xml:space="preserve"> </w:t>
      </w:r>
      <w:r w:rsidR="00930E74">
        <w:t xml:space="preserve">The vehicle standards that apply to buses </w:t>
      </w:r>
      <w:r w:rsidR="002A13A5">
        <w:t xml:space="preserve">were </w:t>
      </w:r>
      <w:r w:rsidR="00930E74">
        <w:t xml:space="preserve">discussed in detail in </w:t>
      </w:r>
      <w:r w:rsidR="00213D86">
        <w:t xml:space="preserve">Section </w:t>
      </w:r>
      <w:r w:rsidR="00501BF9">
        <w:fldChar w:fldCharType="begin"/>
      </w:r>
      <w:r w:rsidR="00501BF9">
        <w:instrText xml:space="preserve"> REF _Ref43233914 \r \h </w:instrText>
      </w:r>
      <w:r w:rsidR="00501BF9">
        <w:fldChar w:fldCharType="separate"/>
      </w:r>
      <w:r w:rsidR="00277F6E">
        <w:t>3.3</w:t>
      </w:r>
      <w:r w:rsidR="00501BF9">
        <w:fldChar w:fldCharType="end"/>
      </w:r>
      <w:r w:rsidR="00930E74">
        <w:t>.</w:t>
      </w:r>
      <w:r>
        <w:t xml:space="preserve"> </w:t>
      </w:r>
    </w:p>
    <w:p w14:paraId="151FED27" w14:textId="0DA6EDD7" w:rsidR="00424A0C" w:rsidRDefault="00424A0C" w:rsidP="00424A0C">
      <w:r>
        <w:lastRenderedPageBreak/>
        <w:t xml:space="preserve">The base case therefore </w:t>
      </w:r>
      <w:r w:rsidR="00187C31">
        <w:t>includes these</w:t>
      </w:r>
      <w:r>
        <w:t xml:space="preserve"> regulatory requirements in place to mitigate</w:t>
      </w:r>
      <w:r w:rsidR="00187C31">
        <w:t xml:space="preserve"> general road</w:t>
      </w:r>
      <w:r>
        <w:t xml:space="preserve"> safety risks. These other regulatory requirements, however,</w:t>
      </w:r>
      <w:r w:rsidRPr="00D1332F">
        <w:t xml:space="preserve"> </w:t>
      </w:r>
      <w:r w:rsidR="009B15FC">
        <w:t xml:space="preserve">only </w:t>
      </w:r>
      <w:r w:rsidRPr="00D1332F">
        <w:t>have a partial coverage of the broad range of factors that determine overall bus safety performance.</w:t>
      </w:r>
      <w:r>
        <w:t xml:space="preserve"> It is important that any proposed regulations ensure any specific safety risks relevant to bus safety are comprehensively addressed and that these safety risks are able to the monitored and enforced by transport safety officers. </w:t>
      </w:r>
    </w:p>
    <w:p w14:paraId="534FB61C" w14:textId="6D38A674" w:rsidR="00886378" w:rsidRPr="00FB26AB" w:rsidRDefault="00380DCC" w:rsidP="0095677C">
      <w:pPr>
        <w:pStyle w:val="Heading5"/>
      </w:pPr>
      <w:r>
        <w:t>Market incentives</w:t>
      </w:r>
    </w:p>
    <w:p w14:paraId="04D9A206" w14:textId="6DBBD786" w:rsidR="00424A0C" w:rsidRDefault="00380DCC" w:rsidP="00424A0C">
      <w:r>
        <w:t>I</w:t>
      </w:r>
      <w:r w:rsidR="00424A0C">
        <w:t xml:space="preserve">n the absence of regulatory levers, there are still market </w:t>
      </w:r>
      <w:r w:rsidR="00424A0C" w:rsidRPr="00D1332F">
        <w:t xml:space="preserve">incentives for sound safety performance </w:t>
      </w:r>
      <w:r w:rsidR="00424A0C">
        <w:t>in many sectors of the bus industry. Some sectors of the bus industry (</w:t>
      </w:r>
      <w:r w:rsidR="003E28B0">
        <w:t>e</w:t>
      </w:r>
      <w:r w:rsidR="00BF79D7">
        <w:t>.g.</w:t>
      </w:r>
      <w:r w:rsidR="00424A0C">
        <w:t xml:space="preserve"> charter and tourists bus sectors) </w:t>
      </w:r>
      <w:r w:rsidR="00424A0C" w:rsidRPr="00D1332F">
        <w:t xml:space="preserve">face reputational risks if their services suffer from poor safety performance. These risks could be seen to motivate </w:t>
      </w:r>
      <w:r w:rsidR="00424A0C">
        <w:t>bus operators to</w:t>
      </w:r>
      <w:r w:rsidR="00424A0C" w:rsidRPr="00D1332F">
        <w:t xml:space="preserve"> ensure appropriate levels of safety.</w:t>
      </w:r>
    </w:p>
    <w:p w14:paraId="2AF308E7" w14:textId="4F804BA4" w:rsidR="00B449C6" w:rsidRDefault="00424A0C" w:rsidP="00424A0C">
      <w:r>
        <w:t xml:space="preserve">However, </w:t>
      </w:r>
      <w:r w:rsidR="007B68E4">
        <w:t>there may be factors which</w:t>
      </w:r>
      <w:r w:rsidR="002C777C">
        <w:t xml:space="preserve"> </w:t>
      </w:r>
      <w:r w:rsidR="00A4425F">
        <w:t>limit the effective</w:t>
      </w:r>
      <w:r w:rsidR="00A53122">
        <w:t>nes</w:t>
      </w:r>
      <w:r w:rsidR="00A4425F">
        <w:t>s of market incentives</w:t>
      </w:r>
      <w:r w:rsidRPr="00D1332F">
        <w:t xml:space="preserve">. Tourists from outside Victoria (and, especially, from outside Australia) are unlikely to have a strong awareness of the safety performance of different providers. </w:t>
      </w:r>
    </w:p>
    <w:p w14:paraId="2C298424" w14:textId="23FA27AF" w:rsidR="00424A0C" w:rsidRDefault="00CD6833" w:rsidP="00424A0C">
      <w:r>
        <w:t>In principle, bus service providers that face greater reputational risks if their services suffer poor safety performances</w:t>
      </w:r>
      <w:r w:rsidR="00B449C6">
        <w:t xml:space="preserve"> (e.g. tour and charter services)</w:t>
      </w:r>
      <w:r>
        <w:t xml:space="preserve"> are less </w:t>
      </w:r>
      <w:r w:rsidR="00E13103">
        <w:t xml:space="preserve">likely </w:t>
      </w:r>
      <w:r w:rsidR="00DC5553">
        <w:t>to experience</w:t>
      </w:r>
      <w:r w:rsidR="003823D1">
        <w:t xml:space="preserve"> a </w:t>
      </w:r>
      <w:r w:rsidR="00E13103">
        <w:t>deterioration of bus safety standards</w:t>
      </w:r>
      <w:r w:rsidR="00B449C6">
        <w:t xml:space="preserve"> </w:t>
      </w:r>
      <w:r w:rsidR="003823D1">
        <w:t xml:space="preserve">– </w:t>
      </w:r>
      <w:r w:rsidR="00B449C6">
        <w:t>and therefore an increase in bus safety incidents</w:t>
      </w:r>
      <w:r w:rsidR="003823D1">
        <w:t xml:space="preserve"> –</w:t>
      </w:r>
      <w:r w:rsidR="00E13103">
        <w:t xml:space="preserve"> </w:t>
      </w:r>
      <w:r>
        <w:t>in the absence of regulations.</w:t>
      </w:r>
      <w:r w:rsidR="00B449C6">
        <w:t xml:space="preserve"> In other words, there are still strong market incentives for this cohort of bus services</w:t>
      </w:r>
      <w:r w:rsidR="003823D1">
        <w:t xml:space="preserve"> to</w:t>
      </w:r>
      <w:r w:rsidR="00F1458C">
        <w:t xml:space="preserve"> maintain a high level of safety</w:t>
      </w:r>
      <w:r w:rsidR="00B449C6">
        <w:t>.</w:t>
      </w:r>
      <w:r>
        <w:t xml:space="preserve"> </w:t>
      </w:r>
      <w:r w:rsidR="00B449C6">
        <w:t>Bus</w:t>
      </w:r>
      <w:r>
        <w:t xml:space="preserve"> service providers that do not face the same reputational risks or risk</w:t>
      </w:r>
      <w:r w:rsidR="00F1458C">
        <w:t>s</w:t>
      </w:r>
      <w:r>
        <w:t xml:space="preserve"> of customers choosing an alternate bus service (e.g. local or courtesy bus services) may</w:t>
      </w:r>
      <w:r w:rsidR="00DC5553">
        <w:t xml:space="preserve"> experience a </w:t>
      </w:r>
      <w:r>
        <w:t>deterioration in their performance standards</w:t>
      </w:r>
      <w:r w:rsidR="00B449C6">
        <w:t xml:space="preserve"> (and therefore an increase in bus safety incidents) in the absence of regulations. </w:t>
      </w:r>
    </w:p>
    <w:p w14:paraId="7DF09D60" w14:textId="51A7FB85" w:rsidR="00B449C6" w:rsidRDefault="00B449C6" w:rsidP="00424A0C">
      <w:r w:rsidRPr="00D1332F">
        <w:t xml:space="preserve">More generally, </w:t>
      </w:r>
      <w:r w:rsidR="005F0D13">
        <w:t>however</w:t>
      </w:r>
      <w:r w:rsidR="00656F53">
        <w:t xml:space="preserve">, </w:t>
      </w:r>
      <w:r w:rsidRPr="00D1332F">
        <w:t>the relatively low level of bus</w:t>
      </w:r>
      <w:r>
        <w:t xml:space="preserve"> safety incidents </w:t>
      </w:r>
      <w:r w:rsidRPr="00D1332F">
        <w:t xml:space="preserve">means that it will be difficult in practice to discern which providers have better </w:t>
      </w:r>
      <w:r w:rsidR="00381B2A">
        <w:t>or</w:t>
      </w:r>
      <w:r w:rsidR="00381B2A" w:rsidRPr="00D1332F">
        <w:t xml:space="preserve"> </w:t>
      </w:r>
      <w:r w:rsidRPr="00D1332F">
        <w:t>worse performance standards.</w:t>
      </w:r>
    </w:p>
    <w:p w14:paraId="4FBF2940" w14:textId="34690ACA" w:rsidR="00424A0C" w:rsidRDefault="00424A0C" w:rsidP="00424A0C">
      <w:r>
        <w:t xml:space="preserve">With respect to records, there are no specific requirements to keep records under the </w:t>
      </w:r>
      <w:r w:rsidR="00F716A7">
        <w:t>Bus Safety Act</w:t>
      </w:r>
      <w:r>
        <w:t>. However</w:t>
      </w:r>
      <w:r w:rsidRPr="00CB6FD0">
        <w:t xml:space="preserve">, </w:t>
      </w:r>
      <w:r>
        <w:t>in the normal running of a bus service, there will still be incentives to maintain records, particular</w:t>
      </w:r>
      <w:r w:rsidR="00022BB7">
        <w:t>ly</w:t>
      </w:r>
      <w:r>
        <w:t xml:space="preserve"> in the case of commercial bus operators or operators from a large organisation. </w:t>
      </w:r>
      <w:r w:rsidRPr="00CB6FD0">
        <w:t>However, despite the incentives for</w:t>
      </w:r>
      <w:r>
        <w:t xml:space="preserve"> bus</w:t>
      </w:r>
      <w:r w:rsidRPr="00CB6FD0">
        <w:t xml:space="preserve"> service providers to maintain records, the</w:t>
      </w:r>
      <w:r>
        <w:t>se records may not be the same as those required by the regulator to fulfil its functions.</w:t>
      </w:r>
      <w:r w:rsidR="002E4A45">
        <w:t xml:space="preserve"> Some of these records will also be required to be kept for taxation purposes.</w:t>
      </w:r>
    </w:p>
    <w:p w14:paraId="6496514A" w14:textId="75090E2D" w:rsidR="002E4A45" w:rsidRPr="002E4A45" w:rsidRDefault="002E4A45" w:rsidP="0095677C">
      <w:pPr>
        <w:pStyle w:val="Heading5"/>
      </w:pPr>
      <w:r w:rsidRPr="002E4A45">
        <w:t>Government service contracts</w:t>
      </w:r>
    </w:p>
    <w:p w14:paraId="739E63B9" w14:textId="77777777" w:rsidR="00424A0C" w:rsidRDefault="00424A0C" w:rsidP="00424A0C">
      <w:r>
        <w:t>Finally, scheduled route bus services are provided in Victoria subject</w:t>
      </w:r>
      <w:r w:rsidRPr="00D1332F">
        <w:t xml:space="preserve"> to government contracts. Contracted providers receive</w:t>
      </w:r>
      <w:r>
        <w:t xml:space="preserve"> </w:t>
      </w:r>
      <w:r w:rsidRPr="00D1332F">
        <w:t xml:space="preserve">government subsidies </w:t>
      </w:r>
      <w:r>
        <w:t>to provide services to the community</w:t>
      </w:r>
      <w:r w:rsidRPr="00D1332F">
        <w:t xml:space="preserve">. </w:t>
      </w:r>
      <w:r>
        <w:t>This means that there are already contractual arrangements between the government and scheduled route bus services to implement safety standards, which would be detailed in written bus contracts</w:t>
      </w:r>
      <w:r w:rsidRPr="00D1332F">
        <w:t xml:space="preserve">. </w:t>
      </w:r>
    </w:p>
    <w:p w14:paraId="1E64AA7E" w14:textId="77777777" w:rsidR="00424A0C" w:rsidRPr="002C7EF9" w:rsidRDefault="00424A0C" w:rsidP="00424A0C">
      <w:r>
        <w:t xml:space="preserve">However, not all bus services are covered by written contractual arrangements with the government, such as commercial tour and charter bus services and other non-commercial services. </w:t>
      </w:r>
    </w:p>
    <w:p w14:paraId="20E3411A" w14:textId="58C52B60" w:rsidR="0082237C" w:rsidRPr="0082237C" w:rsidRDefault="0082237C" w:rsidP="0095677C">
      <w:pPr>
        <w:pStyle w:val="Heading5"/>
      </w:pPr>
      <w:r w:rsidRPr="0082237C">
        <w:t>Summary</w:t>
      </w:r>
    </w:p>
    <w:p w14:paraId="16ED6809" w14:textId="57FEF8AB" w:rsidR="00424A0C" w:rsidRDefault="00424A0C" w:rsidP="00424A0C">
      <w:r>
        <w:t xml:space="preserve">Taken together, DoT considers that any additional requirements should support the safety duties scheme under the </w:t>
      </w:r>
      <w:r w:rsidR="00F716A7">
        <w:t>Bus Safety Act</w:t>
      </w:r>
      <w:r>
        <w:t>, as well as covering any gaps that may exist in relation to existing regulatory schemes or private incentives relating to bus operations.</w:t>
      </w:r>
      <w:r w:rsidR="00F66FC6">
        <w:t xml:space="preserve"> Additional requirements through </w:t>
      </w:r>
      <w:r w:rsidR="00F134CF">
        <w:t>regulations</w:t>
      </w:r>
      <w:r w:rsidR="00F66FC6">
        <w:t xml:space="preserve"> may also be a necessary tool to allow for any identified problems to be resolved through criminal penalties, rather than through civil remedies.</w:t>
      </w:r>
    </w:p>
    <w:p w14:paraId="01801D46" w14:textId="4ADD3D32" w:rsidR="00424A0C" w:rsidRDefault="00424A0C" w:rsidP="00E072A5">
      <w:pPr>
        <w:rPr>
          <w:rFonts w:asciiTheme="majorHAnsi" w:eastAsiaTheme="majorEastAsia" w:hAnsiTheme="majorHAnsi" w:cstheme="majorBidi"/>
          <w:color w:val="16A3A7"/>
          <w:sz w:val="40"/>
          <w:szCs w:val="32"/>
        </w:rPr>
      </w:pPr>
      <w:r>
        <w:t>Where necessary, the base case for specific safety matters addressed in this RIS are discussed in more detail under its corresponding section in Section</w:t>
      </w:r>
      <w:r w:rsidR="00022BB7">
        <w:t xml:space="preserve"> </w:t>
      </w:r>
      <w:r w:rsidR="00022BB7">
        <w:fldChar w:fldCharType="begin"/>
      </w:r>
      <w:r w:rsidR="00022BB7">
        <w:instrText xml:space="preserve"> REF _Ref43234169 \r \h </w:instrText>
      </w:r>
      <w:r w:rsidR="00022BB7">
        <w:fldChar w:fldCharType="separate"/>
      </w:r>
      <w:r w:rsidR="00277F6E">
        <w:t>6</w:t>
      </w:r>
      <w:r w:rsidR="00022BB7">
        <w:fldChar w:fldCharType="end"/>
      </w:r>
      <w:r>
        <w:t>.</w:t>
      </w:r>
    </w:p>
    <w:p w14:paraId="045185B3" w14:textId="77777777" w:rsidR="0099722E" w:rsidRDefault="0099722E">
      <w:pPr>
        <w:spacing w:before="0" w:after="0"/>
        <w:rPr>
          <w:rFonts w:asciiTheme="majorHAnsi" w:eastAsiaTheme="majorEastAsia" w:hAnsiTheme="majorHAnsi" w:cstheme="majorBidi"/>
          <w:color w:val="16A3A7"/>
          <w:sz w:val="40"/>
          <w:szCs w:val="32"/>
        </w:rPr>
      </w:pPr>
      <w:bookmarkStart w:id="464" w:name="_Toc32909804"/>
      <w:bookmarkStart w:id="465" w:name="_Ref33106731"/>
      <w:bookmarkStart w:id="466" w:name="_Ref33106735"/>
      <w:bookmarkStart w:id="467" w:name="_Ref33106738"/>
      <w:r>
        <w:br w:type="page"/>
      </w:r>
    </w:p>
    <w:p w14:paraId="02840CD4" w14:textId="3D1907EB" w:rsidR="00153118" w:rsidRPr="00121A3F" w:rsidRDefault="00153118" w:rsidP="00153118">
      <w:pPr>
        <w:pStyle w:val="Heading1"/>
      </w:pPr>
      <w:bookmarkStart w:id="468" w:name="_Ref43234169"/>
      <w:bookmarkStart w:id="469" w:name="_Toc45704353"/>
      <w:r>
        <w:lastRenderedPageBreak/>
        <w:t xml:space="preserve">Identification of </w:t>
      </w:r>
      <w:r w:rsidR="00CA6F29">
        <w:t>feasible o</w:t>
      </w:r>
      <w:r>
        <w:t>ptions</w:t>
      </w:r>
      <w:bookmarkEnd w:id="464"/>
      <w:bookmarkEnd w:id="465"/>
      <w:bookmarkEnd w:id="466"/>
      <w:bookmarkEnd w:id="467"/>
      <w:bookmarkEnd w:id="468"/>
      <w:bookmarkEnd w:id="469"/>
      <w:r>
        <w:t xml:space="preserve"> </w:t>
      </w:r>
    </w:p>
    <w:p w14:paraId="318BEF54" w14:textId="6B968E5C" w:rsidR="00153118" w:rsidRPr="008A3DD5" w:rsidRDefault="00153118" w:rsidP="00153118">
      <w:r>
        <w:t>There are a number of interventions that government, its agencies</w:t>
      </w:r>
      <w:r w:rsidR="001F7983">
        <w:t xml:space="preserve">, </w:t>
      </w:r>
      <w:r>
        <w:t>bus operators</w:t>
      </w:r>
      <w:r w:rsidR="00A43171">
        <w:t xml:space="preserve"> and </w:t>
      </w:r>
      <w:r w:rsidR="000C4720">
        <w:t xml:space="preserve">bus </w:t>
      </w:r>
      <w:r w:rsidR="00A43171">
        <w:t>workers</w:t>
      </w:r>
      <w:r>
        <w:t xml:space="preserve"> could take to mitigate safety risks in the provision of bus services. </w:t>
      </w:r>
      <w:r w:rsidR="00986B9C">
        <w:t>Th</w:t>
      </w:r>
      <w:r w:rsidR="00BA2AB4">
        <w:t>is section</w:t>
      </w:r>
      <w:r w:rsidR="00986B9C">
        <w:t xml:space="preserve"> will identify options to address the problems and issues identified in earlier </w:t>
      </w:r>
      <w:r w:rsidR="00412F1A">
        <w:t xml:space="preserve">sections </w:t>
      </w:r>
      <w:r w:rsidR="00986B9C">
        <w:t>of this RIS</w:t>
      </w:r>
      <w:r>
        <w:t>.</w:t>
      </w:r>
    </w:p>
    <w:p w14:paraId="54A2BEF1" w14:textId="37E064F3" w:rsidR="00153118" w:rsidRDefault="006D1FE8" w:rsidP="00AF1E95">
      <w:pPr>
        <w:pStyle w:val="Heading2"/>
      </w:pPr>
      <w:bookmarkStart w:id="470" w:name="_Toc32909810"/>
      <w:bookmarkStart w:id="471" w:name="_Toc45704354"/>
      <w:r>
        <w:t>Vehicle safety</w:t>
      </w:r>
      <w:bookmarkEnd w:id="470"/>
      <w:bookmarkEnd w:id="471"/>
    </w:p>
    <w:p w14:paraId="35113E81" w14:textId="6CE59A75" w:rsidR="00DD11C8" w:rsidRDefault="00DD11C8" w:rsidP="00DD11C8">
      <w:r>
        <w:t xml:space="preserve">A prescriptive approach to </w:t>
      </w:r>
      <w:r w:rsidR="0051335D">
        <w:t>address the safety of</w:t>
      </w:r>
      <w:r w:rsidR="00083DD3">
        <w:t xml:space="preserve"> </w:t>
      </w:r>
      <w:r w:rsidR="002863B2">
        <w:t xml:space="preserve">a </w:t>
      </w:r>
      <w:r w:rsidR="00083DD3">
        <w:t>vehicle</w:t>
      </w:r>
      <w:r w:rsidR="00102FC6">
        <w:t xml:space="preserve"> </w:t>
      </w:r>
      <w:r>
        <w:t xml:space="preserve">is for regulations to prescribe the </w:t>
      </w:r>
      <w:r w:rsidR="00102FC6">
        <w:t xml:space="preserve">vehicle standards or </w:t>
      </w:r>
      <w:r>
        <w:t xml:space="preserve">equipment that must be used </w:t>
      </w:r>
      <w:r w:rsidR="00A55333">
        <w:t xml:space="preserve">to </w:t>
      </w:r>
      <w:r>
        <w:t xml:space="preserve">ensure the safety </w:t>
      </w:r>
      <w:r w:rsidR="00BC7278">
        <w:t xml:space="preserve">of a </w:t>
      </w:r>
      <w:r w:rsidR="00A55333">
        <w:t xml:space="preserve">vehicle used for </w:t>
      </w:r>
      <w:r w:rsidR="009C3D1C">
        <w:t xml:space="preserve">a </w:t>
      </w:r>
      <w:r w:rsidR="00A55333">
        <w:t>bus service</w:t>
      </w:r>
      <w:r>
        <w:t>.</w:t>
      </w:r>
      <w:r w:rsidRPr="00073C53">
        <w:t xml:space="preserve"> </w:t>
      </w:r>
      <w:r>
        <w:t>This approach</w:t>
      </w:r>
      <w:r w:rsidR="00805218">
        <w:t xml:space="preserve"> allows for targeting measures to be aimed at specific safety risks. For example,</w:t>
      </w:r>
      <w:r w:rsidR="006209BB">
        <w:t xml:space="preserve"> </w:t>
      </w:r>
      <w:r w:rsidR="00924AE0">
        <w:t xml:space="preserve">prescribing bus stability to avoid bus rollovers. </w:t>
      </w:r>
      <w:r w:rsidR="00210DCE">
        <w:t>Prescriptive regulations a</w:t>
      </w:r>
      <w:r>
        <w:t xml:space="preserve">lso </w:t>
      </w:r>
      <w:r w:rsidR="00D437EE">
        <w:t>allow</w:t>
      </w:r>
      <w:r>
        <w:t xml:space="preserve"> the Safety Director to objectively assess industry compliance with the regulations. The trade-off of this model is that it limits the market’s ability to implement efficient methods to address safety concerns.</w:t>
      </w:r>
    </w:p>
    <w:p w14:paraId="10D2113B" w14:textId="059F82A3" w:rsidR="00E821EC" w:rsidRDefault="00DD11C8" w:rsidP="00E821EC">
      <w:r>
        <w:t xml:space="preserve">Within the context of safety, it is important to note that there are already obligations under the safety duties scheme </w:t>
      </w:r>
      <w:r w:rsidR="00745E41">
        <w:t>in</w:t>
      </w:r>
      <w:r>
        <w:t xml:space="preserve"> the </w:t>
      </w:r>
      <w:r w:rsidR="00F716A7">
        <w:t>Bus Safety Act</w:t>
      </w:r>
      <w:r>
        <w:t xml:space="preserve">. The scheme is a broad general duties scheme which requires duty holders, including bus operators and bus procurers, to ensure the safety of the bus service, so far as is reasonably practicable. A bus safety worker must take reasonable measures to ensure the safety of persons who may be affected by the acts or omissions of the bus safety worker. These safety duties can be taken </w:t>
      </w:r>
      <w:r w:rsidR="00A55333">
        <w:t>as the base case for ensuring the vehicle is safe to provide a bus service.</w:t>
      </w:r>
      <w:r w:rsidR="00D10F0A">
        <w:t xml:space="preserve"> T</w:t>
      </w:r>
      <w:r w:rsidR="00E821EC">
        <w:t xml:space="preserve">he </w:t>
      </w:r>
      <w:r w:rsidR="004141A5">
        <w:t>Road Safety Act</w:t>
      </w:r>
      <w:r w:rsidR="00E821EC">
        <w:t xml:space="preserve"> and </w:t>
      </w:r>
      <w:r w:rsidR="00ED7FC1">
        <w:t>HVNL</w:t>
      </w:r>
      <w:r w:rsidR="00D10F0A">
        <w:t xml:space="preserve"> also</w:t>
      </w:r>
      <w:r w:rsidR="00E821EC">
        <w:t xml:space="preserve"> require buses to meet </w:t>
      </w:r>
      <w:r w:rsidR="004015F1">
        <w:t xml:space="preserve">minimum </w:t>
      </w:r>
      <w:r w:rsidR="00E821EC">
        <w:t>safety standards</w:t>
      </w:r>
      <w:r w:rsidR="008D4131">
        <w:t>.</w:t>
      </w:r>
    </w:p>
    <w:p w14:paraId="788EB3C4" w14:textId="1960FC77" w:rsidR="00E403FC" w:rsidRDefault="00DD11C8" w:rsidP="00DD11C8">
      <w:r>
        <w:t xml:space="preserve">Given the general safety duties under the </w:t>
      </w:r>
      <w:r w:rsidR="00F716A7">
        <w:t xml:space="preserve">Bus Safety Act </w:t>
      </w:r>
      <w:r w:rsidR="008D4131">
        <w:t>and existing legislative and regulatory measure</w:t>
      </w:r>
      <w:r w:rsidR="00E0323F">
        <w:t>s</w:t>
      </w:r>
      <w:r w:rsidR="008D4131">
        <w:t xml:space="preserve"> for vehicle safety</w:t>
      </w:r>
      <w:r w:rsidR="0030484D">
        <w:t xml:space="preserve"> (as discussed in Section </w:t>
      </w:r>
      <w:r w:rsidR="0030484D">
        <w:fldChar w:fldCharType="begin"/>
      </w:r>
      <w:r w:rsidR="0030484D">
        <w:instrText xml:space="preserve"> REF _Ref43269054 \r \h </w:instrText>
      </w:r>
      <w:r w:rsidR="0030484D">
        <w:fldChar w:fldCharType="separate"/>
      </w:r>
      <w:r w:rsidR="00277F6E">
        <w:t>3.3</w:t>
      </w:r>
      <w:r w:rsidR="0030484D">
        <w:fldChar w:fldCharType="end"/>
      </w:r>
      <w:r w:rsidR="0030484D">
        <w:t>)</w:t>
      </w:r>
      <w:r>
        <w:t xml:space="preserve">, the need for prescriptive regulations relating to specific safety measures is diminished. However, notwithstanding the safety duties scheme under the </w:t>
      </w:r>
      <w:r w:rsidR="00F716A7">
        <w:t>Bus Safety Act</w:t>
      </w:r>
      <w:r>
        <w:t xml:space="preserve">, there are instances where </w:t>
      </w:r>
      <w:r w:rsidR="00B37A98">
        <w:t xml:space="preserve">the </w:t>
      </w:r>
      <w:r>
        <w:t>prescription of specific safety measures may be justified</w:t>
      </w:r>
      <w:r w:rsidR="00662A7D">
        <w:t xml:space="preserve"> to ensure that duty holders comply with their safety duties and to minimise uncertainty relating to one’s obligations under the </w:t>
      </w:r>
      <w:r w:rsidR="00F716A7">
        <w:t>Bus Safety Act</w:t>
      </w:r>
      <w:r w:rsidR="00662A7D">
        <w:t>.</w:t>
      </w:r>
      <w:r>
        <w:t xml:space="preserve"> </w:t>
      </w:r>
    </w:p>
    <w:p w14:paraId="62D6FC40" w14:textId="27139908" w:rsidR="00DD11C8" w:rsidRDefault="00735FE2" w:rsidP="00DD11C8">
      <w:r>
        <w:t>In relation to vehicle safety, t</w:t>
      </w:r>
      <w:r w:rsidR="00DD11C8">
        <w:t xml:space="preserve">his may include specific measures relating to the design of a bus or specific devices or signs to be </w:t>
      </w:r>
      <w:r w:rsidR="00092850">
        <w:t xml:space="preserve">used or installed </w:t>
      </w:r>
      <w:r w:rsidR="00DD11C8">
        <w:t>on a bus.</w:t>
      </w:r>
      <w:r w:rsidR="00922372">
        <w:t xml:space="preserve"> </w:t>
      </w:r>
      <w:r w:rsidR="00FB19AF">
        <w:t xml:space="preserve">Prescribed </w:t>
      </w:r>
      <w:r w:rsidR="00684EE6">
        <w:t xml:space="preserve">bus </w:t>
      </w:r>
      <w:r w:rsidR="00FB19AF">
        <w:t xml:space="preserve">design </w:t>
      </w:r>
      <w:r w:rsidR="00463293">
        <w:t>or specified devices or signs may b</w:t>
      </w:r>
      <w:r w:rsidR="00922372">
        <w:t>e required to</w:t>
      </w:r>
      <w:r w:rsidR="00431735">
        <w:t xml:space="preserve"> address apparent failures in </w:t>
      </w:r>
      <w:r w:rsidR="00FB1EF2">
        <w:t>vehicle</w:t>
      </w:r>
      <w:r w:rsidR="00431735">
        <w:t xml:space="preserve"> safety that </w:t>
      </w:r>
      <w:r w:rsidR="00173304">
        <w:t>do</w:t>
      </w:r>
      <w:r w:rsidR="00F1781A">
        <w:t xml:space="preserve"> not appear</w:t>
      </w:r>
      <w:r w:rsidR="00431735">
        <w:t xml:space="preserve"> to be addressed via the broader </w:t>
      </w:r>
      <w:r w:rsidR="00A03F26">
        <w:t xml:space="preserve">general </w:t>
      </w:r>
      <w:r w:rsidR="00431735">
        <w:t xml:space="preserve">safety duties </w:t>
      </w:r>
      <w:r w:rsidR="0039259E">
        <w:t>obligations</w:t>
      </w:r>
      <w:r w:rsidR="001B5FFA">
        <w:t>.</w:t>
      </w:r>
      <w:r w:rsidR="0029053B">
        <w:t xml:space="preserve"> </w:t>
      </w:r>
      <w:r w:rsidR="003A5C8E">
        <w:t xml:space="preserve">For example, </w:t>
      </w:r>
      <w:r w:rsidR="00C404A2">
        <w:t xml:space="preserve">the regulator may observe </w:t>
      </w:r>
      <w:r w:rsidR="00E259C2">
        <w:t>the occurrence of a relatively high level of a specific i</w:t>
      </w:r>
      <w:r w:rsidR="00FB1EF2">
        <w:t xml:space="preserve">ncident compared to </w:t>
      </w:r>
      <w:r w:rsidR="0046361B">
        <w:t>other incidents or</w:t>
      </w:r>
      <w:r w:rsidR="00494847">
        <w:t xml:space="preserve"> there appears to be a trend of an increasing number of the s</w:t>
      </w:r>
      <w:r w:rsidR="001B5FFA">
        <w:t>pecific</w:t>
      </w:r>
      <w:r w:rsidR="0046361B">
        <w:t xml:space="preserve"> incident </w:t>
      </w:r>
      <w:r w:rsidR="00494847">
        <w:t>in proportion to the total</w:t>
      </w:r>
      <w:r w:rsidR="0046361B">
        <w:t xml:space="preserve"> number of buses</w:t>
      </w:r>
      <w:r w:rsidR="001B5FFA">
        <w:t>.</w:t>
      </w:r>
      <w:r w:rsidR="0030675C">
        <w:t xml:space="preserve"> </w:t>
      </w:r>
      <w:r w:rsidR="00ED5A4A">
        <w:t>In these cases, the failures in vehicle safety could be a result of</w:t>
      </w:r>
      <w:r w:rsidR="000A63C3">
        <w:t xml:space="preserve"> </w:t>
      </w:r>
      <w:r w:rsidR="0000523E">
        <w:t xml:space="preserve">a lack of knowledge or clarity on the bus operator’s behalf on how to address </w:t>
      </w:r>
      <w:r w:rsidR="00885EBE">
        <w:t>a specific</w:t>
      </w:r>
      <w:r w:rsidR="0000523E">
        <w:t xml:space="preserve"> issue </w:t>
      </w:r>
      <w:r w:rsidR="0029053B">
        <w:t>under the broad safety duties scheme</w:t>
      </w:r>
      <w:r w:rsidR="00173304">
        <w:t xml:space="preserve">. </w:t>
      </w:r>
      <w:r w:rsidR="00973EA5">
        <w:t>Therefore,</w:t>
      </w:r>
      <w:r w:rsidR="00DD361D">
        <w:t xml:space="preserve"> specific measures </w:t>
      </w:r>
      <w:r w:rsidR="00173304">
        <w:t>may be</w:t>
      </w:r>
      <w:r w:rsidR="00955DBA">
        <w:t xml:space="preserve"> required to ensure the </w:t>
      </w:r>
      <w:r w:rsidR="0000523E">
        <w:t>specific issue</w:t>
      </w:r>
      <w:r w:rsidR="00D0534C">
        <w:t xml:space="preserve"> is </w:t>
      </w:r>
      <w:r w:rsidR="0000523E">
        <w:t xml:space="preserve">addressed. </w:t>
      </w:r>
    </w:p>
    <w:p w14:paraId="491B1104" w14:textId="35E29E86" w:rsidR="0046385A" w:rsidRDefault="007C0F99" w:rsidP="0046385A">
      <w:r>
        <w:t xml:space="preserve">A broader approach </w:t>
      </w:r>
      <w:r w:rsidR="005D3FE1">
        <w:t xml:space="preserve">may involve providing for </w:t>
      </w:r>
      <w:r w:rsidR="00D22ECC">
        <w:t xml:space="preserve">a safety framework or system to be </w:t>
      </w:r>
      <w:r>
        <w:t xml:space="preserve">put in place to ensure </w:t>
      </w:r>
      <w:r w:rsidR="00B14309">
        <w:t xml:space="preserve">that vehicles are </w:t>
      </w:r>
      <w:r w:rsidR="002A397B">
        <w:t>safe.</w:t>
      </w:r>
      <w:r w:rsidR="00A2438D">
        <w:t xml:space="preserve"> </w:t>
      </w:r>
      <w:r w:rsidR="0087008F">
        <w:t>Th</w:t>
      </w:r>
      <w:r w:rsidR="00922334">
        <w:t xml:space="preserve">ese </w:t>
      </w:r>
      <w:r w:rsidR="00937CB0">
        <w:t>s</w:t>
      </w:r>
      <w:r w:rsidR="00B14309">
        <w:t xml:space="preserve">ystems </w:t>
      </w:r>
      <w:r w:rsidR="009748F2">
        <w:t>do not</w:t>
      </w:r>
      <w:r w:rsidR="00D97AE9">
        <w:t xml:space="preserve"> directly prescrib</w:t>
      </w:r>
      <w:r w:rsidR="0087008F">
        <w:t>e</w:t>
      </w:r>
      <w:r w:rsidR="00D97AE9">
        <w:t xml:space="preserve"> particular matters</w:t>
      </w:r>
      <w:r w:rsidR="00922334">
        <w:t xml:space="preserve"> to address</w:t>
      </w:r>
      <w:r w:rsidR="00295F64">
        <w:t xml:space="preserve"> a specific identified safety issue (e.g. prescribing </w:t>
      </w:r>
      <w:r w:rsidR="000A2088">
        <w:t xml:space="preserve">the installation of </w:t>
      </w:r>
      <w:r w:rsidR="00295F64">
        <w:t xml:space="preserve">fire extinguishers to </w:t>
      </w:r>
      <w:r w:rsidR="009B732C">
        <w:t xml:space="preserve">mitigate </w:t>
      </w:r>
      <w:r w:rsidR="00295F64">
        <w:t>the consequences of fire)</w:t>
      </w:r>
      <w:r w:rsidR="00922334">
        <w:t xml:space="preserve">. Rather, it allows for each bus operator to </w:t>
      </w:r>
      <w:r w:rsidR="0046385A">
        <w:t xml:space="preserve">implement a maintenance system for </w:t>
      </w:r>
      <w:r w:rsidR="008E776D">
        <w:t xml:space="preserve">their bus fleet </w:t>
      </w:r>
      <w:r w:rsidR="00C21D29">
        <w:t>b</w:t>
      </w:r>
      <w:r w:rsidR="0046385A">
        <w:t xml:space="preserve">ased on </w:t>
      </w:r>
      <w:r w:rsidR="00692BD9">
        <w:t>the</w:t>
      </w:r>
      <w:r w:rsidR="00C21D29">
        <w:t xml:space="preserve">ir own </w:t>
      </w:r>
      <w:r w:rsidR="00313FCF">
        <w:t>operations</w:t>
      </w:r>
      <w:r w:rsidR="00C21D29">
        <w:t xml:space="preserve">, </w:t>
      </w:r>
      <w:r w:rsidR="00404D49">
        <w:t xml:space="preserve">safety objective and vehicles in their bus fleet. </w:t>
      </w:r>
      <w:r w:rsidR="00155DE3">
        <w:t xml:space="preserve">This approach is particularly useful in circumstances where </w:t>
      </w:r>
      <w:r w:rsidR="004C6777">
        <w:t xml:space="preserve">there are a range of regulated parties, </w:t>
      </w:r>
      <w:r w:rsidR="0045049E">
        <w:t xml:space="preserve">each with different models of operating. In these cases, </w:t>
      </w:r>
      <w:r w:rsidR="00C74FEB">
        <w:t xml:space="preserve">it may not be appropriate to apply one set of safety measures across the whole regulated industry. For example, </w:t>
      </w:r>
      <w:r w:rsidR="00236007">
        <w:t xml:space="preserve">it may not be appropriate to require all buses to </w:t>
      </w:r>
      <w:r w:rsidR="00432F5D">
        <w:t xml:space="preserve">carry snow chains </w:t>
      </w:r>
      <w:r w:rsidR="003F2BF7">
        <w:t xml:space="preserve">if </w:t>
      </w:r>
      <w:r w:rsidR="009000AA">
        <w:t>not all bus operators</w:t>
      </w:r>
      <w:r w:rsidR="00DD15A4">
        <w:t xml:space="preserve"> provide services on </w:t>
      </w:r>
      <w:r w:rsidR="003F2BF7">
        <w:t xml:space="preserve">the mountain during snow season. </w:t>
      </w:r>
    </w:p>
    <w:p w14:paraId="1F7593B5" w14:textId="213BA178" w:rsidR="006416FE" w:rsidRPr="00BB71D6" w:rsidRDefault="00466FEB" w:rsidP="006416FE">
      <w:pPr>
        <w:pStyle w:val="Heading3"/>
      </w:pPr>
      <w:bookmarkStart w:id="472" w:name="_Ref41981576"/>
      <w:bookmarkStart w:id="473" w:name="_Toc32909812"/>
      <w:bookmarkStart w:id="474" w:name="_Toc45704355"/>
      <w:r>
        <w:t xml:space="preserve">Bus </w:t>
      </w:r>
      <w:r w:rsidR="006416FE" w:rsidRPr="00BB71D6">
        <w:t>standards</w:t>
      </w:r>
      <w:bookmarkEnd w:id="472"/>
      <w:bookmarkEnd w:id="474"/>
    </w:p>
    <w:p w14:paraId="7CB0411F" w14:textId="77777777" w:rsidR="006416FE" w:rsidRDefault="006416FE" w:rsidP="006416FE">
      <w:r>
        <w:t xml:space="preserve">DoT has considered whether additional bus design standards need to be prescribed in the bus safety regulations. </w:t>
      </w:r>
    </w:p>
    <w:p w14:paraId="10BF2F36" w14:textId="77777777" w:rsidR="006416FE" w:rsidRDefault="006416FE" w:rsidP="006416FE">
      <w:r>
        <w:t xml:space="preserve">Some proposed measures complement the safety duties scheme and may include regulations to cover identified gaps in the ADRs in relation to bus safety or to ensure consistency with the ADRs. Compliance with these measures would form part of the safety duties scheme. Other proposed </w:t>
      </w:r>
      <w:r>
        <w:lastRenderedPageBreak/>
        <w:t xml:space="preserve">measures may support compliance monitoring and enforcement of the safety duties scheme to ensure that standards already prescribed in ADRs, for example, can be enforced by transport safety officers empowered to enforce the Bus Safety Act and its regulations. </w:t>
      </w:r>
    </w:p>
    <w:p w14:paraId="1182E24B" w14:textId="77777777" w:rsidR="006416FE" w:rsidRDefault="006416FE" w:rsidP="006416FE">
      <w:r>
        <w:t xml:space="preserve">Specifically, design standards for consideration include ensuring all buses:                                                                                                                                                                                                                                                                                                                                                                                                                                                                                                                                                                                                                                                                                                                                                                                                                                                                                                                                                                                                                                                                                                                                                                                                                                                                                                                                                                                                                                                                                                                                                                                                                                                                                                                                                                                                                                                                                                                                                                                                                                                                                                                                                                                                                                                                                                                                                                                                                                                                                                                                                                                                                                                                                                                                                                                                                                                                                                                                                                                                                                                                                                                                                                                                                                                                                                                                      </w:t>
      </w:r>
    </w:p>
    <w:p w14:paraId="65300925" w14:textId="77777777" w:rsidR="006416FE" w:rsidRPr="008A576A" w:rsidRDefault="006416FE"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are stable – consistent with the ADR requirement for double deck buses</w:t>
      </w:r>
    </w:p>
    <w:p w14:paraId="7EDBCF97" w14:textId="6A471DF3" w:rsidR="006416FE" w:rsidRPr="008A576A" w:rsidRDefault="006416FE"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 xml:space="preserve">have a device or means to remove or prevent condensation on a windscreen for buses manufactured prior to 1 July 1988 – consistent with the ADR requirement for a device to remove condensed moisture from </w:t>
      </w:r>
      <w:r w:rsidR="009B732C" w:rsidRPr="008A576A">
        <w:rPr>
          <w:rFonts w:asciiTheme="minorHAnsi" w:eastAsiaTheme="minorHAnsi" w:hAnsiTheme="minorHAnsi" w:cstheme="minorBidi"/>
          <w:color w:val="000000" w:themeColor="text1"/>
          <w:sz w:val="20"/>
          <w:szCs w:val="18"/>
          <w:lang w:eastAsia="en-US"/>
        </w:rPr>
        <w:t xml:space="preserve">the </w:t>
      </w:r>
      <w:r w:rsidRPr="008A576A">
        <w:rPr>
          <w:rFonts w:asciiTheme="minorHAnsi" w:eastAsiaTheme="minorHAnsi" w:hAnsiTheme="minorHAnsi" w:cstheme="minorBidi"/>
          <w:color w:val="000000" w:themeColor="text1"/>
          <w:sz w:val="20"/>
          <w:szCs w:val="18"/>
          <w:lang w:eastAsia="en-US"/>
        </w:rPr>
        <w:t xml:space="preserve">inside of a windscreen for vehicles manufactured after 1 July 1988 </w:t>
      </w:r>
    </w:p>
    <w:p w14:paraId="51B7DD6C" w14:textId="77777777" w:rsidR="006416FE" w:rsidRPr="008A576A" w:rsidRDefault="006416FE"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 xml:space="preserve">have restrictions on exposed bars </w:t>
      </w:r>
    </w:p>
    <w:p w14:paraId="15B664F5" w14:textId="77777777" w:rsidR="006416FE" w:rsidRPr="008A576A" w:rsidRDefault="006416FE"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 xml:space="preserve">are equipped to provide a driver with a view of all passengers in or on the bus </w:t>
      </w:r>
    </w:p>
    <w:p w14:paraId="114BD3FD" w14:textId="77777777" w:rsidR="006416FE" w:rsidRPr="008A576A" w:rsidRDefault="006416FE"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have safe luggage racks, where equipped – consistent with ADRs</w:t>
      </w:r>
    </w:p>
    <w:p w14:paraId="2510413E" w14:textId="77777777" w:rsidR="006416FE" w:rsidRPr="008A576A" w:rsidRDefault="006416FE"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have a prescribed bulkhead behind the driver’s seat, where required by the Safety Director.</w:t>
      </w:r>
    </w:p>
    <w:p w14:paraId="7BA3A111" w14:textId="77777777" w:rsidR="006416FE" w:rsidRDefault="006416FE" w:rsidP="006416FE">
      <w:r w:rsidRPr="002574B7">
        <w:t xml:space="preserve">These design standards have historically been additional requirements with respect to design standards for buses. The standards which are all relevant to the vehicle or the operation of the bus service are either not covered by the ADRs or ensure that the ADRs cover </w:t>
      </w:r>
      <w:r>
        <w:t>all buses in the industry</w:t>
      </w:r>
      <w:r w:rsidRPr="002574B7">
        <w:t>.</w:t>
      </w:r>
      <w:r>
        <w:t xml:space="preserve"> </w:t>
      </w:r>
    </w:p>
    <w:p w14:paraId="4F66F632" w14:textId="09E06240" w:rsidR="006416FE" w:rsidRDefault="006416FE" w:rsidP="006416FE">
      <w:r>
        <w:t xml:space="preserve">In relation to addressing fire on buses, an option may be to require all buses to have fire extinguishers regardless of ADR requirements. This imposes the greatest burden as all buses operate under the Bus Safety Act. </w:t>
      </w:r>
      <w:r w:rsidRPr="009631C7">
        <w:t xml:space="preserve">Currently, </w:t>
      </w:r>
      <w:r w:rsidR="0097499C">
        <w:t>ADR</w:t>
      </w:r>
      <w:r w:rsidR="0097499C" w:rsidRPr="009631C7">
        <w:t xml:space="preserve"> </w:t>
      </w:r>
      <w:r w:rsidRPr="009631C7">
        <w:t>58</w:t>
      </w:r>
      <w:r w:rsidR="004D38D4">
        <w:t>/00</w:t>
      </w:r>
      <w:r w:rsidRPr="009631C7">
        <w:t xml:space="preserve"> requires that fire extinguishers are to be provided on every bus provided for hire and reward in accordance with AS 2444-2001 “Portable Fire extinguishers – Selection and Location”. </w:t>
      </w:r>
      <w:r>
        <w:t xml:space="preserve">An option is for </w:t>
      </w:r>
      <w:r w:rsidRPr="009631C7">
        <w:t xml:space="preserve">the regulations </w:t>
      </w:r>
      <w:r>
        <w:t xml:space="preserve">to be </w:t>
      </w:r>
      <w:r w:rsidRPr="009631C7">
        <w:t>consistent with the ADRs to allow the regulator and transport safety officer to enforce these requirements.</w:t>
      </w:r>
      <w:r w:rsidRPr="00EC4E2A">
        <w:t xml:space="preserve"> </w:t>
      </w:r>
    </w:p>
    <w:p w14:paraId="4E30B534" w14:textId="77777777" w:rsidR="006416FE" w:rsidRPr="001C2DC0" w:rsidRDefault="006416FE" w:rsidP="0095677C">
      <w:pPr>
        <w:pStyle w:val="Heading5"/>
      </w:pPr>
      <w:r w:rsidRPr="001C2DC0">
        <w:t>Summary</w:t>
      </w:r>
    </w:p>
    <w:p w14:paraId="3DA4631C" w14:textId="0BF40F26" w:rsidR="006416FE" w:rsidRDefault="006416FE" w:rsidP="006416FE">
      <w:r>
        <w:t>DoT will consider the merits of continuing to prescribe the bus design standards specifically identified above (status quo)</w:t>
      </w:r>
      <w:r w:rsidR="00466FEB">
        <w:t xml:space="preserve"> in Section </w:t>
      </w:r>
      <w:r w:rsidR="00466FEB">
        <w:fldChar w:fldCharType="begin"/>
      </w:r>
      <w:r w:rsidR="00466FEB">
        <w:instrText xml:space="preserve"> REF _Ref41850678 \r \h </w:instrText>
      </w:r>
      <w:r w:rsidR="00466FEB">
        <w:fldChar w:fldCharType="separate"/>
      </w:r>
      <w:r w:rsidR="00277F6E">
        <w:t>7.1.1</w:t>
      </w:r>
      <w:r w:rsidR="00466FEB">
        <w:fldChar w:fldCharType="end"/>
      </w:r>
      <w:r>
        <w:t>.</w:t>
      </w:r>
    </w:p>
    <w:p w14:paraId="3013B605" w14:textId="0A0D7D87" w:rsidR="0032675D" w:rsidRDefault="001C2DC0" w:rsidP="001C2DC0">
      <w:pPr>
        <w:pStyle w:val="Heading3"/>
      </w:pPr>
      <w:bookmarkStart w:id="475" w:name="_Ref41981648"/>
      <w:bookmarkStart w:id="476" w:name="_Toc45704356"/>
      <w:r>
        <w:t>Requirements</w:t>
      </w:r>
      <w:r w:rsidR="0032675D">
        <w:t xml:space="preserve"> for maintaining vehicle safety</w:t>
      </w:r>
      <w:bookmarkEnd w:id="475"/>
      <w:bookmarkEnd w:id="476"/>
    </w:p>
    <w:p w14:paraId="1D0C588D" w14:textId="72C72CB8" w:rsidR="00F17F19" w:rsidRPr="00F17F19" w:rsidRDefault="00F17F19" w:rsidP="00F17F19">
      <w:r>
        <w:t>There are several interventions that could be used to keep vehicles safe. DoT considers two way</w:t>
      </w:r>
      <w:r w:rsidR="000467FC">
        <w:t>s</w:t>
      </w:r>
      <w:r>
        <w:t xml:space="preserve"> to ensure vehicles are safe: safety systems for vehicle safety and roadworthy inspections. </w:t>
      </w:r>
    </w:p>
    <w:p w14:paraId="21512AF6" w14:textId="511F1273" w:rsidR="00B40F7F" w:rsidRPr="001C2DC0" w:rsidRDefault="006416FE" w:rsidP="0095677C">
      <w:pPr>
        <w:pStyle w:val="Heading4"/>
      </w:pPr>
      <w:bookmarkStart w:id="477" w:name="_Ref43281791"/>
      <w:r w:rsidRPr="001C2DC0">
        <w:t>Safety systems for</w:t>
      </w:r>
      <w:r w:rsidR="001D16F1" w:rsidRPr="001C2DC0">
        <w:t xml:space="preserve"> vehicle safety</w:t>
      </w:r>
      <w:bookmarkEnd w:id="473"/>
      <w:bookmarkEnd w:id="477"/>
    </w:p>
    <w:p w14:paraId="19CD822C" w14:textId="2DE73247" w:rsidR="00691F24" w:rsidRDefault="007A44E4" w:rsidP="00691F24">
      <w:bookmarkStart w:id="478" w:name="_Hlk507662159"/>
      <w:r>
        <w:t xml:space="preserve">Regulations could require specific </w:t>
      </w:r>
      <w:r w:rsidR="00770B02">
        <w:t>systems</w:t>
      </w:r>
      <w:r w:rsidR="00BD2EE5">
        <w:t xml:space="preserve">, policies </w:t>
      </w:r>
      <w:r w:rsidR="00CF272C">
        <w:t xml:space="preserve">or </w:t>
      </w:r>
      <w:r w:rsidR="00BD2EE5">
        <w:t>procedures</w:t>
      </w:r>
      <w:r w:rsidR="00770B02">
        <w:t xml:space="preserve"> to be put in place to</w:t>
      </w:r>
      <w:r w:rsidR="009E079B">
        <w:t xml:space="preserve"> ensure that vehicles are maintained to a safe standard</w:t>
      </w:r>
      <w:bookmarkEnd w:id="478"/>
      <w:r w:rsidR="00A40F59">
        <w:t>.</w:t>
      </w:r>
      <w:r w:rsidR="003D42CE">
        <w:t xml:space="preserve"> Th</w:t>
      </w:r>
      <w:r w:rsidR="00CA441A">
        <w:t>ese</w:t>
      </w:r>
      <w:r w:rsidR="003D42CE">
        <w:t xml:space="preserve"> </w:t>
      </w:r>
      <w:r w:rsidR="009E079B">
        <w:t xml:space="preserve">systems </w:t>
      </w:r>
      <w:r w:rsidR="003D42CE">
        <w:t xml:space="preserve">would </w:t>
      </w:r>
      <w:r w:rsidR="00CA441A">
        <w:t xml:space="preserve">complement the </w:t>
      </w:r>
      <w:r w:rsidR="003D42CE">
        <w:t xml:space="preserve">broader safety duties scheme under the </w:t>
      </w:r>
      <w:r w:rsidR="00F716A7">
        <w:t xml:space="preserve">Bus Safety Act </w:t>
      </w:r>
      <w:r w:rsidR="0027664F">
        <w:t>– specified</w:t>
      </w:r>
      <w:r w:rsidR="00691F24">
        <w:t xml:space="preserve"> duty holders would be required to implement systems </w:t>
      </w:r>
      <w:r w:rsidR="0027664F">
        <w:t xml:space="preserve">for vehicle </w:t>
      </w:r>
      <w:r w:rsidR="00F85A4E">
        <w:t>safety</w:t>
      </w:r>
      <w:r w:rsidR="0027664F">
        <w:t xml:space="preserve"> which would be used to</w:t>
      </w:r>
      <w:r w:rsidR="00691F24">
        <w:t xml:space="preserve"> demonstrate that the person is complying with their duties </w:t>
      </w:r>
      <w:r w:rsidR="00915A5D">
        <w:t>to ensure the safety of their bus service.</w:t>
      </w:r>
    </w:p>
    <w:p w14:paraId="60D1E28E" w14:textId="42360EFB" w:rsidR="00743790" w:rsidRDefault="00B40F7F" w:rsidP="00B40F7F">
      <w:bookmarkStart w:id="479" w:name="_Hlk507662181"/>
      <w:r>
        <w:t xml:space="preserve">This type of approach </w:t>
      </w:r>
      <w:r w:rsidR="007B3D18">
        <w:t>is simi</w:t>
      </w:r>
      <w:r w:rsidR="003A0326">
        <w:t xml:space="preserve">lar to </w:t>
      </w:r>
      <w:r>
        <w:t xml:space="preserve">those undertaken in other safety schemes, where safety management systems are required to be established and maintained. For </w:t>
      </w:r>
      <w:r w:rsidR="00BC2D9B">
        <w:t>example,</w:t>
      </w:r>
      <w:r w:rsidR="00A23A57">
        <w:t xml:space="preserve"> </w:t>
      </w:r>
      <w:r>
        <w:t xml:space="preserve">rail transport operators </w:t>
      </w:r>
      <w:r w:rsidR="003A0326">
        <w:t xml:space="preserve">are </w:t>
      </w:r>
      <w:r>
        <w:t xml:space="preserve">required to maintain a safety management system under the </w:t>
      </w:r>
      <w:r w:rsidRPr="00370DD5">
        <w:rPr>
          <w:i/>
        </w:rPr>
        <w:t xml:space="preserve">Rail Safety </w:t>
      </w:r>
      <w:r w:rsidR="008137AE">
        <w:rPr>
          <w:i/>
        </w:rPr>
        <w:t>National Law</w:t>
      </w:r>
      <w:r w:rsidRPr="00370DD5">
        <w:rPr>
          <w:i/>
        </w:rPr>
        <w:t xml:space="preserve"> </w:t>
      </w:r>
      <w:bookmarkEnd w:id="479"/>
      <w:r>
        <w:t xml:space="preserve">to ensure the safe management of railway operations carried out by rail transport operators. </w:t>
      </w:r>
    </w:p>
    <w:p w14:paraId="1E5FE68E" w14:textId="52CC96AF" w:rsidR="00FF4537" w:rsidRPr="001C2DC0" w:rsidRDefault="00FF4537" w:rsidP="0095677C">
      <w:pPr>
        <w:pStyle w:val="Heading5"/>
      </w:pPr>
      <w:r w:rsidRPr="001C2DC0">
        <w:t xml:space="preserve">What should be </w:t>
      </w:r>
      <w:r w:rsidR="00596066">
        <w:t>in</w:t>
      </w:r>
      <w:r w:rsidR="006F3E61">
        <w:t xml:space="preserve">cluded </w:t>
      </w:r>
      <w:r w:rsidRPr="001C2DC0">
        <w:t>in a</w:t>
      </w:r>
      <w:r w:rsidR="008704FC" w:rsidRPr="001C2DC0">
        <w:t xml:space="preserve">ny system </w:t>
      </w:r>
      <w:r w:rsidR="00356300" w:rsidRPr="001C2DC0">
        <w:t xml:space="preserve">or procedures </w:t>
      </w:r>
      <w:r w:rsidR="008704FC" w:rsidRPr="001C2DC0">
        <w:t>for manag</w:t>
      </w:r>
      <w:r w:rsidR="00885C64" w:rsidRPr="001C2DC0">
        <w:t>ing</w:t>
      </w:r>
      <w:r w:rsidR="00790BAF" w:rsidRPr="001C2DC0">
        <w:t xml:space="preserve"> vehicle safety</w:t>
      </w:r>
      <w:r w:rsidRPr="001C2DC0">
        <w:t>?</w:t>
      </w:r>
    </w:p>
    <w:p w14:paraId="45310E97" w14:textId="6AA9B923" w:rsidR="00174C0D" w:rsidRDefault="006A4FC6" w:rsidP="00B40F7F">
      <w:r>
        <w:t>DoT considers that t</w:t>
      </w:r>
      <w:r w:rsidR="00174C0D">
        <w:t>he contents of</w:t>
      </w:r>
      <w:r>
        <w:t xml:space="preserve"> any system or procedure</w:t>
      </w:r>
      <w:r w:rsidR="00973EA5">
        <w:t>s</w:t>
      </w:r>
      <w:r>
        <w:t xml:space="preserve"> to manage </w:t>
      </w:r>
      <w:r w:rsidR="005142C7">
        <w:t xml:space="preserve">vehicle safety ought to </w:t>
      </w:r>
      <w:r w:rsidR="000A5D2A">
        <w:t xml:space="preserve">cover off on measures addressing the </w:t>
      </w:r>
      <w:r w:rsidR="00650D67">
        <w:t>sources of risk</w:t>
      </w:r>
      <w:r w:rsidR="00DE302F">
        <w:t xml:space="preserve"> to safety</w:t>
      </w:r>
      <w:r w:rsidR="00650D67">
        <w:t xml:space="preserve"> i</w:t>
      </w:r>
      <w:r w:rsidR="001F612B">
        <w:t>n relation to the vehicle</w:t>
      </w:r>
      <w:r w:rsidR="004A1D09">
        <w:t xml:space="preserve">. </w:t>
      </w:r>
      <w:r w:rsidR="00DA4F2B">
        <w:t>This could include</w:t>
      </w:r>
      <w:r w:rsidR="002B020E">
        <w:t xml:space="preserve"> procedures in relation to inspection</w:t>
      </w:r>
      <w:r w:rsidR="00B45984">
        <w:t xml:space="preserve">s, </w:t>
      </w:r>
      <w:r w:rsidR="008D33CE">
        <w:t>escalation of defects,</w:t>
      </w:r>
      <w:r w:rsidR="00D22E2F">
        <w:t xml:space="preserve"> and</w:t>
      </w:r>
      <w:r w:rsidR="008D33CE">
        <w:t xml:space="preserve"> </w:t>
      </w:r>
      <w:r w:rsidR="00B45984">
        <w:t xml:space="preserve">maintenance and </w:t>
      </w:r>
      <w:r w:rsidR="00D22E2F">
        <w:t>repair of the vehicle.</w:t>
      </w:r>
      <w:r w:rsidR="00366B2D">
        <w:t xml:space="preserve"> </w:t>
      </w:r>
      <w:r w:rsidR="00121D58">
        <w:t xml:space="preserve">Any system </w:t>
      </w:r>
      <w:r w:rsidR="00366B2D">
        <w:t xml:space="preserve">should also specify the frequency of </w:t>
      </w:r>
      <w:r w:rsidR="00C4713D">
        <w:t>how each of the activities are to be undertaken.</w:t>
      </w:r>
    </w:p>
    <w:p w14:paraId="7E017C52" w14:textId="3F39778C" w:rsidR="00A85653" w:rsidRDefault="00960110" w:rsidP="00B40F7F">
      <w:r>
        <w:t xml:space="preserve">For example, current </w:t>
      </w:r>
      <w:r w:rsidR="005918D6">
        <w:t>maintenance management system (</w:t>
      </w:r>
      <w:r>
        <w:t>MMS</w:t>
      </w:r>
      <w:r w:rsidR="005918D6">
        <w:t>)</w:t>
      </w:r>
      <w:r>
        <w:t xml:space="preserve"> </w:t>
      </w:r>
      <w:r w:rsidR="003E346E">
        <w:t xml:space="preserve">requirements </w:t>
      </w:r>
      <w:r w:rsidR="00557229">
        <w:t xml:space="preserve">as directed by the Safety Director are that an MMS must </w:t>
      </w:r>
      <w:r w:rsidR="00BB758B">
        <w:t>include</w:t>
      </w:r>
      <w:r w:rsidR="00557229">
        <w:t>:</w:t>
      </w:r>
    </w:p>
    <w:p w14:paraId="53D15D6E" w14:textId="794ABB12" w:rsidR="00557229" w:rsidRPr="00382AD0" w:rsidRDefault="000C1F41" w:rsidP="00EE58C0">
      <w:pPr>
        <w:pStyle w:val="ListParagraph"/>
        <w:numPr>
          <w:ilvl w:val="0"/>
          <w:numId w:val="13"/>
        </w:numPr>
        <w:rPr>
          <w:rFonts w:asciiTheme="minorHAnsi" w:hAnsiTheme="minorHAnsi" w:cstheme="minorHAnsi"/>
          <w:color w:val="auto"/>
          <w:sz w:val="20"/>
          <w:szCs w:val="20"/>
        </w:rPr>
      </w:pPr>
      <w:r>
        <w:rPr>
          <w:rFonts w:asciiTheme="minorHAnsi" w:hAnsiTheme="minorHAnsi" w:cstheme="minorHAnsi"/>
          <w:color w:val="auto"/>
          <w:sz w:val="20"/>
          <w:szCs w:val="20"/>
        </w:rPr>
        <w:t>a</w:t>
      </w:r>
      <w:r w:rsidR="0044247A" w:rsidRPr="00382AD0">
        <w:rPr>
          <w:rFonts w:asciiTheme="minorHAnsi" w:hAnsiTheme="minorHAnsi" w:cstheme="minorHAnsi"/>
          <w:color w:val="auto"/>
          <w:sz w:val="20"/>
          <w:szCs w:val="20"/>
        </w:rPr>
        <w:t xml:space="preserve"> pre-trip inspection</w:t>
      </w:r>
      <w:r w:rsidR="00A31204" w:rsidRPr="00382AD0">
        <w:rPr>
          <w:rFonts w:asciiTheme="minorHAnsi" w:hAnsiTheme="minorHAnsi" w:cstheme="minorHAnsi"/>
          <w:color w:val="auto"/>
          <w:sz w:val="20"/>
          <w:szCs w:val="20"/>
        </w:rPr>
        <w:t xml:space="preserve"> of each bus</w:t>
      </w:r>
    </w:p>
    <w:p w14:paraId="41263DEF" w14:textId="3092B116" w:rsidR="0044247A" w:rsidRPr="00382AD0" w:rsidRDefault="000C1F41" w:rsidP="00EE58C0">
      <w:pPr>
        <w:pStyle w:val="ListParagraph"/>
        <w:numPr>
          <w:ilvl w:val="0"/>
          <w:numId w:val="13"/>
        </w:numPr>
        <w:rPr>
          <w:rFonts w:asciiTheme="minorHAnsi" w:hAnsiTheme="minorHAnsi" w:cstheme="minorHAnsi"/>
          <w:color w:val="auto"/>
          <w:sz w:val="20"/>
          <w:szCs w:val="20"/>
        </w:rPr>
      </w:pPr>
      <w:r>
        <w:rPr>
          <w:rFonts w:asciiTheme="minorHAnsi" w:hAnsiTheme="minorHAnsi" w:cstheme="minorHAnsi"/>
          <w:color w:val="auto"/>
          <w:sz w:val="20"/>
          <w:szCs w:val="20"/>
        </w:rPr>
        <w:lastRenderedPageBreak/>
        <w:t>q</w:t>
      </w:r>
      <w:r w:rsidR="00F87C09" w:rsidRPr="00382AD0">
        <w:rPr>
          <w:rFonts w:asciiTheme="minorHAnsi" w:hAnsiTheme="minorHAnsi" w:cstheme="minorHAnsi"/>
          <w:color w:val="auto"/>
          <w:sz w:val="20"/>
          <w:szCs w:val="20"/>
        </w:rPr>
        <w:t>uarterly</w:t>
      </w:r>
      <w:r w:rsidR="009852B2" w:rsidRPr="00382AD0">
        <w:rPr>
          <w:rFonts w:asciiTheme="minorHAnsi" w:hAnsiTheme="minorHAnsi" w:cstheme="minorHAnsi"/>
          <w:color w:val="auto"/>
          <w:sz w:val="20"/>
          <w:szCs w:val="20"/>
        </w:rPr>
        <w:t xml:space="preserve"> inspection and maintenance of each bus</w:t>
      </w:r>
    </w:p>
    <w:p w14:paraId="1001DE94" w14:textId="518981D0" w:rsidR="009852B2" w:rsidRPr="00382AD0" w:rsidRDefault="000C1F41" w:rsidP="00EE58C0">
      <w:pPr>
        <w:pStyle w:val="ListParagraph"/>
        <w:numPr>
          <w:ilvl w:val="0"/>
          <w:numId w:val="13"/>
        </w:numPr>
        <w:rPr>
          <w:rFonts w:asciiTheme="minorHAnsi" w:hAnsiTheme="minorHAnsi" w:cstheme="minorHAnsi"/>
          <w:color w:val="auto"/>
          <w:sz w:val="20"/>
          <w:szCs w:val="20"/>
        </w:rPr>
      </w:pPr>
      <w:r>
        <w:rPr>
          <w:rFonts w:asciiTheme="minorHAnsi" w:hAnsiTheme="minorHAnsi" w:cstheme="minorHAnsi"/>
          <w:color w:val="auto"/>
          <w:sz w:val="20"/>
          <w:szCs w:val="20"/>
        </w:rPr>
        <w:t>m</w:t>
      </w:r>
      <w:r w:rsidR="009852B2" w:rsidRPr="00382AD0">
        <w:rPr>
          <w:rFonts w:asciiTheme="minorHAnsi" w:hAnsiTheme="minorHAnsi" w:cstheme="minorHAnsi"/>
          <w:color w:val="auto"/>
          <w:sz w:val="20"/>
          <w:szCs w:val="20"/>
        </w:rPr>
        <w:t>anda</w:t>
      </w:r>
      <w:r w:rsidR="00517307" w:rsidRPr="00382AD0">
        <w:rPr>
          <w:rFonts w:asciiTheme="minorHAnsi" w:hAnsiTheme="minorHAnsi" w:cstheme="minorHAnsi"/>
          <w:color w:val="auto"/>
          <w:sz w:val="20"/>
          <w:szCs w:val="20"/>
        </w:rPr>
        <w:t>tory annual inspection of the bus undertaken by a licensed bus tester.</w:t>
      </w:r>
    </w:p>
    <w:p w14:paraId="04C9903C" w14:textId="1AE6C76B" w:rsidR="00392992" w:rsidRDefault="00B346EB" w:rsidP="00B40F7F">
      <w:r>
        <w:t xml:space="preserve">While there may </w:t>
      </w:r>
      <w:r w:rsidR="00557229">
        <w:t>be merit</w:t>
      </w:r>
      <w:r w:rsidR="00F20191">
        <w:t xml:space="preserve"> in </w:t>
      </w:r>
      <w:r w:rsidR="003A1445">
        <w:t xml:space="preserve">prescribing </w:t>
      </w:r>
      <w:r w:rsidR="004033B0">
        <w:t xml:space="preserve">specific requirements of the </w:t>
      </w:r>
      <w:r w:rsidR="005E7288">
        <w:t>MMS</w:t>
      </w:r>
      <w:r w:rsidR="00A85653">
        <w:t>, the nature of the general safety duties</w:t>
      </w:r>
      <w:r w:rsidR="00CF272C">
        <w:t>,</w:t>
      </w:r>
      <w:r w:rsidR="00970AAD">
        <w:t xml:space="preserve"> </w:t>
      </w:r>
      <w:r w:rsidR="008E310A">
        <w:t xml:space="preserve">which </w:t>
      </w:r>
      <w:r w:rsidR="001E63F7">
        <w:t xml:space="preserve">impose an onus on the bus operator to tailor </w:t>
      </w:r>
      <w:r w:rsidR="00AC1C87">
        <w:t xml:space="preserve">approaches to managing safety </w:t>
      </w:r>
      <w:r w:rsidR="00392992">
        <w:t xml:space="preserve">based on the </w:t>
      </w:r>
      <w:r w:rsidR="000C58E2">
        <w:t xml:space="preserve">circumstances of the </w:t>
      </w:r>
      <w:r w:rsidR="000061D1">
        <w:t>bus operations</w:t>
      </w:r>
      <w:r w:rsidR="00CF272C">
        <w:t>,</w:t>
      </w:r>
      <w:r w:rsidR="00B2135F">
        <w:t xml:space="preserve"> suggests that </w:t>
      </w:r>
      <w:r w:rsidR="00886809">
        <w:t xml:space="preserve">some elements of the MMS should be left </w:t>
      </w:r>
      <w:r w:rsidR="0027192B">
        <w:t>to the operator</w:t>
      </w:r>
      <w:r w:rsidR="0024434C">
        <w:t>’</w:t>
      </w:r>
      <w:r w:rsidR="0027192B">
        <w:t>s</w:t>
      </w:r>
      <w:r w:rsidR="00E37B45">
        <w:t xml:space="preserve"> discretion.</w:t>
      </w:r>
      <w:r w:rsidR="00A85653">
        <w:t xml:space="preserve"> </w:t>
      </w:r>
      <w:r w:rsidR="00A22F3A">
        <w:t xml:space="preserve">Therefore, as an alternative, a requirement </w:t>
      </w:r>
      <w:r w:rsidR="00CC5632">
        <w:t xml:space="preserve">to implement </w:t>
      </w:r>
      <w:r w:rsidR="00500157">
        <w:t>a safety system</w:t>
      </w:r>
      <w:r w:rsidR="006B6505">
        <w:t xml:space="preserve"> could </w:t>
      </w:r>
      <w:r w:rsidR="00283B91">
        <w:t xml:space="preserve">specify the areas/requirements that the bus operators must include in </w:t>
      </w:r>
      <w:r w:rsidR="00874386">
        <w:t>the system</w:t>
      </w:r>
      <w:r w:rsidR="00283B91">
        <w:t xml:space="preserve"> but not be prescriptive about </w:t>
      </w:r>
      <w:r w:rsidR="00C2016A">
        <w:t>how it is implemented (e.g</w:t>
      </w:r>
      <w:r w:rsidR="00F01FA7">
        <w:t>.</w:t>
      </w:r>
      <w:r w:rsidR="00C2016A">
        <w:t xml:space="preserve"> </w:t>
      </w:r>
      <w:r w:rsidR="00CA4671">
        <w:t xml:space="preserve">the </w:t>
      </w:r>
      <w:r w:rsidR="00874386">
        <w:t xml:space="preserve">MMS </w:t>
      </w:r>
      <w:r w:rsidR="00B22A3F">
        <w:t>requirements include</w:t>
      </w:r>
      <w:r w:rsidR="00386BCA">
        <w:t xml:space="preserve"> inspection </w:t>
      </w:r>
      <w:r w:rsidR="00B62AEE">
        <w:t>requirements but not how frequently these are undertak</w:t>
      </w:r>
      <w:r w:rsidR="00C226C8">
        <w:t>e</w:t>
      </w:r>
      <w:r w:rsidR="00B62AEE">
        <w:t>n</w:t>
      </w:r>
      <w:r w:rsidR="00C226C8">
        <w:t>).</w:t>
      </w:r>
      <w:r w:rsidR="00B62AEE">
        <w:t xml:space="preserve"> </w:t>
      </w:r>
      <w:r w:rsidR="00283B91">
        <w:t xml:space="preserve"> </w:t>
      </w:r>
    </w:p>
    <w:p w14:paraId="75411D93" w14:textId="70C06C9D" w:rsidR="00021B1A" w:rsidRDefault="001F1D1A" w:rsidP="00B40F7F">
      <w:r>
        <w:t xml:space="preserve">The set </w:t>
      </w:r>
      <w:r w:rsidR="008D4927">
        <w:t>requirement</w:t>
      </w:r>
      <w:r>
        <w:t>s in an</w:t>
      </w:r>
      <w:r w:rsidR="008D4927">
        <w:t xml:space="preserve"> MMS could be achieved</w:t>
      </w:r>
      <w:r w:rsidR="006A3A1C">
        <w:t xml:space="preserve"> </w:t>
      </w:r>
      <w:r w:rsidR="00C445A9">
        <w:t>in the following ways</w:t>
      </w:r>
      <w:r w:rsidR="009E403E">
        <w:t>:</w:t>
      </w:r>
    </w:p>
    <w:p w14:paraId="3FCE4325" w14:textId="2F923B12" w:rsidR="008D4927" w:rsidRPr="008A576A" w:rsidRDefault="009E403E"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prescribing the contents of the MMS in the regulations</w:t>
      </w:r>
    </w:p>
    <w:p w14:paraId="621613A0" w14:textId="4DB8C762" w:rsidR="009E403E" w:rsidRPr="008A576A" w:rsidRDefault="009E403E"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delegat</w:t>
      </w:r>
      <w:r w:rsidR="006D0A93" w:rsidRPr="008A576A">
        <w:rPr>
          <w:rFonts w:asciiTheme="minorHAnsi" w:eastAsiaTheme="minorHAnsi" w:hAnsiTheme="minorHAnsi" w:cstheme="minorBidi"/>
          <w:color w:val="000000" w:themeColor="text1"/>
          <w:sz w:val="20"/>
          <w:szCs w:val="18"/>
          <w:lang w:eastAsia="en-US"/>
        </w:rPr>
        <w:t>ing</w:t>
      </w:r>
      <w:r w:rsidRPr="008A576A">
        <w:rPr>
          <w:rFonts w:asciiTheme="minorHAnsi" w:eastAsiaTheme="minorHAnsi" w:hAnsiTheme="minorHAnsi" w:cstheme="minorBidi"/>
          <w:color w:val="000000" w:themeColor="text1"/>
          <w:sz w:val="20"/>
          <w:szCs w:val="18"/>
          <w:lang w:eastAsia="en-US"/>
        </w:rPr>
        <w:t xml:space="preserve"> power to the Safety Director</w:t>
      </w:r>
      <w:r w:rsidR="00100569" w:rsidRPr="008A576A">
        <w:rPr>
          <w:rFonts w:asciiTheme="minorHAnsi" w:eastAsiaTheme="minorHAnsi" w:hAnsiTheme="minorHAnsi" w:cstheme="minorBidi"/>
          <w:color w:val="000000" w:themeColor="text1"/>
          <w:sz w:val="20"/>
          <w:szCs w:val="18"/>
          <w:lang w:eastAsia="en-US"/>
        </w:rPr>
        <w:t xml:space="preserve"> to set the requirements of the MMS</w:t>
      </w:r>
      <w:r w:rsidR="008712CC" w:rsidRPr="008A576A">
        <w:rPr>
          <w:rFonts w:asciiTheme="minorHAnsi" w:eastAsiaTheme="minorHAnsi" w:hAnsiTheme="minorHAnsi" w:cstheme="minorBidi"/>
          <w:color w:val="000000" w:themeColor="text1"/>
          <w:sz w:val="20"/>
          <w:szCs w:val="18"/>
          <w:lang w:eastAsia="en-US"/>
        </w:rPr>
        <w:t xml:space="preserve"> (by </w:t>
      </w:r>
      <w:r w:rsidR="0083078F" w:rsidRPr="008A576A">
        <w:rPr>
          <w:rFonts w:asciiTheme="minorHAnsi" w:eastAsiaTheme="minorHAnsi" w:hAnsiTheme="minorHAnsi" w:cstheme="minorBidi"/>
          <w:color w:val="000000" w:themeColor="text1"/>
          <w:sz w:val="20"/>
          <w:szCs w:val="18"/>
          <w:lang w:eastAsia="en-US"/>
        </w:rPr>
        <w:t>written notice to the bus operator)</w:t>
      </w:r>
    </w:p>
    <w:p w14:paraId="1ED7BA07" w14:textId="11BAA4B3" w:rsidR="001B459D" w:rsidRPr="008A576A" w:rsidRDefault="00B40F7F"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in accordance with requirements set out by the Safety Director via</w:t>
      </w:r>
      <w:r w:rsidR="00C70D98" w:rsidRPr="008A576A">
        <w:rPr>
          <w:rFonts w:asciiTheme="minorHAnsi" w:eastAsiaTheme="minorHAnsi" w:hAnsiTheme="minorHAnsi" w:cstheme="minorBidi"/>
          <w:color w:val="000000" w:themeColor="text1"/>
          <w:sz w:val="20"/>
          <w:szCs w:val="18"/>
          <w:lang w:eastAsia="en-US"/>
        </w:rPr>
        <w:t xml:space="preserve"> a</w:t>
      </w:r>
      <w:r w:rsidR="009145E1" w:rsidRPr="008A576A">
        <w:rPr>
          <w:rFonts w:asciiTheme="minorHAnsi" w:eastAsiaTheme="minorHAnsi" w:hAnsiTheme="minorHAnsi" w:cstheme="minorBidi"/>
          <w:color w:val="000000" w:themeColor="text1"/>
          <w:sz w:val="20"/>
          <w:szCs w:val="18"/>
          <w:lang w:eastAsia="en-US"/>
        </w:rPr>
        <w:t xml:space="preserve"> notice </w:t>
      </w:r>
      <w:r w:rsidR="004C55C9" w:rsidRPr="008A576A">
        <w:rPr>
          <w:rFonts w:asciiTheme="minorHAnsi" w:eastAsiaTheme="minorHAnsi" w:hAnsiTheme="minorHAnsi" w:cstheme="minorBidi"/>
          <w:color w:val="000000" w:themeColor="text1"/>
          <w:sz w:val="20"/>
          <w:szCs w:val="18"/>
          <w:lang w:eastAsia="en-US"/>
        </w:rPr>
        <w:t>i</w:t>
      </w:r>
      <w:r w:rsidR="009145E1" w:rsidRPr="008A576A">
        <w:rPr>
          <w:rFonts w:asciiTheme="minorHAnsi" w:eastAsiaTheme="minorHAnsi" w:hAnsiTheme="minorHAnsi" w:cstheme="minorBidi"/>
          <w:color w:val="000000" w:themeColor="text1"/>
          <w:sz w:val="20"/>
          <w:szCs w:val="18"/>
          <w:lang w:eastAsia="en-US"/>
        </w:rPr>
        <w:t>n</w:t>
      </w:r>
      <w:r w:rsidR="00C70D98" w:rsidRPr="008A576A">
        <w:rPr>
          <w:rFonts w:asciiTheme="minorHAnsi" w:eastAsiaTheme="minorHAnsi" w:hAnsiTheme="minorHAnsi" w:cstheme="minorBidi"/>
          <w:color w:val="000000" w:themeColor="text1"/>
          <w:sz w:val="20"/>
          <w:szCs w:val="18"/>
          <w:lang w:eastAsia="en-US"/>
        </w:rPr>
        <w:t xml:space="preserve"> the</w:t>
      </w:r>
      <w:r w:rsidR="007431A2" w:rsidRPr="008A576A">
        <w:rPr>
          <w:rFonts w:asciiTheme="minorHAnsi" w:eastAsiaTheme="minorHAnsi" w:hAnsiTheme="minorHAnsi" w:cstheme="minorBidi"/>
          <w:color w:val="000000" w:themeColor="text1"/>
          <w:sz w:val="20"/>
          <w:szCs w:val="18"/>
          <w:lang w:eastAsia="en-US"/>
        </w:rPr>
        <w:t xml:space="preserve"> Government Gazette</w:t>
      </w:r>
      <w:r w:rsidR="002B1B6B" w:rsidRPr="008A576A">
        <w:rPr>
          <w:rFonts w:asciiTheme="minorHAnsi" w:eastAsiaTheme="minorHAnsi" w:hAnsiTheme="minorHAnsi" w:cstheme="minorBidi"/>
          <w:color w:val="000000" w:themeColor="text1"/>
          <w:sz w:val="20"/>
          <w:szCs w:val="18"/>
          <w:lang w:eastAsia="en-US"/>
        </w:rPr>
        <w:t>.</w:t>
      </w:r>
      <w:r w:rsidRPr="008A576A">
        <w:rPr>
          <w:rFonts w:asciiTheme="minorHAnsi" w:eastAsiaTheme="minorHAnsi" w:hAnsiTheme="minorHAnsi" w:cstheme="minorBidi"/>
          <w:color w:val="000000" w:themeColor="text1"/>
          <w:sz w:val="20"/>
          <w:szCs w:val="18"/>
          <w:lang w:eastAsia="en-US"/>
        </w:rPr>
        <w:t xml:space="preserve"> </w:t>
      </w:r>
    </w:p>
    <w:p w14:paraId="208EDF37" w14:textId="7B766D7E" w:rsidR="00B40F7F" w:rsidRPr="007D4935" w:rsidRDefault="00B40F7F" w:rsidP="0095677C">
      <w:pPr>
        <w:pStyle w:val="Heading5"/>
      </w:pPr>
      <w:r w:rsidRPr="007D4935">
        <w:t xml:space="preserve">Who must prepare </w:t>
      </w:r>
      <w:r w:rsidR="00263B9C">
        <w:t>a</w:t>
      </w:r>
      <w:r w:rsidR="000F38CB">
        <w:t>n</w:t>
      </w:r>
      <w:r w:rsidR="00263B9C">
        <w:t xml:space="preserve"> MMS</w:t>
      </w:r>
      <w:r w:rsidR="006139B0">
        <w:t>?</w:t>
      </w:r>
    </w:p>
    <w:p w14:paraId="241614D4" w14:textId="1241F44B" w:rsidR="00B40F7F" w:rsidRDefault="00B40F7F" w:rsidP="00B40F7F">
      <w:r>
        <w:t xml:space="preserve">The following industry participants have a general safety duty under the </w:t>
      </w:r>
      <w:r w:rsidR="00F716A7">
        <w:t>Bus Safety Act</w:t>
      </w:r>
      <w:r>
        <w:t>:</w:t>
      </w:r>
    </w:p>
    <w:p w14:paraId="7E29C64E" w14:textId="77777777" w:rsidR="00B40F7F" w:rsidRPr="008A576A" w:rsidRDefault="00B40F7F"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accredited operators</w:t>
      </w:r>
    </w:p>
    <w:p w14:paraId="23A98E81" w14:textId="77777777" w:rsidR="00B40F7F" w:rsidRPr="008A576A" w:rsidRDefault="00B40F7F"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registered operators</w:t>
      </w:r>
    </w:p>
    <w:p w14:paraId="3ACCC18E" w14:textId="77777777" w:rsidR="00B40F7F" w:rsidRPr="008A576A" w:rsidRDefault="00B40F7F"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procurer of bus services</w:t>
      </w:r>
    </w:p>
    <w:p w14:paraId="5C2A447E" w14:textId="1B696726" w:rsidR="00B40F7F" w:rsidRPr="008A576A" w:rsidRDefault="00B40F7F"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 xml:space="preserve">bus safety workers (includes drivers). </w:t>
      </w:r>
    </w:p>
    <w:p w14:paraId="5C9282CB" w14:textId="2EE97AE4" w:rsidR="00B40F7F" w:rsidRDefault="00B40F7F" w:rsidP="00B40F7F">
      <w:bookmarkStart w:id="480" w:name="_Hlk42162332"/>
      <w:r>
        <w:t xml:space="preserve">It is necessary to consider whether all or only a subset of these duty holders should be required to implement </w:t>
      </w:r>
      <w:r w:rsidR="007143B5">
        <w:t>an MMS</w:t>
      </w:r>
      <w:r w:rsidR="00814AB9">
        <w:t xml:space="preserve">. </w:t>
      </w:r>
      <w:r>
        <w:t>The reason being that safety system requirements should reflect the nature and control over bus operations and the level of risks associated with the duty holder</w:t>
      </w:r>
      <w:r w:rsidR="003C3709">
        <w:t>’</w:t>
      </w:r>
      <w:r>
        <w:t>s operations.</w:t>
      </w:r>
      <w:r w:rsidR="000D1A70">
        <w:t xml:space="preserve"> It may not be appropriate for all duty holders</w:t>
      </w:r>
      <w:r w:rsidR="0083153E">
        <w:t xml:space="preserve"> under the </w:t>
      </w:r>
      <w:r w:rsidR="00F716A7">
        <w:t xml:space="preserve">Bus Safety Act </w:t>
      </w:r>
      <w:r w:rsidR="000D1A70">
        <w:t xml:space="preserve">to implement </w:t>
      </w:r>
      <w:r w:rsidR="00A52E68">
        <w:t>an MMS</w:t>
      </w:r>
      <w:r w:rsidR="0083153E">
        <w:t>.</w:t>
      </w:r>
    </w:p>
    <w:p w14:paraId="0A7C9AB8" w14:textId="5FD4233C" w:rsidR="00AD193E" w:rsidRDefault="00055B17" w:rsidP="00B40F7F">
      <w:r>
        <w:t>B</w:t>
      </w:r>
      <w:r w:rsidR="00B40F7F">
        <w:t>us operato</w:t>
      </w:r>
      <w:r w:rsidR="00F77BC1">
        <w:t xml:space="preserve">rs have </w:t>
      </w:r>
      <w:r w:rsidR="00B40F7F">
        <w:t>the greatest control</w:t>
      </w:r>
      <w:r w:rsidR="00B737AC">
        <w:t xml:space="preserve"> over the </w:t>
      </w:r>
      <w:r w:rsidR="00F77BC1">
        <w:t>vehicles used in their bus service</w:t>
      </w:r>
      <w:r w:rsidR="00AA1ED2" w:rsidRPr="00AA1ED2">
        <w:t xml:space="preserve"> </w:t>
      </w:r>
      <w:r w:rsidR="00AA1ED2">
        <w:t xml:space="preserve">and are obligated under the </w:t>
      </w:r>
      <w:r w:rsidR="00F716A7">
        <w:t>Bus Safety Act</w:t>
      </w:r>
      <w:r w:rsidR="00AA1ED2">
        <w:t xml:space="preserve"> to ensure the safety of bus services</w:t>
      </w:r>
      <w:r w:rsidR="00F77BC1">
        <w:t xml:space="preserve">. </w:t>
      </w:r>
      <w:r w:rsidR="00B40F7F">
        <w:t xml:space="preserve">Under the </w:t>
      </w:r>
      <w:r w:rsidR="00F716A7">
        <w:t>Bus Safety Act</w:t>
      </w:r>
      <w:r w:rsidR="00B40F7F">
        <w:t>, there is a two-tiered</w:t>
      </w:r>
      <w:r w:rsidR="006010FD">
        <w:t xml:space="preserve"> scheme for bus operators</w:t>
      </w:r>
      <w:r w:rsidR="005477CB">
        <w:t xml:space="preserve"> – bus operator accreditation and bus operator registration.</w:t>
      </w:r>
      <w:r w:rsidR="00B40F7F">
        <w:t xml:space="preserve"> </w:t>
      </w:r>
      <w:r w:rsidR="00FE6801">
        <w:t>The legislative framework under the Bus Safety Act approximates risk by imposing additional obligations for accredited operators compared to registered operators.</w:t>
      </w:r>
    </w:p>
    <w:p w14:paraId="66F568E9" w14:textId="4E1C5026" w:rsidR="00FE6801" w:rsidRDefault="00B40F7F" w:rsidP="00B40F7F">
      <w:r>
        <w:t xml:space="preserve">The </w:t>
      </w:r>
      <w:r w:rsidRPr="001833B3">
        <w:t>purpose</w:t>
      </w:r>
      <w:r>
        <w:t xml:space="preserve"> of accreditation under the </w:t>
      </w:r>
      <w:r w:rsidR="003A2F6F">
        <w:t xml:space="preserve">Bus Safety Act </w:t>
      </w:r>
      <w:r>
        <w:t xml:space="preserve">is to ensure that a person who operates a commercial bus service or a local bus service has the competence and capacity to manage the risks to safety associated with operating </w:t>
      </w:r>
      <w:r w:rsidR="00AD0B08">
        <w:t>that service</w:t>
      </w:r>
      <w:r>
        <w:t xml:space="preserve">. </w:t>
      </w:r>
      <w:r w:rsidR="00FE6801">
        <w:t xml:space="preserve">Accreditation is also required when the operator operates a bus service using buses with a capacity of 13 or more seats. </w:t>
      </w:r>
    </w:p>
    <w:p w14:paraId="19FA0D43" w14:textId="77777777" w:rsidR="00FE6801" w:rsidRDefault="00FE6801" w:rsidP="00FE6801">
      <w:r>
        <w:t xml:space="preserve">Registration, on the other hand, is only required of the community and not-for-profit bus operators and operators of commercial services only using mini-buses (buses with seating between 10 to 12 persons). Registered operators are not required to demonstrate competence and capacity to manage the risks to safety in the same way that accredited operators must demonstrate when applying for accreditation. </w:t>
      </w:r>
    </w:p>
    <w:p w14:paraId="27BE6D8F" w14:textId="6A444B88" w:rsidR="008A75C7" w:rsidRDefault="00FE6801" w:rsidP="00B40F7F">
      <w:r>
        <w:t>T</w:t>
      </w:r>
      <w:r w:rsidR="00234ABB">
        <w:t xml:space="preserve">he legislative framework </w:t>
      </w:r>
      <w:r>
        <w:t xml:space="preserve">differentiates between these different types of operators because </w:t>
      </w:r>
      <w:r w:rsidR="00FA00EA">
        <w:t>a</w:t>
      </w:r>
      <w:r w:rsidR="008A75C7">
        <w:t xml:space="preserve">ccredited bus service </w:t>
      </w:r>
      <w:r>
        <w:t xml:space="preserve">operators </w:t>
      </w:r>
      <w:r w:rsidR="00234ABB">
        <w:t xml:space="preserve">operate larger buses, </w:t>
      </w:r>
      <w:r w:rsidR="00C63C08">
        <w:t xml:space="preserve">usually </w:t>
      </w:r>
      <w:r w:rsidR="00234ABB">
        <w:t>have larger fleet sizes or provide service</w:t>
      </w:r>
      <w:r w:rsidR="00C4234F">
        <w:t>s</w:t>
      </w:r>
      <w:r w:rsidR="00234ABB">
        <w:t xml:space="preserve"> that</w:t>
      </w:r>
      <w:r w:rsidR="008A75C7">
        <w:t xml:space="preserve"> use their vehicles more frequently, over a larger distance</w:t>
      </w:r>
      <w:r w:rsidR="00FA00EA">
        <w:t>.</w:t>
      </w:r>
    </w:p>
    <w:p w14:paraId="1E88B621" w14:textId="59128DF3" w:rsidR="00900E2E" w:rsidRDefault="006E3BD4" w:rsidP="00B40F7F">
      <w:r>
        <w:t>Registered</w:t>
      </w:r>
      <w:r w:rsidR="0036433B">
        <w:t xml:space="preserve"> operators generally </w:t>
      </w:r>
      <w:r w:rsidR="008D1CC4">
        <w:t xml:space="preserve">have a </w:t>
      </w:r>
      <w:r w:rsidR="00B40F7F">
        <w:t xml:space="preserve">lower risk-profile than their accredited counterparts as the buses </w:t>
      </w:r>
      <w:r w:rsidR="003E3F46">
        <w:t xml:space="preserve">are smaller in size, </w:t>
      </w:r>
      <w:r w:rsidR="00B40F7F">
        <w:t>are not used frequently (e.g. less than once a week)</w:t>
      </w:r>
      <w:r w:rsidR="003E3F46">
        <w:t xml:space="preserve"> or have a smaller fleet size</w:t>
      </w:r>
      <w:r w:rsidR="00B40F7F">
        <w:t xml:space="preserve">. </w:t>
      </w:r>
    </w:p>
    <w:p w14:paraId="7DBFD06C" w14:textId="77777777" w:rsidR="00900E2E" w:rsidRDefault="00900E2E" w:rsidP="00900E2E">
      <w:r>
        <w:t xml:space="preserve">However, DoT acknowledges that the proxy for risk is an imperfect one and there are some examples where registered operators do not fit into this general profile (e.g. some commercial mini-bus operators). </w:t>
      </w:r>
    </w:p>
    <w:p w14:paraId="029AE6BA" w14:textId="51801BE1" w:rsidR="001B5F8E" w:rsidRDefault="00900E2E" w:rsidP="00B40F7F">
      <w:r>
        <w:lastRenderedPageBreak/>
        <w:t>Nevertheless, g</w:t>
      </w:r>
      <w:r w:rsidR="00693398">
        <w:t xml:space="preserve">iven that bus services operated by accredited operators </w:t>
      </w:r>
      <w:r>
        <w:t xml:space="preserve">on the whole </w:t>
      </w:r>
      <w:r w:rsidR="00693398">
        <w:t xml:space="preserve">are </w:t>
      </w:r>
      <w:r w:rsidR="000E4F08">
        <w:t xml:space="preserve">considered to be </w:t>
      </w:r>
      <w:r>
        <w:t>a riskier cohort</w:t>
      </w:r>
      <w:r w:rsidR="00693398">
        <w:t xml:space="preserve"> than services operated by registered operators,</w:t>
      </w:r>
      <w:r w:rsidR="00C175E2">
        <w:t xml:space="preserve"> it would be reasonable to require </w:t>
      </w:r>
      <w:r w:rsidR="00EE12B6">
        <w:t>accredited o</w:t>
      </w:r>
      <w:r w:rsidR="00C175E2">
        <w:t>perators t</w:t>
      </w:r>
      <w:r w:rsidR="004C023E">
        <w:t xml:space="preserve">o establish and maintain </w:t>
      </w:r>
      <w:r w:rsidR="00A02DFF">
        <w:t>an MMS</w:t>
      </w:r>
      <w:r w:rsidR="004C023E">
        <w:t xml:space="preserve"> for the safety of vehicles</w:t>
      </w:r>
      <w:r w:rsidR="000D6EA0">
        <w:t>.</w:t>
      </w:r>
      <w:r w:rsidR="00492555">
        <w:t xml:space="preserve"> This aligns with</w:t>
      </w:r>
      <w:r w:rsidR="00C23130">
        <w:t xml:space="preserve"> </w:t>
      </w:r>
      <w:r w:rsidR="00AE6542">
        <w:t xml:space="preserve">an </w:t>
      </w:r>
      <w:r w:rsidR="00C23130">
        <w:t xml:space="preserve">accredited operator’s obligation under the </w:t>
      </w:r>
      <w:r w:rsidR="003A2F6F">
        <w:t xml:space="preserve">Bus Safety Act </w:t>
      </w:r>
      <w:r w:rsidR="00C23130">
        <w:t>to demonstrate</w:t>
      </w:r>
      <w:r w:rsidR="0064515D">
        <w:t xml:space="preserve"> competence and capacity to manage risks associated with </w:t>
      </w:r>
      <w:r w:rsidR="00E35386">
        <w:t>operating</w:t>
      </w:r>
      <w:r w:rsidR="0064515D">
        <w:t xml:space="preserve"> a bus service. </w:t>
      </w:r>
    </w:p>
    <w:bookmarkEnd w:id="480"/>
    <w:p w14:paraId="12235FC6" w14:textId="30E61201" w:rsidR="000F6AC3" w:rsidRDefault="008F3717" w:rsidP="001408F5">
      <w:pPr>
        <w:rPr>
          <w:lang w:val="en-US"/>
        </w:rPr>
      </w:pPr>
      <w:r>
        <w:rPr>
          <w:lang w:val="en-US"/>
        </w:rPr>
        <w:t xml:space="preserve">An alternative </w:t>
      </w:r>
      <w:r w:rsidR="00743B0C">
        <w:rPr>
          <w:lang w:val="en-US"/>
        </w:rPr>
        <w:t xml:space="preserve">to </w:t>
      </w:r>
      <w:r w:rsidR="00C175E2">
        <w:rPr>
          <w:lang w:val="en-US"/>
        </w:rPr>
        <w:t>assessing the risk profile of a bus service based on the operator type</w:t>
      </w:r>
      <w:r w:rsidR="00421E00">
        <w:rPr>
          <w:lang w:val="en-US"/>
        </w:rPr>
        <w:t xml:space="preserve"> defined in the Bus Safety Act</w:t>
      </w:r>
      <w:r w:rsidR="00C175E2">
        <w:rPr>
          <w:lang w:val="en-US"/>
        </w:rPr>
        <w:t xml:space="preserve"> (accredited versus registered) </w:t>
      </w:r>
      <w:r w:rsidR="00527D50">
        <w:rPr>
          <w:lang w:val="en-US"/>
        </w:rPr>
        <w:t xml:space="preserve">is to </w:t>
      </w:r>
      <w:r w:rsidR="00A77E6F">
        <w:rPr>
          <w:lang w:val="en-US"/>
        </w:rPr>
        <w:t xml:space="preserve">assess the risk profile based on the </w:t>
      </w:r>
      <w:r w:rsidR="00527D50">
        <w:rPr>
          <w:lang w:val="en-US"/>
        </w:rPr>
        <w:t xml:space="preserve">fleet size of </w:t>
      </w:r>
      <w:r w:rsidR="00733325">
        <w:rPr>
          <w:lang w:val="en-US"/>
        </w:rPr>
        <w:t>an</w:t>
      </w:r>
      <w:r w:rsidR="00527D50">
        <w:rPr>
          <w:lang w:val="en-US"/>
        </w:rPr>
        <w:t xml:space="preserve"> operator. </w:t>
      </w:r>
      <w:r w:rsidR="005E6DBC">
        <w:rPr>
          <w:lang w:val="en-US"/>
        </w:rPr>
        <w:t xml:space="preserve">Generally, </w:t>
      </w:r>
      <w:r w:rsidR="00EE6B6B">
        <w:rPr>
          <w:lang w:val="en-US"/>
        </w:rPr>
        <w:t xml:space="preserve">when compared with operators of smaller fleets, </w:t>
      </w:r>
      <w:r w:rsidR="00FB60B2">
        <w:rPr>
          <w:lang w:val="en-US"/>
        </w:rPr>
        <w:t>operators with a larger fleet</w:t>
      </w:r>
      <w:r w:rsidR="00154090">
        <w:rPr>
          <w:lang w:val="en-US"/>
        </w:rPr>
        <w:t>s</w:t>
      </w:r>
      <w:r w:rsidR="00FB60B2">
        <w:rPr>
          <w:lang w:val="en-US"/>
        </w:rPr>
        <w:t xml:space="preserve"> a</w:t>
      </w:r>
      <w:r w:rsidR="00A37CCC">
        <w:rPr>
          <w:lang w:val="en-US"/>
        </w:rPr>
        <w:t>re</w:t>
      </w:r>
      <w:r w:rsidR="002F7E01">
        <w:rPr>
          <w:lang w:val="en-US"/>
        </w:rPr>
        <w:t xml:space="preserve"> faced with a great</w:t>
      </w:r>
      <w:r w:rsidR="00FA666C">
        <w:rPr>
          <w:lang w:val="en-US"/>
        </w:rPr>
        <w:t xml:space="preserve">er </w:t>
      </w:r>
      <w:r w:rsidR="00EE6B6B">
        <w:rPr>
          <w:lang w:val="en-US"/>
        </w:rPr>
        <w:t>magnitude</w:t>
      </w:r>
      <w:r w:rsidR="00CD7AD7">
        <w:rPr>
          <w:lang w:val="en-US"/>
        </w:rPr>
        <w:t xml:space="preserve"> and types</w:t>
      </w:r>
      <w:r w:rsidR="00CE0CAB">
        <w:rPr>
          <w:lang w:val="en-US"/>
        </w:rPr>
        <w:t xml:space="preserve"> of risks to bus safety </w:t>
      </w:r>
      <w:r w:rsidR="000F6AC3">
        <w:rPr>
          <w:lang w:val="en-US"/>
        </w:rPr>
        <w:t>for reasons including</w:t>
      </w:r>
      <w:r w:rsidR="00164DFB">
        <w:rPr>
          <w:lang w:val="en-US"/>
        </w:rPr>
        <w:t xml:space="preserve"> </w:t>
      </w:r>
      <w:r w:rsidR="000F596C">
        <w:rPr>
          <w:lang w:val="en-US"/>
        </w:rPr>
        <w:t xml:space="preserve">that </w:t>
      </w:r>
      <w:r w:rsidR="00154090">
        <w:rPr>
          <w:lang w:val="en-US"/>
        </w:rPr>
        <w:t xml:space="preserve">operators with </w:t>
      </w:r>
      <w:r w:rsidR="000F596C">
        <w:rPr>
          <w:lang w:val="en-US"/>
        </w:rPr>
        <w:t>larger fleet</w:t>
      </w:r>
      <w:r w:rsidR="00154090">
        <w:rPr>
          <w:lang w:val="en-US"/>
        </w:rPr>
        <w:t>s</w:t>
      </w:r>
      <w:r w:rsidR="000F596C">
        <w:rPr>
          <w:lang w:val="en-US"/>
        </w:rPr>
        <w:t xml:space="preserve"> operators</w:t>
      </w:r>
      <w:r w:rsidR="00580C3F">
        <w:rPr>
          <w:lang w:val="en-US"/>
        </w:rPr>
        <w:t xml:space="preserve"> generally</w:t>
      </w:r>
      <w:r w:rsidR="000F6AC3">
        <w:rPr>
          <w:lang w:val="en-US"/>
        </w:rPr>
        <w:t>:</w:t>
      </w:r>
    </w:p>
    <w:p w14:paraId="79940030" w14:textId="08E1C4F9" w:rsidR="007D7BA1" w:rsidRPr="008A576A" w:rsidRDefault="00B421AC"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 xml:space="preserve">carry </w:t>
      </w:r>
      <w:r w:rsidR="00361210" w:rsidRPr="008A576A">
        <w:rPr>
          <w:rFonts w:asciiTheme="minorHAnsi" w:eastAsiaTheme="minorHAnsi" w:hAnsiTheme="minorHAnsi" w:cstheme="minorBidi"/>
          <w:color w:val="000000" w:themeColor="text1"/>
          <w:sz w:val="20"/>
          <w:szCs w:val="18"/>
          <w:lang w:eastAsia="en-US"/>
        </w:rPr>
        <w:t xml:space="preserve">a larger number of </w:t>
      </w:r>
      <w:r w:rsidRPr="008A576A">
        <w:rPr>
          <w:rFonts w:asciiTheme="minorHAnsi" w:eastAsiaTheme="minorHAnsi" w:hAnsiTheme="minorHAnsi" w:cstheme="minorBidi"/>
          <w:color w:val="000000" w:themeColor="text1"/>
          <w:sz w:val="20"/>
          <w:szCs w:val="18"/>
          <w:lang w:eastAsia="en-US"/>
        </w:rPr>
        <w:t>passengers</w:t>
      </w:r>
    </w:p>
    <w:p w14:paraId="3678508E" w14:textId="1AB3C61E" w:rsidR="00E66A1A" w:rsidRPr="008A576A" w:rsidRDefault="00E66A1A"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carry a gr</w:t>
      </w:r>
      <w:r w:rsidR="0032687D" w:rsidRPr="008A576A">
        <w:rPr>
          <w:rFonts w:asciiTheme="minorHAnsi" w:eastAsiaTheme="minorHAnsi" w:hAnsiTheme="minorHAnsi" w:cstheme="minorBidi"/>
          <w:color w:val="000000" w:themeColor="text1"/>
          <w:sz w:val="20"/>
          <w:szCs w:val="18"/>
          <w:lang w:eastAsia="en-US"/>
        </w:rPr>
        <w:t>eater</w:t>
      </w:r>
      <w:r w:rsidR="00233EB6" w:rsidRPr="008A576A">
        <w:rPr>
          <w:rFonts w:asciiTheme="minorHAnsi" w:eastAsiaTheme="minorHAnsi" w:hAnsiTheme="minorHAnsi" w:cstheme="minorBidi"/>
          <w:color w:val="000000" w:themeColor="text1"/>
          <w:sz w:val="20"/>
          <w:szCs w:val="18"/>
          <w:lang w:eastAsia="en-US"/>
        </w:rPr>
        <w:t xml:space="preserve"> </w:t>
      </w:r>
      <w:r w:rsidR="00C63C08" w:rsidRPr="008A576A">
        <w:rPr>
          <w:rFonts w:asciiTheme="minorHAnsi" w:eastAsiaTheme="minorHAnsi" w:hAnsiTheme="minorHAnsi" w:cstheme="minorBidi"/>
          <w:color w:val="000000" w:themeColor="text1"/>
          <w:sz w:val="20"/>
          <w:szCs w:val="18"/>
          <w:lang w:eastAsia="en-US"/>
        </w:rPr>
        <w:t xml:space="preserve">demographic </w:t>
      </w:r>
      <w:r w:rsidR="00233EB6" w:rsidRPr="008A576A">
        <w:rPr>
          <w:rFonts w:asciiTheme="minorHAnsi" w:eastAsiaTheme="minorHAnsi" w:hAnsiTheme="minorHAnsi" w:cstheme="minorBidi"/>
          <w:color w:val="000000" w:themeColor="text1"/>
          <w:sz w:val="20"/>
          <w:szCs w:val="18"/>
          <w:lang w:eastAsia="en-US"/>
        </w:rPr>
        <w:t xml:space="preserve">range </w:t>
      </w:r>
      <w:r w:rsidR="0032687D" w:rsidRPr="008A576A">
        <w:rPr>
          <w:rFonts w:asciiTheme="minorHAnsi" w:eastAsiaTheme="minorHAnsi" w:hAnsiTheme="minorHAnsi" w:cstheme="minorBidi"/>
          <w:color w:val="000000" w:themeColor="text1"/>
          <w:sz w:val="20"/>
          <w:szCs w:val="18"/>
          <w:lang w:eastAsia="en-US"/>
        </w:rPr>
        <w:t>of passengers</w:t>
      </w:r>
    </w:p>
    <w:p w14:paraId="6BF4B9F6" w14:textId="584E3024" w:rsidR="00715C51" w:rsidRPr="008A576A" w:rsidRDefault="007D7BA1"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 xml:space="preserve">provide bus services in which </w:t>
      </w:r>
      <w:r w:rsidR="00B421AC" w:rsidRPr="008A576A">
        <w:rPr>
          <w:rFonts w:asciiTheme="minorHAnsi" w:eastAsiaTheme="minorHAnsi" w:hAnsiTheme="minorHAnsi" w:cstheme="minorBidi"/>
          <w:color w:val="000000" w:themeColor="text1"/>
          <w:sz w:val="20"/>
          <w:szCs w:val="18"/>
          <w:lang w:eastAsia="en-US"/>
        </w:rPr>
        <w:t>the aggregate distances travelled by the whole bus fleet would be larger</w:t>
      </w:r>
      <w:r w:rsidR="00A53818" w:rsidRPr="008A576A">
        <w:rPr>
          <w:rFonts w:asciiTheme="minorHAnsi" w:eastAsiaTheme="minorHAnsi" w:hAnsiTheme="minorHAnsi" w:cstheme="minorBidi"/>
          <w:color w:val="000000" w:themeColor="text1"/>
          <w:sz w:val="20"/>
          <w:szCs w:val="18"/>
          <w:lang w:eastAsia="en-US"/>
        </w:rPr>
        <w:t xml:space="preserve"> or the </w:t>
      </w:r>
      <w:r w:rsidR="004E3A97" w:rsidRPr="008A576A">
        <w:rPr>
          <w:rFonts w:asciiTheme="minorHAnsi" w:eastAsiaTheme="minorHAnsi" w:hAnsiTheme="minorHAnsi" w:cstheme="minorBidi"/>
          <w:color w:val="000000" w:themeColor="text1"/>
          <w:sz w:val="20"/>
          <w:szCs w:val="18"/>
          <w:lang w:eastAsia="en-US"/>
        </w:rPr>
        <w:t>frequency</w:t>
      </w:r>
      <w:r w:rsidR="00A53818" w:rsidRPr="008A576A">
        <w:rPr>
          <w:rFonts w:asciiTheme="minorHAnsi" w:eastAsiaTheme="minorHAnsi" w:hAnsiTheme="minorHAnsi" w:cstheme="minorBidi"/>
          <w:color w:val="000000" w:themeColor="text1"/>
          <w:sz w:val="20"/>
          <w:szCs w:val="18"/>
          <w:lang w:eastAsia="en-US"/>
        </w:rPr>
        <w:t xml:space="preserve"> of use may be higher</w:t>
      </w:r>
      <w:r w:rsidR="00AD115C" w:rsidRPr="008A576A">
        <w:rPr>
          <w:rFonts w:asciiTheme="minorHAnsi" w:eastAsiaTheme="minorHAnsi" w:hAnsiTheme="minorHAnsi" w:cstheme="minorBidi"/>
          <w:color w:val="000000" w:themeColor="text1"/>
          <w:sz w:val="20"/>
          <w:szCs w:val="18"/>
          <w:lang w:eastAsia="en-US"/>
        </w:rPr>
        <w:t xml:space="preserve"> </w:t>
      </w:r>
      <w:r w:rsidR="00C0609C" w:rsidRPr="008A576A">
        <w:rPr>
          <w:rFonts w:asciiTheme="minorHAnsi" w:eastAsiaTheme="minorHAnsi" w:hAnsiTheme="minorHAnsi" w:cstheme="minorBidi"/>
          <w:color w:val="000000" w:themeColor="text1"/>
          <w:sz w:val="20"/>
          <w:szCs w:val="18"/>
          <w:lang w:eastAsia="en-US"/>
        </w:rPr>
        <w:t xml:space="preserve">(i.e. higher </w:t>
      </w:r>
      <w:r w:rsidR="00AD115C" w:rsidRPr="008A576A">
        <w:rPr>
          <w:rFonts w:asciiTheme="minorHAnsi" w:eastAsiaTheme="minorHAnsi" w:hAnsiTheme="minorHAnsi" w:cstheme="minorBidi"/>
          <w:color w:val="000000" w:themeColor="text1"/>
          <w:sz w:val="20"/>
          <w:szCs w:val="18"/>
          <w:lang w:eastAsia="en-US"/>
        </w:rPr>
        <w:t>utili</w:t>
      </w:r>
      <w:r w:rsidR="004E3A97" w:rsidRPr="008A576A">
        <w:rPr>
          <w:rFonts w:asciiTheme="minorHAnsi" w:eastAsiaTheme="minorHAnsi" w:hAnsiTheme="minorHAnsi" w:cstheme="minorBidi"/>
          <w:color w:val="000000" w:themeColor="text1"/>
          <w:sz w:val="20"/>
          <w:szCs w:val="18"/>
          <w:lang w:eastAsia="en-US"/>
        </w:rPr>
        <w:t>s</w:t>
      </w:r>
      <w:r w:rsidR="00AD115C" w:rsidRPr="008A576A">
        <w:rPr>
          <w:rFonts w:asciiTheme="minorHAnsi" w:eastAsiaTheme="minorHAnsi" w:hAnsiTheme="minorHAnsi" w:cstheme="minorBidi"/>
          <w:color w:val="000000" w:themeColor="text1"/>
          <w:sz w:val="20"/>
          <w:szCs w:val="18"/>
          <w:lang w:eastAsia="en-US"/>
        </w:rPr>
        <w:t>ation of the bu</w:t>
      </w:r>
      <w:r w:rsidR="00A53818" w:rsidRPr="008A576A">
        <w:rPr>
          <w:rFonts w:asciiTheme="minorHAnsi" w:eastAsiaTheme="minorHAnsi" w:hAnsiTheme="minorHAnsi" w:cstheme="minorBidi"/>
          <w:color w:val="000000" w:themeColor="text1"/>
          <w:sz w:val="20"/>
          <w:szCs w:val="18"/>
          <w:lang w:eastAsia="en-US"/>
        </w:rPr>
        <w:t>s fleet</w:t>
      </w:r>
      <w:r w:rsidR="002340D6" w:rsidRPr="008A576A">
        <w:rPr>
          <w:rFonts w:asciiTheme="minorHAnsi" w:eastAsiaTheme="minorHAnsi" w:hAnsiTheme="minorHAnsi" w:cstheme="minorBidi"/>
          <w:color w:val="000000" w:themeColor="text1"/>
          <w:sz w:val="20"/>
          <w:szCs w:val="18"/>
          <w:lang w:eastAsia="en-US"/>
        </w:rPr>
        <w:t>)</w:t>
      </w:r>
    </w:p>
    <w:p w14:paraId="75B1337E" w14:textId="7DC43114" w:rsidR="00C52DE6" w:rsidRPr="008A576A" w:rsidRDefault="00C8656B" w:rsidP="008A576A">
      <w:pPr>
        <w:pStyle w:val="ListParagraph"/>
        <w:numPr>
          <w:ilvl w:val="0"/>
          <w:numId w:val="35"/>
        </w:numPr>
        <w:rPr>
          <w:rFonts w:asciiTheme="minorHAnsi" w:eastAsiaTheme="minorHAnsi" w:hAnsiTheme="minorHAnsi" w:cstheme="minorBidi"/>
          <w:color w:val="000000" w:themeColor="text1"/>
          <w:sz w:val="20"/>
          <w:szCs w:val="18"/>
          <w:lang w:eastAsia="en-US"/>
        </w:rPr>
      </w:pPr>
      <w:r w:rsidRPr="008A576A">
        <w:rPr>
          <w:rFonts w:asciiTheme="minorHAnsi" w:eastAsiaTheme="minorHAnsi" w:hAnsiTheme="minorHAnsi" w:cstheme="minorBidi"/>
          <w:color w:val="000000" w:themeColor="text1"/>
          <w:sz w:val="20"/>
          <w:szCs w:val="18"/>
          <w:lang w:eastAsia="en-US"/>
        </w:rPr>
        <w:t xml:space="preserve">employ a </w:t>
      </w:r>
      <w:r w:rsidR="001006DA" w:rsidRPr="008A576A">
        <w:rPr>
          <w:rFonts w:asciiTheme="minorHAnsi" w:eastAsiaTheme="minorHAnsi" w:hAnsiTheme="minorHAnsi" w:cstheme="minorBidi"/>
          <w:color w:val="000000" w:themeColor="text1"/>
          <w:sz w:val="20"/>
          <w:szCs w:val="18"/>
          <w:lang w:eastAsia="en-US"/>
        </w:rPr>
        <w:t>larger number of</w:t>
      </w:r>
      <w:r w:rsidRPr="008A576A">
        <w:rPr>
          <w:rFonts w:asciiTheme="minorHAnsi" w:eastAsiaTheme="minorHAnsi" w:hAnsiTheme="minorHAnsi" w:cstheme="minorBidi"/>
          <w:color w:val="000000" w:themeColor="text1"/>
          <w:sz w:val="20"/>
          <w:szCs w:val="18"/>
          <w:lang w:eastAsia="en-US"/>
        </w:rPr>
        <w:t xml:space="preserve"> bus drivers</w:t>
      </w:r>
      <w:r w:rsidR="001006DA" w:rsidRPr="008A576A">
        <w:rPr>
          <w:rFonts w:asciiTheme="minorHAnsi" w:eastAsiaTheme="minorHAnsi" w:hAnsiTheme="minorHAnsi" w:cstheme="minorBidi"/>
          <w:color w:val="000000" w:themeColor="text1"/>
          <w:sz w:val="20"/>
          <w:szCs w:val="18"/>
          <w:lang w:eastAsia="en-US"/>
        </w:rPr>
        <w:t xml:space="preserve"> to drive the </w:t>
      </w:r>
      <w:r w:rsidR="00D40D43" w:rsidRPr="008A576A">
        <w:rPr>
          <w:rFonts w:asciiTheme="minorHAnsi" w:eastAsiaTheme="minorHAnsi" w:hAnsiTheme="minorHAnsi" w:cstheme="minorBidi"/>
          <w:color w:val="000000" w:themeColor="text1"/>
          <w:sz w:val="20"/>
          <w:szCs w:val="18"/>
          <w:lang w:eastAsia="en-US"/>
        </w:rPr>
        <w:t>larger fleet,</w:t>
      </w:r>
      <w:r w:rsidRPr="008A576A">
        <w:rPr>
          <w:rFonts w:asciiTheme="minorHAnsi" w:eastAsiaTheme="minorHAnsi" w:hAnsiTheme="minorHAnsi" w:cstheme="minorBidi"/>
          <w:color w:val="000000" w:themeColor="text1"/>
          <w:sz w:val="20"/>
          <w:szCs w:val="18"/>
          <w:lang w:eastAsia="en-US"/>
        </w:rPr>
        <w:t xml:space="preserve"> </w:t>
      </w:r>
      <w:r w:rsidR="00580C3F" w:rsidRPr="008A576A">
        <w:rPr>
          <w:rFonts w:asciiTheme="minorHAnsi" w:eastAsiaTheme="minorHAnsi" w:hAnsiTheme="minorHAnsi" w:cstheme="minorBidi"/>
          <w:color w:val="000000" w:themeColor="text1"/>
          <w:sz w:val="20"/>
          <w:szCs w:val="18"/>
          <w:lang w:eastAsia="en-US"/>
        </w:rPr>
        <w:t xml:space="preserve">which means there is greater </w:t>
      </w:r>
      <w:r w:rsidR="00A70EE8" w:rsidRPr="008A576A">
        <w:rPr>
          <w:rFonts w:asciiTheme="minorHAnsi" w:eastAsiaTheme="minorHAnsi" w:hAnsiTheme="minorHAnsi" w:cstheme="minorBidi"/>
          <w:color w:val="000000" w:themeColor="text1"/>
          <w:sz w:val="20"/>
          <w:szCs w:val="18"/>
          <w:lang w:eastAsia="en-US"/>
        </w:rPr>
        <w:t>variability in</w:t>
      </w:r>
      <w:r w:rsidR="0056233D" w:rsidRPr="008A576A">
        <w:rPr>
          <w:rFonts w:asciiTheme="minorHAnsi" w:eastAsiaTheme="minorHAnsi" w:hAnsiTheme="minorHAnsi" w:cstheme="minorBidi"/>
          <w:color w:val="000000" w:themeColor="text1"/>
          <w:sz w:val="20"/>
          <w:szCs w:val="18"/>
          <w:lang w:eastAsia="en-US"/>
        </w:rPr>
        <w:t xml:space="preserve"> backgrounds and capabilities in the drivers used</w:t>
      </w:r>
      <w:r w:rsidR="00B421AC" w:rsidRPr="008A576A">
        <w:rPr>
          <w:rFonts w:asciiTheme="minorHAnsi" w:eastAsiaTheme="minorHAnsi" w:hAnsiTheme="minorHAnsi" w:cstheme="minorBidi"/>
          <w:color w:val="000000" w:themeColor="text1"/>
          <w:sz w:val="20"/>
          <w:szCs w:val="18"/>
          <w:lang w:eastAsia="en-US"/>
        </w:rPr>
        <w:t>.</w:t>
      </w:r>
    </w:p>
    <w:p w14:paraId="5AF729D7" w14:textId="6A9BD7B4" w:rsidR="00491AB2" w:rsidRDefault="00C5545F" w:rsidP="0045726F">
      <w:pPr>
        <w:rPr>
          <w:lang w:val="en-US"/>
        </w:rPr>
      </w:pPr>
      <w:r w:rsidRPr="00C52DE6">
        <w:rPr>
          <w:lang w:val="en-US"/>
        </w:rPr>
        <w:t>This means that e</w:t>
      </w:r>
      <w:r w:rsidR="006D284B" w:rsidRPr="00C52DE6">
        <w:rPr>
          <w:lang w:val="en-US"/>
        </w:rPr>
        <w:t xml:space="preserve">nsuring that buses are maintained in a systematic way </w:t>
      </w:r>
      <w:r w:rsidR="00265F08" w:rsidRPr="00C52DE6">
        <w:rPr>
          <w:lang w:val="en-US"/>
        </w:rPr>
        <w:t xml:space="preserve">becomes </w:t>
      </w:r>
      <w:r w:rsidR="000605E6" w:rsidRPr="00C52DE6">
        <w:rPr>
          <w:lang w:val="en-US"/>
        </w:rPr>
        <w:t>increasingly</w:t>
      </w:r>
      <w:r w:rsidR="00265F08" w:rsidRPr="00C52DE6">
        <w:rPr>
          <w:lang w:val="en-US"/>
        </w:rPr>
        <w:t xml:space="preserve"> necessary as the number of buse</w:t>
      </w:r>
      <w:r w:rsidR="00F95926" w:rsidRPr="00C52DE6">
        <w:rPr>
          <w:lang w:val="en-US"/>
        </w:rPr>
        <w:t xml:space="preserve">s operated by an operator increases. </w:t>
      </w:r>
      <w:r w:rsidR="00E504C9" w:rsidRPr="00C52DE6">
        <w:rPr>
          <w:lang w:val="en-US"/>
        </w:rPr>
        <w:t>L</w:t>
      </w:r>
      <w:r w:rsidR="0019731E" w:rsidRPr="00C52DE6">
        <w:rPr>
          <w:lang w:val="en-US"/>
        </w:rPr>
        <w:t>arger fleet</w:t>
      </w:r>
      <w:r w:rsidR="004B3D3E">
        <w:rPr>
          <w:lang w:val="en-US"/>
        </w:rPr>
        <w:t>s</w:t>
      </w:r>
      <w:r w:rsidR="0019731E" w:rsidRPr="00C52DE6">
        <w:rPr>
          <w:lang w:val="en-US"/>
        </w:rPr>
        <w:t xml:space="preserve"> may </w:t>
      </w:r>
      <w:r w:rsidR="00076F2E" w:rsidRPr="00C52DE6">
        <w:rPr>
          <w:lang w:val="en-US"/>
        </w:rPr>
        <w:t xml:space="preserve">warrant the requirement for an MMS to manage the greater risks </w:t>
      </w:r>
      <w:r w:rsidR="00B17F67" w:rsidRPr="00C52DE6">
        <w:rPr>
          <w:lang w:val="en-US"/>
        </w:rPr>
        <w:t xml:space="preserve">their bus services </w:t>
      </w:r>
      <w:r w:rsidR="00E35386" w:rsidRPr="00C52DE6">
        <w:rPr>
          <w:lang w:val="en-US"/>
        </w:rPr>
        <w:t>pose</w:t>
      </w:r>
      <w:r w:rsidR="00076F2E" w:rsidRPr="00C52DE6">
        <w:rPr>
          <w:lang w:val="en-US"/>
        </w:rPr>
        <w:t xml:space="preserve"> compared to</w:t>
      </w:r>
      <w:r w:rsidR="00483796" w:rsidRPr="00C52DE6">
        <w:rPr>
          <w:lang w:val="en-US"/>
        </w:rPr>
        <w:t xml:space="preserve"> operators with a smaller fleet</w:t>
      </w:r>
      <w:r w:rsidR="004E7E98" w:rsidRPr="00C52DE6">
        <w:rPr>
          <w:lang w:val="en-US"/>
        </w:rPr>
        <w:t xml:space="preserve">. </w:t>
      </w:r>
    </w:p>
    <w:p w14:paraId="1E5B7CA4" w14:textId="12E99A91" w:rsidR="009E1D1C" w:rsidRPr="00C52DE6" w:rsidRDefault="009E1D1C" w:rsidP="00C52DE6">
      <w:pPr>
        <w:pStyle w:val="ListBullet"/>
        <w:numPr>
          <w:ilvl w:val="0"/>
          <w:numId w:val="0"/>
        </w:numPr>
        <w:spacing w:after="160"/>
        <w:contextualSpacing w:val="0"/>
        <w:rPr>
          <w:lang w:val="en-US"/>
        </w:rPr>
      </w:pPr>
      <w:r w:rsidRPr="00575EAC">
        <w:rPr>
          <w:lang w:val="en-US"/>
        </w:rPr>
        <w:t>For example, the requirement for an M</w:t>
      </w:r>
      <w:r w:rsidR="00FF2472">
        <w:rPr>
          <w:lang w:val="en-US"/>
        </w:rPr>
        <w:t>M</w:t>
      </w:r>
      <w:r w:rsidRPr="00575EAC">
        <w:rPr>
          <w:lang w:val="en-US"/>
        </w:rPr>
        <w:t>S could be aimed at operators who ha</w:t>
      </w:r>
      <w:r w:rsidR="00F16650">
        <w:rPr>
          <w:lang w:val="en-US"/>
        </w:rPr>
        <w:t>ve</w:t>
      </w:r>
      <w:r w:rsidRPr="00575EAC">
        <w:rPr>
          <w:lang w:val="en-US"/>
        </w:rPr>
        <w:t xml:space="preserve"> a fleet of three or more buses. The actual threshold may be determined through an assessment of the relative </w:t>
      </w:r>
      <w:r w:rsidR="00CA1B34">
        <w:rPr>
          <w:lang w:val="en-US"/>
        </w:rPr>
        <w:t>safety of different operators with different fleet sizes (e.g. an assessment of the relative number of bus safety incidents, fatalities and or serious injuries relative to an operator</w:t>
      </w:r>
      <w:r w:rsidR="004B3D3E">
        <w:rPr>
          <w:lang w:val="en-US"/>
        </w:rPr>
        <w:t>’</w:t>
      </w:r>
      <w:r w:rsidR="00CA1B34">
        <w:rPr>
          <w:lang w:val="en-US"/>
        </w:rPr>
        <w:t>s fleet size)</w:t>
      </w:r>
      <w:r w:rsidRPr="00575EAC">
        <w:rPr>
          <w:lang w:val="en-US"/>
        </w:rPr>
        <w:t xml:space="preserve">. DoT considers that an operator may be able to safely manage the operational aspects of only a small number of buses in their fleet without causing detriment to the safety of each bus providing the bus service. As the number of buses increase, </w:t>
      </w:r>
      <w:r w:rsidR="006D4560">
        <w:rPr>
          <w:lang w:val="en-US"/>
        </w:rPr>
        <w:t>i</w:t>
      </w:r>
      <w:r w:rsidRPr="00575EAC">
        <w:rPr>
          <w:lang w:val="en-US"/>
        </w:rPr>
        <w:t>t may be more appropriate that systems or procedures be put in place to ensure that there is still broad oversight of the bus operations by the operator.</w:t>
      </w:r>
    </w:p>
    <w:p w14:paraId="6EF4C540" w14:textId="7D3D70C7" w:rsidR="00626045" w:rsidRDefault="00AC4A53" w:rsidP="001408F5">
      <w:pPr>
        <w:rPr>
          <w:lang w:val="en-US"/>
        </w:rPr>
      </w:pPr>
      <w:bookmarkStart w:id="481" w:name="_Hlk43359456"/>
      <w:r>
        <w:rPr>
          <w:lang w:val="en-US"/>
        </w:rPr>
        <w:t>Consultation with TSV</w:t>
      </w:r>
      <w:r w:rsidR="00511349">
        <w:rPr>
          <w:lang w:val="en-US"/>
        </w:rPr>
        <w:t xml:space="preserve"> indicated </w:t>
      </w:r>
      <w:r w:rsidR="003765B8">
        <w:rPr>
          <w:lang w:val="en-US"/>
        </w:rPr>
        <w:t xml:space="preserve">there </w:t>
      </w:r>
      <w:r w:rsidR="00F96CEF">
        <w:rPr>
          <w:lang w:val="en-US"/>
        </w:rPr>
        <w:t xml:space="preserve">are </w:t>
      </w:r>
      <w:r w:rsidR="003765B8">
        <w:rPr>
          <w:lang w:val="en-US"/>
        </w:rPr>
        <w:t xml:space="preserve">no </w:t>
      </w:r>
      <w:r w:rsidR="00787A07">
        <w:rPr>
          <w:lang w:val="en-US"/>
        </w:rPr>
        <w:t xml:space="preserve">comprehensive </w:t>
      </w:r>
      <w:r w:rsidR="003765B8">
        <w:rPr>
          <w:lang w:val="en-US"/>
        </w:rPr>
        <w:t>records</w:t>
      </w:r>
      <w:r w:rsidR="009D6865">
        <w:rPr>
          <w:lang w:val="en-US"/>
        </w:rPr>
        <w:t xml:space="preserve"> on the current </w:t>
      </w:r>
      <w:r w:rsidR="003237F2">
        <w:rPr>
          <w:lang w:val="en-US"/>
        </w:rPr>
        <w:t>size of each operator’s</w:t>
      </w:r>
      <w:r w:rsidR="009D6865">
        <w:rPr>
          <w:lang w:val="en-US"/>
        </w:rPr>
        <w:t xml:space="preserve"> bus fleet</w:t>
      </w:r>
      <w:bookmarkEnd w:id="481"/>
      <w:r w:rsidR="009D6865">
        <w:rPr>
          <w:lang w:val="en-US"/>
        </w:rPr>
        <w:t xml:space="preserve">, although </w:t>
      </w:r>
      <w:r w:rsidR="00787A07">
        <w:rPr>
          <w:lang w:val="en-US"/>
        </w:rPr>
        <w:t xml:space="preserve">it was suggested that </w:t>
      </w:r>
      <w:r w:rsidR="002B5588">
        <w:rPr>
          <w:lang w:val="en-US"/>
        </w:rPr>
        <w:t xml:space="preserve">community and </w:t>
      </w:r>
      <w:r w:rsidR="0008703C">
        <w:rPr>
          <w:lang w:val="en-US"/>
        </w:rPr>
        <w:t>not-for-profit</w:t>
      </w:r>
      <w:r w:rsidR="002B5588">
        <w:rPr>
          <w:lang w:val="en-US"/>
        </w:rPr>
        <w:t xml:space="preserve"> operators, which are considered lower risk, only operate </w:t>
      </w:r>
      <w:r w:rsidR="009D6865">
        <w:rPr>
          <w:lang w:val="en-US"/>
        </w:rPr>
        <w:t>on</w:t>
      </w:r>
      <w:r w:rsidR="00BA57A2">
        <w:rPr>
          <w:lang w:val="en-US"/>
        </w:rPr>
        <w:t xml:space="preserve">e or </w:t>
      </w:r>
      <w:r w:rsidR="009D6865">
        <w:rPr>
          <w:lang w:val="en-US"/>
        </w:rPr>
        <w:t>two buses i</w:t>
      </w:r>
      <w:r w:rsidR="002B5588">
        <w:rPr>
          <w:lang w:val="en-US"/>
        </w:rPr>
        <w:t>n their fleet.</w:t>
      </w:r>
      <w:r w:rsidR="009D6865">
        <w:rPr>
          <w:lang w:val="en-US"/>
        </w:rPr>
        <w:t xml:space="preserve"> </w:t>
      </w:r>
      <w:r w:rsidR="009D03C1">
        <w:rPr>
          <w:lang w:val="en-US"/>
        </w:rPr>
        <w:t xml:space="preserve">Therefore, for example, </w:t>
      </w:r>
      <w:r w:rsidR="009D6865">
        <w:rPr>
          <w:lang w:val="en-US"/>
        </w:rPr>
        <w:t xml:space="preserve">the requirement for an MMS could be aimed at operators </w:t>
      </w:r>
      <w:r w:rsidR="009D03C1">
        <w:rPr>
          <w:lang w:val="en-US"/>
        </w:rPr>
        <w:t>who ha</w:t>
      </w:r>
      <w:r w:rsidR="008A7404">
        <w:rPr>
          <w:lang w:val="en-US"/>
        </w:rPr>
        <w:t>ve</w:t>
      </w:r>
      <w:r w:rsidR="009D03C1">
        <w:rPr>
          <w:lang w:val="en-US"/>
        </w:rPr>
        <w:t xml:space="preserve"> a fleet of three or more buses</w:t>
      </w:r>
      <w:r w:rsidR="009D6865">
        <w:rPr>
          <w:lang w:val="en-US"/>
        </w:rPr>
        <w:t xml:space="preserve">. </w:t>
      </w:r>
    </w:p>
    <w:p w14:paraId="043B7324" w14:textId="5B7CAEAC" w:rsidR="00B072D1" w:rsidRPr="006B1B96" w:rsidRDefault="004B26AA" w:rsidP="00D86BF8">
      <w:r>
        <w:t>P</w:t>
      </w:r>
      <w:r w:rsidR="00D63D9F" w:rsidRPr="006B1B96">
        <w:t xml:space="preserve">rocurers of bus services have a </w:t>
      </w:r>
      <w:r w:rsidR="00A753A3" w:rsidRPr="006B1B96">
        <w:t xml:space="preserve">less direct </w:t>
      </w:r>
      <w:r w:rsidR="00D86BF8" w:rsidRPr="006B1B96">
        <w:t>level of control</w:t>
      </w:r>
      <w:r w:rsidR="00A753A3" w:rsidRPr="006B1B96">
        <w:t xml:space="preserve"> over bus services to mitigate risks and ensure safety of bus services. Procurers</w:t>
      </w:r>
      <w:r w:rsidR="001556C8" w:rsidRPr="006B1B96">
        <w:t xml:space="preserve"> </w:t>
      </w:r>
      <w:r w:rsidR="006A33D9" w:rsidRPr="006B1B96">
        <w:t xml:space="preserve">must generally </w:t>
      </w:r>
      <w:r w:rsidR="00D86BF8" w:rsidRPr="006B1B96">
        <w:t>be satisfied as to the safety of the bus service before deciding to procure a bus service</w:t>
      </w:r>
      <w:r w:rsidR="001556C8" w:rsidRPr="006B1B96">
        <w:t xml:space="preserve">, </w:t>
      </w:r>
      <w:r w:rsidR="006A33D9" w:rsidRPr="006B1B96">
        <w:t>which can be done through imposing c</w:t>
      </w:r>
      <w:r w:rsidR="001556C8" w:rsidRPr="006B1B96">
        <w:t>onditions and obligations</w:t>
      </w:r>
      <w:r w:rsidR="006A33D9" w:rsidRPr="006B1B96">
        <w:t xml:space="preserve"> relating to safety</w:t>
      </w:r>
      <w:r w:rsidR="00B072D1" w:rsidRPr="006B1B96">
        <w:t xml:space="preserve"> via contracts with the bus operator.</w:t>
      </w:r>
      <w:r w:rsidR="005173D4" w:rsidRPr="006B1B96">
        <w:t xml:space="preserve"> </w:t>
      </w:r>
      <w:r w:rsidR="000D22F6" w:rsidRPr="006B1B96">
        <w:t>When compared with bus operators, procurers have a lesser direct impact on the d</w:t>
      </w:r>
      <w:r w:rsidR="005173D4" w:rsidRPr="006B1B96">
        <w:t xml:space="preserve">ay-to-day </w:t>
      </w:r>
      <w:r w:rsidR="000D22F6" w:rsidRPr="006B1B96">
        <w:t xml:space="preserve">operations of a bus service. For this reason, it is not proposed to impose </w:t>
      </w:r>
      <w:r w:rsidR="00235AEC">
        <w:t>requirements for an</w:t>
      </w:r>
      <w:r w:rsidR="00624C15">
        <w:t xml:space="preserve"> MMS</w:t>
      </w:r>
      <w:r w:rsidR="000D22F6" w:rsidRPr="006B1B96">
        <w:t xml:space="preserve"> on these duty holders. </w:t>
      </w:r>
      <w:r w:rsidR="00B072D1" w:rsidRPr="006B1B96">
        <w:t xml:space="preserve"> </w:t>
      </w:r>
    </w:p>
    <w:p w14:paraId="45175DD2" w14:textId="07F7B1A7" w:rsidR="00414243" w:rsidRDefault="00B072D1" w:rsidP="00414243">
      <w:r w:rsidRPr="006B1B96">
        <w:t>In relation to p</w:t>
      </w:r>
      <w:r w:rsidR="00D86BF8" w:rsidRPr="006B1B96">
        <w:t xml:space="preserve">ersons </w:t>
      </w:r>
      <w:r w:rsidRPr="006B1B96">
        <w:t xml:space="preserve">who determine </w:t>
      </w:r>
      <w:r w:rsidR="00546EAA" w:rsidRPr="006B1B96">
        <w:t>bus stopping point</w:t>
      </w:r>
      <w:r w:rsidR="003424D8">
        <w:t>s</w:t>
      </w:r>
      <w:r w:rsidR="00546EAA" w:rsidRPr="006B1B96">
        <w:t xml:space="preserve"> and bus stop infrastructure, these parties</w:t>
      </w:r>
      <w:r w:rsidR="00D86BF8" w:rsidRPr="006B1B96">
        <w:t xml:space="preserve"> generally consider safety risks when assessing the placement of bus infrastructure or bus stopping points. </w:t>
      </w:r>
      <w:r w:rsidR="00594D3E">
        <w:t>Such persons are not involved in the provision of bus services, and so i</w:t>
      </w:r>
      <w:r w:rsidR="00C370D8" w:rsidRPr="006B1B96">
        <w:t xml:space="preserve">t follows that there is </w:t>
      </w:r>
      <w:r w:rsidR="00D830BB" w:rsidRPr="006B1B96">
        <w:t>limited</w:t>
      </w:r>
      <w:r w:rsidR="00594D3E">
        <w:t xml:space="preserve"> merit in requiring a</w:t>
      </w:r>
      <w:r w:rsidR="00C370D8" w:rsidRPr="006B1B96">
        <w:t xml:space="preserve"> safety system in place to mitigate risks to the bus services. </w:t>
      </w:r>
      <w:r w:rsidR="00D86BF8" w:rsidRPr="006B1B96">
        <w:t xml:space="preserve">It is therefore not proposed to impose </w:t>
      </w:r>
      <w:r w:rsidR="00235AEC">
        <w:t xml:space="preserve">requirements for an MMS </w:t>
      </w:r>
      <w:r w:rsidR="00D86BF8" w:rsidRPr="006B1B96">
        <w:t xml:space="preserve">on these </w:t>
      </w:r>
      <w:r w:rsidR="001153E0" w:rsidRPr="006B1B96">
        <w:t>duty holders</w:t>
      </w:r>
      <w:r w:rsidR="00D86BF8" w:rsidRPr="006B1B96">
        <w:t xml:space="preserve">. </w:t>
      </w:r>
    </w:p>
    <w:p w14:paraId="270DEA6C" w14:textId="5BE2BAF7" w:rsidR="00414243" w:rsidRDefault="00414243" w:rsidP="00414243">
      <w:r>
        <w:t>Bus safety workers, which include drivers of bus services, have a different duty</w:t>
      </w:r>
      <w:r w:rsidR="00611121">
        <w:t xml:space="preserve"> to other parties under the </w:t>
      </w:r>
      <w:r w:rsidR="00CD7E56">
        <w:t xml:space="preserve">Bus </w:t>
      </w:r>
      <w:r w:rsidR="00611121">
        <w:t>Safety Act. Bus safety workers</w:t>
      </w:r>
      <w:r>
        <w:t xml:space="preserve"> must take reasonable measures to ensure the safety of persons who may be affected by their acts or omissions, similar to the duty imposed on employees under the OHS</w:t>
      </w:r>
      <w:r w:rsidR="00E238F3">
        <w:t xml:space="preserve"> </w:t>
      </w:r>
      <w:r>
        <w:t>A</w:t>
      </w:r>
      <w:r w:rsidR="00E238F3">
        <w:t>ct</w:t>
      </w:r>
      <w:r>
        <w:t>. This type of duty does not impose a requirement on the driver to consider and manage risks but instead to take care for their own safety during work. Essentially this duty requires drivers to do things during the provision of services rather than to take pre-emptive actions</w:t>
      </w:r>
      <w:r w:rsidR="00747C75">
        <w:t xml:space="preserve"> to manage safety risks</w:t>
      </w:r>
      <w:r>
        <w:t>. Therefore,</w:t>
      </w:r>
      <w:r w:rsidR="00747C75">
        <w:t xml:space="preserve"> </w:t>
      </w:r>
      <w:r w:rsidR="00C76043">
        <w:t>DoT</w:t>
      </w:r>
      <w:r w:rsidR="00747C75">
        <w:t xml:space="preserve"> considers</w:t>
      </w:r>
      <w:r>
        <w:t xml:space="preserve"> it is unnecessary and inconsistent with the nature of the duty under the </w:t>
      </w:r>
      <w:r w:rsidR="003A2F6F">
        <w:t xml:space="preserve">Bus Safety Act </w:t>
      </w:r>
      <w:r>
        <w:t>to impose regulations requiring the driver to implement</w:t>
      </w:r>
      <w:r w:rsidR="00571914">
        <w:t xml:space="preserve"> </w:t>
      </w:r>
      <w:r w:rsidR="003B1C83">
        <w:t>an MMS</w:t>
      </w:r>
      <w:r>
        <w:t>.</w:t>
      </w:r>
    </w:p>
    <w:p w14:paraId="2C328BF8" w14:textId="76C78865" w:rsidR="00B40F7F" w:rsidRPr="009B40A3" w:rsidRDefault="0038130E" w:rsidP="0095677C">
      <w:pPr>
        <w:pStyle w:val="Heading5"/>
      </w:pPr>
      <w:r w:rsidRPr="009B40A3">
        <w:lastRenderedPageBreak/>
        <w:t>Audit</w:t>
      </w:r>
      <w:r w:rsidR="00571D34">
        <w:t xml:space="preserve"> or </w:t>
      </w:r>
      <w:r w:rsidR="005F2BB6">
        <w:t>r</w:t>
      </w:r>
      <w:r w:rsidR="00571D34">
        <w:t>eview</w:t>
      </w:r>
      <w:r w:rsidRPr="009B40A3">
        <w:t xml:space="preserve"> of</w:t>
      </w:r>
      <w:r w:rsidR="00B40F7F" w:rsidRPr="009B40A3">
        <w:t xml:space="preserve"> </w:t>
      </w:r>
      <w:r w:rsidR="00571D34">
        <w:t xml:space="preserve">an </w:t>
      </w:r>
      <w:r w:rsidR="008E7D0A" w:rsidRPr="009B40A3">
        <w:t>MMS</w:t>
      </w:r>
    </w:p>
    <w:p w14:paraId="0FFC6C14" w14:textId="27BA82C2" w:rsidR="00F63B2B" w:rsidRDefault="00450296" w:rsidP="00B40F7F">
      <w:r>
        <w:t xml:space="preserve">There may be merit </w:t>
      </w:r>
      <w:r w:rsidR="000869D2">
        <w:t>in considering whether a</w:t>
      </w:r>
      <w:r w:rsidR="00DF5D1E">
        <w:t>n</w:t>
      </w:r>
      <w:r w:rsidR="000869D2">
        <w:t xml:space="preserve"> MMS should be </w:t>
      </w:r>
      <w:r w:rsidR="00C21920">
        <w:t xml:space="preserve">required to be audited </w:t>
      </w:r>
      <w:r w:rsidR="00544709">
        <w:t>or reviewed.</w:t>
      </w:r>
      <w:r w:rsidR="00B47AED">
        <w:t xml:space="preserve"> The purpose of such a requirement is</w:t>
      </w:r>
      <w:r w:rsidR="00E8643E">
        <w:t xml:space="preserve"> to</w:t>
      </w:r>
      <w:r w:rsidR="00861F18">
        <w:t xml:space="preserve"> ensure that any systems and procedures </w:t>
      </w:r>
      <w:r w:rsidR="00583E9C">
        <w:t>established to manage vehicle safety risks are still current</w:t>
      </w:r>
      <w:r w:rsidR="00F21B96">
        <w:t>.</w:t>
      </w:r>
      <w:r w:rsidR="00583E9C">
        <w:t xml:space="preserve"> </w:t>
      </w:r>
    </w:p>
    <w:p w14:paraId="06BAC6FC" w14:textId="130643C7" w:rsidR="006E3791" w:rsidRDefault="00F63B2B" w:rsidP="00BD1E5A">
      <w:r>
        <w:t>Generally, a</w:t>
      </w:r>
      <w:r w:rsidR="00FF5AB6">
        <w:t xml:space="preserve">udits </w:t>
      </w:r>
      <w:r>
        <w:t xml:space="preserve">could </w:t>
      </w:r>
      <w:r w:rsidR="00591141">
        <w:t>be required at the Safety Director</w:t>
      </w:r>
      <w:r w:rsidR="000F1BB0">
        <w:t>’</w:t>
      </w:r>
      <w:r w:rsidR="00591141">
        <w:t>s discretion, prescribed</w:t>
      </w:r>
      <w:r w:rsidR="00FF5AB6">
        <w:t xml:space="preserve"> at </w:t>
      </w:r>
      <w:r w:rsidR="008F6637">
        <w:t>periodic intervals</w:t>
      </w:r>
      <w:r w:rsidR="00591141">
        <w:t xml:space="preserve"> or </w:t>
      </w:r>
      <w:r w:rsidR="00DF0398">
        <w:t>be required after the occurrence of a prescribed event</w:t>
      </w:r>
      <w:r w:rsidR="008A4AEB">
        <w:t>.</w:t>
      </w:r>
      <w:r w:rsidR="009C38AA">
        <w:t xml:space="preserve"> </w:t>
      </w:r>
      <w:r w:rsidR="00F3060C">
        <w:t>Another option</w:t>
      </w:r>
      <w:r w:rsidR="000552C6">
        <w:t xml:space="preserve"> is to require </w:t>
      </w:r>
      <w:r w:rsidR="00E44E99">
        <w:t xml:space="preserve">an MMS </w:t>
      </w:r>
      <w:r w:rsidR="000552C6">
        <w:t>to</w:t>
      </w:r>
      <w:r w:rsidR="00706BAA">
        <w:t xml:space="preserve"> </w:t>
      </w:r>
      <w:r w:rsidR="00E44E99">
        <w:t>be kept up</w:t>
      </w:r>
      <w:r w:rsidR="00574E7B">
        <w:t>-</w:t>
      </w:r>
      <w:r w:rsidR="00E44E99">
        <w:t>to</w:t>
      </w:r>
      <w:r w:rsidR="00574E7B">
        <w:t>-</w:t>
      </w:r>
      <w:r w:rsidR="00E44E99">
        <w:t xml:space="preserve">date and audited periodically to ensure any deficiencies in these systems are identified and rectified in a timely manner. </w:t>
      </w:r>
      <w:r w:rsidR="00382731">
        <w:t xml:space="preserve">While more prescriptive options </w:t>
      </w:r>
      <w:r w:rsidR="00A83714">
        <w:t xml:space="preserve">provide </w:t>
      </w:r>
      <w:r w:rsidR="0062428C">
        <w:t>greater</w:t>
      </w:r>
      <w:r w:rsidR="00A83714">
        <w:t xml:space="preserve"> certainty </w:t>
      </w:r>
      <w:r w:rsidR="000C7340">
        <w:t xml:space="preserve">for regulated parties </w:t>
      </w:r>
      <w:r w:rsidR="00DA000E">
        <w:t>in relation to compliance</w:t>
      </w:r>
      <w:r w:rsidR="00D0300A">
        <w:t xml:space="preserve">, the trade-off is the burden associated with </w:t>
      </w:r>
      <w:r w:rsidR="00480C31">
        <w:t xml:space="preserve">undertaking more frequent </w:t>
      </w:r>
      <w:r w:rsidR="002C01B0">
        <w:t>audits and reviews</w:t>
      </w:r>
      <w:r w:rsidR="00D37906">
        <w:t xml:space="preserve">. </w:t>
      </w:r>
      <w:r w:rsidR="00A01778">
        <w:t>DoT</w:t>
      </w:r>
      <w:r w:rsidR="00016A38">
        <w:t xml:space="preserve"> </w:t>
      </w:r>
      <w:r w:rsidR="00B34655">
        <w:t>considers that th</w:t>
      </w:r>
      <w:r w:rsidR="00D37906">
        <w:t xml:space="preserve">e right balance between </w:t>
      </w:r>
      <w:r w:rsidR="00B23479">
        <w:t>these two factors is needed to ensure that bus operators are not unduly</w:t>
      </w:r>
      <w:r w:rsidR="00C85B9D">
        <w:t xml:space="preserve"> required to review the</w:t>
      </w:r>
      <w:r w:rsidR="007A2214">
        <w:t>i</w:t>
      </w:r>
      <w:r w:rsidR="00C85B9D">
        <w:t>r systems and procedures.</w:t>
      </w:r>
      <w:r w:rsidR="00B23479">
        <w:t xml:space="preserve"> </w:t>
      </w:r>
      <w:r w:rsidR="006E3791">
        <w:t xml:space="preserve"> </w:t>
      </w:r>
      <w:r w:rsidR="00BD1E5A">
        <w:t>The frequency of auditing should be frequent enough to detect any deficiencies in a timely manner, but not so frequent that it creates an unnecessary burden on the bus industry to</w:t>
      </w:r>
      <w:r w:rsidR="00016A38">
        <w:t xml:space="preserve"> audit or </w:t>
      </w:r>
      <w:r w:rsidR="00BD1E5A">
        <w:t xml:space="preserve">review their MMS. </w:t>
      </w:r>
    </w:p>
    <w:p w14:paraId="6DEEECC6" w14:textId="2EE4A2F6" w:rsidR="00BD1E5A" w:rsidRDefault="006D5533" w:rsidP="00BD1E5A">
      <w:r>
        <w:t xml:space="preserve">An </w:t>
      </w:r>
      <w:r w:rsidR="00737D67">
        <w:t>annual</w:t>
      </w:r>
      <w:r w:rsidR="00BD1E5A">
        <w:t xml:space="preserve"> audit </w:t>
      </w:r>
      <w:r w:rsidR="00D80685">
        <w:t xml:space="preserve">could </w:t>
      </w:r>
      <w:r w:rsidR="00BD1E5A">
        <w:t xml:space="preserve">balance the need to detect and amend any deficiencies with the need to minimise </w:t>
      </w:r>
      <w:r w:rsidR="00BD1E5A" w:rsidRPr="000C556F">
        <w:t xml:space="preserve">regulatory burden. </w:t>
      </w:r>
    </w:p>
    <w:p w14:paraId="1F5AAA6E" w14:textId="66AD649F" w:rsidR="00E10775" w:rsidRPr="000C556F" w:rsidRDefault="00055C8E" w:rsidP="00B40F7F">
      <w:r>
        <w:t>In addition to or in place of</w:t>
      </w:r>
      <w:r w:rsidR="00546D60">
        <w:t xml:space="preserve"> periodic </w:t>
      </w:r>
      <w:r w:rsidR="00573FFB">
        <w:t>reviews of an MMS</w:t>
      </w:r>
      <w:r w:rsidR="008B76AD">
        <w:t>, there could be other circumstances</w:t>
      </w:r>
      <w:r w:rsidR="00A11814">
        <w:t xml:space="preserve"> which would warrant a review of the MMS</w:t>
      </w:r>
      <w:r w:rsidR="00316013">
        <w:t xml:space="preserve"> to ensure it continues to achieve the safety objectives of the bus </w:t>
      </w:r>
      <w:r w:rsidR="006F7FEA">
        <w:t>service</w:t>
      </w:r>
      <w:r w:rsidR="00830994">
        <w:t xml:space="preserve">. </w:t>
      </w:r>
      <w:r w:rsidR="005E5768" w:rsidRPr="000C556F">
        <w:t xml:space="preserve">This may include </w:t>
      </w:r>
      <w:r w:rsidR="00E10775" w:rsidRPr="000C556F">
        <w:t xml:space="preserve">the following </w:t>
      </w:r>
      <w:r w:rsidR="005E5768" w:rsidRPr="000C556F">
        <w:t>circumstance</w:t>
      </w:r>
      <w:r w:rsidR="00E10775" w:rsidRPr="000C556F">
        <w:t>s:</w:t>
      </w:r>
    </w:p>
    <w:p w14:paraId="2EF28813" w14:textId="58F8312E" w:rsidR="00C73F5E" w:rsidRPr="000C556F" w:rsidRDefault="00EE7118" w:rsidP="00EE58C0">
      <w:pPr>
        <w:pStyle w:val="ListParagraph"/>
        <w:numPr>
          <w:ilvl w:val="0"/>
          <w:numId w:val="12"/>
        </w:numPr>
        <w:rPr>
          <w:rFonts w:asciiTheme="minorHAnsi" w:hAnsiTheme="minorHAnsi" w:cstheme="minorHAnsi"/>
          <w:color w:val="auto"/>
          <w:sz w:val="20"/>
          <w:szCs w:val="20"/>
        </w:rPr>
      </w:pPr>
      <w:r>
        <w:rPr>
          <w:rFonts w:asciiTheme="minorHAnsi" w:hAnsiTheme="minorHAnsi" w:cstheme="minorHAnsi"/>
          <w:color w:val="auto"/>
          <w:sz w:val="20"/>
          <w:szCs w:val="20"/>
        </w:rPr>
        <w:t xml:space="preserve">following the audit </w:t>
      </w:r>
      <w:r w:rsidR="00903A26">
        <w:rPr>
          <w:rFonts w:asciiTheme="minorHAnsi" w:hAnsiTheme="minorHAnsi" w:cstheme="minorHAnsi"/>
          <w:color w:val="auto"/>
          <w:sz w:val="20"/>
          <w:szCs w:val="20"/>
        </w:rPr>
        <w:t xml:space="preserve">of </w:t>
      </w:r>
      <w:r w:rsidR="00402A6C">
        <w:rPr>
          <w:rFonts w:asciiTheme="minorHAnsi" w:hAnsiTheme="minorHAnsi" w:cstheme="minorHAnsi"/>
          <w:color w:val="auto"/>
          <w:sz w:val="20"/>
          <w:szCs w:val="20"/>
        </w:rPr>
        <w:t xml:space="preserve">an </w:t>
      </w:r>
      <w:r w:rsidR="00903A26">
        <w:rPr>
          <w:rFonts w:asciiTheme="minorHAnsi" w:hAnsiTheme="minorHAnsi" w:cstheme="minorHAnsi"/>
          <w:color w:val="auto"/>
          <w:sz w:val="20"/>
          <w:szCs w:val="20"/>
        </w:rPr>
        <w:t xml:space="preserve">operator </w:t>
      </w:r>
      <w:r w:rsidR="008A616B">
        <w:rPr>
          <w:rFonts w:asciiTheme="minorHAnsi" w:hAnsiTheme="minorHAnsi" w:cstheme="minorHAnsi"/>
          <w:color w:val="auto"/>
          <w:sz w:val="20"/>
          <w:szCs w:val="20"/>
        </w:rPr>
        <w:t>by transport safety officer</w:t>
      </w:r>
      <w:r w:rsidR="009E22A5">
        <w:rPr>
          <w:rFonts w:asciiTheme="minorHAnsi" w:hAnsiTheme="minorHAnsi" w:cstheme="minorHAnsi"/>
          <w:color w:val="auto"/>
          <w:sz w:val="20"/>
          <w:szCs w:val="20"/>
        </w:rPr>
        <w:t>s</w:t>
      </w:r>
      <w:r w:rsidR="003B3E86">
        <w:rPr>
          <w:rFonts w:asciiTheme="minorHAnsi" w:hAnsiTheme="minorHAnsi" w:cstheme="minorHAnsi"/>
          <w:color w:val="auto"/>
          <w:sz w:val="20"/>
          <w:szCs w:val="20"/>
        </w:rPr>
        <w:t xml:space="preserve"> where </w:t>
      </w:r>
      <w:r w:rsidR="00903A26">
        <w:rPr>
          <w:rFonts w:asciiTheme="minorHAnsi" w:hAnsiTheme="minorHAnsi" w:cstheme="minorHAnsi"/>
          <w:color w:val="auto"/>
          <w:sz w:val="20"/>
          <w:szCs w:val="20"/>
        </w:rPr>
        <w:t>an improvement notice or</w:t>
      </w:r>
      <w:r w:rsidR="00565C1F">
        <w:rPr>
          <w:rFonts w:asciiTheme="minorHAnsi" w:hAnsiTheme="minorHAnsi" w:cstheme="minorHAnsi"/>
          <w:color w:val="auto"/>
          <w:sz w:val="20"/>
          <w:szCs w:val="20"/>
        </w:rPr>
        <w:t xml:space="preserve"> a</w:t>
      </w:r>
      <w:r w:rsidR="00903A26">
        <w:rPr>
          <w:rFonts w:asciiTheme="minorHAnsi" w:hAnsiTheme="minorHAnsi" w:cstheme="minorHAnsi"/>
          <w:color w:val="auto"/>
          <w:sz w:val="20"/>
          <w:szCs w:val="20"/>
        </w:rPr>
        <w:t xml:space="preserve"> prohibition notice has been issued </w:t>
      </w:r>
    </w:p>
    <w:p w14:paraId="7F873080" w14:textId="01F05D40" w:rsidR="006F7DFF" w:rsidRPr="000C556F" w:rsidRDefault="00903A26" w:rsidP="00EE58C0">
      <w:pPr>
        <w:pStyle w:val="ListParagraph"/>
        <w:numPr>
          <w:ilvl w:val="0"/>
          <w:numId w:val="12"/>
        </w:numPr>
        <w:rPr>
          <w:rFonts w:asciiTheme="minorHAnsi" w:hAnsiTheme="minorHAnsi" w:cstheme="minorHAnsi"/>
          <w:color w:val="auto"/>
          <w:sz w:val="20"/>
          <w:szCs w:val="20"/>
        </w:rPr>
      </w:pPr>
      <w:r>
        <w:rPr>
          <w:rFonts w:asciiTheme="minorHAnsi" w:hAnsiTheme="minorHAnsi" w:cstheme="minorHAnsi"/>
          <w:color w:val="auto"/>
          <w:sz w:val="20"/>
          <w:szCs w:val="20"/>
        </w:rPr>
        <w:t xml:space="preserve">a </w:t>
      </w:r>
      <w:r w:rsidR="00E10775" w:rsidRPr="000C556F">
        <w:rPr>
          <w:rFonts w:asciiTheme="minorHAnsi" w:hAnsiTheme="minorHAnsi" w:cstheme="minorHAnsi"/>
          <w:color w:val="auto"/>
          <w:sz w:val="20"/>
          <w:szCs w:val="20"/>
        </w:rPr>
        <w:t>f</w:t>
      </w:r>
      <w:r w:rsidR="00FC0E7F" w:rsidRPr="000C556F">
        <w:rPr>
          <w:rFonts w:asciiTheme="minorHAnsi" w:hAnsiTheme="minorHAnsi" w:cstheme="minorHAnsi"/>
          <w:color w:val="auto"/>
          <w:sz w:val="20"/>
          <w:szCs w:val="20"/>
        </w:rPr>
        <w:t xml:space="preserve">ailure in the annual </w:t>
      </w:r>
      <w:r w:rsidR="00B566D5" w:rsidRPr="000C556F">
        <w:rPr>
          <w:rFonts w:asciiTheme="minorHAnsi" w:hAnsiTheme="minorHAnsi" w:cstheme="minorHAnsi"/>
          <w:color w:val="auto"/>
          <w:sz w:val="20"/>
          <w:szCs w:val="20"/>
        </w:rPr>
        <w:t xml:space="preserve">vehicle </w:t>
      </w:r>
      <w:r w:rsidR="00E10775" w:rsidRPr="000C556F">
        <w:rPr>
          <w:rFonts w:asciiTheme="minorHAnsi" w:hAnsiTheme="minorHAnsi" w:cstheme="minorHAnsi"/>
          <w:color w:val="auto"/>
          <w:sz w:val="20"/>
          <w:szCs w:val="20"/>
        </w:rPr>
        <w:t>inspection</w:t>
      </w:r>
    </w:p>
    <w:p w14:paraId="5B3E4D57" w14:textId="5CD81F11" w:rsidR="00427235" w:rsidRPr="000C556F" w:rsidRDefault="00051910" w:rsidP="00EE58C0">
      <w:pPr>
        <w:pStyle w:val="ListParagraph"/>
        <w:numPr>
          <w:ilvl w:val="0"/>
          <w:numId w:val="12"/>
        </w:numPr>
        <w:rPr>
          <w:rFonts w:asciiTheme="minorHAnsi" w:hAnsiTheme="minorHAnsi" w:cstheme="minorHAnsi"/>
          <w:color w:val="auto"/>
          <w:sz w:val="20"/>
          <w:szCs w:val="20"/>
        </w:rPr>
      </w:pPr>
      <w:r>
        <w:rPr>
          <w:rFonts w:asciiTheme="minorHAnsi" w:hAnsiTheme="minorHAnsi" w:cstheme="minorHAnsi"/>
          <w:color w:val="auto"/>
          <w:sz w:val="20"/>
          <w:szCs w:val="20"/>
        </w:rPr>
        <w:t>where a</w:t>
      </w:r>
      <w:r w:rsidR="000418BE">
        <w:rPr>
          <w:rFonts w:asciiTheme="minorHAnsi" w:hAnsiTheme="minorHAnsi" w:cstheme="minorHAnsi"/>
          <w:color w:val="auto"/>
          <w:sz w:val="20"/>
          <w:szCs w:val="20"/>
        </w:rPr>
        <w:t xml:space="preserve"> </w:t>
      </w:r>
      <w:r w:rsidR="00E10775" w:rsidRPr="000C556F">
        <w:rPr>
          <w:rFonts w:asciiTheme="minorHAnsi" w:hAnsiTheme="minorHAnsi" w:cstheme="minorHAnsi"/>
          <w:color w:val="auto"/>
          <w:sz w:val="20"/>
          <w:szCs w:val="20"/>
        </w:rPr>
        <w:t>bus safety incident</w:t>
      </w:r>
      <w:r w:rsidR="000418BE">
        <w:rPr>
          <w:rFonts w:asciiTheme="minorHAnsi" w:hAnsiTheme="minorHAnsi" w:cstheme="minorHAnsi"/>
          <w:color w:val="auto"/>
          <w:sz w:val="20"/>
          <w:szCs w:val="20"/>
        </w:rPr>
        <w:t xml:space="preserve"> has occurred</w:t>
      </w:r>
    </w:p>
    <w:p w14:paraId="7AE5867D" w14:textId="5693DB3A" w:rsidR="00E10775" w:rsidRPr="000C556F" w:rsidRDefault="00333F9C" w:rsidP="00EE58C0">
      <w:pPr>
        <w:pStyle w:val="ListParagraph"/>
        <w:numPr>
          <w:ilvl w:val="0"/>
          <w:numId w:val="12"/>
        </w:numPr>
        <w:rPr>
          <w:rFonts w:asciiTheme="minorHAnsi" w:hAnsiTheme="minorHAnsi" w:cstheme="minorHAnsi"/>
          <w:color w:val="auto"/>
          <w:sz w:val="20"/>
          <w:szCs w:val="20"/>
        </w:rPr>
      </w:pPr>
      <w:r>
        <w:rPr>
          <w:rFonts w:asciiTheme="minorHAnsi" w:hAnsiTheme="minorHAnsi" w:cstheme="minorHAnsi"/>
          <w:color w:val="auto"/>
          <w:sz w:val="20"/>
          <w:szCs w:val="20"/>
        </w:rPr>
        <w:t xml:space="preserve">as part of </w:t>
      </w:r>
      <w:r w:rsidR="004530A6">
        <w:rPr>
          <w:rFonts w:asciiTheme="minorHAnsi" w:hAnsiTheme="minorHAnsi" w:cstheme="minorHAnsi"/>
          <w:color w:val="auto"/>
          <w:sz w:val="20"/>
          <w:szCs w:val="20"/>
        </w:rPr>
        <w:t>an</w:t>
      </w:r>
      <w:r>
        <w:rPr>
          <w:rFonts w:asciiTheme="minorHAnsi" w:hAnsiTheme="minorHAnsi" w:cstheme="minorHAnsi"/>
          <w:color w:val="auto"/>
          <w:sz w:val="20"/>
          <w:szCs w:val="20"/>
        </w:rPr>
        <w:t xml:space="preserve"> </w:t>
      </w:r>
      <w:r w:rsidR="008F1613" w:rsidRPr="000C556F">
        <w:rPr>
          <w:rFonts w:asciiTheme="minorHAnsi" w:hAnsiTheme="minorHAnsi" w:cstheme="minorHAnsi"/>
          <w:color w:val="auto"/>
          <w:sz w:val="20"/>
          <w:szCs w:val="20"/>
        </w:rPr>
        <w:t>investigation</w:t>
      </w:r>
      <w:r w:rsidR="00BE642C">
        <w:rPr>
          <w:rFonts w:asciiTheme="minorHAnsi" w:hAnsiTheme="minorHAnsi" w:cstheme="minorHAnsi"/>
          <w:color w:val="auto"/>
          <w:sz w:val="20"/>
          <w:szCs w:val="20"/>
        </w:rPr>
        <w:t xml:space="preserve"> </w:t>
      </w:r>
      <w:r>
        <w:rPr>
          <w:rFonts w:asciiTheme="minorHAnsi" w:hAnsiTheme="minorHAnsi" w:cstheme="minorHAnsi"/>
          <w:color w:val="auto"/>
          <w:sz w:val="20"/>
          <w:szCs w:val="20"/>
        </w:rPr>
        <w:t>by the operator into the causes of a bus incident</w:t>
      </w:r>
      <w:r w:rsidR="007E385A" w:rsidRPr="000C556F">
        <w:rPr>
          <w:rFonts w:asciiTheme="minorHAnsi" w:hAnsiTheme="minorHAnsi" w:cstheme="minorHAnsi"/>
          <w:color w:val="auto"/>
          <w:sz w:val="20"/>
          <w:szCs w:val="20"/>
        </w:rPr>
        <w:t>.</w:t>
      </w:r>
    </w:p>
    <w:p w14:paraId="7F930DDE" w14:textId="4AB0DBB7" w:rsidR="00274C6A" w:rsidRDefault="00804FF0" w:rsidP="00A07020">
      <w:pPr>
        <w:rPr>
          <w:rFonts w:cstheme="minorHAnsi"/>
          <w:color w:val="auto"/>
          <w:szCs w:val="20"/>
        </w:rPr>
      </w:pPr>
      <w:r>
        <w:rPr>
          <w:rFonts w:cstheme="minorHAnsi"/>
          <w:color w:val="auto"/>
          <w:szCs w:val="20"/>
        </w:rPr>
        <w:t xml:space="preserve">These circumstances are not likely to occur at periodic or </w:t>
      </w:r>
      <w:r w:rsidR="00C34ADD">
        <w:rPr>
          <w:rFonts w:cstheme="minorHAnsi"/>
          <w:color w:val="auto"/>
          <w:szCs w:val="20"/>
        </w:rPr>
        <w:t>regular intervals.</w:t>
      </w:r>
      <w:r w:rsidR="008175B7">
        <w:rPr>
          <w:rFonts w:cstheme="minorHAnsi"/>
          <w:color w:val="auto"/>
          <w:szCs w:val="20"/>
        </w:rPr>
        <w:t xml:space="preserve"> For example,</w:t>
      </w:r>
      <w:r w:rsidR="00C34ADD">
        <w:rPr>
          <w:rFonts w:cstheme="minorHAnsi"/>
          <w:color w:val="auto"/>
          <w:szCs w:val="20"/>
        </w:rPr>
        <w:t xml:space="preserve"> </w:t>
      </w:r>
      <w:r w:rsidR="009F138D">
        <w:rPr>
          <w:rFonts w:cstheme="minorHAnsi"/>
          <w:color w:val="auto"/>
          <w:szCs w:val="20"/>
        </w:rPr>
        <w:t>a bus incident</w:t>
      </w:r>
      <w:r w:rsidR="008175B7">
        <w:rPr>
          <w:rFonts w:cstheme="minorHAnsi"/>
          <w:color w:val="auto"/>
          <w:szCs w:val="20"/>
        </w:rPr>
        <w:t xml:space="preserve"> or an</w:t>
      </w:r>
      <w:r w:rsidR="009F138D">
        <w:rPr>
          <w:rFonts w:cstheme="minorHAnsi"/>
          <w:color w:val="auto"/>
          <w:szCs w:val="20"/>
        </w:rPr>
        <w:t xml:space="preserve"> investigation would generally </w:t>
      </w:r>
      <w:r w:rsidR="0086328C">
        <w:rPr>
          <w:rFonts w:cstheme="minorHAnsi"/>
          <w:color w:val="auto"/>
          <w:szCs w:val="20"/>
        </w:rPr>
        <w:t xml:space="preserve">only be required if the Safety Director considered the incident was significant or required actions to remedy (currently, a </w:t>
      </w:r>
      <w:r w:rsidR="00E75C6C">
        <w:rPr>
          <w:rFonts w:cstheme="minorHAnsi"/>
          <w:color w:val="auto"/>
          <w:szCs w:val="20"/>
        </w:rPr>
        <w:t>bus incident investigation is required if directed by the Safety Director)</w:t>
      </w:r>
      <w:r w:rsidR="00274C6A">
        <w:rPr>
          <w:rFonts w:cstheme="minorHAnsi"/>
          <w:color w:val="auto"/>
          <w:szCs w:val="20"/>
        </w:rPr>
        <w:t>.</w:t>
      </w:r>
      <w:r w:rsidR="00E75C6C">
        <w:rPr>
          <w:rFonts w:cstheme="minorHAnsi"/>
          <w:color w:val="auto"/>
          <w:szCs w:val="20"/>
        </w:rPr>
        <w:t xml:space="preserve"> </w:t>
      </w:r>
    </w:p>
    <w:p w14:paraId="5F3194B2" w14:textId="2B568AB2" w:rsidR="00C50CC7" w:rsidRDefault="00C50CC7" w:rsidP="0095677C">
      <w:pPr>
        <w:pStyle w:val="Heading5"/>
      </w:pPr>
      <w:r>
        <w:t>Summary</w:t>
      </w:r>
    </w:p>
    <w:p w14:paraId="7204E32E" w14:textId="77777777" w:rsidR="00D82F8B" w:rsidRDefault="00EF3739" w:rsidP="00A07020">
      <w:pPr>
        <w:rPr>
          <w:rFonts w:cstheme="minorHAnsi"/>
          <w:color w:val="auto"/>
          <w:szCs w:val="20"/>
        </w:rPr>
      </w:pPr>
      <w:r>
        <w:rPr>
          <w:rFonts w:cstheme="minorHAnsi"/>
          <w:color w:val="auto"/>
          <w:szCs w:val="20"/>
        </w:rPr>
        <w:t xml:space="preserve">DoT has considered a range of options relating to regulations which would require affected operators to </w:t>
      </w:r>
      <w:r w:rsidR="005B1CA9">
        <w:rPr>
          <w:rFonts w:cstheme="minorHAnsi"/>
          <w:color w:val="auto"/>
          <w:szCs w:val="20"/>
        </w:rPr>
        <w:t xml:space="preserve">implement systems to maintain their vehicles. </w:t>
      </w:r>
    </w:p>
    <w:p w14:paraId="1B4DE6B6" w14:textId="6F90C727" w:rsidR="003519CB" w:rsidRDefault="00EA6486" w:rsidP="00A07020">
      <w:pPr>
        <w:rPr>
          <w:rFonts w:cstheme="minorHAnsi"/>
          <w:color w:val="auto"/>
          <w:szCs w:val="20"/>
        </w:rPr>
      </w:pPr>
      <w:r>
        <w:rPr>
          <w:rFonts w:cstheme="minorHAnsi"/>
          <w:color w:val="auto"/>
          <w:szCs w:val="20"/>
        </w:rPr>
        <w:t xml:space="preserve">Based on the above considerations, </w:t>
      </w:r>
      <w:r w:rsidR="00850041">
        <w:rPr>
          <w:rFonts w:cstheme="minorHAnsi"/>
          <w:color w:val="auto"/>
          <w:szCs w:val="20"/>
        </w:rPr>
        <w:t xml:space="preserve">Section </w:t>
      </w:r>
      <w:r w:rsidR="00480176">
        <w:rPr>
          <w:rFonts w:cstheme="minorHAnsi"/>
          <w:color w:val="auto"/>
          <w:szCs w:val="20"/>
        </w:rPr>
        <w:fldChar w:fldCharType="begin"/>
      </w:r>
      <w:r w:rsidR="00480176">
        <w:rPr>
          <w:rFonts w:cstheme="minorHAnsi"/>
          <w:color w:val="auto"/>
          <w:szCs w:val="20"/>
        </w:rPr>
        <w:instrText xml:space="preserve"> REF _Ref41905887 \r \h </w:instrText>
      </w:r>
      <w:r w:rsidR="00480176">
        <w:rPr>
          <w:rFonts w:cstheme="minorHAnsi"/>
          <w:color w:val="auto"/>
          <w:szCs w:val="20"/>
        </w:rPr>
      </w:r>
      <w:r w:rsidR="00480176">
        <w:rPr>
          <w:rFonts w:cstheme="minorHAnsi"/>
          <w:color w:val="auto"/>
          <w:szCs w:val="20"/>
        </w:rPr>
        <w:fldChar w:fldCharType="separate"/>
      </w:r>
      <w:r w:rsidR="00277F6E">
        <w:rPr>
          <w:rFonts w:cstheme="minorHAnsi"/>
          <w:color w:val="auto"/>
          <w:szCs w:val="20"/>
        </w:rPr>
        <w:t>7.1.2.1</w:t>
      </w:r>
      <w:r w:rsidR="00480176">
        <w:rPr>
          <w:rFonts w:cstheme="minorHAnsi"/>
          <w:color w:val="auto"/>
          <w:szCs w:val="20"/>
        </w:rPr>
        <w:fldChar w:fldCharType="end"/>
      </w:r>
      <w:r w:rsidR="002D454A">
        <w:rPr>
          <w:rFonts w:cstheme="minorHAnsi"/>
          <w:color w:val="auto"/>
          <w:szCs w:val="20"/>
        </w:rPr>
        <w:t xml:space="preserve"> further</w:t>
      </w:r>
      <w:r>
        <w:rPr>
          <w:rFonts w:cstheme="minorHAnsi"/>
          <w:color w:val="auto"/>
          <w:szCs w:val="20"/>
        </w:rPr>
        <w:t xml:space="preserve"> </w:t>
      </w:r>
      <w:r w:rsidR="002D454A">
        <w:rPr>
          <w:rFonts w:cstheme="minorHAnsi"/>
          <w:color w:val="auto"/>
          <w:szCs w:val="20"/>
        </w:rPr>
        <w:t>assess</w:t>
      </w:r>
      <w:r w:rsidR="00850041">
        <w:rPr>
          <w:rFonts w:cstheme="minorHAnsi"/>
          <w:color w:val="auto"/>
          <w:szCs w:val="20"/>
        </w:rPr>
        <w:t>es</w:t>
      </w:r>
      <w:r w:rsidR="002D454A">
        <w:rPr>
          <w:rFonts w:cstheme="minorHAnsi"/>
          <w:color w:val="auto"/>
          <w:szCs w:val="20"/>
        </w:rPr>
        <w:t xml:space="preserve"> the impacts of</w:t>
      </w:r>
      <w:r w:rsidR="005C2C2F">
        <w:rPr>
          <w:rFonts w:cstheme="minorHAnsi"/>
          <w:color w:val="auto"/>
          <w:szCs w:val="20"/>
        </w:rPr>
        <w:t xml:space="preserve"> the option to prescribe in the regulations a system for vehicle maintenance. The assessment of</w:t>
      </w:r>
      <w:r w:rsidR="00B46446">
        <w:rPr>
          <w:rFonts w:cstheme="minorHAnsi"/>
          <w:color w:val="auto"/>
          <w:szCs w:val="20"/>
        </w:rPr>
        <w:t xml:space="preserve"> this</w:t>
      </w:r>
      <w:r w:rsidR="005C2C2F">
        <w:rPr>
          <w:rFonts w:cstheme="minorHAnsi"/>
          <w:color w:val="auto"/>
          <w:szCs w:val="20"/>
        </w:rPr>
        <w:t xml:space="preserve"> option will consider both the administrative and substantive compliance costs for an MMS requirement. This option involves</w:t>
      </w:r>
      <w:r w:rsidR="002D454A">
        <w:rPr>
          <w:rFonts w:cstheme="minorHAnsi"/>
          <w:color w:val="auto"/>
          <w:szCs w:val="20"/>
        </w:rPr>
        <w:t xml:space="preserve"> </w:t>
      </w:r>
      <w:r w:rsidR="00CA1477">
        <w:rPr>
          <w:rFonts w:cstheme="minorHAnsi"/>
          <w:color w:val="auto"/>
          <w:szCs w:val="20"/>
        </w:rPr>
        <w:t xml:space="preserve">requiring </w:t>
      </w:r>
      <w:r w:rsidR="005101BE">
        <w:rPr>
          <w:rFonts w:cstheme="minorHAnsi"/>
          <w:color w:val="auto"/>
          <w:szCs w:val="20"/>
        </w:rPr>
        <w:t>a</w:t>
      </w:r>
      <w:r w:rsidR="00CF557D">
        <w:rPr>
          <w:rFonts w:cstheme="minorHAnsi"/>
          <w:color w:val="auto"/>
          <w:szCs w:val="20"/>
        </w:rPr>
        <w:t>ccredited operators to prepare an MMS</w:t>
      </w:r>
      <w:r w:rsidR="007817B7">
        <w:rPr>
          <w:rFonts w:cstheme="minorHAnsi"/>
          <w:color w:val="auto"/>
          <w:szCs w:val="20"/>
        </w:rPr>
        <w:t xml:space="preserve"> </w:t>
      </w:r>
      <w:r w:rsidR="003519CB">
        <w:rPr>
          <w:rFonts w:cstheme="minorHAnsi"/>
          <w:color w:val="auto"/>
          <w:szCs w:val="20"/>
        </w:rPr>
        <w:t xml:space="preserve">and for the accredited operator to </w:t>
      </w:r>
      <w:r w:rsidR="00087917">
        <w:rPr>
          <w:rFonts w:cstheme="minorHAnsi"/>
          <w:color w:val="auto"/>
          <w:szCs w:val="20"/>
        </w:rPr>
        <w:t>maintain</w:t>
      </w:r>
      <w:r w:rsidR="003519CB">
        <w:rPr>
          <w:rFonts w:cstheme="minorHAnsi"/>
          <w:color w:val="auto"/>
          <w:szCs w:val="20"/>
        </w:rPr>
        <w:t xml:space="preserve"> the MMS periodically through annual audits or reviews (status quo).</w:t>
      </w:r>
    </w:p>
    <w:p w14:paraId="43730BCD" w14:textId="6FE23EE7" w:rsidR="00CF557D" w:rsidRDefault="00415E54" w:rsidP="00A07020">
      <w:pPr>
        <w:rPr>
          <w:rFonts w:cstheme="minorHAnsi"/>
          <w:color w:val="auto"/>
          <w:szCs w:val="20"/>
        </w:rPr>
      </w:pPr>
      <w:r>
        <w:rPr>
          <w:rFonts w:cstheme="minorHAnsi"/>
          <w:color w:val="auto"/>
          <w:szCs w:val="20"/>
        </w:rPr>
        <w:t xml:space="preserve">DoT </w:t>
      </w:r>
      <w:r w:rsidR="000A2FC9">
        <w:rPr>
          <w:rFonts w:cstheme="minorHAnsi"/>
          <w:color w:val="auto"/>
          <w:szCs w:val="20"/>
        </w:rPr>
        <w:t xml:space="preserve">will not further </w:t>
      </w:r>
      <w:r>
        <w:rPr>
          <w:rFonts w:cstheme="minorHAnsi"/>
          <w:color w:val="auto"/>
          <w:szCs w:val="20"/>
        </w:rPr>
        <w:t>consider th</w:t>
      </w:r>
      <w:r w:rsidR="000A2FC9">
        <w:rPr>
          <w:rFonts w:cstheme="minorHAnsi"/>
          <w:color w:val="auto"/>
          <w:szCs w:val="20"/>
        </w:rPr>
        <w:t>e option of imposing this requirement on registered operators, because it is likely to place an undue burden on those operators having regard to the nature of their operations</w:t>
      </w:r>
      <w:r w:rsidR="002F2D16">
        <w:rPr>
          <w:rFonts w:cstheme="minorHAnsi"/>
          <w:color w:val="auto"/>
          <w:szCs w:val="20"/>
        </w:rPr>
        <w:t>.</w:t>
      </w:r>
      <w:r w:rsidR="004962F5">
        <w:rPr>
          <w:rFonts w:cstheme="minorHAnsi"/>
          <w:color w:val="auto"/>
          <w:szCs w:val="20"/>
        </w:rPr>
        <w:t xml:space="preserve"> </w:t>
      </w:r>
      <w:r w:rsidR="009D0C38">
        <w:rPr>
          <w:rFonts w:cstheme="minorHAnsi"/>
          <w:color w:val="auto"/>
          <w:szCs w:val="20"/>
        </w:rPr>
        <w:t>Based on discussions earlier in this section</w:t>
      </w:r>
      <w:r w:rsidR="002F2D16">
        <w:rPr>
          <w:rFonts w:cstheme="minorHAnsi"/>
          <w:color w:val="auto"/>
          <w:szCs w:val="20"/>
        </w:rPr>
        <w:t>,</w:t>
      </w:r>
      <w:r w:rsidR="00E32040">
        <w:rPr>
          <w:rFonts w:cstheme="minorHAnsi"/>
          <w:color w:val="auto"/>
          <w:szCs w:val="20"/>
        </w:rPr>
        <w:t xml:space="preserve"> the legislative framework of the Bus Safety Act is designed to approximate the lower risk-profile of registered operators based on the size of the buses used and the type of bus service provided</w:t>
      </w:r>
      <w:r w:rsidR="004542C0">
        <w:rPr>
          <w:rFonts w:cstheme="minorHAnsi"/>
          <w:color w:val="auto"/>
          <w:szCs w:val="20"/>
        </w:rPr>
        <w:t xml:space="preserve">. That is, </w:t>
      </w:r>
      <w:r w:rsidR="004962F5">
        <w:rPr>
          <w:rFonts w:cstheme="minorHAnsi"/>
          <w:color w:val="auto"/>
          <w:szCs w:val="20"/>
        </w:rPr>
        <w:t xml:space="preserve">given that </w:t>
      </w:r>
      <w:r w:rsidR="001A2D1D">
        <w:rPr>
          <w:rFonts w:cstheme="minorHAnsi"/>
          <w:color w:val="auto"/>
          <w:szCs w:val="20"/>
        </w:rPr>
        <w:t>registration</w:t>
      </w:r>
      <w:r w:rsidR="004962F5">
        <w:rPr>
          <w:rFonts w:cstheme="minorHAnsi"/>
          <w:color w:val="auto"/>
          <w:szCs w:val="20"/>
        </w:rPr>
        <w:t xml:space="preserve"> applies to operators</w:t>
      </w:r>
      <w:r w:rsidR="000A3763">
        <w:rPr>
          <w:rFonts w:cstheme="minorHAnsi"/>
          <w:color w:val="auto"/>
          <w:szCs w:val="20"/>
        </w:rPr>
        <w:t xml:space="preserve"> of smaller buses</w:t>
      </w:r>
      <w:r w:rsidR="006B289C">
        <w:rPr>
          <w:rFonts w:cstheme="minorHAnsi"/>
          <w:color w:val="auto"/>
          <w:szCs w:val="20"/>
        </w:rPr>
        <w:t xml:space="preserve"> (mini-buses)</w:t>
      </w:r>
      <w:r w:rsidR="000A3763">
        <w:rPr>
          <w:rFonts w:cstheme="minorHAnsi"/>
          <w:color w:val="auto"/>
          <w:szCs w:val="20"/>
        </w:rPr>
        <w:t xml:space="preserve"> and to</w:t>
      </w:r>
      <w:r w:rsidR="004962F5">
        <w:rPr>
          <w:rFonts w:cstheme="minorHAnsi"/>
          <w:color w:val="auto"/>
          <w:szCs w:val="20"/>
        </w:rPr>
        <w:t xml:space="preserve"> provid</w:t>
      </w:r>
      <w:r w:rsidR="000A3763">
        <w:rPr>
          <w:rFonts w:cstheme="minorHAnsi"/>
          <w:color w:val="auto"/>
          <w:szCs w:val="20"/>
        </w:rPr>
        <w:t>ers of</w:t>
      </w:r>
      <w:r w:rsidR="004962F5">
        <w:rPr>
          <w:rFonts w:cstheme="minorHAnsi"/>
          <w:color w:val="auto"/>
          <w:szCs w:val="20"/>
        </w:rPr>
        <w:t xml:space="preserve"> community and not-for-profit bus services</w:t>
      </w:r>
      <w:r w:rsidR="000A3763">
        <w:rPr>
          <w:rFonts w:cstheme="minorHAnsi"/>
          <w:color w:val="auto"/>
          <w:szCs w:val="20"/>
        </w:rPr>
        <w:t>, a</w:t>
      </w:r>
      <w:r w:rsidR="00686466">
        <w:rPr>
          <w:rFonts w:cstheme="minorHAnsi"/>
          <w:color w:val="auto"/>
          <w:szCs w:val="20"/>
        </w:rPr>
        <w:t>n</w:t>
      </w:r>
      <w:r w:rsidR="000A3763">
        <w:rPr>
          <w:rFonts w:cstheme="minorHAnsi"/>
          <w:color w:val="auto"/>
          <w:szCs w:val="20"/>
        </w:rPr>
        <w:t xml:space="preserve"> MMS </w:t>
      </w:r>
      <w:r w:rsidR="00686466">
        <w:rPr>
          <w:rFonts w:cstheme="minorHAnsi"/>
          <w:color w:val="auto"/>
          <w:szCs w:val="20"/>
        </w:rPr>
        <w:t xml:space="preserve">requirement </w:t>
      </w:r>
      <w:r w:rsidR="000A3763">
        <w:rPr>
          <w:rFonts w:cstheme="minorHAnsi"/>
          <w:color w:val="auto"/>
          <w:szCs w:val="20"/>
        </w:rPr>
        <w:t>would place an undue burden on this sector</w:t>
      </w:r>
      <w:r w:rsidR="000A2FC9">
        <w:rPr>
          <w:rFonts w:cstheme="minorHAnsi"/>
          <w:color w:val="auto"/>
          <w:szCs w:val="20"/>
        </w:rPr>
        <w:t>.</w:t>
      </w:r>
      <w:r w:rsidR="005101BE">
        <w:rPr>
          <w:rFonts w:cstheme="minorHAnsi"/>
          <w:color w:val="auto"/>
          <w:szCs w:val="20"/>
        </w:rPr>
        <w:t xml:space="preserve"> </w:t>
      </w:r>
    </w:p>
    <w:p w14:paraId="3AF4834F" w14:textId="3B958408" w:rsidR="003519CB" w:rsidRDefault="003519CB" w:rsidP="003519CB">
      <w:r>
        <w:t xml:space="preserve">The impacts of non-periodic audits or reviews of an MMS form part of the assessment of bus incident investigations. DoT will not further consider options for auditing or reviewing an MMS in any other circumstances. </w:t>
      </w:r>
    </w:p>
    <w:p w14:paraId="494CCBF5" w14:textId="2E8168F4" w:rsidR="00480176" w:rsidRPr="000A2FC9" w:rsidRDefault="00480176" w:rsidP="00480176">
      <w:pPr>
        <w:rPr>
          <w:lang w:val="en-US"/>
        </w:rPr>
      </w:pPr>
      <w:r>
        <w:rPr>
          <w:lang w:val="en-US"/>
        </w:rPr>
        <w:t xml:space="preserve">A break-even analysis is also used to assess this option in Section </w:t>
      </w:r>
      <w:r>
        <w:rPr>
          <w:lang w:val="en-US"/>
        </w:rPr>
        <w:fldChar w:fldCharType="begin"/>
      </w:r>
      <w:r>
        <w:rPr>
          <w:lang w:val="en-US"/>
        </w:rPr>
        <w:instrText xml:space="preserve"> REF _Ref39916800 \r \h </w:instrText>
      </w:r>
      <w:r>
        <w:rPr>
          <w:lang w:val="en-US"/>
        </w:rPr>
      </w:r>
      <w:r>
        <w:rPr>
          <w:lang w:val="en-US"/>
        </w:rPr>
        <w:fldChar w:fldCharType="separate"/>
      </w:r>
      <w:r w:rsidR="00277F6E">
        <w:rPr>
          <w:lang w:val="en-US"/>
        </w:rPr>
        <w:t>7.1.2.3</w:t>
      </w:r>
      <w:r>
        <w:rPr>
          <w:lang w:val="en-US"/>
        </w:rPr>
        <w:fldChar w:fldCharType="end"/>
      </w:r>
      <w:r>
        <w:rPr>
          <w:lang w:val="en-US"/>
        </w:rPr>
        <w:t>.</w:t>
      </w:r>
    </w:p>
    <w:p w14:paraId="028E72E2" w14:textId="55EF855B" w:rsidR="00B40F7F" w:rsidRPr="00E41F1D" w:rsidRDefault="00DE4B94" w:rsidP="0095677C">
      <w:pPr>
        <w:pStyle w:val="Heading4"/>
      </w:pPr>
      <w:bookmarkStart w:id="482" w:name="_Toc32909813"/>
      <w:bookmarkStart w:id="483" w:name="_Ref41982000"/>
      <w:r>
        <w:lastRenderedPageBreak/>
        <w:t xml:space="preserve">Roadworthy </w:t>
      </w:r>
      <w:r w:rsidR="0030434C">
        <w:t>i</w:t>
      </w:r>
      <w:r w:rsidR="00B40F7F">
        <w:t>nspections</w:t>
      </w:r>
      <w:bookmarkEnd w:id="482"/>
      <w:bookmarkEnd w:id="483"/>
    </w:p>
    <w:p w14:paraId="310EAA1E" w14:textId="419756D1" w:rsidR="00FC5D37" w:rsidRDefault="00157BF9" w:rsidP="00C86CB5">
      <w:pPr>
        <w:overflowPunct w:val="0"/>
        <w:autoSpaceDE w:val="0"/>
        <w:autoSpaceDN w:val="0"/>
        <w:adjustRightInd w:val="0"/>
        <w:spacing w:before="120" w:after="120"/>
        <w:textAlignment w:val="baseline"/>
        <w:rPr>
          <w:lang w:val="en-US"/>
        </w:rPr>
      </w:pPr>
      <w:r>
        <w:rPr>
          <w:lang w:val="en-US"/>
        </w:rPr>
        <w:t xml:space="preserve">One option to ensure the safety of the vehicle is to ensure that </w:t>
      </w:r>
      <w:r w:rsidR="001D1B1F">
        <w:rPr>
          <w:lang w:val="en-US"/>
        </w:rPr>
        <w:t>vehicles are inspected regularly</w:t>
      </w:r>
      <w:r w:rsidR="00C24866">
        <w:rPr>
          <w:lang w:val="en-US"/>
        </w:rPr>
        <w:t xml:space="preserve"> to a specified standard.</w:t>
      </w:r>
      <w:r w:rsidR="001D1B1F">
        <w:rPr>
          <w:lang w:val="en-US"/>
        </w:rPr>
        <w:t xml:space="preserve"> </w:t>
      </w:r>
      <w:r w:rsidR="007508C1">
        <w:rPr>
          <w:lang w:val="en-US"/>
        </w:rPr>
        <w:t xml:space="preserve">The </w:t>
      </w:r>
      <w:r w:rsidR="003A2F6F">
        <w:t>Bus Safety Act</w:t>
      </w:r>
      <w:r w:rsidR="007508C1">
        <w:t xml:space="preserve"> </w:t>
      </w:r>
      <w:r w:rsidR="007508C1">
        <w:rPr>
          <w:lang w:val="en-US"/>
        </w:rPr>
        <w:t xml:space="preserve">already provides for </w:t>
      </w:r>
      <w:r w:rsidR="00657E11">
        <w:rPr>
          <w:lang w:val="en-US"/>
        </w:rPr>
        <w:t xml:space="preserve">the inspection of buses. </w:t>
      </w:r>
      <w:r w:rsidR="007508C1">
        <w:rPr>
          <w:lang w:val="en-US"/>
        </w:rPr>
        <w:t xml:space="preserve">Part 3 of the </w:t>
      </w:r>
      <w:r w:rsidR="003A2F6F">
        <w:t xml:space="preserve">Bus Safety Act </w:t>
      </w:r>
      <w:r w:rsidR="007508C1">
        <w:rPr>
          <w:lang w:val="en-US"/>
        </w:rPr>
        <w:t xml:space="preserve">specifies that </w:t>
      </w:r>
      <w:r w:rsidR="007508C1" w:rsidRPr="00A65FE9">
        <w:rPr>
          <w:lang w:val="en-US"/>
        </w:rPr>
        <w:t xml:space="preserve">both accredited operators must ensure that all buses in their fleet are inspected annually </w:t>
      </w:r>
      <w:r w:rsidR="007508C1">
        <w:rPr>
          <w:lang w:val="en-US"/>
        </w:rPr>
        <w:t>or at prescribed intervals</w:t>
      </w:r>
      <w:r w:rsidR="00227D9F">
        <w:rPr>
          <w:lang w:val="en-US"/>
        </w:rPr>
        <w:t xml:space="preserve">. Registered operators are required to </w:t>
      </w:r>
      <w:r w:rsidR="00AF468F">
        <w:rPr>
          <w:lang w:val="en-US"/>
        </w:rPr>
        <w:t>ensure that each bus u</w:t>
      </w:r>
      <w:r w:rsidR="00811A29">
        <w:rPr>
          <w:lang w:val="en-US"/>
        </w:rPr>
        <w:t xml:space="preserve">ndergoes a safety inspection in accordance with the regulations made under the </w:t>
      </w:r>
      <w:r w:rsidR="003A2F6F">
        <w:t>Bus Safety Act</w:t>
      </w:r>
      <w:r w:rsidR="00811A29">
        <w:rPr>
          <w:lang w:val="en-US"/>
        </w:rPr>
        <w:t>.</w:t>
      </w:r>
      <w:r w:rsidR="007508C1">
        <w:rPr>
          <w:lang w:val="en-US"/>
        </w:rPr>
        <w:t xml:space="preserve"> </w:t>
      </w:r>
    </w:p>
    <w:p w14:paraId="55668AC1" w14:textId="17FCF69B" w:rsidR="001F27E4" w:rsidRDefault="007D2491" w:rsidP="00C86CB5">
      <w:pPr>
        <w:overflowPunct w:val="0"/>
        <w:autoSpaceDE w:val="0"/>
        <w:autoSpaceDN w:val="0"/>
        <w:adjustRightInd w:val="0"/>
        <w:spacing w:before="120" w:after="120"/>
        <w:textAlignment w:val="baseline"/>
        <w:rPr>
          <w:lang w:val="en-US"/>
        </w:rPr>
      </w:pPr>
      <w:r>
        <w:rPr>
          <w:lang w:val="en-US"/>
        </w:rPr>
        <w:t>In terms of the regulations, it is necessary to consider:</w:t>
      </w:r>
    </w:p>
    <w:p w14:paraId="718982AF" w14:textId="0E6088AC" w:rsidR="007D2491" w:rsidRPr="00DF5D1E" w:rsidRDefault="007D2491" w:rsidP="00C63C08">
      <w:pPr>
        <w:pStyle w:val="ListParagraph"/>
        <w:numPr>
          <w:ilvl w:val="0"/>
          <w:numId w:val="14"/>
        </w:numPr>
        <w:overflowPunct w:val="0"/>
        <w:autoSpaceDE w:val="0"/>
        <w:autoSpaceDN w:val="0"/>
        <w:adjustRightInd w:val="0"/>
        <w:spacing w:before="120" w:after="120"/>
        <w:textAlignment w:val="baseline"/>
        <w:rPr>
          <w:rFonts w:asciiTheme="minorHAnsi" w:hAnsiTheme="minorHAnsi" w:cstheme="minorHAnsi"/>
          <w:color w:val="auto"/>
          <w:sz w:val="20"/>
          <w:szCs w:val="20"/>
          <w:lang w:val="en-US"/>
        </w:rPr>
      </w:pPr>
      <w:r w:rsidRPr="00DF5D1E">
        <w:rPr>
          <w:rFonts w:asciiTheme="minorHAnsi" w:hAnsiTheme="minorHAnsi" w:cstheme="minorHAnsi"/>
          <w:color w:val="auto"/>
          <w:sz w:val="20"/>
          <w:szCs w:val="20"/>
          <w:lang w:val="en-US"/>
        </w:rPr>
        <w:t>In the case of accredited operators</w:t>
      </w:r>
      <w:r w:rsidR="00F56379" w:rsidRPr="00DF5D1E">
        <w:rPr>
          <w:rFonts w:asciiTheme="minorHAnsi" w:hAnsiTheme="minorHAnsi" w:cstheme="minorHAnsi"/>
          <w:color w:val="auto"/>
          <w:sz w:val="20"/>
          <w:szCs w:val="20"/>
          <w:lang w:val="en-US"/>
        </w:rPr>
        <w:t>,</w:t>
      </w:r>
      <w:r w:rsidR="006852E9" w:rsidRPr="00DF5D1E">
        <w:rPr>
          <w:rFonts w:asciiTheme="minorHAnsi" w:hAnsiTheme="minorHAnsi" w:cstheme="minorHAnsi"/>
          <w:color w:val="auto"/>
          <w:sz w:val="20"/>
          <w:szCs w:val="20"/>
          <w:lang w:val="en-US"/>
        </w:rPr>
        <w:t xml:space="preserve"> whether an alternative frequency </w:t>
      </w:r>
      <w:r w:rsidR="00A8361A" w:rsidRPr="00DF5D1E">
        <w:rPr>
          <w:rFonts w:asciiTheme="minorHAnsi" w:hAnsiTheme="minorHAnsi" w:cstheme="minorHAnsi"/>
          <w:color w:val="auto"/>
          <w:sz w:val="20"/>
          <w:szCs w:val="20"/>
          <w:lang w:val="en-US"/>
        </w:rPr>
        <w:t>of inspection should be prescribed (</w:t>
      </w:r>
      <w:r w:rsidR="001F07B3" w:rsidRPr="00DF5D1E">
        <w:rPr>
          <w:rFonts w:asciiTheme="minorHAnsi" w:hAnsiTheme="minorHAnsi" w:cstheme="minorHAnsi"/>
          <w:color w:val="auto"/>
          <w:sz w:val="20"/>
          <w:szCs w:val="20"/>
          <w:lang w:val="en-US"/>
        </w:rPr>
        <w:t xml:space="preserve">annual is the default frequency but there is a </w:t>
      </w:r>
      <w:r w:rsidR="000457B2" w:rsidRPr="00DF5D1E">
        <w:rPr>
          <w:rFonts w:asciiTheme="minorHAnsi" w:hAnsiTheme="minorHAnsi" w:cstheme="minorHAnsi"/>
          <w:color w:val="auto"/>
          <w:sz w:val="20"/>
          <w:szCs w:val="20"/>
          <w:lang w:val="en-US"/>
        </w:rPr>
        <w:t>capability</w:t>
      </w:r>
      <w:r w:rsidR="001F07B3" w:rsidRPr="00DF5D1E">
        <w:rPr>
          <w:rFonts w:asciiTheme="minorHAnsi" w:hAnsiTheme="minorHAnsi" w:cstheme="minorHAnsi"/>
          <w:color w:val="auto"/>
          <w:sz w:val="20"/>
          <w:szCs w:val="20"/>
          <w:lang w:val="en-US"/>
        </w:rPr>
        <w:t xml:space="preserve"> to prescribe an alternative frequency</w:t>
      </w:r>
      <w:r w:rsidR="006161B9" w:rsidRPr="00DF5D1E">
        <w:rPr>
          <w:rFonts w:asciiTheme="minorHAnsi" w:hAnsiTheme="minorHAnsi" w:cstheme="minorHAnsi"/>
          <w:color w:val="auto"/>
          <w:sz w:val="20"/>
          <w:szCs w:val="20"/>
          <w:lang w:val="en-US"/>
        </w:rPr>
        <w:t>), who should underta</w:t>
      </w:r>
      <w:r w:rsidR="00385FB4" w:rsidRPr="00DF5D1E">
        <w:rPr>
          <w:rFonts w:asciiTheme="minorHAnsi" w:hAnsiTheme="minorHAnsi" w:cstheme="minorHAnsi"/>
          <w:color w:val="auto"/>
          <w:sz w:val="20"/>
          <w:szCs w:val="20"/>
          <w:lang w:val="en-US"/>
        </w:rPr>
        <w:t>ke an inspection, and to what standard should an inspection</w:t>
      </w:r>
      <w:r w:rsidR="005C409C" w:rsidRPr="00DF5D1E">
        <w:rPr>
          <w:rFonts w:asciiTheme="minorHAnsi" w:hAnsiTheme="minorHAnsi" w:cstheme="minorHAnsi"/>
          <w:color w:val="auto"/>
          <w:sz w:val="20"/>
          <w:szCs w:val="20"/>
          <w:lang w:val="en-US"/>
        </w:rPr>
        <w:t xml:space="preserve"> be conducted</w:t>
      </w:r>
      <w:r w:rsidR="001F07B3" w:rsidRPr="00DF5D1E">
        <w:rPr>
          <w:rFonts w:asciiTheme="minorHAnsi" w:hAnsiTheme="minorHAnsi" w:cstheme="minorHAnsi"/>
          <w:color w:val="auto"/>
          <w:sz w:val="20"/>
          <w:szCs w:val="20"/>
          <w:lang w:val="en-US"/>
        </w:rPr>
        <w:t>.</w:t>
      </w:r>
    </w:p>
    <w:p w14:paraId="140EFF0D" w14:textId="1179ECA6" w:rsidR="00F56379" w:rsidRPr="00DF5D1E" w:rsidRDefault="00F56379" w:rsidP="00C63C08">
      <w:pPr>
        <w:pStyle w:val="ListParagraph"/>
        <w:numPr>
          <w:ilvl w:val="0"/>
          <w:numId w:val="14"/>
        </w:numPr>
        <w:overflowPunct w:val="0"/>
        <w:autoSpaceDE w:val="0"/>
        <w:autoSpaceDN w:val="0"/>
        <w:adjustRightInd w:val="0"/>
        <w:spacing w:before="120" w:after="120"/>
        <w:textAlignment w:val="baseline"/>
        <w:rPr>
          <w:rFonts w:asciiTheme="minorHAnsi" w:hAnsiTheme="minorHAnsi" w:cstheme="minorHAnsi"/>
          <w:color w:val="auto"/>
          <w:sz w:val="20"/>
          <w:szCs w:val="20"/>
          <w:lang w:val="en-US"/>
        </w:rPr>
      </w:pPr>
      <w:r w:rsidRPr="00DF5D1E">
        <w:rPr>
          <w:rFonts w:asciiTheme="minorHAnsi" w:hAnsiTheme="minorHAnsi" w:cstheme="minorHAnsi"/>
          <w:color w:val="auto"/>
          <w:sz w:val="20"/>
          <w:szCs w:val="20"/>
          <w:lang w:val="en-US"/>
        </w:rPr>
        <w:t>In the case of registered operators,</w:t>
      </w:r>
      <w:r w:rsidR="005C409C" w:rsidRPr="00DF5D1E">
        <w:rPr>
          <w:rFonts w:asciiTheme="minorHAnsi" w:hAnsiTheme="minorHAnsi" w:cstheme="minorHAnsi"/>
          <w:color w:val="auto"/>
          <w:sz w:val="20"/>
          <w:szCs w:val="20"/>
          <w:lang w:val="en-US"/>
        </w:rPr>
        <w:t xml:space="preserve"> wh</w:t>
      </w:r>
      <w:r w:rsidR="006730F5" w:rsidRPr="00DF5D1E">
        <w:rPr>
          <w:rFonts w:asciiTheme="minorHAnsi" w:hAnsiTheme="minorHAnsi" w:cstheme="minorHAnsi"/>
          <w:color w:val="auto"/>
          <w:sz w:val="20"/>
          <w:szCs w:val="20"/>
          <w:lang w:val="en-US"/>
        </w:rPr>
        <w:t>at an appropriate frequency for inspection should be, who should undertake an inspection, and to what standard an inspection should be conducted.</w:t>
      </w:r>
    </w:p>
    <w:p w14:paraId="2DD9E7CC" w14:textId="585E3471" w:rsidR="00B40F7F" w:rsidRPr="001C2DC0" w:rsidRDefault="00B40F7F" w:rsidP="0095677C">
      <w:pPr>
        <w:pStyle w:val="Heading5"/>
        <w:rPr>
          <w:lang w:val="en-US"/>
        </w:rPr>
      </w:pPr>
      <w:r w:rsidRPr="001C2DC0">
        <w:rPr>
          <w:lang w:val="en-US"/>
        </w:rPr>
        <w:t>Frequency of inspections</w:t>
      </w:r>
    </w:p>
    <w:p w14:paraId="23863BF2" w14:textId="1BF6BC7C" w:rsidR="00B40F7F" w:rsidRDefault="00F7498E" w:rsidP="00B40F7F">
      <w:pPr>
        <w:overflowPunct w:val="0"/>
        <w:autoSpaceDE w:val="0"/>
        <w:autoSpaceDN w:val="0"/>
        <w:adjustRightInd w:val="0"/>
        <w:spacing w:before="120" w:after="120"/>
        <w:textAlignment w:val="baseline"/>
        <w:rPr>
          <w:lang w:val="en-US"/>
        </w:rPr>
      </w:pPr>
      <w:r>
        <w:rPr>
          <w:lang w:val="en-US"/>
        </w:rPr>
        <w:t xml:space="preserve">As discussed above, in the case of a bus managed and used by an accredited operator, buses must be inspected </w:t>
      </w:r>
      <w:r w:rsidR="005654C9">
        <w:rPr>
          <w:lang w:val="en-US"/>
        </w:rPr>
        <w:t>annually</w:t>
      </w:r>
      <w:r w:rsidR="00D22D55">
        <w:rPr>
          <w:lang w:val="en-US"/>
        </w:rPr>
        <w:t xml:space="preserve">. However, there is a capability to </w:t>
      </w:r>
      <w:r w:rsidR="00B40F7F">
        <w:rPr>
          <w:lang w:val="en-US"/>
        </w:rPr>
        <w:t>prescribe</w:t>
      </w:r>
      <w:r w:rsidR="00C82147">
        <w:rPr>
          <w:lang w:val="en-US"/>
        </w:rPr>
        <w:t xml:space="preserve"> in the regulations </w:t>
      </w:r>
      <w:r w:rsidR="006A7A07">
        <w:rPr>
          <w:lang w:val="en-US"/>
        </w:rPr>
        <w:t>intervals that are not</w:t>
      </w:r>
      <w:r w:rsidR="00C82147">
        <w:rPr>
          <w:lang w:val="en-US"/>
        </w:rPr>
        <w:t xml:space="preserve"> </w:t>
      </w:r>
      <w:r w:rsidR="004274AE">
        <w:rPr>
          <w:lang w:val="en-US"/>
        </w:rPr>
        <w:t xml:space="preserve">annual. This </w:t>
      </w:r>
      <w:r w:rsidR="008A5288">
        <w:rPr>
          <w:lang w:val="en-US"/>
        </w:rPr>
        <w:t xml:space="preserve">could include more frequent inspections </w:t>
      </w:r>
      <w:r w:rsidR="004274AE">
        <w:rPr>
          <w:lang w:val="en-US"/>
        </w:rPr>
        <w:t>(</w:t>
      </w:r>
      <w:r w:rsidR="00C71037">
        <w:rPr>
          <w:lang w:val="en-US"/>
        </w:rPr>
        <w:t xml:space="preserve">e.g. </w:t>
      </w:r>
      <w:r w:rsidR="00E909EE">
        <w:rPr>
          <w:lang w:val="en-US"/>
        </w:rPr>
        <w:t xml:space="preserve">monthly, </w:t>
      </w:r>
      <w:r w:rsidR="004274AE">
        <w:rPr>
          <w:lang w:val="en-US"/>
        </w:rPr>
        <w:t>quarterly, half-yearly</w:t>
      </w:r>
      <w:r w:rsidR="00C71037">
        <w:rPr>
          <w:lang w:val="en-US"/>
        </w:rPr>
        <w:t xml:space="preserve"> etc.</w:t>
      </w:r>
      <w:r w:rsidR="004274AE">
        <w:rPr>
          <w:lang w:val="en-US"/>
        </w:rPr>
        <w:t>)</w:t>
      </w:r>
      <w:r w:rsidR="00B40F7F">
        <w:rPr>
          <w:lang w:val="en-US"/>
        </w:rPr>
        <w:t xml:space="preserve"> to </w:t>
      </w:r>
      <w:r w:rsidR="008A5288">
        <w:rPr>
          <w:lang w:val="en-US"/>
        </w:rPr>
        <w:t>less frequent</w:t>
      </w:r>
      <w:r w:rsidR="0004287B">
        <w:rPr>
          <w:lang w:val="en-US"/>
        </w:rPr>
        <w:t xml:space="preserve"> inspections </w:t>
      </w:r>
      <w:r w:rsidR="008A5288">
        <w:rPr>
          <w:lang w:val="en-US"/>
        </w:rPr>
        <w:t xml:space="preserve">(e.g. </w:t>
      </w:r>
      <w:r w:rsidR="004274AE">
        <w:rPr>
          <w:lang w:val="en-US"/>
        </w:rPr>
        <w:t>every two years or more</w:t>
      </w:r>
      <w:r w:rsidR="008A5288">
        <w:rPr>
          <w:lang w:val="en-US"/>
        </w:rPr>
        <w:t>).</w:t>
      </w:r>
    </w:p>
    <w:p w14:paraId="6FB68841" w14:textId="5E108A0C" w:rsidR="00B40F7F" w:rsidRDefault="00B40F7F" w:rsidP="00B40F7F">
      <w:pPr>
        <w:overflowPunct w:val="0"/>
        <w:autoSpaceDE w:val="0"/>
        <w:autoSpaceDN w:val="0"/>
        <w:adjustRightInd w:val="0"/>
        <w:spacing w:before="120" w:after="120"/>
        <w:textAlignment w:val="baseline"/>
        <w:rPr>
          <w:lang w:val="en-US"/>
        </w:rPr>
      </w:pPr>
      <w:r>
        <w:rPr>
          <w:lang w:val="en-US"/>
        </w:rPr>
        <w:t>An alternative could be risk-based inspections</w:t>
      </w:r>
      <w:r w:rsidR="00CB0992">
        <w:rPr>
          <w:lang w:val="en-US"/>
        </w:rPr>
        <w:t xml:space="preserve"> </w:t>
      </w:r>
      <w:r w:rsidR="00023DAB">
        <w:rPr>
          <w:lang w:val="en-US"/>
        </w:rPr>
        <w:t>where</w:t>
      </w:r>
      <w:r w:rsidR="000E1FDA">
        <w:rPr>
          <w:lang w:val="en-US"/>
        </w:rPr>
        <w:t xml:space="preserve"> the frequency at which buses are inspected changes</w:t>
      </w:r>
      <w:r w:rsidR="00635941">
        <w:rPr>
          <w:lang w:val="en-US"/>
        </w:rPr>
        <w:t xml:space="preserve"> with risk and other factors that</w:t>
      </w:r>
      <w:r w:rsidR="00A21C2D">
        <w:rPr>
          <w:lang w:val="en-US"/>
        </w:rPr>
        <w:t xml:space="preserve"> may be relevant to the safety of a bus</w:t>
      </w:r>
      <w:r w:rsidR="00CB0992">
        <w:rPr>
          <w:lang w:val="en-US"/>
        </w:rPr>
        <w:t>. This may involve prescrib</w:t>
      </w:r>
      <w:r w:rsidR="00C93F46">
        <w:rPr>
          <w:lang w:val="en-US"/>
        </w:rPr>
        <w:t>ing differen</w:t>
      </w:r>
      <w:r w:rsidR="00A068A4">
        <w:rPr>
          <w:lang w:val="en-US"/>
        </w:rPr>
        <w:t>t</w:t>
      </w:r>
      <w:r w:rsidR="001C4C82">
        <w:rPr>
          <w:lang w:val="en-US"/>
        </w:rPr>
        <w:t xml:space="preserve"> intervals between inspections for </w:t>
      </w:r>
      <w:r w:rsidR="00CB0992">
        <w:rPr>
          <w:lang w:val="en-US"/>
        </w:rPr>
        <w:t>different types of bus service</w:t>
      </w:r>
      <w:r w:rsidR="008B2E2D">
        <w:rPr>
          <w:lang w:val="en-US"/>
        </w:rPr>
        <w:t>s</w:t>
      </w:r>
      <w:r w:rsidR="00CB0992">
        <w:rPr>
          <w:lang w:val="en-US"/>
        </w:rPr>
        <w:t xml:space="preserve"> or bus types. For example</w:t>
      </w:r>
      <w:r w:rsidR="001C19DD">
        <w:rPr>
          <w:lang w:val="en-US"/>
        </w:rPr>
        <w:t xml:space="preserve">, more frequent bus inspections may be required for bus services or buses that are considered </w:t>
      </w:r>
      <w:r w:rsidR="00175F90">
        <w:rPr>
          <w:lang w:val="en-US"/>
        </w:rPr>
        <w:t>riskier</w:t>
      </w:r>
      <w:r w:rsidR="001C19DD">
        <w:rPr>
          <w:lang w:val="en-US"/>
        </w:rPr>
        <w:t xml:space="preserve"> (e.g. commercial bus services or </w:t>
      </w:r>
      <w:r w:rsidR="001227AE">
        <w:rPr>
          <w:lang w:val="en-US"/>
        </w:rPr>
        <w:t xml:space="preserve">large </w:t>
      </w:r>
      <w:r w:rsidR="001C19DD">
        <w:rPr>
          <w:lang w:val="en-US"/>
        </w:rPr>
        <w:t xml:space="preserve">buses </w:t>
      </w:r>
      <w:r w:rsidR="008B2E2D">
        <w:rPr>
          <w:lang w:val="en-US"/>
        </w:rPr>
        <w:t xml:space="preserve">with </w:t>
      </w:r>
      <w:r w:rsidR="001C19DD">
        <w:rPr>
          <w:lang w:val="en-US"/>
        </w:rPr>
        <w:t xml:space="preserve">more than 25 seats). </w:t>
      </w:r>
      <w:r w:rsidR="00365A87">
        <w:rPr>
          <w:lang w:val="en-US"/>
        </w:rPr>
        <w:t>A</w:t>
      </w:r>
      <w:r w:rsidR="00126B37">
        <w:rPr>
          <w:lang w:val="en-US"/>
        </w:rPr>
        <w:t xml:space="preserve"> sub-option</w:t>
      </w:r>
      <w:r w:rsidR="007740DD">
        <w:rPr>
          <w:lang w:val="en-US"/>
        </w:rPr>
        <w:t xml:space="preserve"> to </w:t>
      </w:r>
      <w:r w:rsidR="00A9495F">
        <w:rPr>
          <w:lang w:val="en-US"/>
        </w:rPr>
        <w:t xml:space="preserve">prescribed </w:t>
      </w:r>
      <w:r w:rsidR="007740DD">
        <w:rPr>
          <w:lang w:val="en-US"/>
        </w:rPr>
        <w:t>risk-based inspections is to provide the Safety Director the</w:t>
      </w:r>
      <w:r w:rsidR="00A9495F">
        <w:rPr>
          <w:lang w:val="en-US"/>
        </w:rPr>
        <w:t xml:space="preserve"> power to set </w:t>
      </w:r>
      <w:r w:rsidR="00C053C9">
        <w:rPr>
          <w:lang w:val="en-US"/>
        </w:rPr>
        <w:t xml:space="preserve">the inspections regime based </w:t>
      </w:r>
      <w:r w:rsidR="00D17439">
        <w:rPr>
          <w:lang w:val="en-US"/>
        </w:rPr>
        <w:t xml:space="preserve">on </w:t>
      </w:r>
      <w:r w:rsidR="00EE4ED0">
        <w:rPr>
          <w:lang w:val="en-US"/>
        </w:rPr>
        <w:t>TSV intelligence</w:t>
      </w:r>
      <w:r w:rsidR="00AA0C0C">
        <w:rPr>
          <w:lang w:val="en-US"/>
        </w:rPr>
        <w:t xml:space="preserve"> or</w:t>
      </w:r>
      <w:r w:rsidR="00535562">
        <w:rPr>
          <w:lang w:val="en-US"/>
        </w:rPr>
        <w:t xml:space="preserve"> strategic safety directions. </w:t>
      </w:r>
      <w:r w:rsidR="00126B37">
        <w:rPr>
          <w:lang w:val="en-US"/>
        </w:rPr>
        <w:t xml:space="preserve"> </w:t>
      </w:r>
    </w:p>
    <w:p w14:paraId="447C43E9" w14:textId="1F5FB212" w:rsidR="009674A8" w:rsidRDefault="009674A8" w:rsidP="00B40F7F">
      <w:pPr>
        <w:overflowPunct w:val="0"/>
        <w:autoSpaceDE w:val="0"/>
        <w:autoSpaceDN w:val="0"/>
        <w:adjustRightInd w:val="0"/>
        <w:spacing w:before="120" w:after="120"/>
        <w:textAlignment w:val="baseline"/>
        <w:rPr>
          <w:lang w:val="en-US"/>
        </w:rPr>
      </w:pPr>
      <w:r>
        <w:rPr>
          <w:lang w:val="en-US"/>
        </w:rPr>
        <w:t xml:space="preserve">The same options and considerations apply to registered </w:t>
      </w:r>
      <w:r w:rsidR="00B6698B">
        <w:rPr>
          <w:lang w:val="en-US"/>
        </w:rPr>
        <w:t>operators</w:t>
      </w:r>
      <w:r>
        <w:rPr>
          <w:lang w:val="en-US"/>
        </w:rPr>
        <w:t xml:space="preserve">, noting that registered </w:t>
      </w:r>
      <w:r w:rsidR="006232CD">
        <w:rPr>
          <w:lang w:val="en-US"/>
        </w:rPr>
        <w:t>operators</w:t>
      </w:r>
      <w:r>
        <w:rPr>
          <w:lang w:val="en-US"/>
        </w:rPr>
        <w:t xml:space="preserve"> differ to accredited operators in that:</w:t>
      </w:r>
    </w:p>
    <w:p w14:paraId="4A4652C9" w14:textId="45600F06" w:rsidR="002F509B" w:rsidRPr="00DF5D1E" w:rsidRDefault="00894329" w:rsidP="00C63C08">
      <w:pPr>
        <w:pStyle w:val="ListParagraph"/>
        <w:numPr>
          <w:ilvl w:val="0"/>
          <w:numId w:val="14"/>
        </w:numPr>
        <w:overflowPunct w:val="0"/>
        <w:autoSpaceDE w:val="0"/>
        <w:autoSpaceDN w:val="0"/>
        <w:adjustRightInd w:val="0"/>
        <w:spacing w:before="120" w:after="120"/>
        <w:textAlignment w:val="baseline"/>
        <w:rPr>
          <w:rFonts w:asciiTheme="minorHAnsi" w:hAnsiTheme="minorHAnsi" w:cstheme="minorHAnsi"/>
          <w:color w:val="auto"/>
          <w:sz w:val="20"/>
          <w:szCs w:val="20"/>
          <w:lang w:val="en-US"/>
        </w:rPr>
      </w:pPr>
      <w:r>
        <w:rPr>
          <w:rFonts w:asciiTheme="minorHAnsi" w:hAnsiTheme="minorHAnsi" w:cstheme="minorHAnsi"/>
          <w:color w:val="auto"/>
          <w:sz w:val="20"/>
          <w:szCs w:val="20"/>
          <w:lang w:val="en-US"/>
        </w:rPr>
        <w:t>t</w:t>
      </w:r>
      <w:r w:rsidR="009674A8" w:rsidRPr="00DF5D1E">
        <w:rPr>
          <w:rFonts w:asciiTheme="minorHAnsi" w:hAnsiTheme="minorHAnsi" w:cstheme="minorHAnsi"/>
          <w:color w:val="auto"/>
          <w:sz w:val="20"/>
          <w:szCs w:val="20"/>
          <w:lang w:val="en-US"/>
        </w:rPr>
        <w:t>he buses used by registered operators</w:t>
      </w:r>
      <w:r w:rsidR="002F509B" w:rsidRPr="00DF5D1E">
        <w:rPr>
          <w:rFonts w:asciiTheme="minorHAnsi" w:hAnsiTheme="minorHAnsi" w:cstheme="minorHAnsi"/>
          <w:color w:val="auto"/>
          <w:sz w:val="20"/>
          <w:szCs w:val="20"/>
          <w:lang w:val="en-US"/>
        </w:rPr>
        <w:t xml:space="preserve"> are </w:t>
      </w:r>
      <w:r w:rsidR="00B6698B" w:rsidRPr="00DF5D1E">
        <w:rPr>
          <w:rFonts w:asciiTheme="minorHAnsi" w:hAnsiTheme="minorHAnsi" w:cstheme="minorHAnsi"/>
          <w:color w:val="auto"/>
          <w:sz w:val="20"/>
          <w:szCs w:val="20"/>
          <w:lang w:val="en-US"/>
        </w:rPr>
        <w:t>not the same (by definition</w:t>
      </w:r>
      <w:r w:rsidR="008E2F24" w:rsidRPr="00DF5D1E">
        <w:rPr>
          <w:rFonts w:asciiTheme="minorHAnsi" w:hAnsiTheme="minorHAnsi" w:cstheme="minorHAnsi"/>
          <w:color w:val="auto"/>
          <w:sz w:val="20"/>
          <w:szCs w:val="20"/>
          <w:lang w:val="en-US"/>
        </w:rPr>
        <w:t>,</w:t>
      </w:r>
      <w:r w:rsidR="00B6698B" w:rsidRPr="00DF5D1E">
        <w:rPr>
          <w:rFonts w:asciiTheme="minorHAnsi" w:hAnsiTheme="minorHAnsi" w:cstheme="minorHAnsi"/>
          <w:color w:val="auto"/>
          <w:sz w:val="20"/>
          <w:szCs w:val="20"/>
          <w:lang w:val="en-US"/>
        </w:rPr>
        <w:t xml:space="preserve"> </w:t>
      </w:r>
      <w:r w:rsidR="00157458" w:rsidRPr="00DF5D1E">
        <w:rPr>
          <w:rFonts w:asciiTheme="minorHAnsi" w:hAnsiTheme="minorHAnsi" w:cstheme="minorHAnsi"/>
          <w:color w:val="auto"/>
          <w:sz w:val="20"/>
          <w:szCs w:val="20"/>
          <w:lang w:val="en-US"/>
        </w:rPr>
        <w:t xml:space="preserve">these are buses </w:t>
      </w:r>
      <w:r w:rsidR="0060131E" w:rsidRPr="00DF5D1E">
        <w:rPr>
          <w:rFonts w:asciiTheme="minorHAnsi" w:hAnsiTheme="minorHAnsi" w:cstheme="minorHAnsi"/>
          <w:color w:val="auto"/>
          <w:sz w:val="20"/>
          <w:szCs w:val="20"/>
          <w:lang w:val="en-US"/>
        </w:rPr>
        <w:t xml:space="preserve">with less than 13 seating positions including </w:t>
      </w:r>
      <w:r w:rsidR="00D4368F" w:rsidRPr="00DF5D1E">
        <w:rPr>
          <w:rFonts w:asciiTheme="minorHAnsi" w:hAnsiTheme="minorHAnsi" w:cstheme="minorHAnsi"/>
          <w:color w:val="auto"/>
          <w:sz w:val="20"/>
          <w:szCs w:val="20"/>
          <w:lang w:val="en-US"/>
        </w:rPr>
        <w:t>the driver)</w:t>
      </w:r>
    </w:p>
    <w:p w14:paraId="2630AEA0" w14:textId="0EBD5079" w:rsidR="009674A8" w:rsidRPr="00DF5D1E" w:rsidRDefault="00894329" w:rsidP="00C63C08">
      <w:pPr>
        <w:pStyle w:val="ListParagraph"/>
        <w:numPr>
          <w:ilvl w:val="0"/>
          <w:numId w:val="14"/>
        </w:numPr>
        <w:overflowPunct w:val="0"/>
        <w:autoSpaceDE w:val="0"/>
        <w:autoSpaceDN w:val="0"/>
        <w:adjustRightInd w:val="0"/>
        <w:spacing w:before="120" w:after="120"/>
        <w:textAlignment w:val="baseline"/>
        <w:rPr>
          <w:rFonts w:asciiTheme="minorHAnsi" w:hAnsiTheme="minorHAnsi" w:cstheme="minorHAnsi"/>
          <w:color w:val="auto"/>
          <w:sz w:val="20"/>
          <w:szCs w:val="20"/>
          <w:lang w:val="en-US"/>
        </w:rPr>
      </w:pPr>
      <w:r>
        <w:rPr>
          <w:rFonts w:asciiTheme="minorHAnsi" w:hAnsiTheme="minorHAnsi" w:cstheme="minorHAnsi"/>
          <w:color w:val="auto"/>
          <w:sz w:val="20"/>
          <w:szCs w:val="20"/>
          <w:lang w:val="en-US"/>
        </w:rPr>
        <w:t>t</w:t>
      </w:r>
      <w:r w:rsidR="002F509B" w:rsidRPr="00DF5D1E">
        <w:rPr>
          <w:rFonts w:asciiTheme="minorHAnsi" w:hAnsiTheme="minorHAnsi" w:cstheme="minorHAnsi"/>
          <w:color w:val="auto"/>
          <w:sz w:val="20"/>
          <w:szCs w:val="20"/>
          <w:lang w:val="en-US"/>
        </w:rPr>
        <w:t>he services provided by registered operators may or may not be commercial bus services</w:t>
      </w:r>
      <w:r w:rsidR="009D3EB7" w:rsidRPr="00DF5D1E">
        <w:rPr>
          <w:rFonts w:asciiTheme="minorHAnsi" w:hAnsiTheme="minorHAnsi" w:cstheme="minorHAnsi"/>
          <w:color w:val="auto"/>
          <w:sz w:val="20"/>
          <w:szCs w:val="20"/>
          <w:lang w:val="en-US"/>
        </w:rPr>
        <w:t>.</w:t>
      </w:r>
    </w:p>
    <w:p w14:paraId="44359198" w14:textId="0B62C2B7" w:rsidR="00487C64" w:rsidRDefault="00AF78E4" w:rsidP="00B40F7F">
      <w:pPr>
        <w:overflowPunct w:val="0"/>
        <w:autoSpaceDE w:val="0"/>
        <w:autoSpaceDN w:val="0"/>
        <w:adjustRightInd w:val="0"/>
        <w:spacing w:before="120" w:after="120"/>
        <w:textAlignment w:val="baseline"/>
        <w:rPr>
          <w:lang w:val="en-US"/>
        </w:rPr>
      </w:pPr>
      <w:r>
        <w:rPr>
          <w:lang w:val="en-US"/>
        </w:rPr>
        <w:t>DoT</w:t>
      </w:r>
      <w:r w:rsidR="003D449F">
        <w:rPr>
          <w:lang w:val="en-US"/>
        </w:rPr>
        <w:t xml:space="preserve"> considers </w:t>
      </w:r>
      <w:r w:rsidR="00446676">
        <w:rPr>
          <w:lang w:val="en-US"/>
        </w:rPr>
        <w:t>in the</w:t>
      </w:r>
      <w:r w:rsidR="00637FB5">
        <w:rPr>
          <w:lang w:val="en-US"/>
        </w:rPr>
        <w:t xml:space="preserve"> </w:t>
      </w:r>
      <w:r w:rsidR="00675E7F">
        <w:rPr>
          <w:lang w:val="en-US"/>
        </w:rPr>
        <w:t>assessment of costs and benefits</w:t>
      </w:r>
      <w:r w:rsidR="00116927">
        <w:rPr>
          <w:lang w:val="en-US"/>
        </w:rPr>
        <w:t xml:space="preserve"> the merits of </w:t>
      </w:r>
      <w:r w:rsidR="007861C9">
        <w:rPr>
          <w:lang w:val="en-US"/>
        </w:rPr>
        <w:t>a</w:t>
      </w:r>
      <w:r w:rsidR="00022656">
        <w:rPr>
          <w:lang w:val="en-US"/>
        </w:rPr>
        <w:t>n</w:t>
      </w:r>
      <w:r w:rsidR="007861C9">
        <w:rPr>
          <w:lang w:val="en-US"/>
        </w:rPr>
        <w:t xml:space="preserve"> inspections regime </w:t>
      </w:r>
      <w:r w:rsidR="001046AE">
        <w:rPr>
          <w:lang w:val="en-US"/>
        </w:rPr>
        <w:t xml:space="preserve">that is a combination of a default prescribed </w:t>
      </w:r>
      <w:r w:rsidR="006B12F7">
        <w:rPr>
          <w:lang w:val="en-US"/>
        </w:rPr>
        <w:t xml:space="preserve">minimum </w:t>
      </w:r>
      <w:r w:rsidR="001046AE">
        <w:rPr>
          <w:lang w:val="en-US"/>
        </w:rPr>
        <w:t xml:space="preserve">interval of inspections </w:t>
      </w:r>
      <w:r w:rsidR="009F6D9D">
        <w:rPr>
          <w:lang w:val="en-US"/>
        </w:rPr>
        <w:t>and providing flexibility for risk-based inspections.</w:t>
      </w:r>
      <w:r w:rsidR="008A63E0">
        <w:rPr>
          <w:lang w:val="en-US"/>
        </w:rPr>
        <w:t xml:space="preserve"> This ensures </w:t>
      </w:r>
      <w:r w:rsidR="003E237F">
        <w:rPr>
          <w:lang w:val="en-US"/>
        </w:rPr>
        <w:t xml:space="preserve">a minimum level of certainty around the </w:t>
      </w:r>
      <w:r w:rsidR="00FE6F01">
        <w:rPr>
          <w:lang w:val="en-US"/>
        </w:rPr>
        <w:t>safety of buses used to provide a bus service, as well as providing for more effective monit</w:t>
      </w:r>
      <w:r w:rsidR="00A13EE2">
        <w:rPr>
          <w:lang w:val="en-US"/>
        </w:rPr>
        <w:t>oring of the bus fleet.</w:t>
      </w:r>
    </w:p>
    <w:p w14:paraId="6BEAB6F1" w14:textId="561BED4B" w:rsidR="00B40F7F" w:rsidRPr="001C2DC0" w:rsidRDefault="00B40F7F" w:rsidP="0095677C">
      <w:pPr>
        <w:pStyle w:val="Heading5"/>
        <w:rPr>
          <w:lang w:val="en-US"/>
        </w:rPr>
      </w:pPr>
      <w:r w:rsidRPr="001C2DC0">
        <w:rPr>
          <w:lang w:val="en-US"/>
        </w:rPr>
        <w:t>Who can conduct inspections?</w:t>
      </w:r>
    </w:p>
    <w:p w14:paraId="086B28BF" w14:textId="27EB2486" w:rsidR="00A740F9" w:rsidRPr="00A740F9" w:rsidRDefault="00326EA0" w:rsidP="00B5410C">
      <w:pPr>
        <w:pStyle w:val="ListBullet"/>
        <w:numPr>
          <w:ilvl w:val="0"/>
          <w:numId w:val="0"/>
        </w:numPr>
        <w:rPr>
          <w:lang w:val="en-US"/>
        </w:rPr>
      </w:pPr>
      <w:r>
        <w:t>There are a range of parties that could be considered to be</w:t>
      </w:r>
      <w:r w:rsidR="007A3BC6">
        <w:t xml:space="preserve"> allowed to conduct vehicle inspections of buses. This </w:t>
      </w:r>
      <w:r>
        <w:t>include</w:t>
      </w:r>
      <w:r w:rsidR="008B2E2D">
        <w:t>s</w:t>
      </w:r>
      <w:r>
        <w:t xml:space="preserve"> licensed bus testers, qualified mechanics, TSV officers, insurance assessors, bus operators and driver</w:t>
      </w:r>
      <w:r w:rsidR="000C25D7">
        <w:t>s.</w:t>
      </w:r>
      <w:r>
        <w:t xml:space="preserve"> </w:t>
      </w:r>
      <w:r w:rsidR="00ED28DC">
        <w:t xml:space="preserve">Parties that </w:t>
      </w:r>
      <w:r w:rsidR="00ED6094">
        <w:t>can conduct inspections of a bus should have the knowledge to understand the mechanic</w:t>
      </w:r>
      <w:r w:rsidR="00CF2BB0">
        <w:t>s of a bus and standards to which buses are</w:t>
      </w:r>
      <w:r w:rsidR="00ED28DC">
        <w:t xml:space="preserve"> </w:t>
      </w:r>
      <w:r w:rsidR="0022695F">
        <w:t xml:space="preserve">to be </w:t>
      </w:r>
      <w:r w:rsidR="00B5410C">
        <w:t>deemed safe. For this reason,</w:t>
      </w:r>
      <w:r w:rsidR="00ED28DC">
        <w:t xml:space="preserve"> DoT </w:t>
      </w:r>
      <w:r w:rsidR="00B5410C">
        <w:t>considers</w:t>
      </w:r>
      <w:r w:rsidR="00ED28DC">
        <w:t xml:space="preserve"> that licensed</w:t>
      </w:r>
      <w:r w:rsidR="00ED28DC">
        <w:rPr>
          <w:lang w:val="en-US"/>
        </w:rPr>
        <w:t xml:space="preserve"> bus </w:t>
      </w:r>
      <w:r w:rsidR="00A740F9">
        <w:rPr>
          <w:lang w:val="en-US"/>
        </w:rPr>
        <w:t xml:space="preserve">testers, qualified mechanics, </w:t>
      </w:r>
      <w:r w:rsidR="00B5410C">
        <w:rPr>
          <w:lang w:val="en-US"/>
        </w:rPr>
        <w:t>and</w:t>
      </w:r>
      <w:r w:rsidR="00A740F9">
        <w:rPr>
          <w:lang w:val="en-US"/>
        </w:rPr>
        <w:t xml:space="preserve"> TSV officers</w:t>
      </w:r>
      <w:r w:rsidR="00B5410C">
        <w:rPr>
          <w:lang w:val="en-US"/>
        </w:rPr>
        <w:t xml:space="preserve"> are best placed to be able to conduct inspections</w:t>
      </w:r>
      <w:r w:rsidR="00A740F9">
        <w:rPr>
          <w:lang w:val="en-US"/>
        </w:rPr>
        <w:t xml:space="preserve">. </w:t>
      </w:r>
      <w:r w:rsidR="00027BD1">
        <w:rPr>
          <w:lang w:val="en-US"/>
        </w:rPr>
        <w:t xml:space="preserve">Other parties may not have the specialist knowledge of the </w:t>
      </w:r>
      <w:r w:rsidR="008B2E2D">
        <w:rPr>
          <w:lang w:val="en-US"/>
        </w:rPr>
        <w:t xml:space="preserve">mechanics or </w:t>
      </w:r>
      <w:r w:rsidR="00027BD1">
        <w:rPr>
          <w:lang w:val="en-US"/>
        </w:rPr>
        <w:t>standard</w:t>
      </w:r>
      <w:r w:rsidR="00901975">
        <w:rPr>
          <w:lang w:val="en-US"/>
        </w:rPr>
        <w:t>s of a bus</w:t>
      </w:r>
      <w:r w:rsidR="00901AAC">
        <w:rPr>
          <w:lang w:val="en-US"/>
        </w:rPr>
        <w:t xml:space="preserve"> to be able to appropriately assess a bus for its safety. </w:t>
      </w:r>
    </w:p>
    <w:p w14:paraId="449D6721" w14:textId="3FC46A0B" w:rsidR="00B40F7F" w:rsidRPr="001C2DC0" w:rsidRDefault="001668DE" w:rsidP="0095677C">
      <w:pPr>
        <w:pStyle w:val="Heading5"/>
        <w:rPr>
          <w:lang w:val="en-US"/>
        </w:rPr>
      </w:pPr>
      <w:r w:rsidRPr="001C2DC0">
        <w:rPr>
          <w:lang w:val="en-US"/>
        </w:rPr>
        <w:t>What matters should be considered in a</w:t>
      </w:r>
      <w:r w:rsidR="007B78B0">
        <w:rPr>
          <w:lang w:val="en-US"/>
        </w:rPr>
        <w:t xml:space="preserve"> roadworthy</w:t>
      </w:r>
      <w:r w:rsidRPr="001C2DC0">
        <w:rPr>
          <w:lang w:val="en-US"/>
        </w:rPr>
        <w:t xml:space="preserve"> inspection</w:t>
      </w:r>
      <w:r w:rsidR="00B40F7F" w:rsidRPr="001C2DC0">
        <w:rPr>
          <w:lang w:val="en-US"/>
        </w:rPr>
        <w:t>?</w:t>
      </w:r>
    </w:p>
    <w:p w14:paraId="1AC6CE86" w14:textId="5D230855" w:rsidR="006843B7" w:rsidRDefault="0004587A" w:rsidP="005F7BF6">
      <w:pPr>
        <w:rPr>
          <w:lang w:val="en-US"/>
        </w:rPr>
      </w:pPr>
      <w:r>
        <w:rPr>
          <w:lang w:val="en-US"/>
        </w:rPr>
        <w:t xml:space="preserve">There are a range </w:t>
      </w:r>
      <w:r w:rsidR="005771C9">
        <w:rPr>
          <w:lang w:val="en-US"/>
        </w:rPr>
        <w:t xml:space="preserve">of </w:t>
      </w:r>
      <w:r w:rsidR="002E425D">
        <w:rPr>
          <w:lang w:val="en-US"/>
        </w:rPr>
        <w:t>law</w:t>
      </w:r>
      <w:r w:rsidR="00B4227E">
        <w:rPr>
          <w:lang w:val="en-US"/>
        </w:rPr>
        <w:t>s</w:t>
      </w:r>
      <w:r w:rsidR="002E425D">
        <w:rPr>
          <w:lang w:val="en-US"/>
        </w:rPr>
        <w:t xml:space="preserve"> that set out standards for bu</w:t>
      </w:r>
      <w:r w:rsidR="00B4227E">
        <w:rPr>
          <w:lang w:val="en-US"/>
        </w:rPr>
        <w:t>ses</w:t>
      </w:r>
      <w:r>
        <w:rPr>
          <w:lang w:val="en-US"/>
        </w:rPr>
        <w:t>, including t</w:t>
      </w:r>
      <w:r w:rsidR="005F7BF6">
        <w:rPr>
          <w:lang w:val="en-US"/>
        </w:rPr>
        <w:t>he Road Safety (Vehicle) Regulations 2009</w:t>
      </w:r>
      <w:r w:rsidR="002664FF">
        <w:rPr>
          <w:lang w:val="en-US"/>
        </w:rPr>
        <w:t xml:space="preserve"> (incorporating</w:t>
      </w:r>
      <w:r w:rsidR="006B12F7">
        <w:rPr>
          <w:lang w:val="en-US"/>
        </w:rPr>
        <w:t xml:space="preserve"> the</w:t>
      </w:r>
      <w:r w:rsidR="00385D3B">
        <w:rPr>
          <w:lang w:val="en-US"/>
        </w:rPr>
        <w:t xml:space="preserve"> </w:t>
      </w:r>
      <w:r w:rsidR="00ED16EC">
        <w:rPr>
          <w:lang w:val="en-US"/>
        </w:rPr>
        <w:t>ADRs</w:t>
      </w:r>
      <w:r w:rsidR="002664FF">
        <w:rPr>
          <w:lang w:val="en-US"/>
        </w:rPr>
        <w:t xml:space="preserve"> and</w:t>
      </w:r>
      <w:r w:rsidR="00385D3B">
        <w:rPr>
          <w:lang w:val="en-US"/>
        </w:rPr>
        <w:t xml:space="preserve"> the </w:t>
      </w:r>
      <w:r w:rsidR="00193ED5">
        <w:rPr>
          <w:lang w:val="en-US"/>
        </w:rPr>
        <w:t>Australian Light Vehicle Standards Rules 2015</w:t>
      </w:r>
      <w:r w:rsidR="002664FF">
        <w:rPr>
          <w:lang w:val="en-US"/>
        </w:rPr>
        <w:t>)</w:t>
      </w:r>
      <w:r w:rsidR="00193ED5">
        <w:rPr>
          <w:lang w:val="en-US"/>
        </w:rPr>
        <w:t xml:space="preserve"> and the Heavy Vehicle</w:t>
      </w:r>
      <w:r w:rsidR="00BD7AA1">
        <w:rPr>
          <w:lang w:val="en-US"/>
        </w:rPr>
        <w:t xml:space="preserve"> (Vehicle</w:t>
      </w:r>
      <w:r w:rsidR="00193ED5">
        <w:rPr>
          <w:lang w:val="en-US"/>
        </w:rPr>
        <w:t xml:space="preserve"> Standards</w:t>
      </w:r>
      <w:r w:rsidR="00BD7AA1">
        <w:rPr>
          <w:lang w:val="en-US"/>
        </w:rPr>
        <w:t>) National Regulations</w:t>
      </w:r>
      <w:r w:rsidR="00072100">
        <w:rPr>
          <w:lang w:val="en-US"/>
        </w:rPr>
        <w:t>.</w:t>
      </w:r>
      <w:r w:rsidR="00C1784E">
        <w:rPr>
          <w:lang w:val="en-US"/>
        </w:rPr>
        <w:t xml:space="preserve"> </w:t>
      </w:r>
      <w:r w:rsidR="009661AA">
        <w:rPr>
          <w:lang w:val="en-US"/>
        </w:rPr>
        <w:t>The proposed regulations may set other bus standards</w:t>
      </w:r>
      <w:r w:rsidR="008D6903">
        <w:rPr>
          <w:lang w:val="en-US"/>
        </w:rPr>
        <w:t>.</w:t>
      </w:r>
    </w:p>
    <w:p w14:paraId="13379FE4" w14:textId="2867EA81" w:rsidR="000A2FC9" w:rsidRDefault="00D6151B" w:rsidP="005F7BF6">
      <w:pPr>
        <w:rPr>
          <w:lang w:val="en-US"/>
        </w:rPr>
      </w:pPr>
      <w:r>
        <w:rPr>
          <w:lang w:val="en-US"/>
        </w:rPr>
        <w:t>It follows that</w:t>
      </w:r>
      <w:r w:rsidR="00211084">
        <w:rPr>
          <w:lang w:val="en-US"/>
        </w:rPr>
        <w:t xml:space="preserve"> an inspection of a bus </w:t>
      </w:r>
      <w:r w:rsidR="00AB321F">
        <w:rPr>
          <w:lang w:val="en-US"/>
        </w:rPr>
        <w:t xml:space="preserve">may </w:t>
      </w:r>
      <w:r w:rsidR="00211084">
        <w:rPr>
          <w:lang w:val="en-US"/>
        </w:rPr>
        <w:t>be assessed against applicable vehicle standards</w:t>
      </w:r>
      <w:r w:rsidR="00BD0C1C">
        <w:rPr>
          <w:lang w:val="en-US"/>
        </w:rPr>
        <w:t xml:space="preserve"> under the </w:t>
      </w:r>
      <w:r w:rsidR="004141A5">
        <w:t>Road Safety Act</w:t>
      </w:r>
      <w:r w:rsidR="000C25D7">
        <w:t xml:space="preserve"> </w:t>
      </w:r>
      <w:r w:rsidR="00BD0C1C">
        <w:rPr>
          <w:lang w:val="en-US"/>
        </w:rPr>
        <w:t xml:space="preserve">and the bus safety scheme </w:t>
      </w:r>
      <w:r w:rsidR="00211084">
        <w:rPr>
          <w:lang w:val="en-US"/>
        </w:rPr>
        <w:t>that apply to</w:t>
      </w:r>
      <w:r w:rsidR="00774125">
        <w:rPr>
          <w:lang w:val="en-US"/>
        </w:rPr>
        <w:t xml:space="preserve"> buses</w:t>
      </w:r>
      <w:r w:rsidR="00B2654B">
        <w:rPr>
          <w:lang w:val="en-US"/>
        </w:rPr>
        <w:t xml:space="preserve">. </w:t>
      </w:r>
    </w:p>
    <w:p w14:paraId="5EEE93FB" w14:textId="475D6D08" w:rsidR="005F7BF6" w:rsidRPr="001C2DC0" w:rsidRDefault="000A2FC9" w:rsidP="0095677C">
      <w:pPr>
        <w:pStyle w:val="Heading5"/>
        <w:rPr>
          <w:lang w:val="en-US"/>
        </w:rPr>
      </w:pPr>
      <w:r w:rsidRPr="001C2DC0">
        <w:rPr>
          <w:lang w:val="en-US"/>
        </w:rPr>
        <w:lastRenderedPageBreak/>
        <w:t>Summary</w:t>
      </w:r>
    </w:p>
    <w:p w14:paraId="78DF0267" w14:textId="76261661" w:rsidR="00090611" w:rsidRDefault="00550471" w:rsidP="000A2FC9">
      <w:pPr>
        <w:rPr>
          <w:lang w:val="en-US"/>
        </w:rPr>
      </w:pPr>
      <w:r>
        <w:rPr>
          <w:lang w:val="en-US"/>
        </w:rPr>
        <w:t xml:space="preserve">Based on the above considerations, </w:t>
      </w:r>
      <w:r w:rsidR="00F54A64">
        <w:rPr>
          <w:lang w:val="en-US"/>
        </w:rPr>
        <w:t xml:space="preserve">Section </w:t>
      </w:r>
      <w:r w:rsidR="00403529">
        <w:rPr>
          <w:lang w:val="en-US"/>
        </w:rPr>
        <w:fldChar w:fldCharType="begin"/>
      </w:r>
      <w:r w:rsidR="00403529">
        <w:rPr>
          <w:lang w:val="en-US"/>
        </w:rPr>
        <w:instrText xml:space="preserve"> REF _Ref41905869 \r \h </w:instrText>
      </w:r>
      <w:r w:rsidR="00403529">
        <w:rPr>
          <w:lang w:val="en-US"/>
        </w:rPr>
      </w:r>
      <w:r w:rsidR="00403529">
        <w:rPr>
          <w:lang w:val="en-US"/>
        </w:rPr>
        <w:fldChar w:fldCharType="separate"/>
      </w:r>
      <w:r w:rsidR="00277F6E">
        <w:rPr>
          <w:lang w:val="en-US"/>
        </w:rPr>
        <w:t>7.1.2.2</w:t>
      </w:r>
      <w:r w:rsidR="00403529">
        <w:rPr>
          <w:lang w:val="en-US"/>
        </w:rPr>
        <w:fldChar w:fldCharType="end"/>
      </w:r>
      <w:r w:rsidR="008B1431">
        <w:rPr>
          <w:lang w:val="en-US"/>
        </w:rPr>
        <w:t xml:space="preserve"> </w:t>
      </w:r>
      <w:r>
        <w:rPr>
          <w:lang w:val="en-US"/>
        </w:rPr>
        <w:t xml:space="preserve">further </w:t>
      </w:r>
      <w:r w:rsidR="008B1431">
        <w:rPr>
          <w:lang w:val="en-US"/>
        </w:rPr>
        <w:t>assess</w:t>
      </w:r>
      <w:r w:rsidR="00F54A64">
        <w:rPr>
          <w:lang w:val="en-US"/>
        </w:rPr>
        <w:t>es</w:t>
      </w:r>
      <w:r w:rsidR="008B1431">
        <w:rPr>
          <w:lang w:val="en-US"/>
        </w:rPr>
        <w:t xml:space="preserve"> the impacts of two options</w:t>
      </w:r>
      <w:r w:rsidR="00B964A1">
        <w:rPr>
          <w:lang w:val="en-US"/>
        </w:rPr>
        <w:t xml:space="preserve"> related to the </w:t>
      </w:r>
      <w:r w:rsidR="00E02BF0">
        <w:rPr>
          <w:lang w:val="en-US"/>
        </w:rPr>
        <w:t>frequency</w:t>
      </w:r>
      <w:r w:rsidR="00B964A1">
        <w:rPr>
          <w:lang w:val="en-US"/>
        </w:rPr>
        <w:t xml:space="preserve"> of inspections</w:t>
      </w:r>
      <w:r w:rsidR="00090611">
        <w:rPr>
          <w:lang w:val="en-US"/>
        </w:rPr>
        <w:t>:</w:t>
      </w:r>
      <w:r w:rsidR="008B1431">
        <w:rPr>
          <w:lang w:val="en-US"/>
        </w:rPr>
        <w:t xml:space="preserve"> </w:t>
      </w:r>
    </w:p>
    <w:p w14:paraId="23368813" w14:textId="2151B708" w:rsidR="00310257" w:rsidRDefault="008B1431" w:rsidP="00842F5A">
      <w:pPr>
        <w:pStyle w:val="ListParagraph"/>
        <w:numPr>
          <w:ilvl w:val="0"/>
          <w:numId w:val="26"/>
        </w:numPr>
        <w:rPr>
          <w:rFonts w:asciiTheme="minorHAnsi" w:hAnsiTheme="minorHAnsi" w:cstheme="minorHAnsi"/>
          <w:color w:val="auto"/>
          <w:sz w:val="20"/>
          <w:szCs w:val="20"/>
          <w:lang w:val="en-US"/>
        </w:rPr>
      </w:pPr>
      <w:r w:rsidRPr="00310257">
        <w:rPr>
          <w:rFonts w:asciiTheme="minorHAnsi" w:hAnsiTheme="minorHAnsi" w:cstheme="minorHAnsi"/>
          <w:color w:val="auto"/>
          <w:sz w:val="20"/>
          <w:szCs w:val="20"/>
          <w:lang w:val="en-US"/>
        </w:rPr>
        <w:t>Option 1</w:t>
      </w:r>
      <w:r w:rsidR="007F65DD">
        <w:rPr>
          <w:rFonts w:asciiTheme="minorHAnsi" w:hAnsiTheme="minorHAnsi" w:cstheme="minorHAnsi"/>
          <w:color w:val="auto"/>
          <w:sz w:val="20"/>
          <w:szCs w:val="20"/>
          <w:lang w:val="en-US"/>
        </w:rPr>
        <w:t xml:space="preserve"> (status quo)</w:t>
      </w:r>
      <w:r w:rsidR="00F07D4F">
        <w:rPr>
          <w:rFonts w:asciiTheme="minorHAnsi" w:hAnsiTheme="minorHAnsi" w:cstheme="minorHAnsi"/>
          <w:color w:val="auto"/>
          <w:sz w:val="20"/>
          <w:szCs w:val="20"/>
          <w:lang w:val="en-US"/>
        </w:rPr>
        <w:t>:</w:t>
      </w:r>
      <w:r w:rsidR="00C6378E">
        <w:rPr>
          <w:rFonts w:asciiTheme="minorHAnsi" w:hAnsiTheme="minorHAnsi" w:cstheme="minorHAnsi"/>
          <w:color w:val="auto"/>
          <w:sz w:val="20"/>
          <w:szCs w:val="20"/>
          <w:lang w:val="en-US"/>
        </w:rPr>
        <w:t xml:space="preserve"> </w:t>
      </w:r>
      <w:r w:rsidR="00AD6F13">
        <w:rPr>
          <w:rFonts w:asciiTheme="minorHAnsi" w:hAnsiTheme="minorHAnsi" w:cstheme="minorHAnsi"/>
          <w:color w:val="auto"/>
          <w:sz w:val="20"/>
          <w:szCs w:val="20"/>
          <w:lang w:val="en-US"/>
        </w:rPr>
        <w:t>All buses subject to annual inspections</w:t>
      </w:r>
      <w:r w:rsidR="00513116">
        <w:rPr>
          <w:rFonts w:asciiTheme="minorHAnsi" w:hAnsiTheme="minorHAnsi" w:cstheme="minorHAnsi"/>
          <w:color w:val="auto"/>
          <w:sz w:val="20"/>
          <w:szCs w:val="20"/>
          <w:lang w:val="en-US"/>
        </w:rPr>
        <w:t xml:space="preserve"> (</w:t>
      </w:r>
      <w:r w:rsidR="00EB6F85">
        <w:rPr>
          <w:rFonts w:asciiTheme="minorHAnsi" w:hAnsiTheme="minorHAnsi" w:cstheme="minorHAnsi"/>
          <w:color w:val="auto"/>
          <w:sz w:val="20"/>
          <w:szCs w:val="20"/>
          <w:lang w:val="en-US"/>
        </w:rPr>
        <w:t>noting</w:t>
      </w:r>
      <w:r w:rsidR="00AD6F13">
        <w:rPr>
          <w:rFonts w:asciiTheme="minorHAnsi" w:hAnsiTheme="minorHAnsi" w:cstheme="minorHAnsi"/>
          <w:color w:val="auto"/>
          <w:sz w:val="20"/>
          <w:szCs w:val="20"/>
          <w:lang w:val="en-US"/>
        </w:rPr>
        <w:t xml:space="preserve"> that annual inspections for buses operated by </w:t>
      </w:r>
      <w:r w:rsidR="00E17D29">
        <w:rPr>
          <w:rFonts w:asciiTheme="minorHAnsi" w:hAnsiTheme="minorHAnsi" w:cstheme="minorHAnsi"/>
          <w:color w:val="auto"/>
          <w:sz w:val="20"/>
          <w:szCs w:val="20"/>
          <w:lang w:val="en-US"/>
        </w:rPr>
        <w:t>accredited</w:t>
      </w:r>
      <w:r w:rsidR="00AD6F13">
        <w:rPr>
          <w:rFonts w:asciiTheme="minorHAnsi" w:hAnsiTheme="minorHAnsi" w:cstheme="minorHAnsi"/>
          <w:color w:val="auto"/>
          <w:sz w:val="20"/>
          <w:szCs w:val="20"/>
          <w:lang w:val="en-US"/>
        </w:rPr>
        <w:t xml:space="preserve"> operators is the base case</w:t>
      </w:r>
      <w:r w:rsidR="00E87A56">
        <w:rPr>
          <w:rFonts w:asciiTheme="minorHAnsi" w:hAnsiTheme="minorHAnsi" w:cstheme="minorHAnsi"/>
          <w:color w:val="auto"/>
          <w:sz w:val="20"/>
          <w:szCs w:val="20"/>
          <w:lang w:val="en-US"/>
        </w:rPr>
        <w:t>)</w:t>
      </w:r>
      <w:r w:rsidR="0059586B" w:rsidRPr="00310257">
        <w:rPr>
          <w:rFonts w:asciiTheme="minorHAnsi" w:hAnsiTheme="minorHAnsi" w:cstheme="minorHAnsi"/>
          <w:color w:val="auto"/>
          <w:sz w:val="20"/>
          <w:szCs w:val="20"/>
          <w:lang w:val="en-US"/>
        </w:rPr>
        <w:t xml:space="preserve"> </w:t>
      </w:r>
    </w:p>
    <w:p w14:paraId="5C914305" w14:textId="7A42547D" w:rsidR="000A2FC9" w:rsidRPr="00310257" w:rsidRDefault="00E63AF8" w:rsidP="00842F5A">
      <w:pPr>
        <w:pStyle w:val="ListParagraph"/>
        <w:numPr>
          <w:ilvl w:val="0"/>
          <w:numId w:val="26"/>
        </w:numPr>
        <w:rPr>
          <w:rFonts w:asciiTheme="minorHAnsi" w:hAnsiTheme="minorHAnsi" w:cstheme="minorHAnsi"/>
          <w:color w:val="auto"/>
          <w:sz w:val="20"/>
          <w:szCs w:val="20"/>
          <w:lang w:val="en-US"/>
        </w:rPr>
      </w:pPr>
      <w:r>
        <w:rPr>
          <w:rFonts w:asciiTheme="minorHAnsi" w:hAnsiTheme="minorHAnsi" w:cstheme="minorHAnsi"/>
          <w:color w:val="auto"/>
          <w:sz w:val="20"/>
          <w:szCs w:val="20"/>
          <w:lang w:val="en-US"/>
        </w:rPr>
        <w:t>O</w:t>
      </w:r>
      <w:r w:rsidR="0059586B" w:rsidRPr="00310257">
        <w:rPr>
          <w:rFonts w:asciiTheme="minorHAnsi" w:hAnsiTheme="minorHAnsi" w:cstheme="minorHAnsi"/>
          <w:color w:val="auto"/>
          <w:sz w:val="20"/>
          <w:szCs w:val="20"/>
          <w:lang w:val="en-US"/>
        </w:rPr>
        <w:t>ption 2</w:t>
      </w:r>
      <w:r w:rsidR="00ED3F3E">
        <w:rPr>
          <w:rFonts w:asciiTheme="minorHAnsi" w:hAnsiTheme="minorHAnsi" w:cstheme="minorHAnsi"/>
          <w:color w:val="auto"/>
          <w:sz w:val="20"/>
          <w:szCs w:val="20"/>
          <w:lang w:val="en-US"/>
        </w:rPr>
        <w:t>:</w:t>
      </w:r>
      <w:r w:rsidR="00C6378E">
        <w:rPr>
          <w:rFonts w:asciiTheme="minorHAnsi" w:hAnsiTheme="minorHAnsi" w:cstheme="minorHAnsi"/>
          <w:color w:val="auto"/>
          <w:sz w:val="20"/>
          <w:szCs w:val="20"/>
          <w:lang w:val="en-US"/>
        </w:rPr>
        <w:t xml:space="preserve"> </w:t>
      </w:r>
      <w:r w:rsidR="00A371F7">
        <w:rPr>
          <w:rFonts w:asciiTheme="minorHAnsi" w:hAnsiTheme="minorHAnsi" w:cstheme="minorHAnsi"/>
          <w:color w:val="auto"/>
          <w:sz w:val="20"/>
          <w:szCs w:val="20"/>
          <w:lang w:val="en-US"/>
        </w:rPr>
        <w:t>All buses subject to annual inspections and a power for</w:t>
      </w:r>
      <w:r w:rsidR="00310257">
        <w:rPr>
          <w:rFonts w:asciiTheme="minorHAnsi" w:hAnsiTheme="minorHAnsi" w:cstheme="minorHAnsi"/>
          <w:color w:val="auto"/>
          <w:sz w:val="20"/>
          <w:szCs w:val="20"/>
          <w:lang w:val="en-US"/>
        </w:rPr>
        <w:t xml:space="preserve"> the Safety Director to require any operator </w:t>
      </w:r>
      <w:r w:rsidR="005B5FAC">
        <w:rPr>
          <w:rFonts w:asciiTheme="minorHAnsi" w:hAnsiTheme="minorHAnsi" w:cstheme="minorHAnsi"/>
          <w:color w:val="auto"/>
          <w:sz w:val="20"/>
          <w:szCs w:val="20"/>
          <w:lang w:val="en-US"/>
        </w:rPr>
        <w:t xml:space="preserve">to conduct additional inspections if the Safety Director considers it appropriate to do so </w:t>
      </w:r>
      <w:r w:rsidR="00A602A8">
        <w:rPr>
          <w:rFonts w:asciiTheme="minorHAnsi" w:hAnsiTheme="minorHAnsi" w:cstheme="minorHAnsi"/>
          <w:color w:val="auto"/>
          <w:sz w:val="20"/>
          <w:szCs w:val="20"/>
          <w:lang w:val="en-US"/>
        </w:rPr>
        <w:t>based on a risk assessment of that operator.</w:t>
      </w:r>
    </w:p>
    <w:p w14:paraId="3E1EAD8B" w14:textId="77777777" w:rsidR="0002737E" w:rsidRPr="0002737E" w:rsidRDefault="0002737E" w:rsidP="0002737E">
      <w:pPr>
        <w:rPr>
          <w:lang w:val="en-US"/>
        </w:rPr>
      </w:pPr>
      <w:r w:rsidRPr="0002737E">
        <w:rPr>
          <w:lang w:val="en-US"/>
        </w:rPr>
        <w:t xml:space="preserve">All options assessed involve the use of a licensed bus tester to conduct the annual bus inspection (status quo). DoT will not further assess the impacts of other parties conducting annual bus inspections. </w:t>
      </w:r>
    </w:p>
    <w:p w14:paraId="179AD4C9" w14:textId="0D96DEF8" w:rsidR="003B0A90" w:rsidRDefault="00847B68" w:rsidP="000A2FC9">
      <w:pPr>
        <w:rPr>
          <w:lang w:val="en-US"/>
        </w:rPr>
      </w:pPr>
      <w:r>
        <w:rPr>
          <w:lang w:val="en-US"/>
        </w:rPr>
        <w:t>All options assessed involve annual bus inspections being</w:t>
      </w:r>
      <w:r w:rsidR="00CD0F7F">
        <w:rPr>
          <w:lang w:val="en-US"/>
        </w:rPr>
        <w:t xml:space="preserve"> assessed against the roadworthy requirements determined by the Secretary of DoT </w:t>
      </w:r>
      <w:r w:rsidR="00222CD3">
        <w:rPr>
          <w:lang w:val="en-US"/>
        </w:rPr>
        <w:t>and the requirements of the Bus Safety Regulations</w:t>
      </w:r>
      <w:r w:rsidR="00A37CA2">
        <w:rPr>
          <w:lang w:val="en-US"/>
        </w:rPr>
        <w:t xml:space="preserve"> (status quo)</w:t>
      </w:r>
      <w:r w:rsidR="00222CD3">
        <w:rPr>
          <w:lang w:val="en-US"/>
        </w:rPr>
        <w:t>.</w:t>
      </w:r>
    </w:p>
    <w:p w14:paraId="3F9DF266" w14:textId="567A2D25" w:rsidR="00145F8C" w:rsidRPr="000A2FC9" w:rsidRDefault="00145F8C" w:rsidP="000A2FC9">
      <w:pPr>
        <w:rPr>
          <w:lang w:val="en-US"/>
        </w:rPr>
      </w:pPr>
      <w:r>
        <w:rPr>
          <w:lang w:val="en-US"/>
        </w:rPr>
        <w:t>A break-even analysis is also used to assess this option in Section</w:t>
      </w:r>
      <w:r w:rsidR="00480176">
        <w:rPr>
          <w:lang w:val="en-US"/>
        </w:rPr>
        <w:t xml:space="preserve"> </w:t>
      </w:r>
      <w:r w:rsidR="00480176">
        <w:rPr>
          <w:lang w:val="en-US"/>
        </w:rPr>
        <w:fldChar w:fldCharType="begin"/>
      </w:r>
      <w:r w:rsidR="00480176">
        <w:rPr>
          <w:lang w:val="en-US"/>
        </w:rPr>
        <w:instrText xml:space="preserve"> REF _Ref39916800 \r \h </w:instrText>
      </w:r>
      <w:r w:rsidR="00480176">
        <w:rPr>
          <w:lang w:val="en-US"/>
        </w:rPr>
      </w:r>
      <w:r w:rsidR="00480176">
        <w:rPr>
          <w:lang w:val="en-US"/>
        </w:rPr>
        <w:fldChar w:fldCharType="separate"/>
      </w:r>
      <w:r w:rsidR="00277F6E">
        <w:rPr>
          <w:lang w:val="en-US"/>
        </w:rPr>
        <w:t>7.1.2.3</w:t>
      </w:r>
      <w:r w:rsidR="00480176">
        <w:rPr>
          <w:lang w:val="en-US"/>
        </w:rPr>
        <w:fldChar w:fldCharType="end"/>
      </w:r>
      <w:r>
        <w:rPr>
          <w:lang w:val="en-US"/>
        </w:rPr>
        <w:t>.</w:t>
      </w:r>
    </w:p>
    <w:p w14:paraId="5DEF6E80" w14:textId="1FC4461C" w:rsidR="00BB03F5" w:rsidRDefault="006D1FE8" w:rsidP="00AF1E95">
      <w:pPr>
        <w:pStyle w:val="Heading2"/>
      </w:pPr>
      <w:bookmarkStart w:id="484" w:name="_Toc32909814"/>
      <w:bookmarkStart w:id="485" w:name="_Ref41987508"/>
      <w:bookmarkStart w:id="486" w:name="_Toc45704357"/>
      <w:r>
        <w:t xml:space="preserve">Safety of </w:t>
      </w:r>
      <w:r w:rsidR="007C6B23">
        <w:t>b</w:t>
      </w:r>
      <w:r w:rsidR="00BB03F5">
        <w:t>us operations</w:t>
      </w:r>
      <w:bookmarkEnd w:id="484"/>
      <w:bookmarkEnd w:id="485"/>
      <w:bookmarkEnd w:id="486"/>
    </w:p>
    <w:p w14:paraId="70F44EB9" w14:textId="56E77BE8" w:rsidR="009500CD" w:rsidRDefault="00E274D5" w:rsidP="009500CD">
      <w:r>
        <w:t>R</w:t>
      </w:r>
      <w:r w:rsidR="00975D6C">
        <w:t>egulations</w:t>
      </w:r>
      <w:r>
        <w:t xml:space="preserve"> may </w:t>
      </w:r>
      <w:r w:rsidR="00975D6C">
        <w:t xml:space="preserve">prescribe </w:t>
      </w:r>
      <w:r w:rsidR="0018520D">
        <w:t xml:space="preserve">compliance with bus service </w:t>
      </w:r>
      <w:r w:rsidR="00975D6C">
        <w:t>procedures</w:t>
      </w:r>
      <w:r>
        <w:t xml:space="preserve"> to ensure the safety of bus operations. </w:t>
      </w:r>
      <w:r w:rsidR="007E3F18">
        <w:t>The regulations could prescribe a range of requirements that must be complied with in addition to the</w:t>
      </w:r>
      <w:r w:rsidR="009920C9">
        <w:t xml:space="preserve"> general safety</w:t>
      </w:r>
      <w:r w:rsidR="007E3F18">
        <w:t xml:space="preserve"> dut</w:t>
      </w:r>
      <w:r w:rsidR="008F0033">
        <w:t>ies</w:t>
      </w:r>
      <w:r w:rsidR="009920C9">
        <w:t xml:space="preserve"> imposed under Bus Safety Act</w:t>
      </w:r>
      <w:r w:rsidR="007E3F18">
        <w:t>.</w:t>
      </w:r>
      <w:r w:rsidR="007E3F18" w:rsidRPr="00FA3E41">
        <w:t xml:space="preserve"> </w:t>
      </w:r>
      <w:bookmarkStart w:id="487" w:name="_Toc32909815"/>
    </w:p>
    <w:p w14:paraId="0777AC02" w14:textId="660D6E0D" w:rsidR="00484838" w:rsidRDefault="006515E3" w:rsidP="002A1E25">
      <w:pPr>
        <w:pStyle w:val="Heading3"/>
      </w:pPr>
      <w:bookmarkStart w:id="488" w:name="_Ref36456418"/>
      <w:bookmarkStart w:id="489" w:name="_Toc45704358"/>
      <w:r>
        <w:t>Safety systems for</w:t>
      </w:r>
      <w:r w:rsidR="007F5FDE">
        <w:t xml:space="preserve"> </w:t>
      </w:r>
      <w:r w:rsidR="003E36F5">
        <w:t>bus operations</w:t>
      </w:r>
      <w:bookmarkEnd w:id="487"/>
      <w:bookmarkEnd w:id="488"/>
      <w:bookmarkEnd w:id="489"/>
    </w:p>
    <w:p w14:paraId="1FC1EF76" w14:textId="7124489E" w:rsidR="00484838" w:rsidRDefault="00F0014A" w:rsidP="00484838">
      <w:r>
        <w:t>Rather than prescribing specific safety measures to address the range of identified bus operational safety risks (e.g. mandating</w:t>
      </w:r>
      <w:r w:rsidR="00EA2649">
        <w:t xml:space="preserve"> that </w:t>
      </w:r>
      <w:r w:rsidR="006837B7">
        <w:t xml:space="preserve">a </w:t>
      </w:r>
      <w:r w:rsidR="00EA2649">
        <w:t>bus</w:t>
      </w:r>
      <w:r w:rsidR="006837B7">
        <w:t>’s</w:t>
      </w:r>
      <w:r>
        <w:t xml:space="preserve"> maximum passenger capacity </w:t>
      </w:r>
      <w:r w:rsidR="006837B7">
        <w:t>does</w:t>
      </w:r>
      <w:r>
        <w:t xml:space="preserve"> not exceed seating capacity to avoid slips, trips o</w:t>
      </w:r>
      <w:r w:rsidR="00F46F05">
        <w:t>r</w:t>
      </w:r>
      <w:r>
        <w:t xml:space="preserve"> falls</w:t>
      </w:r>
      <w:r w:rsidR="00EA2649">
        <w:t xml:space="preserve"> or the</w:t>
      </w:r>
      <w:r w:rsidR="00CD16F5">
        <w:t xml:space="preserve"> use of security cameras to mitigate incidents of assault</w:t>
      </w:r>
      <w:r w:rsidR="00EA2649">
        <w:t xml:space="preserve"> etc.</w:t>
      </w:r>
      <w:r>
        <w:t>), a</w:t>
      </w:r>
      <w:r w:rsidR="00595557">
        <w:t xml:space="preserve"> more flexible approach </w:t>
      </w:r>
      <w:r w:rsidR="00053D18">
        <w:t xml:space="preserve">is for </w:t>
      </w:r>
      <w:r w:rsidR="00496DB1">
        <w:t xml:space="preserve">regulations to require </w:t>
      </w:r>
      <w:r w:rsidR="00595557">
        <w:t xml:space="preserve">duty holders </w:t>
      </w:r>
      <w:r w:rsidR="00254093">
        <w:t xml:space="preserve">to </w:t>
      </w:r>
      <w:r w:rsidR="00595557">
        <w:t xml:space="preserve">implement </w:t>
      </w:r>
      <w:r w:rsidR="00260173">
        <w:t xml:space="preserve">a </w:t>
      </w:r>
      <w:r w:rsidR="00583950">
        <w:t xml:space="preserve">system for managing operational safety </w:t>
      </w:r>
      <w:r w:rsidR="00A8464D">
        <w:t xml:space="preserve">based on </w:t>
      </w:r>
      <w:r w:rsidR="00FE3475">
        <w:t>a bus service’s</w:t>
      </w:r>
      <w:r w:rsidR="00A8464D">
        <w:t xml:space="preserve"> own operating model, risk context, incident history and safety objectives.</w:t>
      </w:r>
      <w:r w:rsidR="00B77948">
        <w:t xml:space="preserve"> </w:t>
      </w:r>
      <w:r w:rsidR="00534B5D">
        <w:t>The safety system may</w:t>
      </w:r>
      <w:r w:rsidR="00B82820">
        <w:t xml:space="preserve"> require specific matters to be covered, however</w:t>
      </w:r>
      <w:r w:rsidR="00036783">
        <w:t xml:space="preserve"> </w:t>
      </w:r>
      <w:r w:rsidR="00AB6E5E">
        <w:t>the manner and scale in which the</w:t>
      </w:r>
      <w:r w:rsidR="004A4E9F">
        <w:t xml:space="preserve"> duty holder details and implements the safety system</w:t>
      </w:r>
      <w:r w:rsidR="00F91035">
        <w:t xml:space="preserve"> may be determined by the duty holder depending on their business model.</w:t>
      </w:r>
      <w:r w:rsidR="00C45D77">
        <w:t xml:space="preserve"> </w:t>
      </w:r>
      <w:r w:rsidR="007C0547">
        <w:t xml:space="preserve">Specific matters may include </w:t>
      </w:r>
      <w:r w:rsidR="007C0547">
        <w:rPr>
          <w:lang w:val="en-US"/>
        </w:rPr>
        <w:t>requirements relating to safety policy, hazard identification and risk minimisation, emergency management, fatigue management, drug and alcohol policy and incident reporting.</w:t>
      </w:r>
    </w:p>
    <w:p w14:paraId="46D2EC3A" w14:textId="7FB88DA9" w:rsidR="00484838" w:rsidRDefault="00552F99" w:rsidP="00484838">
      <w:r>
        <w:t xml:space="preserve">This option </w:t>
      </w:r>
      <w:r w:rsidR="00456861">
        <w:t xml:space="preserve">aims to </w:t>
      </w:r>
      <w:r>
        <w:t xml:space="preserve">ensure </w:t>
      </w:r>
      <w:r w:rsidR="004A305D">
        <w:t xml:space="preserve">that bus services are operated in a way that minimises risks to bus safety in line with the safety objectives of the </w:t>
      </w:r>
      <w:r w:rsidR="003A2F6F">
        <w:t>Bus Safety Act</w:t>
      </w:r>
      <w:r w:rsidR="004A305D">
        <w:t xml:space="preserve">. This can be used to </w:t>
      </w:r>
      <w:r>
        <w:t>demonstrate that</w:t>
      </w:r>
      <w:r w:rsidR="00484838">
        <w:t xml:space="preserve"> safety has been considered by duty holders</w:t>
      </w:r>
      <w:r w:rsidR="00726F0F">
        <w:t xml:space="preserve"> in order to fulfil their obligations under the </w:t>
      </w:r>
      <w:r w:rsidR="003A2F6F">
        <w:t>Bus Safety Act</w:t>
      </w:r>
      <w:r w:rsidR="00726F0F">
        <w:t xml:space="preserve">. </w:t>
      </w:r>
      <w:r w:rsidR="00D620D5">
        <w:t xml:space="preserve">The duty holder is then able to </w:t>
      </w:r>
      <w:r w:rsidR="00484838">
        <w:t xml:space="preserve">consider </w:t>
      </w:r>
      <w:r w:rsidR="00D620D5">
        <w:t xml:space="preserve">the </w:t>
      </w:r>
      <w:r w:rsidR="00484838">
        <w:t xml:space="preserve">management </w:t>
      </w:r>
      <w:r w:rsidR="003C0BFB">
        <w:t xml:space="preserve">of </w:t>
      </w:r>
      <w:r w:rsidR="00484838">
        <w:t xml:space="preserve">safety risks as part of their unique operations. This </w:t>
      </w:r>
      <w:r w:rsidR="001133DD">
        <w:t xml:space="preserve">also ensures that </w:t>
      </w:r>
      <w:r w:rsidR="00484838">
        <w:t xml:space="preserve">identifying and managing safety risks, and documenting operating conditions and incidents are actively undertaken. </w:t>
      </w:r>
    </w:p>
    <w:p w14:paraId="24BD3E72" w14:textId="29D6EAC7" w:rsidR="00484838" w:rsidRDefault="00484838" w:rsidP="00484838">
      <w:r>
        <w:t xml:space="preserve">The benefit of this option is that the size of the systems that must be implemented scales with the level the safety risks unique to each bus operator’s service and business model. </w:t>
      </w:r>
    </w:p>
    <w:p w14:paraId="6AB63183" w14:textId="7BFC441E" w:rsidR="006B6CB2" w:rsidRPr="001C2DC0" w:rsidRDefault="00E51D7D" w:rsidP="0095677C">
      <w:pPr>
        <w:pStyle w:val="Heading5"/>
      </w:pPr>
      <w:r w:rsidRPr="001C2DC0">
        <w:t>What</w:t>
      </w:r>
      <w:r w:rsidR="00AB32C5" w:rsidRPr="001C2DC0">
        <w:t xml:space="preserve"> systems and procedures</w:t>
      </w:r>
      <w:r w:rsidRPr="001C2DC0">
        <w:t xml:space="preserve"> should be </w:t>
      </w:r>
      <w:r w:rsidR="008A65E2" w:rsidRPr="001C2DC0">
        <w:t>in place</w:t>
      </w:r>
      <w:r w:rsidR="009B4AE2" w:rsidRPr="001C2DC0">
        <w:t xml:space="preserve"> </w:t>
      </w:r>
      <w:r w:rsidR="00996E24" w:rsidRPr="001C2DC0">
        <w:t xml:space="preserve">in relation to </w:t>
      </w:r>
      <w:r w:rsidR="009B4AE2" w:rsidRPr="001C2DC0">
        <w:t>bus operations</w:t>
      </w:r>
      <w:r w:rsidRPr="001C2DC0">
        <w:t>?</w:t>
      </w:r>
    </w:p>
    <w:p w14:paraId="6227A113" w14:textId="07BDDFB7" w:rsidR="0056187E" w:rsidRDefault="00F74709" w:rsidP="00543AE1">
      <w:r>
        <w:t>The contents of an</w:t>
      </w:r>
      <w:r w:rsidR="00D05FAB">
        <w:t>y system</w:t>
      </w:r>
      <w:r>
        <w:t xml:space="preserve"> in relation to </w:t>
      </w:r>
      <w:r w:rsidR="00626C15">
        <w:t xml:space="preserve">bus operations </w:t>
      </w:r>
      <w:r w:rsidR="00B4275F">
        <w:t xml:space="preserve">should cover measures </w:t>
      </w:r>
      <w:r w:rsidR="00626C15">
        <w:t>to address</w:t>
      </w:r>
      <w:r w:rsidR="000B5567">
        <w:t xml:space="preserve"> the</w:t>
      </w:r>
      <w:r w:rsidR="00626C15">
        <w:t xml:space="preserve"> sources of risk </w:t>
      </w:r>
      <w:r w:rsidR="008B738B">
        <w:t>that may arise from the operational</w:t>
      </w:r>
      <w:r w:rsidR="00626C15">
        <w:t xml:space="preserve"> aspects of a bus service. </w:t>
      </w:r>
      <w:r w:rsidR="007700E2">
        <w:t xml:space="preserve">This could </w:t>
      </w:r>
      <w:r w:rsidR="00576168">
        <w:t xml:space="preserve">involve ensuring that there are clear processes in place </w:t>
      </w:r>
      <w:r w:rsidR="00F854AD">
        <w:t>to minimise the</w:t>
      </w:r>
      <w:r w:rsidR="004B4291">
        <w:t xml:space="preserve"> risk to</w:t>
      </w:r>
      <w:r w:rsidR="00F854AD">
        <w:t xml:space="preserve"> safety of a bus operator’s bus service</w:t>
      </w:r>
      <w:r w:rsidR="003F369C">
        <w:t xml:space="preserve"> based on the </w:t>
      </w:r>
      <w:r w:rsidR="00A36C2B">
        <w:t>operator’s operating conditions, risks, incident history and safety objectives</w:t>
      </w:r>
      <w:r w:rsidR="003E7D40">
        <w:t xml:space="preserve">. </w:t>
      </w:r>
    </w:p>
    <w:p w14:paraId="4F803762" w14:textId="11D06CCA" w:rsidR="00D22461" w:rsidRDefault="00D22461" w:rsidP="00543AE1">
      <w:r>
        <w:t>For example, current</w:t>
      </w:r>
      <w:r w:rsidR="004566D4">
        <w:t xml:space="preserve"> Management Information System</w:t>
      </w:r>
      <w:r>
        <w:t xml:space="preserve"> </w:t>
      </w:r>
      <w:r w:rsidR="004566D4">
        <w:t>(</w:t>
      </w:r>
      <w:r>
        <w:t>MIS</w:t>
      </w:r>
      <w:r w:rsidR="004566D4">
        <w:t>)</w:t>
      </w:r>
      <w:r>
        <w:t xml:space="preserve"> requirements as directed by the Safety Director are tha</w:t>
      </w:r>
      <w:r w:rsidR="00A07E02">
        <w:t>t</w:t>
      </w:r>
      <w:r>
        <w:t xml:space="preserve"> an MIS must </w:t>
      </w:r>
      <w:r w:rsidR="00EA0A77">
        <w:t>include</w:t>
      </w:r>
      <w:r w:rsidR="000129C1">
        <w:t xml:space="preserve"> the following</w:t>
      </w:r>
      <w:r>
        <w:t>:</w:t>
      </w:r>
    </w:p>
    <w:p w14:paraId="5B889953" w14:textId="3DC212BE" w:rsidR="00EA0A77" w:rsidRPr="00C9382E" w:rsidRDefault="000129C1"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s</w:t>
      </w:r>
      <w:r w:rsidR="00EA0A77" w:rsidRPr="00C9382E">
        <w:rPr>
          <w:rFonts w:asciiTheme="minorHAnsi" w:hAnsiTheme="minorHAnsi" w:cstheme="minorHAnsi"/>
          <w:color w:val="auto"/>
          <w:sz w:val="20"/>
          <w:szCs w:val="20"/>
          <w:lang w:val="en-US"/>
        </w:rPr>
        <w:t>afety policy</w:t>
      </w:r>
    </w:p>
    <w:p w14:paraId="226EEBBB" w14:textId="12CD7A83" w:rsidR="00EA0A77" w:rsidRPr="00C9382E" w:rsidRDefault="000129C1"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g</w:t>
      </w:r>
      <w:r w:rsidR="00EA0A77" w:rsidRPr="00C9382E">
        <w:rPr>
          <w:rFonts w:asciiTheme="minorHAnsi" w:hAnsiTheme="minorHAnsi" w:cstheme="minorHAnsi"/>
          <w:color w:val="auto"/>
          <w:sz w:val="20"/>
          <w:szCs w:val="20"/>
          <w:lang w:val="en-US"/>
        </w:rPr>
        <w:t>overnance and internal control arrangements</w:t>
      </w:r>
    </w:p>
    <w:p w14:paraId="145631F6" w14:textId="42728F70" w:rsidR="00EA0A77" w:rsidRPr="00C9382E" w:rsidRDefault="000129C1"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lastRenderedPageBreak/>
        <w:t>d</w:t>
      </w:r>
      <w:r w:rsidR="00EA0A77" w:rsidRPr="00C9382E">
        <w:rPr>
          <w:rFonts w:asciiTheme="minorHAnsi" w:hAnsiTheme="minorHAnsi" w:cstheme="minorHAnsi"/>
          <w:color w:val="auto"/>
          <w:sz w:val="20"/>
          <w:szCs w:val="20"/>
          <w:lang w:val="en-US"/>
        </w:rPr>
        <w:t>ocumented safety accountabilities and authorities</w:t>
      </w:r>
    </w:p>
    <w:p w14:paraId="49C779B7" w14:textId="4AEC33EC" w:rsidR="00EA0A77" w:rsidRPr="00C9382E" w:rsidRDefault="000129C1"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i</w:t>
      </w:r>
      <w:r w:rsidR="00EA0A77" w:rsidRPr="00C9382E">
        <w:rPr>
          <w:rFonts w:asciiTheme="minorHAnsi" w:hAnsiTheme="minorHAnsi" w:cstheme="minorHAnsi"/>
          <w:color w:val="auto"/>
          <w:sz w:val="20"/>
          <w:szCs w:val="20"/>
          <w:lang w:val="en-US"/>
        </w:rPr>
        <w:t>nformation management process</w:t>
      </w:r>
    </w:p>
    <w:p w14:paraId="04954909" w14:textId="66C09581" w:rsidR="00EA0A77" w:rsidRPr="00C9382E" w:rsidRDefault="000129C1"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s</w:t>
      </w:r>
      <w:r w:rsidR="00EA0A77" w:rsidRPr="00C9382E">
        <w:rPr>
          <w:rFonts w:asciiTheme="minorHAnsi" w:hAnsiTheme="minorHAnsi" w:cstheme="minorHAnsi"/>
          <w:color w:val="auto"/>
          <w:sz w:val="20"/>
          <w:szCs w:val="20"/>
          <w:lang w:val="en-US"/>
        </w:rPr>
        <w:t>afety information communication process</w:t>
      </w:r>
    </w:p>
    <w:p w14:paraId="6E1F92CB" w14:textId="431BFB7A" w:rsidR="00EA0A77" w:rsidRPr="00C9382E" w:rsidRDefault="000129C1"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d</w:t>
      </w:r>
      <w:r w:rsidR="00EA0A77" w:rsidRPr="00C9382E">
        <w:rPr>
          <w:rFonts w:asciiTheme="minorHAnsi" w:hAnsiTheme="minorHAnsi" w:cstheme="minorHAnsi"/>
          <w:color w:val="auto"/>
          <w:sz w:val="20"/>
          <w:szCs w:val="20"/>
          <w:lang w:val="en-US"/>
        </w:rPr>
        <w:t>rug and alcohol management policy</w:t>
      </w:r>
    </w:p>
    <w:p w14:paraId="4C4F5C3F" w14:textId="31C9AE2C" w:rsidR="00EA0A77" w:rsidRPr="00C9382E" w:rsidRDefault="000129C1"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h</w:t>
      </w:r>
      <w:r w:rsidR="00EA0A77" w:rsidRPr="00C9382E">
        <w:rPr>
          <w:rFonts w:asciiTheme="minorHAnsi" w:hAnsiTheme="minorHAnsi" w:cstheme="minorHAnsi"/>
          <w:color w:val="auto"/>
          <w:sz w:val="20"/>
          <w:szCs w:val="20"/>
          <w:lang w:val="en-US"/>
        </w:rPr>
        <w:t>azard, risk and change management processes</w:t>
      </w:r>
    </w:p>
    <w:p w14:paraId="1B92C94F" w14:textId="21A728C7" w:rsidR="00EA0A77" w:rsidRPr="00C9382E" w:rsidRDefault="000129C1"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e</w:t>
      </w:r>
      <w:r w:rsidR="00EA0A77" w:rsidRPr="00C9382E">
        <w:rPr>
          <w:rFonts w:asciiTheme="minorHAnsi" w:hAnsiTheme="minorHAnsi" w:cstheme="minorHAnsi"/>
          <w:color w:val="auto"/>
          <w:sz w:val="20"/>
          <w:szCs w:val="20"/>
          <w:lang w:val="en-US"/>
        </w:rPr>
        <w:t>mergency management process</w:t>
      </w:r>
    </w:p>
    <w:p w14:paraId="6941AF2B" w14:textId="770CC5A1" w:rsidR="00EA0A77" w:rsidRPr="00C9382E" w:rsidRDefault="000129C1"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p</w:t>
      </w:r>
      <w:r w:rsidR="00EA0A77" w:rsidRPr="00C9382E">
        <w:rPr>
          <w:rFonts w:asciiTheme="minorHAnsi" w:hAnsiTheme="minorHAnsi" w:cstheme="minorHAnsi"/>
          <w:color w:val="auto"/>
          <w:sz w:val="20"/>
          <w:szCs w:val="20"/>
          <w:lang w:val="en-US"/>
        </w:rPr>
        <w:t>rocess to establish bus safety worker competence</w:t>
      </w:r>
    </w:p>
    <w:p w14:paraId="17E9EBCD" w14:textId="5CE41926" w:rsidR="00EA0A77" w:rsidRPr="00C9382E" w:rsidRDefault="000129C1"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p</w:t>
      </w:r>
      <w:r w:rsidR="00EA0A77" w:rsidRPr="00C9382E">
        <w:rPr>
          <w:rFonts w:asciiTheme="minorHAnsi" w:hAnsiTheme="minorHAnsi" w:cstheme="minorHAnsi"/>
          <w:color w:val="auto"/>
          <w:sz w:val="20"/>
          <w:szCs w:val="20"/>
          <w:lang w:val="en-US"/>
        </w:rPr>
        <w:t>rocesses for incident reporting and investigation</w:t>
      </w:r>
    </w:p>
    <w:p w14:paraId="0407CF86" w14:textId="2FB7389B" w:rsidR="00EA0A77" w:rsidRPr="00C9382E" w:rsidRDefault="000129C1"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i</w:t>
      </w:r>
      <w:r w:rsidR="00EA0A77" w:rsidRPr="00C9382E">
        <w:rPr>
          <w:rFonts w:asciiTheme="minorHAnsi" w:hAnsiTheme="minorHAnsi" w:cstheme="minorHAnsi"/>
          <w:color w:val="auto"/>
          <w:sz w:val="20"/>
          <w:szCs w:val="20"/>
          <w:lang w:val="en-US"/>
        </w:rPr>
        <w:t>nternal audit procedure.</w:t>
      </w:r>
    </w:p>
    <w:p w14:paraId="08724B31" w14:textId="62E53500" w:rsidR="00AB371C" w:rsidRDefault="00E1644F" w:rsidP="00922470">
      <w:r>
        <w:t>Wh</w:t>
      </w:r>
      <w:r w:rsidR="00704924">
        <w:t>i</w:t>
      </w:r>
      <w:r>
        <w:t>le the</w:t>
      </w:r>
      <w:r w:rsidR="00021B76">
        <w:t xml:space="preserve"> areas of bus operations are specified in the MIS, it is largely left up to the operator to determine how it is</w:t>
      </w:r>
      <w:r w:rsidR="00704924">
        <w:t xml:space="preserve"> scaled and</w:t>
      </w:r>
      <w:r w:rsidR="00021B76">
        <w:t xml:space="preserve"> implemented</w:t>
      </w:r>
      <w:r w:rsidR="000A660F">
        <w:t xml:space="preserve"> </w:t>
      </w:r>
      <w:r w:rsidR="00AA5188">
        <w:t>according to</w:t>
      </w:r>
      <w:r w:rsidR="000A660F">
        <w:t xml:space="preserve"> their </w:t>
      </w:r>
      <w:r w:rsidR="00704924">
        <w:t>operations</w:t>
      </w:r>
      <w:r w:rsidR="000A660F">
        <w:t xml:space="preserve">. </w:t>
      </w:r>
    </w:p>
    <w:p w14:paraId="5E523A54" w14:textId="7FD864B6" w:rsidR="00543AE1" w:rsidRDefault="00543AE1" w:rsidP="00543AE1">
      <w:r>
        <w:t xml:space="preserve">The set requirements in an MIS could be achieved </w:t>
      </w:r>
      <w:r w:rsidR="00C7186E">
        <w:t>in the following ways</w:t>
      </w:r>
      <w:r>
        <w:t>:</w:t>
      </w:r>
    </w:p>
    <w:p w14:paraId="139491F1" w14:textId="2C9B66A2" w:rsidR="00543AE1" w:rsidRPr="00C9382E" w:rsidRDefault="00543AE1"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prescribing the contents of the M</w:t>
      </w:r>
      <w:r w:rsidR="006F700A" w:rsidRPr="00C9382E">
        <w:rPr>
          <w:rFonts w:asciiTheme="minorHAnsi" w:hAnsiTheme="minorHAnsi" w:cstheme="minorHAnsi"/>
          <w:color w:val="auto"/>
          <w:sz w:val="20"/>
          <w:szCs w:val="20"/>
          <w:lang w:val="en-US"/>
        </w:rPr>
        <w:t>IS</w:t>
      </w:r>
      <w:r w:rsidRPr="00C9382E">
        <w:rPr>
          <w:rFonts w:asciiTheme="minorHAnsi" w:hAnsiTheme="minorHAnsi" w:cstheme="minorHAnsi"/>
          <w:color w:val="auto"/>
          <w:sz w:val="20"/>
          <w:szCs w:val="20"/>
          <w:lang w:val="en-US"/>
        </w:rPr>
        <w:t xml:space="preserve"> in the regulations</w:t>
      </w:r>
    </w:p>
    <w:p w14:paraId="6C753F26" w14:textId="77777777" w:rsidR="00854E25" w:rsidRPr="00C9382E" w:rsidRDefault="00543AE1"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delegat</w:t>
      </w:r>
      <w:r w:rsidR="001A3623" w:rsidRPr="00C9382E">
        <w:rPr>
          <w:rFonts w:asciiTheme="minorHAnsi" w:hAnsiTheme="minorHAnsi" w:cstheme="minorHAnsi"/>
          <w:color w:val="auto"/>
          <w:sz w:val="20"/>
          <w:szCs w:val="20"/>
          <w:lang w:val="en-US"/>
        </w:rPr>
        <w:t>ing</w:t>
      </w:r>
      <w:r w:rsidRPr="00C9382E">
        <w:rPr>
          <w:rFonts w:asciiTheme="minorHAnsi" w:hAnsiTheme="minorHAnsi" w:cstheme="minorHAnsi"/>
          <w:color w:val="auto"/>
          <w:sz w:val="20"/>
          <w:szCs w:val="20"/>
          <w:lang w:val="en-US"/>
        </w:rPr>
        <w:t xml:space="preserve"> power to the Safety Director to set the requirements of the M</w:t>
      </w:r>
      <w:r w:rsidR="006F700A" w:rsidRPr="00C9382E">
        <w:rPr>
          <w:rFonts w:asciiTheme="minorHAnsi" w:hAnsiTheme="minorHAnsi" w:cstheme="minorHAnsi"/>
          <w:color w:val="auto"/>
          <w:sz w:val="20"/>
          <w:szCs w:val="20"/>
          <w:lang w:val="en-US"/>
        </w:rPr>
        <w:t>I</w:t>
      </w:r>
      <w:r w:rsidRPr="00C9382E">
        <w:rPr>
          <w:rFonts w:asciiTheme="minorHAnsi" w:hAnsiTheme="minorHAnsi" w:cstheme="minorHAnsi"/>
          <w:color w:val="auto"/>
          <w:sz w:val="20"/>
          <w:szCs w:val="20"/>
          <w:lang w:val="en-US"/>
        </w:rPr>
        <w:t>S</w:t>
      </w:r>
      <w:r w:rsidR="00854E25" w:rsidRPr="00C9382E">
        <w:rPr>
          <w:rFonts w:asciiTheme="minorHAnsi" w:hAnsiTheme="minorHAnsi" w:cstheme="minorHAnsi"/>
          <w:color w:val="auto"/>
          <w:sz w:val="20"/>
          <w:szCs w:val="20"/>
          <w:lang w:val="en-US"/>
        </w:rPr>
        <w:t xml:space="preserve"> (by written notice to the bus operators)</w:t>
      </w:r>
    </w:p>
    <w:p w14:paraId="45AF93D5" w14:textId="5858A918" w:rsidR="00543AE1" w:rsidRPr="00C9382E" w:rsidRDefault="00854E25"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in accordance with requirements set out by the Safety Director via a notice in the Government Gazette</w:t>
      </w:r>
      <w:r w:rsidR="00543AE1" w:rsidRPr="00C9382E">
        <w:rPr>
          <w:rFonts w:asciiTheme="minorHAnsi" w:hAnsiTheme="minorHAnsi" w:cstheme="minorHAnsi"/>
          <w:color w:val="auto"/>
          <w:sz w:val="20"/>
          <w:szCs w:val="20"/>
          <w:lang w:val="en-US"/>
        </w:rPr>
        <w:t>.</w:t>
      </w:r>
    </w:p>
    <w:p w14:paraId="5E6780CB" w14:textId="6876372F" w:rsidR="00E25F17" w:rsidRPr="001C2DC0" w:rsidRDefault="00E25F17" w:rsidP="0095677C">
      <w:pPr>
        <w:pStyle w:val="Heading5"/>
      </w:pPr>
      <w:r w:rsidRPr="001C2DC0">
        <w:t>Who must prepar</w:t>
      </w:r>
      <w:r w:rsidR="007D5794" w:rsidRPr="001C2DC0">
        <w:t>e a MIS</w:t>
      </w:r>
      <w:r w:rsidRPr="001C2DC0">
        <w:t>?</w:t>
      </w:r>
    </w:p>
    <w:p w14:paraId="43C4DBC4" w14:textId="242B8C32" w:rsidR="00E25F17" w:rsidRDefault="00E25F17" w:rsidP="00E25F17">
      <w:r>
        <w:t xml:space="preserve">The following industry participants have a general safety duty under the </w:t>
      </w:r>
      <w:r w:rsidR="00537085">
        <w:t>Bus Safety Act</w:t>
      </w:r>
      <w:r>
        <w:t>:</w:t>
      </w:r>
    </w:p>
    <w:p w14:paraId="722FB6E1" w14:textId="77777777" w:rsidR="00E25F17" w:rsidRPr="00C9382E" w:rsidRDefault="00E25F17"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accredited operators</w:t>
      </w:r>
    </w:p>
    <w:p w14:paraId="2B87DD49" w14:textId="77777777" w:rsidR="00E25F17" w:rsidRPr="00C9382E" w:rsidRDefault="00E25F17"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registered operators</w:t>
      </w:r>
    </w:p>
    <w:p w14:paraId="3CF5F8FC" w14:textId="494D1750" w:rsidR="00EE1E04" w:rsidRPr="00C9382E" w:rsidRDefault="00E25F17"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procurer of bus services</w:t>
      </w:r>
    </w:p>
    <w:p w14:paraId="5734DD40" w14:textId="77777777" w:rsidR="00E25F17" w:rsidRPr="00C9382E" w:rsidRDefault="00E25F17" w:rsidP="00C9382E">
      <w:pPr>
        <w:pStyle w:val="ListParagraph"/>
        <w:numPr>
          <w:ilvl w:val="0"/>
          <w:numId w:val="26"/>
        </w:numPr>
        <w:rPr>
          <w:rFonts w:asciiTheme="minorHAnsi" w:hAnsiTheme="minorHAnsi" w:cstheme="minorHAnsi"/>
          <w:color w:val="auto"/>
          <w:sz w:val="20"/>
          <w:szCs w:val="20"/>
          <w:lang w:val="en-US"/>
        </w:rPr>
      </w:pPr>
      <w:r w:rsidRPr="00C9382E">
        <w:rPr>
          <w:rFonts w:asciiTheme="minorHAnsi" w:hAnsiTheme="minorHAnsi" w:cstheme="minorHAnsi"/>
          <w:color w:val="auto"/>
          <w:sz w:val="20"/>
          <w:szCs w:val="20"/>
          <w:lang w:val="en-US"/>
        </w:rPr>
        <w:t xml:space="preserve">bus safety workers (includes drivers). </w:t>
      </w:r>
    </w:p>
    <w:p w14:paraId="2218CF12" w14:textId="0E90611A" w:rsidR="00E25F17" w:rsidRDefault="00EA6569" w:rsidP="00E25F17">
      <w:r>
        <w:t xml:space="preserve">As </w:t>
      </w:r>
      <w:r w:rsidR="00760322">
        <w:t>is the case for MMS, i</w:t>
      </w:r>
      <w:r w:rsidR="00E25F17">
        <w:t xml:space="preserve">t is necessary to consider whether all or only a subset of these duty holders should be required to implement </w:t>
      </w:r>
      <w:r w:rsidR="008250A8">
        <w:t>a</w:t>
      </w:r>
      <w:r w:rsidR="00AD4BF4">
        <w:t>n</w:t>
      </w:r>
      <w:r w:rsidR="008250A8">
        <w:t xml:space="preserve"> MIS</w:t>
      </w:r>
      <w:r w:rsidR="00E25F17">
        <w:t xml:space="preserve">. </w:t>
      </w:r>
    </w:p>
    <w:p w14:paraId="43CE7551" w14:textId="35AE144F" w:rsidR="00E25F17" w:rsidRDefault="00DF0DDF" w:rsidP="00E25F17">
      <w:r>
        <w:t>B</w:t>
      </w:r>
      <w:r w:rsidR="00006C61">
        <w:t xml:space="preserve">us operators </w:t>
      </w:r>
      <w:r w:rsidR="00ED5192">
        <w:t xml:space="preserve">are required to </w:t>
      </w:r>
      <w:r w:rsidR="00006C61">
        <w:t>consider the range of safety risks in relation to the</w:t>
      </w:r>
      <w:r w:rsidR="006138BF">
        <w:t xml:space="preserve"> operations of the bus service</w:t>
      </w:r>
      <w:r w:rsidR="00BC71B2">
        <w:t xml:space="preserve">. </w:t>
      </w:r>
      <w:r w:rsidR="00CD0F09">
        <w:t xml:space="preserve">This </w:t>
      </w:r>
      <w:r w:rsidR="006138BF">
        <w:t>implies bus operators are in the best position to implement s</w:t>
      </w:r>
      <w:r w:rsidR="00E25F17">
        <w:t>ystems that</w:t>
      </w:r>
      <w:r w:rsidR="006138BF">
        <w:t xml:space="preserve"> address a </w:t>
      </w:r>
      <w:r w:rsidR="00C42700">
        <w:t>broad</w:t>
      </w:r>
      <w:r w:rsidR="006138BF">
        <w:t xml:space="preserve"> range of safety policies,</w:t>
      </w:r>
      <w:r w:rsidR="00C42700">
        <w:t xml:space="preserve"> including </w:t>
      </w:r>
      <w:r w:rsidR="00E25F17">
        <w:t>fatigue management, emergency procedures, driver behaviour and training</w:t>
      </w:r>
      <w:r w:rsidR="00C42700">
        <w:t>, and reporting</w:t>
      </w:r>
      <w:r w:rsidR="00E25F17">
        <w:t xml:space="preserve">. </w:t>
      </w:r>
    </w:p>
    <w:p w14:paraId="701CBD2B" w14:textId="58E4B693" w:rsidR="001C79F7" w:rsidRDefault="00327F8B" w:rsidP="005E686E">
      <w:r>
        <w:t xml:space="preserve">As discussed in Section </w:t>
      </w:r>
      <w:r>
        <w:fldChar w:fldCharType="begin"/>
      </w:r>
      <w:r>
        <w:instrText xml:space="preserve"> REF _Ref41981648 \r \h </w:instrText>
      </w:r>
      <w:r>
        <w:fldChar w:fldCharType="separate"/>
      </w:r>
      <w:r w:rsidR="00277F6E">
        <w:t>6.1.2</w:t>
      </w:r>
      <w:r>
        <w:fldChar w:fldCharType="end"/>
      </w:r>
      <w:r>
        <w:t>, t</w:t>
      </w:r>
      <w:r w:rsidR="00585B37">
        <w:t>he legislative framework under the Bus Safety Act approximates risk by imposing additional obligations for accredited operators compared to registered operators.</w:t>
      </w:r>
      <w:r w:rsidR="007F6583">
        <w:t xml:space="preserve"> </w:t>
      </w:r>
      <w:r>
        <w:t>A</w:t>
      </w:r>
      <w:r w:rsidR="00E25F17">
        <w:t xml:space="preserve">ccredited bus </w:t>
      </w:r>
      <w:r>
        <w:t xml:space="preserve">operators generally </w:t>
      </w:r>
      <w:r w:rsidR="001E45F6">
        <w:t>oversee</w:t>
      </w:r>
      <w:r w:rsidR="00D96B4C">
        <w:t xml:space="preserve"> operations that are likely to face</w:t>
      </w:r>
      <w:r w:rsidR="00BB4829">
        <w:rPr>
          <w:rFonts w:ascii="Arial" w:hAnsi="Arial" w:cs="Arial"/>
        </w:rPr>
        <w:t>, and be in control of, a greater range of risks</w:t>
      </w:r>
      <w:r w:rsidR="002E4475">
        <w:rPr>
          <w:rFonts w:ascii="Arial" w:hAnsi="Arial" w:cs="Arial"/>
        </w:rPr>
        <w:t xml:space="preserve"> (i.e. commercial bus service or local bus service)</w:t>
      </w:r>
      <w:r w:rsidR="00BB4829">
        <w:rPr>
          <w:rFonts w:ascii="Arial" w:hAnsi="Arial" w:cs="Arial"/>
        </w:rPr>
        <w:t xml:space="preserve">. </w:t>
      </w:r>
      <w:r w:rsidR="001C79F7">
        <w:t>R</w:t>
      </w:r>
      <w:r w:rsidR="00E52BDB">
        <w:t>egistered</w:t>
      </w:r>
      <w:r w:rsidR="001C79F7">
        <w:t xml:space="preserve"> bus</w:t>
      </w:r>
      <w:r w:rsidR="00E52BDB">
        <w:t xml:space="preserve"> operators </w:t>
      </w:r>
      <w:r w:rsidR="00ED4521">
        <w:t xml:space="preserve">generally </w:t>
      </w:r>
      <w:r w:rsidR="001C79F7">
        <w:t xml:space="preserve">have </w:t>
      </w:r>
      <w:r w:rsidR="005E686E">
        <w:t>a lower risk-profile than their accredited counterparts as</w:t>
      </w:r>
      <w:r w:rsidR="000B5A2A">
        <w:rPr>
          <w:rFonts w:ascii="Arial" w:hAnsi="Arial" w:cs="Arial"/>
        </w:rPr>
        <w:t xml:space="preserve"> </w:t>
      </w:r>
      <w:r w:rsidR="00005DE2">
        <w:rPr>
          <w:rFonts w:ascii="Arial" w:hAnsi="Arial" w:cs="Arial"/>
        </w:rPr>
        <w:t>the service</w:t>
      </w:r>
      <w:r w:rsidR="00B12773">
        <w:rPr>
          <w:rFonts w:ascii="Arial" w:hAnsi="Arial" w:cs="Arial"/>
        </w:rPr>
        <w:t>s</w:t>
      </w:r>
      <w:r w:rsidR="00005DE2">
        <w:rPr>
          <w:rFonts w:ascii="Arial" w:hAnsi="Arial" w:cs="Arial"/>
        </w:rPr>
        <w:t xml:space="preserve"> provided </w:t>
      </w:r>
      <w:r w:rsidR="005E686E" w:rsidRPr="00785536">
        <w:rPr>
          <w:rFonts w:ascii="Arial" w:hAnsi="Arial" w:cs="Arial"/>
        </w:rPr>
        <w:t>are considered less complex and</w:t>
      </w:r>
      <w:r w:rsidR="00005DE2">
        <w:rPr>
          <w:rFonts w:ascii="Arial" w:hAnsi="Arial" w:cs="Arial"/>
        </w:rPr>
        <w:t xml:space="preserve"> therefore</w:t>
      </w:r>
      <w:r w:rsidR="005E686E" w:rsidRPr="00785536">
        <w:rPr>
          <w:rFonts w:ascii="Arial" w:hAnsi="Arial" w:cs="Arial"/>
        </w:rPr>
        <w:t xml:space="preserve"> face a lesser range of risks</w:t>
      </w:r>
      <w:r w:rsidR="009C2F7C">
        <w:rPr>
          <w:rFonts w:ascii="Arial" w:hAnsi="Arial" w:cs="Arial"/>
        </w:rPr>
        <w:t>, particularly in relation to community and not-for-profit bus operators</w:t>
      </w:r>
      <w:r w:rsidR="005E686E">
        <w:rPr>
          <w:rFonts w:ascii="Arial" w:hAnsi="Arial" w:cs="Arial"/>
        </w:rPr>
        <w:t>.</w:t>
      </w:r>
      <w:r w:rsidR="005E686E" w:rsidRPr="006C0335">
        <w:t xml:space="preserve"> </w:t>
      </w:r>
      <w:bookmarkStart w:id="490" w:name="_Hlk507662648"/>
      <w:r w:rsidR="005E686E">
        <w:t>Th</w:t>
      </w:r>
      <w:r w:rsidR="005E686E" w:rsidRPr="00BB5252">
        <w:t>e safety risks that could reasonably be managed by</w:t>
      </w:r>
      <w:r w:rsidR="005E686E">
        <w:t xml:space="preserve"> bus services operated by registered bus operators </w:t>
      </w:r>
      <w:r w:rsidR="005E686E" w:rsidRPr="00BB5252">
        <w:t xml:space="preserve">are not likely to be sufficiently complex </w:t>
      </w:r>
      <w:r w:rsidR="008F2882" w:rsidRPr="00DE19E1">
        <w:rPr>
          <w:rFonts w:cstheme="minorHAnsi"/>
          <w:szCs w:val="20"/>
        </w:rPr>
        <w:t xml:space="preserve">to benefit from systems to manage the safety of bus operations </w:t>
      </w:r>
      <w:r w:rsidR="005E686E" w:rsidRPr="00BB5252">
        <w:t xml:space="preserve">and should be </w:t>
      </w:r>
      <w:r w:rsidR="005E686E">
        <w:t>apparent</w:t>
      </w:r>
      <w:r w:rsidR="005E686E" w:rsidRPr="00BB5252">
        <w:t xml:space="preserve"> to the </w:t>
      </w:r>
      <w:r w:rsidR="006E0365">
        <w:t>operator</w:t>
      </w:r>
      <w:r w:rsidR="005E686E" w:rsidRPr="00BB5252">
        <w:t xml:space="preserve"> of the vehicle.</w:t>
      </w:r>
      <w:bookmarkEnd w:id="490"/>
      <w:r w:rsidR="000F3BFB">
        <w:t xml:space="preserve"> </w:t>
      </w:r>
    </w:p>
    <w:p w14:paraId="4EBF7187" w14:textId="09A92E76" w:rsidR="00E76966" w:rsidRDefault="007F6583" w:rsidP="00E76966">
      <w:r>
        <w:t>For these reason</w:t>
      </w:r>
      <w:r w:rsidR="00E804E2">
        <w:t>s</w:t>
      </w:r>
      <w:r>
        <w:t>, it would be reasonable to require accredited operators to establish and maintain an MIS for the safety of bus operations. This aligns with an accredited operator’s obligation under the Bus Safety Act to demonstrate competence and capacity to manage risks associated with operating a bus service.</w:t>
      </w:r>
      <w:r w:rsidR="00E76966">
        <w:t xml:space="preserve"> </w:t>
      </w:r>
    </w:p>
    <w:p w14:paraId="106B20DB" w14:textId="724DF2BD" w:rsidR="002F077B" w:rsidRDefault="002F077B" w:rsidP="005E686E">
      <w:r>
        <w:t xml:space="preserve">Note that while the external risks to the bus services operated by registered operators could be lower due to the nature of the service operators, it may be the case </w:t>
      </w:r>
      <w:r w:rsidR="001D19CF">
        <w:t>that</w:t>
      </w:r>
      <w:r>
        <w:t xml:space="preserve"> higher internal risks are present for this type of operator. </w:t>
      </w:r>
      <w:r w:rsidR="00CE76DA">
        <w:t>L</w:t>
      </w:r>
      <w:r>
        <w:t xml:space="preserve">arge accredited operators </w:t>
      </w:r>
      <w:r w:rsidR="00CE76DA">
        <w:t xml:space="preserve">may </w:t>
      </w:r>
      <w:r>
        <w:t>employ dedicated staff to oversee safety of their services (e.g. risk management personnel, safety liaison officers etc.)</w:t>
      </w:r>
      <w:r w:rsidR="00CE76DA">
        <w:t xml:space="preserve">. In comparison, </w:t>
      </w:r>
      <w:r>
        <w:t xml:space="preserve">some registered operators operating less sophisticated bus services (e.g. small community bus services) may not possess the same level of expertise or experience </w:t>
      </w:r>
      <w:r w:rsidR="004E0F56">
        <w:t>about safety issues of their bus service</w:t>
      </w:r>
      <w:r>
        <w:t>.</w:t>
      </w:r>
      <w:r w:rsidR="004E0F56">
        <w:t xml:space="preserve"> </w:t>
      </w:r>
    </w:p>
    <w:p w14:paraId="515BD8E7" w14:textId="3A200DF4" w:rsidR="005527BA" w:rsidRDefault="00E91CF9" w:rsidP="005527BA">
      <w:r>
        <w:rPr>
          <w:rFonts w:ascii="Arial" w:hAnsi="Arial" w:cs="Arial"/>
        </w:rPr>
        <w:lastRenderedPageBreak/>
        <w:t>This may be compounded by the fact that</w:t>
      </w:r>
      <w:r w:rsidR="005E686E">
        <w:rPr>
          <w:rFonts w:ascii="Arial" w:hAnsi="Arial" w:cs="Arial"/>
        </w:rPr>
        <w:t xml:space="preserve"> while accredited</w:t>
      </w:r>
      <w:r w:rsidR="00925FE6">
        <w:rPr>
          <w:rFonts w:ascii="Arial" w:hAnsi="Arial" w:cs="Arial"/>
        </w:rPr>
        <w:t xml:space="preserve"> bus</w:t>
      </w:r>
      <w:r w:rsidR="005E686E">
        <w:rPr>
          <w:rFonts w:ascii="Arial" w:hAnsi="Arial" w:cs="Arial"/>
        </w:rPr>
        <w:t xml:space="preserve"> operators </w:t>
      </w:r>
      <w:r w:rsidR="0046633B">
        <w:rPr>
          <w:rFonts w:ascii="Arial" w:hAnsi="Arial" w:cs="Arial"/>
        </w:rPr>
        <w:t xml:space="preserve">are required to </w:t>
      </w:r>
      <w:r w:rsidR="00866CD9">
        <w:t>demonstrate competence and capacity to manage the risks to safety associated with operating the commercial bus service or local bus service</w:t>
      </w:r>
      <w:r w:rsidR="0046633B">
        <w:t xml:space="preserve">, registered bus operators do not face the same obligations. </w:t>
      </w:r>
    </w:p>
    <w:p w14:paraId="2A5E7193" w14:textId="3A4F28CB" w:rsidR="00491AB2" w:rsidRDefault="00BF7805" w:rsidP="005527BA">
      <w:pPr>
        <w:rPr>
          <w:lang w:val="en-US"/>
        </w:rPr>
      </w:pPr>
      <w:r>
        <w:rPr>
          <w:lang w:val="en-US"/>
        </w:rPr>
        <w:t>As mentioned previously</w:t>
      </w:r>
      <w:r w:rsidR="00C42CEA">
        <w:rPr>
          <w:lang w:val="en-US"/>
        </w:rPr>
        <w:t xml:space="preserve"> in discussions relating to the MMS</w:t>
      </w:r>
      <w:r>
        <w:rPr>
          <w:lang w:val="en-US"/>
        </w:rPr>
        <w:t>, t</w:t>
      </w:r>
      <w:r w:rsidR="00BB5F2E">
        <w:rPr>
          <w:lang w:val="en-US"/>
        </w:rPr>
        <w:t>he risk profile of a</w:t>
      </w:r>
      <w:r w:rsidR="00A03068">
        <w:rPr>
          <w:lang w:val="en-US"/>
        </w:rPr>
        <w:t xml:space="preserve"> bus service</w:t>
      </w:r>
      <w:r w:rsidR="00A065B0">
        <w:rPr>
          <w:lang w:val="en-US"/>
        </w:rPr>
        <w:t xml:space="preserve"> could be based on the fleet size rather than operator type. </w:t>
      </w:r>
      <w:r w:rsidR="006C45E1">
        <w:rPr>
          <w:lang w:val="en-US"/>
        </w:rPr>
        <w:t>A l</w:t>
      </w:r>
      <w:r w:rsidR="00A065B0">
        <w:rPr>
          <w:lang w:val="en-US"/>
        </w:rPr>
        <w:t>arger fleet</w:t>
      </w:r>
      <w:r w:rsidR="006C45E1">
        <w:rPr>
          <w:lang w:val="en-US"/>
        </w:rPr>
        <w:t xml:space="preserve"> </w:t>
      </w:r>
      <w:r w:rsidR="00F64266">
        <w:rPr>
          <w:lang w:val="en-US"/>
        </w:rPr>
        <w:t xml:space="preserve">can often be </w:t>
      </w:r>
      <w:r w:rsidR="007A1F09">
        <w:rPr>
          <w:lang w:val="en-US"/>
        </w:rPr>
        <w:t>cons</w:t>
      </w:r>
      <w:r w:rsidR="008D3814">
        <w:rPr>
          <w:lang w:val="en-US"/>
        </w:rPr>
        <w:t>idered</w:t>
      </w:r>
      <w:r w:rsidR="00F64266">
        <w:rPr>
          <w:lang w:val="en-US"/>
        </w:rPr>
        <w:t xml:space="preserve"> as a proxy for more </w:t>
      </w:r>
      <w:r w:rsidR="00A065B0">
        <w:rPr>
          <w:lang w:val="en-US"/>
        </w:rPr>
        <w:t>complex bus operations</w:t>
      </w:r>
      <w:r w:rsidR="00F04961">
        <w:rPr>
          <w:lang w:val="en-US"/>
        </w:rPr>
        <w:t xml:space="preserve"> </w:t>
      </w:r>
      <w:r w:rsidR="000843F3">
        <w:rPr>
          <w:lang w:val="en-US"/>
        </w:rPr>
        <w:t>– operators of larger bus fleets</w:t>
      </w:r>
      <w:r w:rsidR="003549FE">
        <w:rPr>
          <w:lang w:val="en-US"/>
        </w:rPr>
        <w:t xml:space="preserve"> would </w:t>
      </w:r>
      <w:r w:rsidR="00BF4769">
        <w:rPr>
          <w:lang w:val="en-US"/>
        </w:rPr>
        <w:t>normally be faced with</w:t>
      </w:r>
      <w:r w:rsidR="00FD4A8E">
        <w:rPr>
          <w:lang w:val="en-US"/>
        </w:rPr>
        <w:t>, and therefore need to consider,</w:t>
      </w:r>
      <w:r w:rsidR="00BF4769">
        <w:rPr>
          <w:lang w:val="en-US"/>
        </w:rPr>
        <w:t xml:space="preserve"> a greater range of risks during the operation of their bus service.</w:t>
      </w:r>
      <w:r w:rsidR="00FB09E9" w:rsidRPr="00FB09E9">
        <w:rPr>
          <w:lang w:val="en-US"/>
        </w:rPr>
        <w:t xml:space="preserve"> </w:t>
      </w:r>
      <w:r w:rsidR="00FB09E9">
        <w:rPr>
          <w:lang w:val="en-US"/>
        </w:rPr>
        <w:t>As the complexity of a bus service increases, it</w:t>
      </w:r>
      <w:r w:rsidR="00A945D6">
        <w:rPr>
          <w:lang w:val="en-US"/>
        </w:rPr>
        <w:t xml:space="preserve"> </w:t>
      </w:r>
      <w:r w:rsidR="007731D5">
        <w:rPr>
          <w:lang w:val="en-US"/>
        </w:rPr>
        <w:t>becomes increasingly important</w:t>
      </w:r>
      <w:r w:rsidR="008816C2">
        <w:rPr>
          <w:lang w:val="en-US"/>
        </w:rPr>
        <w:t xml:space="preserve"> </w:t>
      </w:r>
      <w:r w:rsidR="000B7AE1">
        <w:rPr>
          <w:lang w:val="en-US"/>
        </w:rPr>
        <w:t>for</w:t>
      </w:r>
      <w:r w:rsidR="00FB09E9">
        <w:rPr>
          <w:lang w:val="en-US"/>
        </w:rPr>
        <w:t xml:space="preserve"> </w:t>
      </w:r>
      <w:r w:rsidR="004C669A">
        <w:rPr>
          <w:lang w:val="en-US"/>
        </w:rPr>
        <w:t xml:space="preserve">the </w:t>
      </w:r>
      <w:r w:rsidR="00A929EF">
        <w:rPr>
          <w:lang w:val="en-US"/>
        </w:rPr>
        <w:t>management of safety and risks</w:t>
      </w:r>
      <w:r w:rsidR="009B4736">
        <w:rPr>
          <w:lang w:val="en-US"/>
        </w:rPr>
        <w:t xml:space="preserve"> </w:t>
      </w:r>
      <w:r w:rsidR="000B7AE1">
        <w:rPr>
          <w:lang w:val="en-US"/>
        </w:rPr>
        <w:t>to be</w:t>
      </w:r>
      <w:r w:rsidR="009B4736">
        <w:rPr>
          <w:lang w:val="en-US"/>
        </w:rPr>
        <w:t xml:space="preserve"> considered in a </w:t>
      </w:r>
      <w:r w:rsidR="005527BA">
        <w:rPr>
          <w:lang w:val="en-US"/>
        </w:rPr>
        <w:t>systematic</w:t>
      </w:r>
      <w:r w:rsidR="00FB09E9">
        <w:rPr>
          <w:lang w:val="en-US"/>
        </w:rPr>
        <w:t xml:space="preserve"> way</w:t>
      </w:r>
      <w:r w:rsidR="000D594B">
        <w:rPr>
          <w:lang w:val="en-US"/>
        </w:rPr>
        <w:t>.</w:t>
      </w:r>
      <w:r w:rsidR="005527BA">
        <w:rPr>
          <w:lang w:val="en-US"/>
        </w:rPr>
        <w:t xml:space="preserve"> </w:t>
      </w:r>
    </w:p>
    <w:p w14:paraId="79A561B1" w14:textId="4C2E2A52" w:rsidR="005527BA" w:rsidRDefault="00C87162" w:rsidP="0051079F">
      <w:pPr>
        <w:rPr>
          <w:lang w:val="en-US"/>
        </w:rPr>
      </w:pPr>
      <w:r>
        <w:rPr>
          <w:lang w:val="en-US"/>
        </w:rPr>
        <w:t xml:space="preserve">DoT considers it appropriate that the </w:t>
      </w:r>
      <w:r w:rsidR="008E1CB1">
        <w:rPr>
          <w:lang w:val="en-US"/>
        </w:rPr>
        <w:t>threshold</w:t>
      </w:r>
      <w:r w:rsidR="00383238">
        <w:rPr>
          <w:lang w:val="en-US"/>
        </w:rPr>
        <w:t xml:space="preserve"> </w:t>
      </w:r>
      <w:r w:rsidR="008E1CB1">
        <w:rPr>
          <w:lang w:val="en-US"/>
        </w:rPr>
        <w:t>for requiring an MIS based on fleet size</w:t>
      </w:r>
      <w:r>
        <w:rPr>
          <w:lang w:val="en-US"/>
        </w:rPr>
        <w:t xml:space="preserve"> should be similar to </w:t>
      </w:r>
      <w:r w:rsidR="00920E0C">
        <w:rPr>
          <w:lang w:val="en-US"/>
        </w:rPr>
        <w:t xml:space="preserve">what </w:t>
      </w:r>
      <w:r w:rsidR="00920E0C" w:rsidRPr="00575EAC">
        <w:rPr>
          <w:lang w:val="en-US"/>
        </w:rPr>
        <w:t>is required for an</w:t>
      </w:r>
      <w:r w:rsidRPr="00575EAC">
        <w:rPr>
          <w:lang w:val="en-US"/>
        </w:rPr>
        <w:t xml:space="preserve"> MMS. </w:t>
      </w:r>
    </w:p>
    <w:p w14:paraId="42148CB5" w14:textId="09DCB84F" w:rsidR="007D0478" w:rsidRDefault="00095CA2" w:rsidP="00BF2457">
      <w:r>
        <w:t>As per the discussion in relation to options for a</w:t>
      </w:r>
      <w:r w:rsidR="00F35D88">
        <w:t>n</w:t>
      </w:r>
      <w:r>
        <w:t xml:space="preserve"> </w:t>
      </w:r>
      <w:r w:rsidR="00667BE3">
        <w:t>MMS</w:t>
      </w:r>
      <w:r>
        <w:t>, D</w:t>
      </w:r>
      <w:r w:rsidR="003E7CCA">
        <w:t>o</w:t>
      </w:r>
      <w:r>
        <w:t xml:space="preserve">T </w:t>
      </w:r>
      <w:r w:rsidR="006B7AE2">
        <w:t xml:space="preserve">does not consider it appropriate to impose </w:t>
      </w:r>
      <w:r w:rsidR="00DD6709">
        <w:t>an MIS</w:t>
      </w:r>
      <w:r w:rsidR="00B9377F">
        <w:t xml:space="preserve"> on other duty holders under the </w:t>
      </w:r>
      <w:r w:rsidR="003A2F6F">
        <w:t>Bus Safety Act</w:t>
      </w:r>
      <w:r w:rsidR="00B9377F">
        <w:t xml:space="preserve">. </w:t>
      </w:r>
      <w:r w:rsidR="007D0478">
        <w:t xml:space="preserve">That is, </w:t>
      </w:r>
      <w:r w:rsidR="00CD75C7">
        <w:t>D</w:t>
      </w:r>
      <w:r w:rsidR="003E7CCA">
        <w:t>o</w:t>
      </w:r>
      <w:r w:rsidR="00CD75C7">
        <w:t xml:space="preserve">T considers that </w:t>
      </w:r>
      <w:r w:rsidR="007D0478">
        <w:t xml:space="preserve">the following </w:t>
      </w:r>
      <w:r w:rsidR="004E266C">
        <w:t xml:space="preserve">duty holders </w:t>
      </w:r>
      <w:r w:rsidR="00CD75C7">
        <w:t xml:space="preserve">should not </w:t>
      </w:r>
      <w:r w:rsidR="003B76BF">
        <w:t>be required to implement an MIS:</w:t>
      </w:r>
    </w:p>
    <w:p w14:paraId="65491945" w14:textId="739769E4" w:rsidR="00B16CF9" w:rsidRDefault="00B16CF9" w:rsidP="00C63C08">
      <w:pPr>
        <w:pStyle w:val="ListParagraph"/>
        <w:numPr>
          <w:ilvl w:val="0"/>
          <w:numId w:val="16"/>
        </w:numPr>
        <w:rPr>
          <w:rFonts w:asciiTheme="minorHAnsi" w:hAnsiTheme="minorHAnsi" w:cstheme="minorHAnsi"/>
          <w:color w:val="auto"/>
          <w:sz w:val="20"/>
          <w:szCs w:val="20"/>
        </w:rPr>
      </w:pPr>
      <w:r>
        <w:rPr>
          <w:rFonts w:asciiTheme="minorHAnsi" w:hAnsiTheme="minorHAnsi" w:cstheme="minorHAnsi"/>
          <w:color w:val="auto"/>
          <w:sz w:val="20"/>
          <w:szCs w:val="20"/>
        </w:rPr>
        <w:t>p</w:t>
      </w:r>
      <w:r w:rsidR="00BF2457" w:rsidRPr="007D0478">
        <w:rPr>
          <w:rFonts w:asciiTheme="minorHAnsi" w:hAnsiTheme="minorHAnsi" w:cstheme="minorHAnsi"/>
          <w:color w:val="auto"/>
          <w:sz w:val="20"/>
          <w:szCs w:val="20"/>
        </w:rPr>
        <w:t xml:space="preserve">rocurers of bus services </w:t>
      </w:r>
      <w:r w:rsidR="00CB265C">
        <w:rPr>
          <w:rFonts w:asciiTheme="minorHAnsi" w:hAnsiTheme="minorHAnsi" w:cstheme="minorHAnsi"/>
          <w:color w:val="auto"/>
          <w:sz w:val="20"/>
          <w:szCs w:val="20"/>
        </w:rPr>
        <w:t xml:space="preserve">– </w:t>
      </w:r>
      <w:r w:rsidR="004E266C">
        <w:rPr>
          <w:rFonts w:asciiTheme="minorHAnsi" w:hAnsiTheme="minorHAnsi" w:cstheme="minorHAnsi"/>
          <w:color w:val="auto"/>
          <w:sz w:val="20"/>
          <w:szCs w:val="20"/>
        </w:rPr>
        <w:t>these duty holders</w:t>
      </w:r>
      <w:r w:rsidR="00BF2457" w:rsidRPr="007D0478">
        <w:rPr>
          <w:rFonts w:asciiTheme="minorHAnsi" w:hAnsiTheme="minorHAnsi" w:cstheme="minorHAnsi"/>
          <w:color w:val="auto"/>
          <w:sz w:val="20"/>
          <w:szCs w:val="20"/>
        </w:rPr>
        <w:t xml:space="preserve"> have a less direct level of control over bus services to mitigate risks and ensure safety of bus services. </w:t>
      </w:r>
    </w:p>
    <w:p w14:paraId="03D82309" w14:textId="5A137605" w:rsidR="00DA3007" w:rsidRPr="00DA3007" w:rsidRDefault="00B16CF9" w:rsidP="00C63C08">
      <w:pPr>
        <w:pStyle w:val="ListParagraph"/>
        <w:numPr>
          <w:ilvl w:val="0"/>
          <w:numId w:val="16"/>
        </w:numPr>
        <w:rPr>
          <w:rFonts w:asciiTheme="minorHAnsi" w:hAnsiTheme="minorHAnsi" w:cstheme="minorHAnsi"/>
          <w:color w:val="auto"/>
          <w:sz w:val="20"/>
          <w:szCs w:val="20"/>
        </w:rPr>
      </w:pPr>
      <w:r w:rsidRPr="00B16CF9">
        <w:rPr>
          <w:rFonts w:asciiTheme="minorHAnsi" w:hAnsiTheme="minorHAnsi" w:cstheme="minorHAnsi"/>
          <w:color w:val="auto"/>
          <w:sz w:val="20"/>
          <w:szCs w:val="20"/>
        </w:rPr>
        <w:t>persons who determine bus stopping points and bus stop infrastructure</w:t>
      </w:r>
      <w:r w:rsidR="00BF2457" w:rsidRPr="007D0478">
        <w:rPr>
          <w:rFonts w:asciiTheme="minorHAnsi" w:hAnsiTheme="minorHAnsi" w:cstheme="minorHAnsi"/>
          <w:color w:val="auto"/>
          <w:sz w:val="20"/>
          <w:szCs w:val="20"/>
        </w:rPr>
        <w:t xml:space="preserve"> </w:t>
      </w:r>
      <w:r w:rsidR="00DD7E72">
        <w:rPr>
          <w:rFonts w:asciiTheme="minorHAnsi" w:hAnsiTheme="minorHAnsi" w:cstheme="minorHAnsi"/>
          <w:color w:val="auto"/>
          <w:sz w:val="20"/>
          <w:szCs w:val="20"/>
        </w:rPr>
        <w:t xml:space="preserve">– </w:t>
      </w:r>
      <w:r w:rsidR="004E266C">
        <w:rPr>
          <w:rFonts w:asciiTheme="minorHAnsi" w:hAnsiTheme="minorHAnsi" w:cstheme="minorHAnsi"/>
          <w:color w:val="auto"/>
          <w:sz w:val="20"/>
          <w:szCs w:val="20"/>
        </w:rPr>
        <w:t>these duty holders</w:t>
      </w:r>
      <w:r w:rsidR="00DD7E72" w:rsidRPr="00DD7E72">
        <w:rPr>
          <w:rFonts w:asciiTheme="minorHAnsi" w:hAnsiTheme="minorHAnsi" w:cstheme="minorHAnsi"/>
          <w:color w:val="auto"/>
          <w:sz w:val="20"/>
          <w:szCs w:val="20"/>
        </w:rPr>
        <w:t xml:space="preserve"> are not involved in the provision of bus services</w:t>
      </w:r>
    </w:p>
    <w:p w14:paraId="3C2C64D2" w14:textId="02FA809B" w:rsidR="00DD7E72" w:rsidRPr="007D0478" w:rsidRDefault="00DD7E72" w:rsidP="00C63C08">
      <w:pPr>
        <w:pStyle w:val="ListParagraph"/>
        <w:numPr>
          <w:ilvl w:val="0"/>
          <w:numId w:val="16"/>
        </w:numPr>
        <w:rPr>
          <w:rFonts w:asciiTheme="minorHAnsi" w:hAnsiTheme="minorHAnsi" w:cstheme="minorHAnsi"/>
          <w:color w:val="auto"/>
          <w:sz w:val="20"/>
          <w:szCs w:val="20"/>
        </w:rPr>
      </w:pPr>
      <w:r>
        <w:rPr>
          <w:rFonts w:asciiTheme="minorHAnsi" w:hAnsiTheme="minorHAnsi" w:cstheme="minorHAnsi"/>
          <w:color w:val="auto"/>
          <w:sz w:val="20"/>
          <w:szCs w:val="20"/>
        </w:rPr>
        <w:t>bus safety workers –</w:t>
      </w:r>
      <w:r w:rsidR="005301A7">
        <w:rPr>
          <w:rFonts w:asciiTheme="minorHAnsi" w:hAnsiTheme="minorHAnsi" w:cstheme="minorHAnsi"/>
          <w:color w:val="auto"/>
          <w:sz w:val="20"/>
          <w:szCs w:val="20"/>
        </w:rPr>
        <w:t xml:space="preserve"> </w:t>
      </w:r>
      <w:r w:rsidR="004E266C">
        <w:rPr>
          <w:rFonts w:asciiTheme="minorHAnsi" w:hAnsiTheme="minorHAnsi" w:cstheme="minorHAnsi"/>
          <w:color w:val="auto"/>
          <w:sz w:val="20"/>
          <w:szCs w:val="20"/>
        </w:rPr>
        <w:t xml:space="preserve">these duty holders </w:t>
      </w:r>
      <w:r w:rsidR="005301A7">
        <w:rPr>
          <w:rFonts w:asciiTheme="minorHAnsi" w:hAnsiTheme="minorHAnsi" w:cstheme="minorHAnsi"/>
          <w:color w:val="auto"/>
          <w:sz w:val="20"/>
          <w:szCs w:val="20"/>
        </w:rPr>
        <w:t xml:space="preserve">only have a duty to take reasonable care of themselves and other persons and are not obligated to </w:t>
      </w:r>
      <w:r w:rsidR="003B766F">
        <w:rPr>
          <w:rFonts w:asciiTheme="minorHAnsi" w:hAnsiTheme="minorHAnsi" w:cstheme="minorHAnsi"/>
          <w:color w:val="auto"/>
          <w:sz w:val="20"/>
          <w:szCs w:val="20"/>
        </w:rPr>
        <w:t>manage or eliminate safety risks.</w:t>
      </w:r>
    </w:p>
    <w:p w14:paraId="05653D40" w14:textId="7A1A3B36" w:rsidR="008E7D0A" w:rsidRPr="001C2DC0" w:rsidRDefault="0038130E" w:rsidP="0095677C">
      <w:pPr>
        <w:pStyle w:val="Heading5"/>
      </w:pPr>
      <w:r w:rsidRPr="001C2DC0">
        <w:t>Audit</w:t>
      </w:r>
      <w:r w:rsidR="008E7D0A" w:rsidRPr="001C2DC0">
        <w:t xml:space="preserve"> </w:t>
      </w:r>
      <w:r w:rsidR="005F2BB6" w:rsidRPr="001C2DC0">
        <w:t xml:space="preserve">or review </w:t>
      </w:r>
      <w:r w:rsidR="008E7D0A" w:rsidRPr="001C2DC0">
        <w:t xml:space="preserve">of </w:t>
      </w:r>
      <w:r w:rsidR="005F2BB6" w:rsidRPr="001C2DC0">
        <w:t xml:space="preserve">an </w:t>
      </w:r>
      <w:r w:rsidR="008E7D0A" w:rsidRPr="001C2DC0">
        <w:t>MIS</w:t>
      </w:r>
    </w:p>
    <w:p w14:paraId="189D34E5" w14:textId="6FE1C0FD" w:rsidR="00353855" w:rsidRDefault="00F21A72" w:rsidP="008E7D0A">
      <w:r>
        <w:t xml:space="preserve">Options </w:t>
      </w:r>
      <w:r w:rsidR="00141E5F">
        <w:t>must also consider when an audit of the MIS should occur.</w:t>
      </w:r>
      <w:r w:rsidR="005724B2">
        <w:t xml:space="preserve"> </w:t>
      </w:r>
      <w:r w:rsidR="00B32BBB">
        <w:t xml:space="preserve">Audits of a review </w:t>
      </w:r>
      <w:r w:rsidR="001243A3">
        <w:t xml:space="preserve">could be allowed at the discretion of the Safety Director, </w:t>
      </w:r>
      <w:r w:rsidR="00574E7B">
        <w:t xml:space="preserve">at </w:t>
      </w:r>
      <w:r w:rsidR="001243A3">
        <w:t xml:space="preserve">prescribed periodic intervals or </w:t>
      </w:r>
      <w:r w:rsidR="00DF0398">
        <w:t>be required after the occurrence of a prescribed event</w:t>
      </w:r>
      <w:r w:rsidR="00D97D94">
        <w:t xml:space="preserve">. </w:t>
      </w:r>
      <w:r w:rsidR="005968EB">
        <w:t>To ensure certainty of auditing</w:t>
      </w:r>
      <w:r w:rsidR="00134FD8">
        <w:t xml:space="preserve"> and </w:t>
      </w:r>
      <w:r w:rsidR="00CB626F">
        <w:t xml:space="preserve">that the systems are up-to-date, </w:t>
      </w:r>
      <w:r w:rsidR="001413DB">
        <w:t>a</w:t>
      </w:r>
      <w:r w:rsidR="005968EB">
        <w:t xml:space="preserve"> review </w:t>
      </w:r>
      <w:r w:rsidR="007B54C3">
        <w:t xml:space="preserve">could </w:t>
      </w:r>
      <w:r w:rsidR="005968EB">
        <w:t>be prescribed at periodic intervals</w:t>
      </w:r>
      <w:r w:rsidR="003027BC">
        <w:t xml:space="preserve">. </w:t>
      </w:r>
    </w:p>
    <w:p w14:paraId="17EB7D52" w14:textId="6B6246D6" w:rsidR="008E7D0A" w:rsidRDefault="00353855" w:rsidP="008E7D0A">
      <w:r>
        <w:t>A</w:t>
      </w:r>
      <w:r w:rsidR="007B54C3">
        <w:t xml:space="preserve">n </w:t>
      </w:r>
      <w:r w:rsidR="003027BC">
        <w:t xml:space="preserve">annual review </w:t>
      </w:r>
      <w:r w:rsidR="007B54C3">
        <w:t>may be t</w:t>
      </w:r>
      <w:r w:rsidR="003027BC">
        <w:t xml:space="preserve">he right balance between </w:t>
      </w:r>
      <w:r w:rsidR="00375961">
        <w:t>minimising</w:t>
      </w:r>
      <w:r w:rsidR="00D23519">
        <w:t xml:space="preserve"> regulatory burden on the industry and ensuring sa</w:t>
      </w:r>
      <w:r w:rsidR="00375961">
        <w:t>f</w:t>
      </w:r>
      <w:r w:rsidR="00D23519">
        <w:t>ety systems are up-to-date</w:t>
      </w:r>
      <w:r w:rsidR="0022251A" w:rsidRPr="0022251A">
        <w:t xml:space="preserve"> </w:t>
      </w:r>
      <w:r w:rsidR="0022251A">
        <w:t>to ensure any deficiencies in these systems are identified and rectified in a timely manner</w:t>
      </w:r>
      <w:r w:rsidR="00D23519">
        <w:t xml:space="preserve">. </w:t>
      </w:r>
      <w:r w:rsidR="0022251A">
        <w:t xml:space="preserve"> </w:t>
      </w:r>
    </w:p>
    <w:p w14:paraId="4F53DAEE" w14:textId="58A2203B" w:rsidR="00353855" w:rsidRPr="000C556F" w:rsidRDefault="00C0082F" w:rsidP="00353855">
      <w:r>
        <w:t>As previously discussed in relation to an M</w:t>
      </w:r>
      <w:r w:rsidR="00C83F80">
        <w:t>M</w:t>
      </w:r>
      <w:r>
        <w:t>S, i</w:t>
      </w:r>
      <w:r w:rsidR="00353855">
        <w:t>nstead of periodic reviews of an M</w:t>
      </w:r>
      <w:r w:rsidR="00C83F80">
        <w:t>I</w:t>
      </w:r>
      <w:r w:rsidR="00353855">
        <w:t>S, there could be other circumstances which would warrant a review of the M</w:t>
      </w:r>
      <w:r w:rsidR="00C83F80">
        <w:t>I</w:t>
      </w:r>
      <w:r w:rsidR="00353855">
        <w:t xml:space="preserve">S to ensure it continues to achieve the safety objectives of the bus service. </w:t>
      </w:r>
      <w:r w:rsidR="00353855" w:rsidRPr="000C556F">
        <w:t>This may include the following circumstances:</w:t>
      </w:r>
    </w:p>
    <w:p w14:paraId="5F02CA3B" w14:textId="2C0A5B2A" w:rsidR="00353855" w:rsidRPr="000C556F" w:rsidRDefault="00353855" w:rsidP="00C63C08">
      <w:pPr>
        <w:pStyle w:val="ListParagraph"/>
        <w:numPr>
          <w:ilvl w:val="0"/>
          <w:numId w:val="12"/>
        </w:numPr>
        <w:rPr>
          <w:rFonts w:asciiTheme="minorHAnsi" w:hAnsiTheme="minorHAnsi" w:cstheme="minorHAnsi"/>
          <w:color w:val="auto"/>
          <w:sz w:val="20"/>
          <w:szCs w:val="20"/>
        </w:rPr>
      </w:pPr>
      <w:r>
        <w:rPr>
          <w:rFonts w:asciiTheme="minorHAnsi" w:hAnsiTheme="minorHAnsi" w:cstheme="minorHAnsi"/>
          <w:color w:val="auto"/>
          <w:sz w:val="20"/>
          <w:szCs w:val="20"/>
        </w:rPr>
        <w:t>following the audit of an operator by transport safety officer</w:t>
      </w:r>
      <w:r w:rsidR="002C1657">
        <w:rPr>
          <w:rFonts w:asciiTheme="minorHAnsi" w:hAnsiTheme="minorHAnsi" w:cstheme="minorHAnsi"/>
          <w:color w:val="auto"/>
          <w:sz w:val="20"/>
          <w:szCs w:val="20"/>
        </w:rPr>
        <w:t>s</w:t>
      </w:r>
      <w:r>
        <w:rPr>
          <w:rFonts w:asciiTheme="minorHAnsi" w:hAnsiTheme="minorHAnsi" w:cstheme="minorHAnsi"/>
          <w:color w:val="auto"/>
          <w:sz w:val="20"/>
          <w:szCs w:val="20"/>
        </w:rPr>
        <w:t xml:space="preserve"> where an improvement notice or a prohibition notice has been issued </w:t>
      </w:r>
    </w:p>
    <w:p w14:paraId="09298F40" w14:textId="77777777" w:rsidR="00353855" w:rsidRPr="000C556F" w:rsidRDefault="00353855" w:rsidP="00C63C08">
      <w:pPr>
        <w:pStyle w:val="ListParagraph"/>
        <w:numPr>
          <w:ilvl w:val="0"/>
          <w:numId w:val="12"/>
        </w:numPr>
        <w:rPr>
          <w:rFonts w:asciiTheme="minorHAnsi" w:hAnsiTheme="minorHAnsi" w:cstheme="minorHAnsi"/>
          <w:color w:val="auto"/>
          <w:sz w:val="20"/>
          <w:szCs w:val="20"/>
        </w:rPr>
      </w:pPr>
      <w:r>
        <w:rPr>
          <w:rFonts w:asciiTheme="minorHAnsi" w:hAnsiTheme="minorHAnsi" w:cstheme="minorHAnsi"/>
          <w:color w:val="auto"/>
          <w:sz w:val="20"/>
          <w:szCs w:val="20"/>
        </w:rPr>
        <w:t xml:space="preserve">where a </w:t>
      </w:r>
      <w:r w:rsidRPr="000C556F">
        <w:rPr>
          <w:rFonts w:asciiTheme="minorHAnsi" w:hAnsiTheme="minorHAnsi" w:cstheme="minorHAnsi"/>
          <w:color w:val="auto"/>
          <w:sz w:val="20"/>
          <w:szCs w:val="20"/>
        </w:rPr>
        <w:t>bus safety incident</w:t>
      </w:r>
      <w:r>
        <w:rPr>
          <w:rFonts w:asciiTheme="minorHAnsi" w:hAnsiTheme="minorHAnsi" w:cstheme="minorHAnsi"/>
          <w:color w:val="auto"/>
          <w:sz w:val="20"/>
          <w:szCs w:val="20"/>
        </w:rPr>
        <w:t xml:space="preserve"> has occurred</w:t>
      </w:r>
    </w:p>
    <w:p w14:paraId="1A69490B" w14:textId="77777777" w:rsidR="00353855" w:rsidRPr="000C556F" w:rsidRDefault="00353855" w:rsidP="00C63C08">
      <w:pPr>
        <w:pStyle w:val="ListParagraph"/>
        <w:numPr>
          <w:ilvl w:val="0"/>
          <w:numId w:val="12"/>
        </w:numPr>
        <w:rPr>
          <w:rFonts w:asciiTheme="minorHAnsi" w:hAnsiTheme="minorHAnsi" w:cstheme="minorHAnsi"/>
          <w:color w:val="auto"/>
          <w:sz w:val="20"/>
          <w:szCs w:val="20"/>
        </w:rPr>
      </w:pPr>
      <w:r>
        <w:rPr>
          <w:rFonts w:asciiTheme="minorHAnsi" w:hAnsiTheme="minorHAnsi" w:cstheme="minorHAnsi"/>
          <w:color w:val="auto"/>
          <w:sz w:val="20"/>
          <w:szCs w:val="20"/>
        </w:rPr>
        <w:t xml:space="preserve">as part of an </w:t>
      </w:r>
      <w:r w:rsidRPr="000C556F">
        <w:rPr>
          <w:rFonts w:asciiTheme="minorHAnsi" w:hAnsiTheme="minorHAnsi" w:cstheme="minorHAnsi"/>
          <w:color w:val="auto"/>
          <w:sz w:val="20"/>
          <w:szCs w:val="20"/>
        </w:rPr>
        <w:t>investigation</w:t>
      </w:r>
      <w:r>
        <w:rPr>
          <w:rFonts w:asciiTheme="minorHAnsi" w:hAnsiTheme="minorHAnsi" w:cstheme="minorHAnsi"/>
          <w:color w:val="auto"/>
          <w:sz w:val="20"/>
          <w:szCs w:val="20"/>
        </w:rPr>
        <w:t xml:space="preserve"> by the operator into the causes of a bus incident</w:t>
      </w:r>
      <w:r w:rsidRPr="000C556F">
        <w:rPr>
          <w:rFonts w:asciiTheme="minorHAnsi" w:hAnsiTheme="minorHAnsi" w:cstheme="minorHAnsi"/>
          <w:color w:val="auto"/>
          <w:sz w:val="20"/>
          <w:szCs w:val="20"/>
        </w:rPr>
        <w:t>.</w:t>
      </w:r>
    </w:p>
    <w:p w14:paraId="2BBD1408" w14:textId="35C88D2F" w:rsidR="005409B3" w:rsidRDefault="004E444E" w:rsidP="005409B3">
      <w:r>
        <w:rPr>
          <w:rFonts w:cstheme="minorHAnsi"/>
          <w:color w:val="auto"/>
          <w:szCs w:val="20"/>
        </w:rPr>
        <w:t>T</w:t>
      </w:r>
      <w:r w:rsidR="00CC6405" w:rsidRPr="00CC6405">
        <w:rPr>
          <w:rFonts w:cstheme="minorHAnsi"/>
          <w:color w:val="auto"/>
          <w:szCs w:val="20"/>
        </w:rPr>
        <w:t>hese circumstances are not likely to occur at periodic or regular intervals</w:t>
      </w:r>
      <w:r w:rsidR="005409B3">
        <w:t xml:space="preserve">. </w:t>
      </w:r>
    </w:p>
    <w:p w14:paraId="5B4216DD" w14:textId="77777777" w:rsidR="009920C9" w:rsidRPr="001C2DC0" w:rsidRDefault="009920C9" w:rsidP="0095677C">
      <w:pPr>
        <w:pStyle w:val="Heading5"/>
      </w:pPr>
      <w:r w:rsidRPr="001C2DC0">
        <w:t>Summary</w:t>
      </w:r>
    </w:p>
    <w:p w14:paraId="4739D09A" w14:textId="77777777" w:rsidR="008A0F05" w:rsidRDefault="009920C9" w:rsidP="009920C9">
      <w:pPr>
        <w:rPr>
          <w:rFonts w:cstheme="minorHAnsi"/>
          <w:color w:val="auto"/>
          <w:szCs w:val="20"/>
        </w:rPr>
      </w:pPr>
      <w:r>
        <w:rPr>
          <w:rFonts w:cstheme="minorHAnsi"/>
          <w:color w:val="auto"/>
          <w:szCs w:val="20"/>
        </w:rPr>
        <w:t xml:space="preserve">DoT has considered a range of options relating to regulations which would require affected operators to implement systems to </w:t>
      </w:r>
      <w:r w:rsidR="00426943">
        <w:rPr>
          <w:rFonts w:cstheme="minorHAnsi"/>
          <w:color w:val="auto"/>
          <w:szCs w:val="20"/>
        </w:rPr>
        <w:t>promote the safety of their operations</w:t>
      </w:r>
      <w:r>
        <w:rPr>
          <w:rFonts w:cstheme="minorHAnsi"/>
          <w:color w:val="auto"/>
          <w:szCs w:val="20"/>
        </w:rPr>
        <w:t xml:space="preserve">. </w:t>
      </w:r>
    </w:p>
    <w:p w14:paraId="565CAE3E" w14:textId="17CA74A6" w:rsidR="00B03EA8" w:rsidRDefault="00FD6977" w:rsidP="009920C9">
      <w:pPr>
        <w:rPr>
          <w:rFonts w:cstheme="minorHAnsi"/>
          <w:color w:val="auto"/>
          <w:szCs w:val="20"/>
        </w:rPr>
      </w:pPr>
      <w:r>
        <w:rPr>
          <w:rFonts w:cstheme="minorHAnsi"/>
          <w:color w:val="auto"/>
          <w:szCs w:val="20"/>
        </w:rPr>
        <w:t xml:space="preserve">Based on the above considerations, </w:t>
      </w:r>
      <w:r w:rsidR="00B124F9">
        <w:rPr>
          <w:rFonts w:cstheme="minorHAnsi"/>
          <w:color w:val="auto"/>
          <w:szCs w:val="20"/>
        </w:rPr>
        <w:t xml:space="preserve">Section </w:t>
      </w:r>
      <w:r w:rsidR="00B124F9">
        <w:rPr>
          <w:rFonts w:cstheme="minorHAnsi"/>
          <w:color w:val="auto"/>
          <w:szCs w:val="20"/>
        </w:rPr>
        <w:fldChar w:fldCharType="begin"/>
      </w:r>
      <w:r w:rsidR="00B124F9">
        <w:rPr>
          <w:rFonts w:cstheme="minorHAnsi"/>
          <w:color w:val="auto"/>
          <w:szCs w:val="20"/>
        </w:rPr>
        <w:instrText xml:space="preserve"> REF _Ref41819519 \r \h </w:instrText>
      </w:r>
      <w:r w:rsidR="00B124F9">
        <w:rPr>
          <w:rFonts w:cstheme="minorHAnsi"/>
          <w:color w:val="auto"/>
          <w:szCs w:val="20"/>
        </w:rPr>
      </w:r>
      <w:r w:rsidR="00B124F9">
        <w:rPr>
          <w:rFonts w:cstheme="minorHAnsi"/>
          <w:color w:val="auto"/>
          <w:szCs w:val="20"/>
        </w:rPr>
        <w:fldChar w:fldCharType="separate"/>
      </w:r>
      <w:r w:rsidR="00277F6E">
        <w:rPr>
          <w:rFonts w:cstheme="minorHAnsi"/>
          <w:color w:val="auto"/>
          <w:szCs w:val="20"/>
        </w:rPr>
        <w:t>7.2.1</w:t>
      </w:r>
      <w:r w:rsidR="00B124F9">
        <w:rPr>
          <w:rFonts w:cstheme="minorHAnsi"/>
          <w:color w:val="auto"/>
          <w:szCs w:val="20"/>
        </w:rPr>
        <w:fldChar w:fldCharType="end"/>
      </w:r>
      <w:r w:rsidR="00B124F9">
        <w:rPr>
          <w:rFonts w:cstheme="minorHAnsi"/>
          <w:color w:val="auto"/>
          <w:szCs w:val="20"/>
        </w:rPr>
        <w:t xml:space="preserve"> </w:t>
      </w:r>
      <w:r>
        <w:rPr>
          <w:rFonts w:cstheme="minorHAnsi"/>
          <w:color w:val="auto"/>
          <w:szCs w:val="20"/>
        </w:rPr>
        <w:t xml:space="preserve">further </w:t>
      </w:r>
      <w:r w:rsidR="008A0F05">
        <w:rPr>
          <w:rFonts w:cstheme="minorHAnsi"/>
          <w:color w:val="auto"/>
          <w:szCs w:val="20"/>
        </w:rPr>
        <w:t>assess</w:t>
      </w:r>
      <w:r w:rsidR="00B124F9">
        <w:rPr>
          <w:rFonts w:cstheme="minorHAnsi"/>
          <w:color w:val="auto"/>
          <w:szCs w:val="20"/>
        </w:rPr>
        <w:t xml:space="preserve">es </w:t>
      </w:r>
      <w:r w:rsidR="008A0F05">
        <w:rPr>
          <w:rFonts w:cstheme="minorHAnsi"/>
          <w:color w:val="auto"/>
          <w:szCs w:val="20"/>
        </w:rPr>
        <w:t>the impacts of</w:t>
      </w:r>
      <w:r w:rsidR="00B03EA8">
        <w:rPr>
          <w:rFonts w:cstheme="minorHAnsi"/>
          <w:color w:val="auto"/>
          <w:szCs w:val="20"/>
        </w:rPr>
        <w:t xml:space="preserve"> the option to prescribe in the regulations </w:t>
      </w:r>
      <w:r w:rsidR="008A0F05">
        <w:rPr>
          <w:rFonts w:cstheme="minorHAnsi"/>
          <w:color w:val="auto"/>
          <w:szCs w:val="20"/>
        </w:rPr>
        <w:t>a system</w:t>
      </w:r>
      <w:r w:rsidR="00482C01">
        <w:rPr>
          <w:rFonts w:cstheme="minorHAnsi"/>
          <w:color w:val="auto"/>
          <w:szCs w:val="20"/>
        </w:rPr>
        <w:t xml:space="preserve"> to ensure</w:t>
      </w:r>
      <w:r w:rsidR="008A0F05">
        <w:rPr>
          <w:rFonts w:cstheme="minorHAnsi"/>
          <w:color w:val="auto"/>
          <w:szCs w:val="20"/>
        </w:rPr>
        <w:t xml:space="preserve"> safe bus operations. </w:t>
      </w:r>
      <w:r w:rsidR="008A0F05" w:rsidRPr="008A6D8E">
        <w:rPr>
          <w:rFonts w:cstheme="minorHAnsi"/>
          <w:color w:val="auto"/>
          <w:szCs w:val="20"/>
        </w:rPr>
        <w:t xml:space="preserve">The assessment of </w:t>
      </w:r>
      <w:r w:rsidR="00752A1A">
        <w:rPr>
          <w:rFonts w:cstheme="minorHAnsi"/>
          <w:color w:val="auto"/>
          <w:szCs w:val="20"/>
        </w:rPr>
        <w:t xml:space="preserve">the </w:t>
      </w:r>
      <w:r w:rsidR="008A0F05" w:rsidRPr="008A6D8E">
        <w:rPr>
          <w:rFonts w:cstheme="minorHAnsi"/>
          <w:color w:val="auto"/>
          <w:szCs w:val="20"/>
        </w:rPr>
        <w:t>option will consider both the administrative and substantive compliance costs with the M</w:t>
      </w:r>
      <w:r w:rsidR="00E974F3">
        <w:rPr>
          <w:rFonts w:cstheme="minorHAnsi"/>
          <w:color w:val="auto"/>
          <w:szCs w:val="20"/>
        </w:rPr>
        <w:t>I</w:t>
      </w:r>
      <w:r w:rsidR="008A0F05" w:rsidRPr="008A6D8E">
        <w:rPr>
          <w:rFonts w:cstheme="minorHAnsi"/>
          <w:color w:val="auto"/>
          <w:szCs w:val="20"/>
        </w:rPr>
        <w:t xml:space="preserve">S requirements. </w:t>
      </w:r>
      <w:r w:rsidR="000838E1">
        <w:rPr>
          <w:rFonts w:cstheme="minorHAnsi"/>
          <w:color w:val="auto"/>
          <w:szCs w:val="20"/>
        </w:rPr>
        <w:t>This option involves</w:t>
      </w:r>
      <w:r w:rsidR="009920C9">
        <w:rPr>
          <w:rFonts w:cstheme="minorHAnsi"/>
          <w:color w:val="auto"/>
          <w:szCs w:val="20"/>
        </w:rPr>
        <w:t xml:space="preserve"> requiring accredited operators to prepare an M</w:t>
      </w:r>
      <w:r w:rsidR="00426943">
        <w:rPr>
          <w:rFonts w:cstheme="minorHAnsi"/>
          <w:color w:val="auto"/>
          <w:szCs w:val="20"/>
        </w:rPr>
        <w:t>I</w:t>
      </w:r>
      <w:r w:rsidR="009920C9">
        <w:rPr>
          <w:rFonts w:cstheme="minorHAnsi"/>
          <w:color w:val="auto"/>
          <w:szCs w:val="20"/>
        </w:rPr>
        <w:t>S</w:t>
      </w:r>
      <w:r w:rsidR="000838E1">
        <w:rPr>
          <w:rFonts w:cstheme="minorHAnsi"/>
          <w:color w:val="auto"/>
          <w:szCs w:val="20"/>
        </w:rPr>
        <w:t xml:space="preserve"> and for accredited operators to maintain the MIS </w:t>
      </w:r>
      <w:r w:rsidR="00EF6403">
        <w:rPr>
          <w:rFonts w:cstheme="minorHAnsi"/>
          <w:color w:val="auto"/>
          <w:szCs w:val="20"/>
        </w:rPr>
        <w:t>periodically</w:t>
      </w:r>
      <w:r w:rsidR="000838E1">
        <w:rPr>
          <w:rFonts w:cstheme="minorHAnsi"/>
          <w:color w:val="auto"/>
          <w:szCs w:val="20"/>
        </w:rPr>
        <w:t xml:space="preserve"> through annual audits or reviews</w:t>
      </w:r>
      <w:r w:rsidR="00C1791D">
        <w:rPr>
          <w:rFonts w:cstheme="minorHAnsi"/>
          <w:color w:val="auto"/>
          <w:szCs w:val="20"/>
        </w:rPr>
        <w:t xml:space="preserve"> (status quo</w:t>
      </w:r>
      <w:r w:rsidR="00AF796A">
        <w:rPr>
          <w:rFonts w:cstheme="minorHAnsi"/>
          <w:color w:val="auto"/>
          <w:szCs w:val="20"/>
        </w:rPr>
        <w:t>)</w:t>
      </w:r>
      <w:r w:rsidR="009920C9">
        <w:rPr>
          <w:rFonts w:cstheme="minorHAnsi"/>
          <w:color w:val="auto"/>
          <w:szCs w:val="20"/>
        </w:rPr>
        <w:t xml:space="preserve">. </w:t>
      </w:r>
    </w:p>
    <w:p w14:paraId="267A3823" w14:textId="40F3BA86" w:rsidR="00B03EA8" w:rsidRDefault="009920C9" w:rsidP="008A0F05">
      <w:pPr>
        <w:rPr>
          <w:rFonts w:cstheme="minorHAnsi"/>
          <w:color w:val="auto"/>
          <w:szCs w:val="20"/>
        </w:rPr>
      </w:pPr>
      <w:r>
        <w:rPr>
          <w:rFonts w:cstheme="minorHAnsi"/>
          <w:color w:val="auto"/>
          <w:szCs w:val="20"/>
        </w:rPr>
        <w:t xml:space="preserve">DoT will not further consider the option of imposing this requirement on registered operators, because it is likely to place an undue burden on those operators having regard to the nature of their operations. </w:t>
      </w:r>
      <w:r w:rsidR="00482C01">
        <w:rPr>
          <w:rFonts w:cstheme="minorHAnsi"/>
          <w:color w:val="auto"/>
          <w:szCs w:val="20"/>
        </w:rPr>
        <w:t>A</w:t>
      </w:r>
      <w:r w:rsidR="008A0F05">
        <w:rPr>
          <w:rFonts w:cstheme="minorHAnsi"/>
          <w:color w:val="auto"/>
          <w:szCs w:val="20"/>
        </w:rPr>
        <w:t xml:space="preserve">s discussed in </w:t>
      </w:r>
      <w:r w:rsidR="0065339F">
        <w:rPr>
          <w:rFonts w:cstheme="minorHAnsi"/>
          <w:color w:val="auto"/>
          <w:szCs w:val="20"/>
        </w:rPr>
        <w:t xml:space="preserve">Section </w:t>
      </w:r>
      <w:r w:rsidR="0065339F">
        <w:rPr>
          <w:rFonts w:cstheme="minorHAnsi"/>
          <w:color w:val="auto"/>
          <w:szCs w:val="20"/>
        </w:rPr>
        <w:fldChar w:fldCharType="begin"/>
      </w:r>
      <w:r w:rsidR="0065339F">
        <w:rPr>
          <w:rFonts w:cstheme="minorHAnsi"/>
          <w:color w:val="auto"/>
          <w:szCs w:val="20"/>
        </w:rPr>
        <w:instrText xml:space="preserve"> REF _Ref41981648 \r \h </w:instrText>
      </w:r>
      <w:r w:rsidR="0065339F">
        <w:rPr>
          <w:rFonts w:cstheme="minorHAnsi"/>
          <w:color w:val="auto"/>
          <w:szCs w:val="20"/>
        </w:rPr>
      </w:r>
      <w:r w:rsidR="0065339F">
        <w:rPr>
          <w:rFonts w:cstheme="minorHAnsi"/>
          <w:color w:val="auto"/>
          <w:szCs w:val="20"/>
        </w:rPr>
        <w:fldChar w:fldCharType="separate"/>
      </w:r>
      <w:r w:rsidR="00277F6E">
        <w:rPr>
          <w:rFonts w:cstheme="minorHAnsi"/>
          <w:color w:val="auto"/>
          <w:szCs w:val="20"/>
        </w:rPr>
        <w:t>6.1.2</w:t>
      </w:r>
      <w:r w:rsidR="0065339F">
        <w:rPr>
          <w:rFonts w:cstheme="minorHAnsi"/>
          <w:color w:val="auto"/>
          <w:szCs w:val="20"/>
        </w:rPr>
        <w:fldChar w:fldCharType="end"/>
      </w:r>
      <w:r w:rsidR="008A0F05">
        <w:rPr>
          <w:rFonts w:cstheme="minorHAnsi"/>
          <w:color w:val="auto"/>
          <w:szCs w:val="20"/>
        </w:rPr>
        <w:t xml:space="preserve">, the legislative framework of the Bus Safety Act is designed to </w:t>
      </w:r>
      <w:r w:rsidR="0012373B">
        <w:rPr>
          <w:rFonts w:cstheme="minorHAnsi"/>
          <w:color w:val="auto"/>
          <w:szCs w:val="20"/>
        </w:rPr>
        <w:t xml:space="preserve">approximate the lower risk-profile of registered </w:t>
      </w:r>
      <w:r w:rsidR="006E4DEE">
        <w:rPr>
          <w:rFonts w:cstheme="minorHAnsi"/>
          <w:color w:val="auto"/>
          <w:szCs w:val="20"/>
        </w:rPr>
        <w:t>operators</w:t>
      </w:r>
      <w:r w:rsidR="0012373B">
        <w:rPr>
          <w:rFonts w:cstheme="minorHAnsi"/>
          <w:color w:val="auto"/>
          <w:szCs w:val="20"/>
        </w:rPr>
        <w:t xml:space="preserve"> based on the size of the buses used and the type of bus service provided.</w:t>
      </w:r>
    </w:p>
    <w:p w14:paraId="50213A6C" w14:textId="742E5361" w:rsidR="008A0F05" w:rsidRPr="008A6D8E" w:rsidRDefault="008A0F05" w:rsidP="008A0F05">
      <w:pPr>
        <w:rPr>
          <w:rFonts w:cstheme="minorHAnsi"/>
          <w:color w:val="auto"/>
          <w:szCs w:val="20"/>
        </w:rPr>
      </w:pPr>
      <w:r w:rsidRPr="008A6D8E">
        <w:rPr>
          <w:rFonts w:cstheme="minorHAnsi"/>
          <w:color w:val="auto"/>
          <w:szCs w:val="20"/>
        </w:rPr>
        <w:lastRenderedPageBreak/>
        <w:t xml:space="preserve">The impacts of </w:t>
      </w:r>
      <w:r w:rsidR="000838E1">
        <w:rPr>
          <w:rFonts w:cstheme="minorHAnsi"/>
          <w:color w:val="auto"/>
          <w:szCs w:val="20"/>
        </w:rPr>
        <w:t xml:space="preserve">non-periodic audits or reviews of an </w:t>
      </w:r>
      <w:r w:rsidRPr="008A6D8E">
        <w:rPr>
          <w:rFonts w:cstheme="minorHAnsi"/>
          <w:color w:val="auto"/>
          <w:szCs w:val="20"/>
        </w:rPr>
        <w:t>MIS form part of the assessment of bus incident investigations. DoT will not further consider options for auditing or reviewing an M</w:t>
      </w:r>
      <w:r w:rsidR="00232EDF">
        <w:rPr>
          <w:rFonts w:cstheme="minorHAnsi"/>
          <w:color w:val="auto"/>
          <w:szCs w:val="20"/>
        </w:rPr>
        <w:t>I</w:t>
      </w:r>
      <w:r w:rsidRPr="008A6D8E">
        <w:rPr>
          <w:rFonts w:cstheme="minorHAnsi"/>
          <w:color w:val="auto"/>
          <w:szCs w:val="20"/>
        </w:rPr>
        <w:t>S in any other circumstances.</w:t>
      </w:r>
    </w:p>
    <w:p w14:paraId="75245BC5" w14:textId="150A9F16" w:rsidR="00727F4E" w:rsidRDefault="00727F4E" w:rsidP="00727F4E">
      <w:pPr>
        <w:pStyle w:val="Heading3"/>
      </w:pPr>
      <w:bookmarkStart w:id="491" w:name="_Toc32909816"/>
      <w:bookmarkStart w:id="492" w:name="_Ref43292666"/>
      <w:bookmarkStart w:id="493" w:name="_Toc45704359"/>
      <w:r>
        <w:t>Maximum number of passengers</w:t>
      </w:r>
      <w:bookmarkEnd w:id="491"/>
      <w:bookmarkEnd w:id="492"/>
      <w:bookmarkEnd w:id="493"/>
    </w:p>
    <w:p w14:paraId="2F92C2BE" w14:textId="77777777" w:rsidR="00E77805" w:rsidRDefault="00E77805" w:rsidP="00E77805">
      <w:r>
        <w:t>There may be occasions where safety related information informing bus drivers of bus operational requirements may be required to ensure the bus service is provided in a safe manner.</w:t>
      </w:r>
    </w:p>
    <w:p w14:paraId="7F96756A" w14:textId="6250FB65" w:rsidR="00727F4E" w:rsidRPr="001C2DC0" w:rsidRDefault="007C0A84" w:rsidP="0095677C">
      <w:pPr>
        <w:pStyle w:val="Heading5"/>
      </w:pPr>
      <w:r w:rsidRPr="001C2DC0">
        <w:t>Display of maximum carrying capacity</w:t>
      </w:r>
    </w:p>
    <w:p w14:paraId="19887054" w14:textId="3E75BAC1" w:rsidR="00131C2D" w:rsidRDefault="00E77805" w:rsidP="00E77805">
      <w:r w:rsidRPr="00C879A4">
        <w:t xml:space="preserve">DoT considers there is merit in assessing options to ensure that bus </w:t>
      </w:r>
      <w:r>
        <w:t>drivers</w:t>
      </w:r>
      <w:r w:rsidRPr="00C879A4">
        <w:t xml:space="preserve"> are aware o</w:t>
      </w:r>
      <w:r>
        <w:t>f</w:t>
      </w:r>
      <w:r w:rsidRPr="00C879A4">
        <w:t xml:space="preserve"> the maximum carrying capacity of the bus they are driving.</w:t>
      </w:r>
      <w:r w:rsidR="00131C2D">
        <w:t xml:space="preserve"> An option could be for bus drivers to be required to </w:t>
      </w:r>
      <w:r w:rsidR="00A05012">
        <w:t>have records of the ca</w:t>
      </w:r>
      <w:r w:rsidR="00131C2D">
        <w:t xml:space="preserve">rrying capacity of every bus </w:t>
      </w:r>
      <w:r w:rsidR="00A05012">
        <w:t>that they may be required to drive</w:t>
      </w:r>
      <w:r w:rsidR="00131C2D">
        <w:t>. However</w:t>
      </w:r>
      <w:r w:rsidR="008A41D7">
        <w:t>,</w:t>
      </w:r>
      <w:r w:rsidR="00131C2D">
        <w:t xml:space="preserve"> this option is impractical</w:t>
      </w:r>
      <w:r w:rsidR="005E0CB8">
        <w:t xml:space="preserve"> and unnecessary </w:t>
      </w:r>
      <w:r w:rsidR="00131C2D">
        <w:t>a</w:t>
      </w:r>
      <w:r w:rsidR="00E62EAC">
        <w:t xml:space="preserve">s bus drivers </w:t>
      </w:r>
      <w:r w:rsidR="00D17360">
        <w:t xml:space="preserve">can </w:t>
      </w:r>
      <w:r w:rsidR="00E62EAC">
        <w:t xml:space="preserve">drive </w:t>
      </w:r>
      <w:r w:rsidR="00D17360">
        <w:t>m</w:t>
      </w:r>
      <w:r w:rsidR="00E62EAC">
        <w:t xml:space="preserve">any </w:t>
      </w:r>
      <w:r w:rsidR="00D17360">
        <w:t xml:space="preserve">different types of buses </w:t>
      </w:r>
      <w:r w:rsidR="00A05012">
        <w:t>as part of their job</w:t>
      </w:r>
      <w:r w:rsidR="005E0CB8">
        <w:t xml:space="preserve"> and </w:t>
      </w:r>
      <w:r w:rsidR="00242FCE">
        <w:t xml:space="preserve">the safety benefits are only derived from knowing the </w:t>
      </w:r>
      <w:r w:rsidR="005E0CB8">
        <w:t>capacity of the bus</w:t>
      </w:r>
      <w:r w:rsidR="007C723F">
        <w:t xml:space="preserve"> that</w:t>
      </w:r>
      <w:r w:rsidR="005E0CB8">
        <w:t xml:space="preserve"> </w:t>
      </w:r>
      <w:r w:rsidR="007C723F">
        <w:t xml:space="preserve">the bus driver is </w:t>
      </w:r>
      <w:r w:rsidR="005E0CB8">
        <w:t xml:space="preserve">currently driving. </w:t>
      </w:r>
      <w:r w:rsidR="00D26A44">
        <w:t xml:space="preserve">Alternatively, bus operators could </w:t>
      </w:r>
      <w:r w:rsidR="0087724F">
        <w:t>have similar obligations to provide this information to bus drivers.</w:t>
      </w:r>
    </w:p>
    <w:p w14:paraId="1C867012" w14:textId="30419910" w:rsidR="00483928" w:rsidRDefault="00E77805" w:rsidP="00E77805">
      <w:r>
        <w:t xml:space="preserve">As bus drivers may drive different buses on each shift and each bus may be built differently, </w:t>
      </w:r>
      <w:r w:rsidR="00BD2B8B">
        <w:t xml:space="preserve">another option </w:t>
      </w:r>
      <w:r w:rsidR="00D10F24">
        <w:t xml:space="preserve">is </w:t>
      </w:r>
      <w:r w:rsidRPr="00C879A4">
        <w:t xml:space="preserve">that notices on or in </w:t>
      </w:r>
      <w:r w:rsidR="00E93FD6">
        <w:t>each bus</w:t>
      </w:r>
      <w:r w:rsidR="00B056F7">
        <w:t xml:space="preserve"> are displayed</w:t>
      </w:r>
      <w:r w:rsidRPr="00C879A4">
        <w:t xml:space="preserve"> to</w:t>
      </w:r>
      <w:r>
        <w:t xml:space="preserve"> clearly show the maximum carrying capacity</w:t>
      </w:r>
      <w:r w:rsidR="00484668">
        <w:t xml:space="preserve"> of that bus</w:t>
      </w:r>
      <w:r w:rsidR="00D82183">
        <w:t xml:space="preserve">. This ensures </w:t>
      </w:r>
      <w:r>
        <w:t xml:space="preserve">drivers </w:t>
      </w:r>
      <w:r w:rsidR="00536918">
        <w:t>are</w:t>
      </w:r>
      <w:r w:rsidR="00BC5F12">
        <w:t xml:space="preserve"> aware of</w:t>
      </w:r>
      <w:r w:rsidR="009029F1">
        <w:t xml:space="preserve"> the</w:t>
      </w:r>
      <w:r>
        <w:t xml:space="preserve"> maximum carrying capacity</w:t>
      </w:r>
      <w:r w:rsidR="009029F1">
        <w:t xml:space="preserve"> </w:t>
      </w:r>
      <w:r w:rsidR="007F5A7B">
        <w:t>for</w:t>
      </w:r>
      <w:r w:rsidR="009029F1">
        <w:t xml:space="preserve"> the particular bus they are currently driving. </w:t>
      </w:r>
    </w:p>
    <w:p w14:paraId="5C62D234" w14:textId="0BE50130" w:rsidR="00E77805" w:rsidRDefault="00483928" w:rsidP="00E77805">
      <w:r>
        <w:t xml:space="preserve">Note that there </w:t>
      </w:r>
      <w:r w:rsidR="00FC7CFD">
        <w:t xml:space="preserve">is </w:t>
      </w:r>
      <w:r w:rsidR="00FC7CFD" w:rsidRPr="00642653">
        <w:t xml:space="preserve">currently </w:t>
      </w:r>
      <w:r w:rsidR="00D11887" w:rsidRPr="00642653">
        <w:t xml:space="preserve">no </w:t>
      </w:r>
      <w:r w:rsidR="00F5392D" w:rsidRPr="00642653">
        <w:t xml:space="preserve">separate offence for </w:t>
      </w:r>
      <w:r w:rsidR="00812EC2" w:rsidRPr="00642653">
        <w:t xml:space="preserve">drivers to let </w:t>
      </w:r>
      <w:r w:rsidR="00F5392D" w:rsidRPr="00642653">
        <w:t>more passengers on their bus than the maximum carrying capacity</w:t>
      </w:r>
      <w:r w:rsidR="008D7A83" w:rsidRPr="00642653">
        <w:t xml:space="preserve"> of the bus. </w:t>
      </w:r>
      <w:r w:rsidR="00B242F9" w:rsidRPr="00642653">
        <w:t xml:space="preserve">Breaches relating to maximum carrying capacity would involve the driver </w:t>
      </w:r>
      <w:r w:rsidR="009F75AC" w:rsidRPr="00642653">
        <w:t xml:space="preserve">breaching their own duties to take reasonable care </w:t>
      </w:r>
      <w:r w:rsidR="00B242F9" w:rsidRPr="00642653">
        <w:t xml:space="preserve">under the </w:t>
      </w:r>
      <w:r w:rsidR="003A2F6F">
        <w:t>Bus Safety Act</w:t>
      </w:r>
      <w:r w:rsidR="00B242F9" w:rsidRPr="00642653">
        <w:t xml:space="preserve"> </w:t>
      </w:r>
      <w:r w:rsidR="009F75AC" w:rsidRPr="00642653">
        <w:t>if they allow more passengers on the bus than the maximum carrying capacity.</w:t>
      </w:r>
      <w:r w:rsidR="00FC7CFD" w:rsidRPr="00642653">
        <w:t xml:space="preserve"> </w:t>
      </w:r>
      <w:r w:rsidR="00B242F9" w:rsidRPr="00642653">
        <w:t>Operators may also be in breac</w:t>
      </w:r>
      <w:r w:rsidR="00440B26" w:rsidRPr="00642653">
        <w:t xml:space="preserve">h of their safety duties under the </w:t>
      </w:r>
      <w:r w:rsidR="003A2F6F">
        <w:t>Bus Safety Act</w:t>
      </w:r>
      <w:r w:rsidR="00440B26" w:rsidRPr="00642653">
        <w:t xml:space="preserve"> if there are inadequate</w:t>
      </w:r>
      <w:r w:rsidR="00164B79" w:rsidRPr="00642653">
        <w:t xml:space="preserve"> procedures</w:t>
      </w:r>
      <w:r w:rsidR="00440B26" w:rsidRPr="00642653">
        <w:t xml:space="preserve"> or </w:t>
      </w:r>
      <w:r w:rsidR="00164B79" w:rsidRPr="00642653">
        <w:t>systems in place to ensure drivers are not overloading buses</w:t>
      </w:r>
      <w:r w:rsidR="002777F7" w:rsidRPr="00642653">
        <w:t>. Such systems may include ens</w:t>
      </w:r>
      <w:r w:rsidR="00440B26" w:rsidRPr="00642653">
        <w:t>uring there are enough buses in the fleet to meet passenger demand</w:t>
      </w:r>
      <w:r w:rsidR="002777F7" w:rsidRPr="00642653">
        <w:t xml:space="preserve"> or ensuring that bus scheduling </w:t>
      </w:r>
      <w:r w:rsidR="00667347" w:rsidRPr="00642653">
        <w:t>do not put pressure on driver</w:t>
      </w:r>
      <w:r w:rsidR="00686A98">
        <w:t>s</w:t>
      </w:r>
      <w:r w:rsidR="00667347" w:rsidRPr="00642653">
        <w:t xml:space="preserve"> to overload the bus to meet targets. </w:t>
      </w:r>
      <w:r w:rsidR="00164B79" w:rsidRPr="00642653">
        <w:t>Breaches</w:t>
      </w:r>
      <w:r w:rsidR="00667347" w:rsidRPr="00642653">
        <w:t xml:space="preserve"> under the </w:t>
      </w:r>
      <w:r w:rsidR="003A2F6F">
        <w:t>Bus Safety Act</w:t>
      </w:r>
      <w:r w:rsidR="00667347" w:rsidRPr="00642653">
        <w:t xml:space="preserve"> are</w:t>
      </w:r>
      <w:r w:rsidR="00164B79" w:rsidRPr="00642653">
        <w:t xml:space="preserve"> generally observed via audit of </w:t>
      </w:r>
      <w:r w:rsidR="00667347" w:rsidRPr="00642653">
        <w:t>compliance</w:t>
      </w:r>
      <w:r w:rsidR="00164B79" w:rsidRPr="00642653">
        <w:t xml:space="preserve"> with </w:t>
      </w:r>
      <w:r w:rsidR="00667347" w:rsidRPr="00642653">
        <w:t>general safety duties</w:t>
      </w:r>
      <w:r w:rsidR="00EB1FF7" w:rsidRPr="00642653">
        <w:t>.</w:t>
      </w:r>
    </w:p>
    <w:p w14:paraId="1D1C272B" w14:textId="10CAB4B1" w:rsidR="002A1E25" w:rsidRPr="001C2DC0" w:rsidRDefault="00727F4E" w:rsidP="0095677C">
      <w:pPr>
        <w:pStyle w:val="Heading5"/>
      </w:pPr>
      <w:r w:rsidRPr="001C2DC0">
        <w:t xml:space="preserve">Who determines maximum carrying </w:t>
      </w:r>
      <w:r w:rsidR="007C0A84" w:rsidRPr="001C2DC0">
        <w:t>capacity?</w:t>
      </w:r>
      <w:r w:rsidRPr="001C2DC0">
        <w:t xml:space="preserve"> </w:t>
      </w:r>
    </w:p>
    <w:p w14:paraId="1A916FDF" w14:textId="5F99D925" w:rsidR="0084289D" w:rsidRDefault="002A1E25" w:rsidP="00044E1A">
      <w:r>
        <w:t>Options in relation to maximum carrying capacity relate to parties responsible for determining the maximum carrying capacity. There are several parties that may be in a position to determine the safe maximum carrying capacity of a bus</w:t>
      </w:r>
      <w:r w:rsidR="0084289D">
        <w:t>:</w:t>
      </w:r>
    </w:p>
    <w:p w14:paraId="7B2FC5AB" w14:textId="7EBFAE5F" w:rsidR="00F86296" w:rsidRPr="0084289D" w:rsidRDefault="002A1E25" w:rsidP="00691907">
      <w:pPr>
        <w:pStyle w:val="ListParagraph"/>
        <w:numPr>
          <w:ilvl w:val="0"/>
          <w:numId w:val="12"/>
        </w:numPr>
        <w:rPr>
          <w:rFonts w:asciiTheme="minorHAnsi" w:hAnsiTheme="minorHAnsi" w:cstheme="minorHAnsi"/>
          <w:color w:val="auto"/>
          <w:sz w:val="20"/>
          <w:szCs w:val="20"/>
        </w:rPr>
      </w:pPr>
      <w:r w:rsidRPr="0084289D">
        <w:rPr>
          <w:rFonts w:asciiTheme="minorHAnsi" w:hAnsiTheme="minorHAnsi" w:cstheme="minorHAnsi"/>
          <w:color w:val="auto"/>
          <w:sz w:val="20"/>
          <w:szCs w:val="20"/>
        </w:rPr>
        <w:t>manufacturers</w:t>
      </w:r>
    </w:p>
    <w:p w14:paraId="01C4BB63" w14:textId="77777777" w:rsidR="001844FD" w:rsidRPr="0084289D" w:rsidRDefault="002A1E25" w:rsidP="00691907">
      <w:pPr>
        <w:pStyle w:val="ListParagraph"/>
        <w:numPr>
          <w:ilvl w:val="0"/>
          <w:numId w:val="12"/>
        </w:numPr>
        <w:rPr>
          <w:rFonts w:asciiTheme="minorHAnsi" w:hAnsiTheme="minorHAnsi" w:cstheme="minorHAnsi"/>
          <w:color w:val="auto"/>
          <w:sz w:val="20"/>
          <w:szCs w:val="20"/>
        </w:rPr>
      </w:pPr>
      <w:r w:rsidRPr="0084289D">
        <w:rPr>
          <w:rFonts w:asciiTheme="minorHAnsi" w:hAnsiTheme="minorHAnsi" w:cstheme="minorHAnsi"/>
          <w:color w:val="auto"/>
          <w:sz w:val="20"/>
          <w:szCs w:val="20"/>
        </w:rPr>
        <w:t>licensed bus testers</w:t>
      </w:r>
    </w:p>
    <w:p w14:paraId="5C176693" w14:textId="7368A210" w:rsidR="002A1E25" w:rsidRPr="0084289D" w:rsidRDefault="002A1E25" w:rsidP="00691907">
      <w:pPr>
        <w:pStyle w:val="ListParagraph"/>
        <w:numPr>
          <w:ilvl w:val="0"/>
          <w:numId w:val="12"/>
        </w:numPr>
        <w:rPr>
          <w:rFonts w:asciiTheme="minorHAnsi" w:hAnsiTheme="minorHAnsi" w:cstheme="minorHAnsi"/>
          <w:color w:val="auto"/>
          <w:sz w:val="20"/>
          <w:szCs w:val="20"/>
        </w:rPr>
      </w:pPr>
      <w:r w:rsidRPr="0084289D">
        <w:rPr>
          <w:rFonts w:asciiTheme="minorHAnsi" w:hAnsiTheme="minorHAnsi" w:cstheme="minorHAnsi"/>
          <w:color w:val="auto"/>
          <w:sz w:val="20"/>
          <w:szCs w:val="20"/>
        </w:rPr>
        <w:t>signator</w:t>
      </w:r>
      <w:r w:rsidR="001844FD" w:rsidRPr="0084289D">
        <w:rPr>
          <w:rFonts w:asciiTheme="minorHAnsi" w:hAnsiTheme="minorHAnsi" w:cstheme="minorHAnsi"/>
          <w:color w:val="auto"/>
          <w:sz w:val="20"/>
          <w:szCs w:val="20"/>
        </w:rPr>
        <w:t>ies</w:t>
      </w:r>
      <w:r w:rsidRPr="0084289D">
        <w:rPr>
          <w:rFonts w:asciiTheme="minorHAnsi" w:hAnsiTheme="minorHAnsi" w:cstheme="minorHAnsi"/>
          <w:color w:val="auto"/>
          <w:sz w:val="20"/>
          <w:szCs w:val="20"/>
        </w:rPr>
        <w:t xml:space="preserve"> of the Vehicle Assessment Signatory Scheme (VASS) </w:t>
      </w:r>
      <w:r w:rsidR="00F72F2A" w:rsidRPr="0084289D">
        <w:rPr>
          <w:rFonts w:asciiTheme="minorHAnsi" w:hAnsiTheme="minorHAnsi" w:cstheme="minorHAnsi"/>
          <w:color w:val="auto"/>
          <w:sz w:val="20"/>
          <w:szCs w:val="20"/>
        </w:rPr>
        <w:t xml:space="preserve">– </w:t>
      </w:r>
      <w:r w:rsidRPr="0084289D">
        <w:rPr>
          <w:rFonts w:asciiTheme="minorHAnsi" w:hAnsiTheme="minorHAnsi" w:cstheme="minorHAnsi"/>
          <w:color w:val="auto"/>
          <w:sz w:val="20"/>
          <w:szCs w:val="20"/>
        </w:rPr>
        <w:t xml:space="preserve">a VASS Certificate is required from a VASS Signatory if any works or modifications have been done on a vehicle to certify that the vehicle complies with standards for registration. </w:t>
      </w:r>
    </w:p>
    <w:p w14:paraId="101E250B" w14:textId="66AC85E4" w:rsidR="003A7760" w:rsidRPr="0084289D" w:rsidRDefault="003654CA" w:rsidP="00691907">
      <w:pPr>
        <w:pStyle w:val="ListParagraph"/>
        <w:numPr>
          <w:ilvl w:val="0"/>
          <w:numId w:val="12"/>
        </w:numPr>
        <w:rPr>
          <w:rFonts w:asciiTheme="minorHAnsi" w:hAnsiTheme="minorHAnsi" w:cstheme="minorHAnsi"/>
          <w:color w:val="auto"/>
          <w:sz w:val="20"/>
          <w:szCs w:val="20"/>
        </w:rPr>
      </w:pPr>
      <w:r w:rsidRPr="0084289D">
        <w:rPr>
          <w:rFonts w:asciiTheme="minorHAnsi" w:hAnsiTheme="minorHAnsi" w:cstheme="minorHAnsi"/>
          <w:color w:val="auto"/>
          <w:sz w:val="20"/>
          <w:szCs w:val="20"/>
        </w:rPr>
        <w:t>O</w:t>
      </w:r>
      <w:r w:rsidR="00D2410B" w:rsidRPr="0084289D">
        <w:rPr>
          <w:rFonts w:asciiTheme="minorHAnsi" w:hAnsiTheme="minorHAnsi" w:cstheme="minorHAnsi"/>
          <w:color w:val="auto"/>
          <w:sz w:val="20"/>
          <w:szCs w:val="20"/>
        </w:rPr>
        <w:t>perators</w:t>
      </w:r>
      <w:r>
        <w:rPr>
          <w:rFonts w:asciiTheme="minorHAnsi" w:hAnsiTheme="minorHAnsi" w:cstheme="minorHAnsi"/>
          <w:color w:val="auto"/>
          <w:sz w:val="20"/>
          <w:szCs w:val="20"/>
        </w:rPr>
        <w:t xml:space="preserve"> </w:t>
      </w:r>
      <w:r w:rsidR="006A0A7A">
        <w:rPr>
          <w:rFonts w:asciiTheme="minorHAnsi" w:hAnsiTheme="minorHAnsi" w:cstheme="minorHAnsi"/>
          <w:color w:val="auto"/>
          <w:sz w:val="20"/>
          <w:szCs w:val="20"/>
        </w:rPr>
        <w:t xml:space="preserve">with the assistance of </w:t>
      </w:r>
      <w:r>
        <w:rPr>
          <w:rFonts w:asciiTheme="minorHAnsi" w:hAnsiTheme="minorHAnsi" w:cstheme="minorHAnsi"/>
          <w:color w:val="auto"/>
          <w:sz w:val="20"/>
          <w:szCs w:val="20"/>
        </w:rPr>
        <w:t>guidelines or standards</w:t>
      </w:r>
      <w:r w:rsidR="004A3514" w:rsidRPr="0084289D">
        <w:rPr>
          <w:rFonts w:asciiTheme="minorHAnsi" w:hAnsiTheme="minorHAnsi" w:cstheme="minorHAnsi"/>
          <w:color w:val="auto"/>
          <w:sz w:val="20"/>
          <w:szCs w:val="20"/>
        </w:rPr>
        <w:t>.</w:t>
      </w:r>
    </w:p>
    <w:p w14:paraId="528B56D7" w14:textId="225D2122" w:rsidR="007A3D46" w:rsidRDefault="00ED7886" w:rsidP="00E32381">
      <w:r>
        <w:t>Parties that can determine the</w:t>
      </w:r>
      <w:r w:rsidR="008A11B5">
        <w:t xml:space="preserve"> maximum carrying capacity of a bus should </w:t>
      </w:r>
      <w:r w:rsidR="0084289D">
        <w:t xml:space="preserve">have a technical knowledge </w:t>
      </w:r>
      <w:r w:rsidR="008A11B5">
        <w:t>or engineering</w:t>
      </w:r>
      <w:r w:rsidR="0084289D">
        <w:t xml:space="preserve"> expertise related to the design of the bus</w:t>
      </w:r>
      <w:r w:rsidR="008A11B5">
        <w:t>. This is because d</w:t>
      </w:r>
      <w:r w:rsidR="007B651C">
        <w:t xml:space="preserve">etermining the maximum carrying capacity of a bus </w:t>
      </w:r>
      <w:r w:rsidR="002C1052">
        <w:t xml:space="preserve">is dependent on a range of complex </w:t>
      </w:r>
      <w:r w:rsidR="009A6A49">
        <w:t>factors</w:t>
      </w:r>
      <w:r w:rsidR="002C1052">
        <w:t>. This may include factors such as the</w:t>
      </w:r>
      <w:r w:rsidR="008B6BB9">
        <w:t xml:space="preserve"> number of seat</w:t>
      </w:r>
      <w:r w:rsidR="00B47F67">
        <w:t>s</w:t>
      </w:r>
      <w:r w:rsidR="008B6BB9">
        <w:t xml:space="preserve"> on the bus, standing space, size of the bus, </w:t>
      </w:r>
      <w:r w:rsidR="00EA3824">
        <w:t xml:space="preserve">and </w:t>
      </w:r>
      <w:r w:rsidR="008B6BB9">
        <w:t>distribution of people</w:t>
      </w:r>
      <w:r w:rsidR="007B651C">
        <w:t xml:space="preserve"> on the bus. </w:t>
      </w:r>
      <w:r w:rsidR="002A1E25">
        <w:t xml:space="preserve">DoT proposes that </w:t>
      </w:r>
      <w:r w:rsidR="002C1052">
        <w:t xml:space="preserve">manufacturers </w:t>
      </w:r>
      <w:r w:rsidR="009A3DD1">
        <w:t xml:space="preserve">are best placed to determine the maximum carrying capacity as </w:t>
      </w:r>
      <w:r w:rsidR="006B5017">
        <w:t>the design of all vehicles used in Victoria must a</w:t>
      </w:r>
      <w:r w:rsidR="009A3DD1">
        <w:t>dhere to</w:t>
      </w:r>
      <w:r w:rsidR="00474737">
        <w:t xml:space="preserve"> the safety standards set out in the</w:t>
      </w:r>
      <w:r w:rsidR="009A3DD1">
        <w:t xml:space="preserve"> ADRs.</w:t>
      </w:r>
      <w:r w:rsidR="006C1F4F">
        <w:t xml:space="preserve"> </w:t>
      </w:r>
      <w:r w:rsidR="00370B39">
        <w:t xml:space="preserve">In cases where a vehicle is modified affecting the buses maximum carrying capacity, </w:t>
      </w:r>
      <w:r w:rsidR="00370B39" w:rsidRPr="003972BF">
        <w:t>l</w:t>
      </w:r>
      <w:r w:rsidR="002C1052" w:rsidRPr="003972BF">
        <w:t>icensed bus tester</w:t>
      </w:r>
      <w:r w:rsidR="00370B39" w:rsidRPr="003972BF">
        <w:t>s o</w:t>
      </w:r>
      <w:r w:rsidR="00460362" w:rsidRPr="003972BF">
        <w:t>r</w:t>
      </w:r>
      <w:r w:rsidR="00370B39" w:rsidRPr="003972BF">
        <w:t xml:space="preserve"> VASS engineers may be appropriately qualified </w:t>
      </w:r>
      <w:r w:rsidR="002A1E25" w:rsidRPr="003972BF">
        <w:t>to determine the maximum carrying capacity of a bus</w:t>
      </w:r>
      <w:r w:rsidR="00370B39" w:rsidRPr="003972BF">
        <w:t>.</w:t>
      </w:r>
      <w:r w:rsidR="000C0445" w:rsidRPr="003972BF">
        <w:t xml:space="preserve"> Since the current regulations </w:t>
      </w:r>
      <w:r w:rsidR="00D03680" w:rsidRPr="003972BF">
        <w:t>only permit</w:t>
      </w:r>
      <w:r w:rsidR="00DA777C" w:rsidRPr="003972BF">
        <w:t xml:space="preserve"> licensed bus testers to make this assessment, DoT seeks the industry’s views </w:t>
      </w:r>
      <w:r w:rsidR="00F220F9">
        <w:t xml:space="preserve">as to </w:t>
      </w:r>
      <w:r w:rsidR="00DA777C" w:rsidRPr="003972BF">
        <w:t>whether there are alternative arrangements</w:t>
      </w:r>
      <w:r w:rsidR="00B675BC" w:rsidRPr="003972BF">
        <w:t xml:space="preserve"> that would assist bus operators in </w:t>
      </w:r>
      <w:r w:rsidR="006A0A7A" w:rsidRPr="003972BF">
        <w:t>complying with</w:t>
      </w:r>
      <w:r w:rsidR="00B675BC" w:rsidRPr="003972BF">
        <w:t xml:space="preserve"> this </w:t>
      </w:r>
      <w:r w:rsidR="006A0A7A" w:rsidRPr="003972BF">
        <w:t>requirement</w:t>
      </w:r>
      <w:r w:rsidR="002A1E25" w:rsidRPr="003972BF">
        <w:t>.</w:t>
      </w:r>
    </w:p>
    <w:p w14:paraId="3B5A953D" w14:textId="5F3D4219" w:rsidR="002A1E25" w:rsidRDefault="003F22F5" w:rsidP="002A1E25">
      <w:r>
        <w:t xml:space="preserve">It is not proposed that bus operators </w:t>
      </w:r>
      <w:r w:rsidR="002A1E25">
        <w:t>determine the maximum carrying capacity as there</w:t>
      </w:r>
      <w:r w:rsidR="00B771FD">
        <w:t xml:space="preserve"> may be a </w:t>
      </w:r>
      <w:r w:rsidR="002A1E25">
        <w:t>conflict of interest between their opera</w:t>
      </w:r>
      <w:r w:rsidR="00AD2FC7">
        <w:t xml:space="preserve">tions and determining the </w:t>
      </w:r>
      <w:r w:rsidR="002A1E25">
        <w:t xml:space="preserve">safe capacity of a bus. </w:t>
      </w:r>
      <w:r w:rsidR="00884323">
        <w:t xml:space="preserve">While there </w:t>
      </w:r>
      <w:r w:rsidR="00884323">
        <w:lastRenderedPageBreak/>
        <w:t xml:space="preserve">may be similar conflict of interests with other parties (for example, manufacturers </w:t>
      </w:r>
      <w:r w:rsidR="005D07E5">
        <w:t>may overstate the maximum carrying capacity of buses to</w:t>
      </w:r>
      <w:r w:rsidR="00B13334">
        <w:t xml:space="preserve"> maximise sales of buses), DoT</w:t>
      </w:r>
      <w:r w:rsidR="00AE2347">
        <w:t xml:space="preserve"> </w:t>
      </w:r>
      <w:r w:rsidR="001B5E5B">
        <w:t>consider</w:t>
      </w:r>
      <w:r w:rsidR="00AE2347">
        <w:t xml:space="preserve">s </w:t>
      </w:r>
      <w:r w:rsidR="00224628">
        <w:t xml:space="preserve">this risk to be minimal as bus manufacturers </w:t>
      </w:r>
      <w:r w:rsidR="00782B5F">
        <w:t>are</w:t>
      </w:r>
      <w:r w:rsidR="00E2765D">
        <w:t xml:space="preserve"> responsible for adherence to the </w:t>
      </w:r>
      <w:r w:rsidR="00224628">
        <w:t xml:space="preserve">ADRs </w:t>
      </w:r>
      <w:r w:rsidR="00AE2347">
        <w:t>in</w:t>
      </w:r>
      <w:r w:rsidR="00224628">
        <w:t xml:space="preserve"> determining maximum </w:t>
      </w:r>
      <w:r w:rsidR="00AE2347">
        <w:t xml:space="preserve">carrying </w:t>
      </w:r>
      <w:r w:rsidR="00224628">
        <w:t>capacity</w:t>
      </w:r>
      <w:r w:rsidR="001966DE">
        <w:t xml:space="preserve"> or face breaches under the </w:t>
      </w:r>
      <w:r w:rsidR="001966DE" w:rsidRPr="00DB0B2F">
        <w:rPr>
          <w:i/>
          <w:iCs/>
        </w:rPr>
        <w:t xml:space="preserve">Motor Vehicle </w:t>
      </w:r>
      <w:r w:rsidR="002C5885" w:rsidRPr="00DB0B2F">
        <w:rPr>
          <w:i/>
          <w:iCs/>
        </w:rPr>
        <w:t>Standards</w:t>
      </w:r>
      <w:r w:rsidR="001966DE" w:rsidRPr="00DB0B2F">
        <w:rPr>
          <w:i/>
          <w:iCs/>
        </w:rPr>
        <w:t xml:space="preserve"> Act</w:t>
      </w:r>
      <w:r w:rsidR="003E6E85" w:rsidRPr="00DB0B2F">
        <w:rPr>
          <w:i/>
          <w:iCs/>
        </w:rPr>
        <w:t xml:space="preserve"> 1989</w:t>
      </w:r>
      <w:r w:rsidR="003E6E85">
        <w:t xml:space="preserve"> </w:t>
      </w:r>
      <w:r w:rsidR="00703862">
        <w:t xml:space="preserve">or </w:t>
      </w:r>
      <w:r w:rsidR="00E87F8D">
        <w:t xml:space="preserve">the </w:t>
      </w:r>
      <w:r w:rsidR="00E87F8D" w:rsidRPr="00DB0B2F">
        <w:rPr>
          <w:i/>
          <w:iCs/>
        </w:rPr>
        <w:t>Heavy Vehicle National Law</w:t>
      </w:r>
      <w:r w:rsidR="003E6E85">
        <w:t xml:space="preserve">. </w:t>
      </w:r>
    </w:p>
    <w:p w14:paraId="498B636D" w14:textId="336626E9" w:rsidR="00E27754" w:rsidRPr="001C2DC0" w:rsidRDefault="00E27754" w:rsidP="0095677C">
      <w:pPr>
        <w:pStyle w:val="Heading5"/>
      </w:pPr>
      <w:r w:rsidRPr="001C2DC0">
        <w:t xml:space="preserve">Which buses </w:t>
      </w:r>
      <w:r w:rsidR="00045CA2">
        <w:t xml:space="preserve">should </w:t>
      </w:r>
      <w:r w:rsidRPr="001C2DC0">
        <w:t>display maximum carrying capacity</w:t>
      </w:r>
      <w:r w:rsidR="00E00E73" w:rsidRPr="001C2DC0">
        <w:t>?</w:t>
      </w:r>
    </w:p>
    <w:p w14:paraId="203D89FF" w14:textId="4AC88F96" w:rsidR="007101BC" w:rsidRDefault="0039718E" w:rsidP="0039718E">
      <w:r>
        <w:t>Consideration is given to whether all buses or a subset of buses should be required to display a sign advising the driver of the maximum carrying capacity.</w:t>
      </w:r>
      <w:r w:rsidR="001E140A">
        <w:t xml:space="preserve"> Given the rationale for any such sign is to ensure that bus</w:t>
      </w:r>
      <w:r w:rsidR="0013380B">
        <w:t xml:space="preserve"> drivers are aware of the maximum carrying capacity, it follows that this requirement </w:t>
      </w:r>
      <w:r w:rsidR="007101BC">
        <w:t>will</w:t>
      </w:r>
      <w:r w:rsidR="0013380B">
        <w:t xml:space="preserve"> be most beneficial </w:t>
      </w:r>
      <w:r w:rsidR="00DA4BFA">
        <w:t>in situations where it is uncertain</w:t>
      </w:r>
      <w:r w:rsidR="002E7A2A">
        <w:t xml:space="preserve"> what the maximum carrying capacity of a bus is.</w:t>
      </w:r>
      <w:r w:rsidR="00861439">
        <w:t xml:space="preserve"> </w:t>
      </w:r>
    </w:p>
    <w:p w14:paraId="7D9BC3DD" w14:textId="53151C70" w:rsidR="007D22A4" w:rsidRDefault="00861439" w:rsidP="0039718E">
      <w:bookmarkStart w:id="494" w:name="_Hlk43977183"/>
      <w:r>
        <w:t>Given that most buses with a seating capacity of 10 to 12 seats do not have standing capacity,</w:t>
      </w:r>
      <w:r w:rsidR="008A4205">
        <w:t xml:space="preserve"> there is an obvious one-to-one relationship between </w:t>
      </w:r>
      <w:r w:rsidR="002D7767">
        <w:t xml:space="preserve">the </w:t>
      </w:r>
      <w:r w:rsidR="006F1905">
        <w:t>number</w:t>
      </w:r>
      <w:r w:rsidR="008A4205">
        <w:t xml:space="preserve"> of seats and </w:t>
      </w:r>
      <w:r w:rsidR="002D7767">
        <w:t xml:space="preserve">the </w:t>
      </w:r>
      <w:r w:rsidR="008A4205">
        <w:t xml:space="preserve">maximum number of </w:t>
      </w:r>
      <w:r w:rsidR="00247309">
        <w:t>passenger</w:t>
      </w:r>
      <w:r w:rsidR="00741DEF">
        <w:t>s</w:t>
      </w:r>
      <w:r w:rsidR="00247309">
        <w:t xml:space="preserve"> </w:t>
      </w:r>
      <w:r w:rsidR="00B77BD3">
        <w:t>that can be carried</w:t>
      </w:r>
      <w:r w:rsidR="008A4205">
        <w:t>.</w:t>
      </w:r>
      <w:r>
        <w:t xml:space="preserve"> DoT considers that these sized buses</w:t>
      </w:r>
      <w:r w:rsidR="004B6588">
        <w:t xml:space="preserve"> do not need to display a maximum carrying capacity sign</w:t>
      </w:r>
      <w:r w:rsidR="00895B45">
        <w:t xml:space="preserve"> as it</w:t>
      </w:r>
      <w:r w:rsidR="00980AA4">
        <w:t xml:space="preserve"> will be obvious to the </w:t>
      </w:r>
      <w:r w:rsidR="004B6588">
        <w:t xml:space="preserve">driver </w:t>
      </w:r>
      <w:r w:rsidR="009E5A1F">
        <w:t>the maximum number of</w:t>
      </w:r>
      <w:r w:rsidR="004B6588">
        <w:t xml:space="preserve"> passengers these buses can carry. </w:t>
      </w:r>
    </w:p>
    <w:p w14:paraId="0ACCE8AE" w14:textId="6BC50ADE" w:rsidR="00E27754" w:rsidRDefault="004B6588" w:rsidP="0039718E">
      <w:r>
        <w:t xml:space="preserve">Larger buses (seating capacity for 13 or more </w:t>
      </w:r>
      <w:r w:rsidR="00B77BD3">
        <w:t>adults</w:t>
      </w:r>
      <w:r w:rsidR="00D500EB">
        <w:rPr>
          <w:rStyle w:val="FootnoteReference"/>
        </w:rPr>
        <w:footnoteReference w:id="11"/>
      </w:r>
      <w:r>
        <w:t xml:space="preserve">), on the other hand, often have </w:t>
      </w:r>
      <w:r w:rsidR="00757954">
        <w:t>capacity for standing passengers</w:t>
      </w:r>
      <w:r>
        <w:t xml:space="preserve">. In these cases, it will not be obvious to drivers what the maximum carrying capacity of the bus is, given that </w:t>
      </w:r>
      <w:r w:rsidR="009452F0">
        <w:t xml:space="preserve">the carrying capacity </w:t>
      </w:r>
      <w:r w:rsidR="003D3D95">
        <w:t xml:space="preserve">may be </w:t>
      </w:r>
      <w:r w:rsidR="009452F0">
        <w:t xml:space="preserve">larger than the number of seats in the bus. </w:t>
      </w:r>
      <w:r w:rsidR="007D22A4">
        <w:t>Due to this uncertainty in the relationship between number of seats and maximum carrying capacity for these</w:t>
      </w:r>
      <w:r w:rsidR="00266AA1">
        <w:t xml:space="preserve"> buses</w:t>
      </w:r>
      <w:r w:rsidR="007D22A4">
        <w:t>,</w:t>
      </w:r>
      <w:r w:rsidR="00A746AC">
        <w:t xml:space="preserve"> it is warranted to consider</w:t>
      </w:r>
      <w:r w:rsidR="005C7691">
        <w:t xml:space="preserve"> the display of maximum carrying capacity signs on larger buses. </w:t>
      </w:r>
      <w:r w:rsidR="007D22A4">
        <w:t xml:space="preserve"> </w:t>
      </w:r>
    </w:p>
    <w:bookmarkEnd w:id="494"/>
    <w:p w14:paraId="19776D9B" w14:textId="2D254B77" w:rsidR="00BF255B" w:rsidRPr="001C2DC0" w:rsidRDefault="00BF255B" w:rsidP="0095677C">
      <w:pPr>
        <w:pStyle w:val="Heading5"/>
      </w:pPr>
      <w:r w:rsidRPr="001C2DC0">
        <w:t>Summary</w:t>
      </w:r>
    </w:p>
    <w:p w14:paraId="70A775E7" w14:textId="0BD5C5A0" w:rsidR="00250A3A" w:rsidRDefault="002C1886" w:rsidP="00BF255B">
      <w:r>
        <w:t xml:space="preserve">Based on the above considerations, </w:t>
      </w:r>
      <w:r w:rsidR="006C6F18">
        <w:t xml:space="preserve">Section </w:t>
      </w:r>
      <w:r w:rsidR="006C6F18">
        <w:fldChar w:fldCharType="begin"/>
      </w:r>
      <w:r w:rsidR="006C6F18">
        <w:instrText xml:space="preserve"> REF _Ref41819548 \r \h </w:instrText>
      </w:r>
      <w:r w:rsidR="006C6F18">
        <w:fldChar w:fldCharType="separate"/>
      </w:r>
      <w:r w:rsidR="00277F6E">
        <w:t>7.2.2</w:t>
      </w:r>
      <w:r w:rsidR="006C6F18">
        <w:fldChar w:fldCharType="end"/>
      </w:r>
      <w:r w:rsidR="00493C18">
        <w:t xml:space="preserve"> </w:t>
      </w:r>
      <w:r w:rsidR="00A530CC">
        <w:t xml:space="preserve">further </w:t>
      </w:r>
      <w:r w:rsidR="00493C18">
        <w:t>assess</w:t>
      </w:r>
      <w:r w:rsidR="006C6F18">
        <w:t>es</w:t>
      </w:r>
      <w:r w:rsidR="00493C18">
        <w:t xml:space="preserve"> the </w:t>
      </w:r>
      <w:r w:rsidR="00A530CC">
        <w:t xml:space="preserve">costs and benefits </w:t>
      </w:r>
      <w:r w:rsidR="00493C18">
        <w:t xml:space="preserve">of regulations </w:t>
      </w:r>
      <w:r w:rsidR="00A530CC">
        <w:t>which require the bus operator to determine the maximum carrying capacity of the vehicle based</w:t>
      </w:r>
      <w:r w:rsidR="00460362">
        <w:t xml:space="preserve"> </w:t>
      </w:r>
      <w:r w:rsidR="006A0A7A">
        <w:t>on an assessment made by the manufacturer of the vehicle or a licensed bus tester.</w:t>
      </w:r>
      <w:r w:rsidR="00A530CC">
        <w:t xml:space="preserve"> </w:t>
      </w:r>
      <w:r w:rsidR="00400128">
        <w:t>This option involves the requirement for operators</w:t>
      </w:r>
      <w:r w:rsidR="00486470">
        <w:t xml:space="preserve"> of buses with 13 or more seats</w:t>
      </w:r>
      <w:r w:rsidR="00400128">
        <w:t xml:space="preserve"> </w:t>
      </w:r>
      <w:r w:rsidR="006A0A7A">
        <w:t>to display signs in the vehicle</w:t>
      </w:r>
      <w:r w:rsidR="00250A3A">
        <w:t xml:space="preserve"> advising this determination</w:t>
      </w:r>
      <w:r w:rsidR="00C6378E">
        <w:t xml:space="preserve"> (status quo)</w:t>
      </w:r>
      <w:r w:rsidR="00250A3A">
        <w:t>.</w:t>
      </w:r>
    </w:p>
    <w:p w14:paraId="521358DF" w14:textId="2552C306" w:rsidR="00BF255B" w:rsidRPr="00BF255B" w:rsidRDefault="00250A3A" w:rsidP="00BF255B">
      <w:r>
        <w:t xml:space="preserve">DoT also seeks the industry’s views on </w:t>
      </w:r>
      <w:r w:rsidR="00622828">
        <w:t xml:space="preserve">feasible </w:t>
      </w:r>
      <w:r>
        <w:t>alternative arra</w:t>
      </w:r>
      <w:r w:rsidR="00622828">
        <w:t xml:space="preserve">ngements </w:t>
      </w:r>
      <w:r w:rsidR="00FF560E">
        <w:t>to assist bus operators with complying with their obligations.</w:t>
      </w:r>
    </w:p>
    <w:p w14:paraId="71AD746B" w14:textId="5EC216D0" w:rsidR="00BB03F5" w:rsidRDefault="00BB03F5" w:rsidP="00BB03F5">
      <w:pPr>
        <w:pStyle w:val="Heading3"/>
      </w:pPr>
      <w:bookmarkStart w:id="495" w:name="_Toc32909817"/>
      <w:bookmarkStart w:id="496" w:name="_Ref41982465"/>
      <w:bookmarkStart w:id="497" w:name="_Toc45704360"/>
      <w:r>
        <w:t>Alcohol and other drugs</w:t>
      </w:r>
      <w:bookmarkEnd w:id="495"/>
      <w:bookmarkEnd w:id="496"/>
      <w:bookmarkEnd w:id="497"/>
    </w:p>
    <w:p w14:paraId="26580E0E" w14:textId="1C69ADCB" w:rsidR="00BB03F5" w:rsidRDefault="00156BE5" w:rsidP="00BB03F5">
      <w:r>
        <w:t xml:space="preserve">DoT considers there is merit </w:t>
      </w:r>
      <w:r w:rsidR="008E1070">
        <w:t xml:space="preserve">in considering </w:t>
      </w:r>
      <w:r>
        <w:t xml:space="preserve">options for </w:t>
      </w:r>
      <w:r w:rsidR="00BB03F5">
        <w:t xml:space="preserve">specific bus safety regulations to cover any gaps in other legislative or regulatory requirements </w:t>
      </w:r>
      <w:r w:rsidR="009D04C8">
        <w:t>relating to alcohol and other drugs</w:t>
      </w:r>
      <w:r w:rsidR="00BB03F5">
        <w:t xml:space="preserve">. </w:t>
      </w:r>
      <w:r w:rsidR="003A312A">
        <w:t>In addition, r</w:t>
      </w:r>
      <w:r w:rsidR="00BB03F5">
        <w:t xml:space="preserve">egulations will also allow the enforcement of the requirements </w:t>
      </w:r>
      <w:r w:rsidR="003A312A">
        <w:t>bus industry participants by</w:t>
      </w:r>
      <w:r w:rsidR="00BB03F5">
        <w:t xml:space="preserve"> transport safety officers.</w:t>
      </w:r>
    </w:p>
    <w:p w14:paraId="29B979D5" w14:textId="29AA7480" w:rsidR="00B04E95" w:rsidRDefault="003A312A" w:rsidP="00BB03F5">
      <w:r>
        <w:t>C</w:t>
      </w:r>
      <w:r w:rsidR="00E63723">
        <w:t>onsideration should be given to which parties should be required to have</w:t>
      </w:r>
      <w:r w:rsidR="00194651">
        <w:t xml:space="preserve"> a</w:t>
      </w:r>
      <w:r w:rsidR="00E63723">
        <w:t xml:space="preserve"> </w:t>
      </w:r>
      <w:r w:rsidR="00514080">
        <w:t xml:space="preserve">zero alcohol and drug requirement. </w:t>
      </w:r>
      <w:r w:rsidR="000029AA">
        <w:t xml:space="preserve">It is clear that </w:t>
      </w:r>
      <w:r>
        <w:t>driver impairment has an immediate and significant consequence o</w:t>
      </w:r>
      <w:r w:rsidR="00782B5F">
        <w:t>n</w:t>
      </w:r>
      <w:r>
        <w:t xml:space="preserve"> the safety of a bus service. </w:t>
      </w:r>
      <w:r w:rsidR="00E63723">
        <w:t xml:space="preserve">DoT considers </w:t>
      </w:r>
      <w:r w:rsidR="00472EF6">
        <w:t xml:space="preserve">there is merit in </w:t>
      </w:r>
      <w:r w:rsidR="00A83E55">
        <w:t xml:space="preserve">requiring </w:t>
      </w:r>
      <w:r w:rsidR="00CB5C92">
        <w:t xml:space="preserve">drivers </w:t>
      </w:r>
      <w:r w:rsidR="00A83E55">
        <w:t xml:space="preserve">to be subject to </w:t>
      </w:r>
      <w:r>
        <w:t xml:space="preserve">zero alcohol and </w:t>
      </w:r>
      <w:r w:rsidR="00D8359B">
        <w:t>drug requirement</w:t>
      </w:r>
      <w:r w:rsidR="006C17BD">
        <w:t>s</w:t>
      </w:r>
      <w:r w:rsidR="00D8359B">
        <w:t>. Allowing for this requirement to come into play</w:t>
      </w:r>
      <w:r w:rsidR="00F16A91">
        <w:t xml:space="preserve"> both immediately before and while driving a bus allows for </w:t>
      </w:r>
      <w:r w:rsidR="00755CD7">
        <w:t xml:space="preserve">the </w:t>
      </w:r>
      <w:r w:rsidR="007803E4">
        <w:t>implementation</w:t>
      </w:r>
      <w:r w:rsidR="00755CD7">
        <w:t xml:space="preserve"> of </w:t>
      </w:r>
      <w:r w:rsidR="00F16A91">
        <w:t>alcohol and drug testing by bus operators prior to a shift and during a shift</w:t>
      </w:r>
      <w:r w:rsidR="002B058D">
        <w:t>, as well as allowing enforcement of the requirement by transport safety officers</w:t>
      </w:r>
      <w:r w:rsidR="00F16A91">
        <w:t>.</w:t>
      </w:r>
    </w:p>
    <w:p w14:paraId="58C7FE49" w14:textId="7B035B0A" w:rsidR="00D33D65" w:rsidRDefault="00726BF0" w:rsidP="00D33D65">
      <w:r>
        <w:t xml:space="preserve">Further consideration </w:t>
      </w:r>
      <w:r w:rsidR="00834AF9">
        <w:t xml:space="preserve">should be </w:t>
      </w:r>
      <w:r>
        <w:t xml:space="preserve">given to whether other </w:t>
      </w:r>
      <w:r w:rsidR="00A655E6">
        <w:t xml:space="preserve">bus safety workers </w:t>
      </w:r>
      <w:r>
        <w:t xml:space="preserve">should be </w:t>
      </w:r>
      <w:r w:rsidR="000C3840">
        <w:t>subject</w:t>
      </w:r>
      <w:r>
        <w:t xml:space="preserve"> to zero alcohol and drug requirements.</w:t>
      </w:r>
      <w:r w:rsidR="00E43475">
        <w:t xml:space="preserve"> A similar scheme applies to rail safety workers under the </w:t>
      </w:r>
      <w:r w:rsidR="00D33D65" w:rsidRPr="00B977F2">
        <w:rPr>
          <w:i/>
          <w:iCs/>
        </w:rPr>
        <w:t xml:space="preserve">Rail Safety </w:t>
      </w:r>
      <w:r w:rsidR="00B40A1E" w:rsidRPr="00B977F2">
        <w:rPr>
          <w:i/>
          <w:iCs/>
        </w:rPr>
        <w:t>National Law</w:t>
      </w:r>
      <w:r w:rsidR="00E43475">
        <w:t>. R</w:t>
      </w:r>
      <w:r w:rsidR="00D33D65">
        <w:t>ail safety workers must not carry out or attempt to carry out rail safety work while there is alcohol or a prescribed drug present in their blood or breath.</w:t>
      </w:r>
    </w:p>
    <w:p w14:paraId="0BF65148" w14:textId="1DEBDC39" w:rsidR="007C6FC0" w:rsidRDefault="00A655E6" w:rsidP="00BB03F5">
      <w:r>
        <w:lastRenderedPageBreak/>
        <w:t>Bus safety workers</w:t>
      </w:r>
      <w:r w:rsidR="00C72E18">
        <w:t xml:space="preserve"> include, in addition to drivers, workers that are involved with</w:t>
      </w:r>
      <w:r w:rsidR="003A1E4B">
        <w:t xml:space="preserve"> activities including</w:t>
      </w:r>
      <w:r w:rsidR="00C72E18">
        <w:t xml:space="preserve"> </w:t>
      </w:r>
      <w:r w:rsidR="00C8005C">
        <w:t xml:space="preserve">bus and bus equipment design, repair, modification, </w:t>
      </w:r>
      <w:r w:rsidR="003A1E4B">
        <w:t>maintenance</w:t>
      </w:r>
      <w:r w:rsidR="00C8005C">
        <w:t xml:space="preserve"> and testing, as well as setting or </w:t>
      </w:r>
      <w:r w:rsidR="002B11F9">
        <w:t>altering</w:t>
      </w:r>
      <w:r w:rsidR="00C8005C">
        <w:t xml:space="preserve"> a </w:t>
      </w:r>
      <w:r w:rsidR="002B11F9">
        <w:t>schedule</w:t>
      </w:r>
      <w:r w:rsidR="00C8005C">
        <w:t xml:space="preserve"> or timetable for a bus service. </w:t>
      </w:r>
      <w:r w:rsidR="00A10378">
        <w:t xml:space="preserve">DoT does not consider that all bus safety workers should be subject to the zero alcohol and drug requirement as </w:t>
      </w:r>
      <w:r w:rsidR="0013377E">
        <w:t xml:space="preserve">some bus safety worker’s activities do not directly impact the safety of a bus service, particularly the safety </w:t>
      </w:r>
      <w:r w:rsidR="005A5070">
        <w:t>o</w:t>
      </w:r>
      <w:r w:rsidR="0013377E">
        <w:t xml:space="preserve">f a vehicle. </w:t>
      </w:r>
      <w:r w:rsidR="00505840">
        <w:t xml:space="preserve">DoT, however, does consider that </w:t>
      </w:r>
      <w:r w:rsidR="00F377F2">
        <w:t xml:space="preserve">impairment from alcohol and other drugs may directly impair a person’s ability to ensure </w:t>
      </w:r>
      <w:r w:rsidR="009B567E">
        <w:t xml:space="preserve">the condition of a vehicle is safe. This includes persons involved with </w:t>
      </w:r>
      <w:r w:rsidR="00505840">
        <w:t>vehicle maintenance</w:t>
      </w:r>
      <w:r w:rsidR="009B567E">
        <w:t>, repairers and testers.</w:t>
      </w:r>
      <w:r w:rsidR="00F377F2">
        <w:t xml:space="preserve"> </w:t>
      </w:r>
    </w:p>
    <w:p w14:paraId="08B29350" w14:textId="02DA7B32" w:rsidR="00D7596B" w:rsidRDefault="00D7596B" w:rsidP="00BB03F5">
      <w:r>
        <w:t xml:space="preserve">Section </w:t>
      </w:r>
      <w:r>
        <w:fldChar w:fldCharType="begin"/>
      </w:r>
      <w:r>
        <w:instrText xml:space="preserve"> REF _Ref41819584 \r \h </w:instrText>
      </w:r>
      <w:r>
        <w:fldChar w:fldCharType="separate"/>
      </w:r>
      <w:r w:rsidR="00277F6E">
        <w:t>7.2.3</w:t>
      </w:r>
      <w:r>
        <w:fldChar w:fldCharType="end"/>
      </w:r>
      <w:r>
        <w:t xml:space="preserve"> </w:t>
      </w:r>
      <w:r w:rsidR="009B5505">
        <w:t xml:space="preserve">further </w:t>
      </w:r>
      <w:r>
        <w:t>assesses the impacts of alcohol and other drug requirements under the proposed regulations, per the option discussed above (status quo).</w:t>
      </w:r>
    </w:p>
    <w:p w14:paraId="56081015" w14:textId="1522B2BD" w:rsidR="00507362" w:rsidRDefault="00507362" w:rsidP="00507362">
      <w:pPr>
        <w:pStyle w:val="Heading3"/>
      </w:pPr>
      <w:bookmarkStart w:id="498" w:name="_Toc32909818"/>
      <w:bookmarkStart w:id="499" w:name="_Ref41982526"/>
      <w:bookmarkStart w:id="500" w:name="_Ref42000936"/>
      <w:bookmarkStart w:id="501" w:name="_Toc45704361"/>
      <w:r>
        <w:t>School buses</w:t>
      </w:r>
      <w:bookmarkEnd w:id="498"/>
      <w:bookmarkEnd w:id="499"/>
      <w:bookmarkEnd w:id="500"/>
      <w:bookmarkEnd w:id="501"/>
    </w:p>
    <w:p w14:paraId="67FE1A39" w14:textId="4327A4D3" w:rsidR="00A26D75" w:rsidRDefault="00A26D75" w:rsidP="006039D9">
      <w:r>
        <w:t xml:space="preserve">DoT </w:t>
      </w:r>
      <w:r w:rsidR="00882DE3">
        <w:t>regards</w:t>
      </w:r>
      <w:r w:rsidR="00A62CFB">
        <w:t xml:space="preserve"> the importance of</w:t>
      </w:r>
      <w:r w:rsidR="00882DE3">
        <w:t xml:space="preserve"> </w:t>
      </w:r>
      <w:r w:rsidR="001B32F6">
        <w:t xml:space="preserve">reducing </w:t>
      </w:r>
      <w:r>
        <w:t>the</w:t>
      </w:r>
      <w:r w:rsidR="006F1CB2">
        <w:t xml:space="preserve"> safety</w:t>
      </w:r>
      <w:r>
        <w:t xml:space="preserve"> risks for children using school buses. Options should ensure that motorists are alert to the possibility of children in and around a bus when the bus is either picking up or setting down children. </w:t>
      </w:r>
      <w:r w:rsidR="00D21EC2">
        <w:t xml:space="preserve">This is due to the fact that children may not be </w:t>
      </w:r>
      <w:r w:rsidR="00874E4A">
        <w:t xml:space="preserve">as </w:t>
      </w:r>
      <w:r w:rsidR="00D21EC2">
        <w:t xml:space="preserve">aware of risks around the road </w:t>
      </w:r>
      <w:r w:rsidR="0099491B">
        <w:t xml:space="preserve">as adults </w:t>
      </w:r>
      <w:r w:rsidR="00D21EC2">
        <w:t>and may not take the same level of care around vehicles or the roa</w:t>
      </w:r>
      <w:r w:rsidR="0099491B">
        <w:t>d</w:t>
      </w:r>
      <w:r w:rsidR="00D21EC2">
        <w:t>. This may cause children to rush to catch a bus or children who are disembarking from a bus may</w:t>
      </w:r>
      <w:r w:rsidR="00D21EC2" w:rsidRPr="00FE44CE">
        <w:t xml:space="preserve"> not cross the road with care</w:t>
      </w:r>
      <w:r w:rsidR="00D21EC2">
        <w:t xml:space="preserve">. </w:t>
      </w:r>
      <w:r>
        <w:t xml:space="preserve">There are options </w:t>
      </w:r>
      <w:r w:rsidR="00CF26BB">
        <w:t xml:space="preserve">for school </w:t>
      </w:r>
      <w:r>
        <w:t xml:space="preserve">buses to be fitted with </w:t>
      </w:r>
      <w:r w:rsidR="007F6CB0">
        <w:t xml:space="preserve">special </w:t>
      </w:r>
      <w:r>
        <w:t>lights</w:t>
      </w:r>
      <w:r w:rsidR="001C64FE">
        <w:t xml:space="preserve">, </w:t>
      </w:r>
      <w:r w:rsidR="007F6CB0">
        <w:t>h</w:t>
      </w:r>
      <w:r>
        <w:t>azard warning devices</w:t>
      </w:r>
      <w:r w:rsidR="007F6CB0">
        <w:t xml:space="preserve">, </w:t>
      </w:r>
      <w:r w:rsidR="00EA070D">
        <w:t>“</w:t>
      </w:r>
      <w:r w:rsidR="007F6CB0">
        <w:t>school bus</w:t>
      </w:r>
      <w:r w:rsidR="00EA070D">
        <w:t>”</w:t>
      </w:r>
      <w:r w:rsidR="007F6CB0">
        <w:t xml:space="preserve"> signs or</w:t>
      </w:r>
      <w:r w:rsidR="00EA070D">
        <w:t xml:space="preserve"> </w:t>
      </w:r>
      <w:r w:rsidR="007F6CB0">
        <w:t>speed limit signs</w:t>
      </w:r>
      <w:r w:rsidR="00A9323C">
        <w:t>.</w:t>
      </w:r>
    </w:p>
    <w:p w14:paraId="6F35D1F4" w14:textId="7F35D99D" w:rsidR="00316891" w:rsidRDefault="003C09D7" w:rsidP="00B166E7">
      <w:r>
        <w:t>T</w:t>
      </w:r>
      <w:r w:rsidR="006039D9" w:rsidRPr="00183E31">
        <w:t xml:space="preserve">he </w:t>
      </w:r>
      <w:r w:rsidR="00A93C48">
        <w:t xml:space="preserve">Road Safety </w:t>
      </w:r>
      <w:r w:rsidR="00A33879">
        <w:t>(</w:t>
      </w:r>
      <w:r>
        <w:t>Vehicles</w:t>
      </w:r>
      <w:r w:rsidR="00A33879">
        <w:t>)</w:t>
      </w:r>
      <w:r>
        <w:t xml:space="preserve"> Regulations</w:t>
      </w:r>
      <w:r w:rsidR="00A93C48">
        <w:t xml:space="preserve"> 2009</w:t>
      </w:r>
      <w:r w:rsidR="00226EF2">
        <w:rPr>
          <w:rStyle w:val="FootnoteReference"/>
        </w:rPr>
        <w:footnoteReference w:id="12"/>
      </w:r>
      <w:r>
        <w:t xml:space="preserve"> </w:t>
      </w:r>
      <w:r w:rsidR="00A26D75">
        <w:t>already</w:t>
      </w:r>
      <w:r w:rsidR="006039D9" w:rsidRPr="00183E31">
        <w:t xml:space="preserve"> specify</w:t>
      </w:r>
      <w:r w:rsidR="006039D9">
        <w:t xml:space="preserve"> the fitting and operation of</w:t>
      </w:r>
      <w:r w:rsidR="006039D9" w:rsidRPr="00183E31">
        <w:t xml:space="preserve"> warning lights and signs for buses mainly used for carrying children if the bus is fitted with warning</w:t>
      </w:r>
      <w:r w:rsidR="00654010">
        <w:t xml:space="preserve"> lights</w:t>
      </w:r>
      <w:r w:rsidR="006039D9" w:rsidRPr="00183E31">
        <w:t xml:space="preserve"> after June 1999.</w:t>
      </w:r>
      <w:r w:rsidR="001E1AE5">
        <w:t xml:space="preserve"> </w:t>
      </w:r>
      <w:r w:rsidR="00DF4033">
        <w:t xml:space="preserve">As </w:t>
      </w:r>
      <w:r w:rsidR="007915C9">
        <w:t>compliance with school bus warning lights and signs</w:t>
      </w:r>
      <w:r w:rsidR="001F7276">
        <w:t xml:space="preserve"> </w:t>
      </w:r>
      <w:r w:rsidR="001909EB">
        <w:t>should cover all buses</w:t>
      </w:r>
      <w:r w:rsidR="001E1AE5">
        <w:t>,</w:t>
      </w:r>
      <w:r w:rsidR="009F3169">
        <w:t xml:space="preserve"> </w:t>
      </w:r>
      <w:r w:rsidR="00D8236D">
        <w:t xml:space="preserve">an option could be for </w:t>
      </w:r>
      <w:r w:rsidR="009F3169">
        <w:t xml:space="preserve">regulations </w:t>
      </w:r>
      <w:r w:rsidR="00D8236D">
        <w:t xml:space="preserve">to </w:t>
      </w:r>
      <w:r w:rsidR="007E543D">
        <w:t xml:space="preserve">cover </w:t>
      </w:r>
      <w:r w:rsidR="009F3169">
        <w:t xml:space="preserve">bus </w:t>
      </w:r>
      <w:r w:rsidR="007E543D">
        <w:t xml:space="preserve">fitted with warning lights before 1 July 1999, if they also have a hazard warning light and “school bus” sign. </w:t>
      </w:r>
    </w:p>
    <w:p w14:paraId="250AEDF1" w14:textId="2226DB50" w:rsidR="009E041C" w:rsidRDefault="006039D9" w:rsidP="009E041C">
      <w:r>
        <w:t xml:space="preserve">In addition, while there is a requirement for ensuring the fitting of warning lights and signs, the risks of collision with a child passenger will only be mitigated if there is a requirement for the ongoing operation of </w:t>
      </w:r>
      <w:r w:rsidR="009F5527">
        <w:t xml:space="preserve">warning </w:t>
      </w:r>
      <w:r>
        <w:t xml:space="preserve">lights </w:t>
      </w:r>
      <w:r w:rsidR="00224CB5">
        <w:t>and signs</w:t>
      </w:r>
      <w:r>
        <w:t>.</w:t>
      </w:r>
      <w:r w:rsidR="00432145">
        <w:t xml:space="preserve"> DoT considers regulations are needed to ensure that not only warning lights and signs are fitted to a school bus, but that they are operational</w:t>
      </w:r>
      <w:r w:rsidR="00FA7730">
        <w:t xml:space="preserve"> at all times, within reason. </w:t>
      </w:r>
      <w:r w:rsidR="009E041C">
        <w:t xml:space="preserve">Any </w:t>
      </w:r>
      <w:r w:rsidR="003D77ED">
        <w:t xml:space="preserve">warning </w:t>
      </w:r>
      <w:r w:rsidR="009E041C">
        <w:t>lights or</w:t>
      </w:r>
      <w:r w:rsidR="003D77ED">
        <w:t xml:space="preserve"> sign</w:t>
      </w:r>
      <w:r w:rsidR="00AA6F7B">
        <w:t>s</w:t>
      </w:r>
      <w:r w:rsidR="009E041C">
        <w:t xml:space="preserve"> only need to be operating when a bus is stationary</w:t>
      </w:r>
      <w:r w:rsidR="00D46471">
        <w:t>, where risk is highest</w:t>
      </w:r>
      <w:r w:rsidR="007E2B6F">
        <w:t xml:space="preserve">. A moving bus has lesser risk of children </w:t>
      </w:r>
      <w:r w:rsidR="00E87843">
        <w:t>pedestrians</w:t>
      </w:r>
      <w:r w:rsidR="007E2B6F">
        <w:t xml:space="preserve"> around the bus. </w:t>
      </w:r>
    </w:p>
    <w:p w14:paraId="403D7CA5" w14:textId="5A9D9DE6" w:rsidR="00507362" w:rsidRDefault="00CF06B7" w:rsidP="00507362">
      <w:r w:rsidRPr="00A101E0">
        <w:t>Another option</w:t>
      </w:r>
      <w:r w:rsidR="00AB2DB2">
        <w:t xml:space="preserve"> is to adopt </w:t>
      </w:r>
      <w:r w:rsidR="00816EF6">
        <w:t>standards required</w:t>
      </w:r>
      <w:r w:rsidR="00CB1475">
        <w:t xml:space="preserve"> in NSW.</w:t>
      </w:r>
      <w:r w:rsidRPr="00A101E0">
        <w:t xml:space="preserve"> </w:t>
      </w:r>
      <w:r w:rsidR="00982BF1">
        <w:t xml:space="preserve">These standards </w:t>
      </w:r>
      <w:r w:rsidR="008D7A28" w:rsidRPr="00A101E0">
        <w:t xml:space="preserve">include ensuring </w:t>
      </w:r>
      <w:r w:rsidR="00507362" w:rsidRPr="00A101E0">
        <w:t>motorists travel at a speed which gives them a reasonable chance to stop in time if a hazardous situation arises. For example, in addition to requirements relating to the display of a “school bus” sign and equipping and operating lights and hazard warning lights, NSW requires a sign indicating “40km/h” and “when lights flash”. In this case, the speed limit may be regarded as be an extension of the 40km/h speed limit zones around schools</w:t>
      </w:r>
      <w:r w:rsidR="005C48CA" w:rsidRPr="00A101E0">
        <w:t xml:space="preserve">. </w:t>
      </w:r>
    </w:p>
    <w:p w14:paraId="6BBF6F99" w14:textId="47B85E55" w:rsidR="00AA5533" w:rsidRDefault="00F319B5" w:rsidP="00507362">
      <w:r>
        <w:t>I</w:t>
      </w:r>
      <w:r w:rsidR="00AA5533">
        <w:t xml:space="preserve">n some jurisdictions </w:t>
      </w:r>
      <w:r>
        <w:t xml:space="preserve">overseas (for example, the </w:t>
      </w:r>
      <w:r w:rsidR="00AA5533">
        <w:t>United State</w:t>
      </w:r>
      <w:r>
        <w:t>s of America</w:t>
      </w:r>
      <w:r w:rsidR="00AA5533">
        <w:t xml:space="preserve"> and Canada</w:t>
      </w:r>
      <w:r>
        <w:t>)</w:t>
      </w:r>
      <w:r w:rsidR="00AA5533">
        <w:t>,</w:t>
      </w:r>
      <w:r w:rsidR="0061034A">
        <w:t xml:space="preserve"> laws </w:t>
      </w:r>
      <w:r w:rsidR="000C2BB7">
        <w:t>require</w:t>
      </w:r>
      <w:r w:rsidR="00AA5533">
        <w:t xml:space="preserve"> that drivers</w:t>
      </w:r>
      <w:r w:rsidR="0061034A">
        <w:t xml:space="preserve"> of motor vehicles</w:t>
      </w:r>
      <w:r w:rsidR="00F25DF3">
        <w:t xml:space="preserve"> in the vicinity of a </w:t>
      </w:r>
      <w:r w:rsidR="008D2B4D">
        <w:t>stopped school bus</w:t>
      </w:r>
      <w:r w:rsidR="00AA5533">
        <w:t xml:space="preserve"> stop </w:t>
      </w:r>
      <w:r w:rsidR="00543EF6">
        <w:t xml:space="preserve">must </w:t>
      </w:r>
      <w:r w:rsidR="00AA5533">
        <w:t xml:space="preserve">wait for </w:t>
      </w:r>
      <w:r w:rsidR="008D2B4D">
        <w:t>the</w:t>
      </w:r>
      <w:r w:rsidR="00AA5533">
        <w:t xml:space="preserve"> stopped school bus to load or unload its passengers</w:t>
      </w:r>
      <w:r w:rsidR="00D04B0D">
        <w:t>. Generally, if a school bus in these jurisdictions display flashing hazard lights, a driver of a vehicle meeting or overtaking the stopped school bus from either direct</w:t>
      </w:r>
      <w:r w:rsidR="00BE4A0F">
        <w:t xml:space="preserve">ion </w:t>
      </w:r>
      <w:r w:rsidR="00D04B0D">
        <w:t xml:space="preserve">must stop and wait until the school bus moves again or the hazard lights are off. </w:t>
      </w:r>
      <w:r w:rsidR="00BF5EFF">
        <w:t>I</w:t>
      </w:r>
      <w:r w:rsidR="001914F8">
        <w:t>n</w:t>
      </w:r>
      <w:r w:rsidR="00BF5EFF">
        <w:t xml:space="preserve"> some jurisdictions, vehicle</w:t>
      </w:r>
      <w:r w:rsidR="009A0155">
        <w:t>s</w:t>
      </w:r>
      <w:r w:rsidR="00BF5EFF">
        <w:t xml:space="preserve"> must also stop on divided highways.</w:t>
      </w:r>
    </w:p>
    <w:p w14:paraId="06AA0859" w14:textId="2C116BDA" w:rsidR="00E13B4C" w:rsidRPr="001C2DC0" w:rsidRDefault="00E13B4C" w:rsidP="0095677C">
      <w:pPr>
        <w:pStyle w:val="Heading5"/>
      </w:pPr>
      <w:r w:rsidRPr="001C2DC0">
        <w:t>Summary</w:t>
      </w:r>
    </w:p>
    <w:p w14:paraId="16EBA6D5" w14:textId="42178E5D" w:rsidR="00E13B4C" w:rsidRDefault="00EC4006" w:rsidP="00E13B4C">
      <w:r>
        <w:t xml:space="preserve">Based on the above considerations, Section </w:t>
      </w:r>
      <w:r>
        <w:fldChar w:fldCharType="begin"/>
      </w:r>
      <w:r>
        <w:instrText xml:space="preserve"> REF _Ref41839882 \r \h </w:instrText>
      </w:r>
      <w:r>
        <w:fldChar w:fldCharType="separate"/>
      </w:r>
      <w:r w:rsidR="00277F6E">
        <w:t>7.2.4</w:t>
      </w:r>
      <w:r>
        <w:fldChar w:fldCharType="end"/>
      </w:r>
      <w:r w:rsidR="00E13B4C">
        <w:t xml:space="preserve"> further assess</w:t>
      </w:r>
      <w:r>
        <w:t>es</w:t>
      </w:r>
      <w:r w:rsidR="00E13B4C">
        <w:t xml:space="preserve"> the impacts of </w:t>
      </w:r>
      <w:r w:rsidR="004D20DF">
        <w:t>the following options:</w:t>
      </w:r>
    </w:p>
    <w:p w14:paraId="5D2D8AAD" w14:textId="3742D354" w:rsidR="004D20DF" w:rsidRDefault="004D20DF" w:rsidP="00691907">
      <w:pPr>
        <w:pStyle w:val="ListParagraph"/>
        <w:numPr>
          <w:ilvl w:val="0"/>
          <w:numId w:val="12"/>
        </w:numPr>
        <w:rPr>
          <w:rFonts w:asciiTheme="minorHAnsi" w:hAnsiTheme="minorHAnsi" w:cstheme="minorHAnsi"/>
          <w:color w:val="auto"/>
          <w:sz w:val="20"/>
          <w:szCs w:val="20"/>
        </w:rPr>
      </w:pPr>
      <w:r>
        <w:rPr>
          <w:rFonts w:asciiTheme="minorHAnsi" w:hAnsiTheme="minorHAnsi" w:cstheme="minorHAnsi"/>
          <w:color w:val="auto"/>
          <w:sz w:val="20"/>
          <w:szCs w:val="20"/>
        </w:rPr>
        <w:t>Option</w:t>
      </w:r>
      <w:r w:rsidR="003B3A5C">
        <w:rPr>
          <w:rFonts w:asciiTheme="minorHAnsi" w:hAnsiTheme="minorHAnsi" w:cstheme="minorHAnsi"/>
          <w:color w:val="auto"/>
          <w:sz w:val="20"/>
          <w:szCs w:val="20"/>
        </w:rPr>
        <w:t xml:space="preserve"> </w:t>
      </w:r>
      <w:r>
        <w:rPr>
          <w:rFonts w:asciiTheme="minorHAnsi" w:hAnsiTheme="minorHAnsi" w:cstheme="minorHAnsi"/>
          <w:color w:val="auto"/>
          <w:sz w:val="20"/>
          <w:szCs w:val="20"/>
        </w:rPr>
        <w:t>1</w:t>
      </w:r>
      <w:r w:rsidR="00865056">
        <w:rPr>
          <w:rFonts w:asciiTheme="minorHAnsi" w:hAnsiTheme="minorHAnsi" w:cstheme="minorHAnsi"/>
          <w:color w:val="auto"/>
          <w:sz w:val="20"/>
          <w:szCs w:val="20"/>
        </w:rPr>
        <w:t xml:space="preserve"> (status quo)</w:t>
      </w:r>
      <w:r>
        <w:rPr>
          <w:rFonts w:asciiTheme="minorHAnsi" w:hAnsiTheme="minorHAnsi" w:cstheme="minorHAnsi"/>
          <w:color w:val="auto"/>
          <w:sz w:val="20"/>
          <w:szCs w:val="20"/>
        </w:rPr>
        <w:t xml:space="preserve">: </w:t>
      </w:r>
      <w:r w:rsidR="00A314C3">
        <w:rPr>
          <w:rFonts w:asciiTheme="minorHAnsi" w:hAnsiTheme="minorHAnsi" w:cstheme="minorHAnsi"/>
          <w:color w:val="auto"/>
          <w:sz w:val="20"/>
          <w:szCs w:val="20"/>
        </w:rPr>
        <w:t xml:space="preserve">adopt </w:t>
      </w:r>
      <w:r w:rsidR="00823EF1">
        <w:rPr>
          <w:rFonts w:asciiTheme="minorHAnsi" w:hAnsiTheme="minorHAnsi" w:cstheme="minorHAnsi"/>
          <w:color w:val="auto"/>
          <w:sz w:val="20"/>
          <w:szCs w:val="20"/>
        </w:rPr>
        <w:t>warning lights and sign</w:t>
      </w:r>
      <w:r w:rsidR="00A314C3">
        <w:rPr>
          <w:rFonts w:asciiTheme="minorHAnsi" w:hAnsiTheme="minorHAnsi" w:cstheme="minorHAnsi"/>
          <w:color w:val="auto"/>
          <w:sz w:val="20"/>
          <w:szCs w:val="20"/>
        </w:rPr>
        <w:t xml:space="preserve"> requirements</w:t>
      </w:r>
      <w:r w:rsidR="00823EF1">
        <w:rPr>
          <w:rFonts w:asciiTheme="minorHAnsi" w:hAnsiTheme="minorHAnsi" w:cstheme="minorHAnsi"/>
          <w:color w:val="auto"/>
          <w:sz w:val="20"/>
          <w:szCs w:val="20"/>
        </w:rPr>
        <w:t xml:space="preserve"> </w:t>
      </w:r>
      <w:r w:rsidR="00380EC7">
        <w:rPr>
          <w:rFonts w:asciiTheme="minorHAnsi" w:hAnsiTheme="minorHAnsi" w:cstheme="minorHAnsi"/>
          <w:color w:val="auto"/>
          <w:sz w:val="20"/>
          <w:szCs w:val="20"/>
        </w:rPr>
        <w:t>equivalent to current Victorian requirements</w:t>
      </w:r>
      <w:r w:rsidR="00A314C3">
        <w:rPr>
          <w:rFonts w:asciiTheme="minorHAnsi" w:hAnsiTheme="minorHAnsi" w:cstheme="minorHAnsi"/>
          <w:color w:val="auto"/>
          <w:sz w:val="20"/>
          <w:szCs w:val="20"/>
        </w:rPr>
        <w:t xml:space="preserve"> under the Bus Safety Regulations</w:t>
      </w:r>
    </w:p>
    <w:p w14:paraId="1B35DE4C" w14:textId="6079665E" w:rsidR="003B3A5C" w:rsidRDefault="003B3A5C" w:rsidP="00691907">
      <w:pPr>
        <w:pStyle w:val="ListParagraph"/>
        <w:numPr>
          <w:ilvl w:val="0"/>
          <w:numId w:val="12"/>
        </w:numPr>
        <w:rPr>
          <w:rFonts w:asciiTheme="minorHAnsi" w:hAnsiTheme="minorHAnsi" w:cstheme="minorHAnsi"/>
          <w:color w:val="auto"/>
          <w:sz w:val="20"/>
          <w:szCs w:val="20"/>
        </w:rPr>
      </w:pPr>
      <w:r>
        <w:rPr>
          <w:rFonts w:asciiTheme="minorHAnsi" w:hAnsiTheme="minorHAnsi" w:cstheme="minorHAnsi"/>
          <w:color w:val="auto"/>
          <w:sz w:val="20"/>
          <w:szCs w:val="20"/>
        </w:rPr>
        <w:t xml:space="preserve">Option 2: </w:t>
      </w:r>
      <w:r w:rsidR="00641F4E">
        <w:rPr>
          <w:rFonts w:asciiTheme="minorHAnsi" w:hAnsiTheme="minorHAnsi" w:cstheme="minorHAnsi"/>
          <w:color w:val="auto"/>
          <w:sz w:val="20"/>
          <w:szCs w:val="20"/>
        </w:rPr>
        <w:t>adopt</w:t>
      </w:r>
      <w:r w:rsidR="00D062B0">
        <w:rPr>
          <w:rFonts w:asciiTheme="minorHAnsi" w:hAnsiTheme="minorHAnsi" w:cstheme="minorHAnsi"/>
          <w:color w:val="auto"/>
          <w:sz w:val="20"/>
          <w:szCs w:val="20"/>
        </w:rPr>
        <w:t xml:space="preserve"> </w:t>
      </w:r>
      <w:r>
        <w:rPr>
          <w:rFonts w:asciiTheme="minorHAnsi" w:hAnsiTheme="minorHAnsi" w:cstheme="minorHAnsi"/>
          <w:color w:val="auto"/>
          <w:sz w:val="20"/>
          <w:szCs w:val="20"/>
        </w:rPr>
        <w:t>warning lights and sign</w:t>
      </w:r>
      <w:r w:rsidR="00D062B0">
        <w:rPr>
          <w:rFonts w:asciiTheme="minorHAnsi" w:hAnsiTheme="minorHAnsi" w:cstheme="minorHAnsi"/>
          <w:color w:val="auto"/>
          <w:sz w:val="20"/>
          <w:szCs w:val="20"/>
        </w:rPr>
        <w:t xml:space="preserve"> requirements to align with</w:t>
      </w:r>
      <w:r w:rsidR="00380EC7">
        <w:rPr>
          <w:rFonts w:asciiTheme="minorHAnsi" w:hAnsiTheme="minorHAnsi" w:cstheme="minorHAnsi"/>
          <w:color w:val="auto"/>
          <w:sz w:val="20"/>
          <w:szCs w:val="20"/>
        </w:rPr>
        <w:t xml:space="preserve"> NSW standards</w:t>
      </w:r>
      <w:r w:rsidR="00B77842">
        <w:rPr>
          <w:rFonts w:asciiTheme="minorHAnsi" w:hAnsiTheme="minorHAnsi" w:cstheme="minorHAnsi"/>
          <w:color w:val="auto"/>
          <w:sz w:val="20"/>
          <w:szCs w:val="20"/>
        </w:rPr>
        <w:t xml:space="preserve"> for school buses</w:t>
      </w:r>
    </w:p>
    <w:p w14:paraId="420FFB28" w14:textId="7DAEFAFA" w:rsidR="00D7596B" w:rsidRPr="00D7596B" w:rsidRDefault="00D7596B" w:rsidP="00D7596B">
      <w:r>
        <w:lastRenderedPageBreak/>
        <w:t>The road rule relating to motorists being required to stop if in the vicinity of a school bus with flashing hazard lights is not considered further in this RIS, as the costs of the rule will likely outweigh its effectiveness. The status quo intervention of alerting motorists to the probability of school children around buses is likely to already influence motorist behaviour around school buses, including driving slower around school buses and being more alert to the possibility of crossing children.</w:t>
      </w:r>
    </w:p>
    <w:p w14:paraId="3446BCB9" w14:textId="45B42CDE" w:rsidR="00BB2F64" w:rsidRPr="00F00B48" w:rsidRDefault="00BB2F64" w:rsidP="00AF1E95">
      <w:pPr>
        <w:pStyle w:val="Heading2"/>
      </w:pPr>
      <w:bookmarkStart w:id="502" w:name="_Toc32909819"/>
      <w:bookmarkStart w:id="503" w:name="_Ref41835908"/>
      <w:bookmarkStart w:id="504" w:name="_Ref43298181"/>
      <w:bookmarkStart w:id="505" w:name="_Toc45704362"/>
      <w:r w:rsidRPr="00F00B48">
        <w:t>Notifiable incidents</w:t>
      </w:r>
      <w:bookmarkEnd w:id="502"/>
      <w:bookmarkEnd w:id="503"/>
      <w:bookmarkEnd w:id="504"/>
      <w:bookmarkEnd w:id="505"/>
    </w:p>
    <w:p w14:paraId="18C2E352" w14:textId="7BFAF881" w:rsidR="00BB2F64" w:rsidRDefault="00BB2F64" w:rsidP="00BB2F64">
      <w:pPr>
        <w:overflowPunct w:val="0"/>
        <w:autoSpaceDE w:val="0"/>
        <w:autoSpaceDN w:val="0"/>
        <w:adjustRightInd w:val="0"/>
        <w:spacing w:before="120" w:after="120"/>
        <w:textAlignment w:val="baseline"/>
        <w:rPr>
          <w:lang w:val="en-US"/>
        </w:rPr>
      </w:pPr>
      <w:r w:rsidRPr="00F51BA2">
        <w:rPr>
          <w:lang w:val="en-US"/>
        </w:rPr>
        <w:t xml:space="preserve">Section </w:t>
      </w:r>
      <w:r>
        <w:rPr>
          <w:lang w:val="en-US"/>
        </w:rPr>
        <w:t xml:space="preserve">65 of the </w:t>
      </w:r>
      <w:r w:rsidR="003A2F6F">
        <w:rPr>
          <w:lang w:val="en-US"/>
        </w:rPr>
        <w:t>Bus Safety Act</w:t>
      </w:r>
      <w:r>
        <w:rPr>
          <w:lang w:val="en-US"/>
        </w:rPr>
        <w:t xml:space="preserve"> </w:t>
      </w:r>
      <w:r w:rsidRPr="00F51BA2">
        <w:rPr>
          <w:lang w:val="en-US"/>
        </w:rPr>
        <w:t xml:space="preserve">requires </w:t>
      </w:r>
      <w:r>
        <w:rPr>
          <w:lang w:val="en-US"/>
        </w:rPr>
        <w:t xml:space="preserve">an accredited bus operator or </w:t>
      </w:r>
      <w:r w:rsidR="008F5F01">
        <w:rPr>
          <w:lang w:val="en-US"/>
        </w:rPr>
        <w:t xml:space="preserve">a </w:t>
      </w:r>
      <w:r>
        <w:rPr>
          <w:lang w:val="en-US"/>
        </w:rPr>
        <w:t>registered bus operator to notify the Safety Director of prescribed incidents in accordance with the regulations. T</w:t>
      </w:r>
      <w:r w:rsidRPr="00F51BA2">
        <w:rPr>
          <w:lang w:val="en-US"/>
        </w:rPr>
        <w:t xml:space="preserve">he purpose of this requirement is to enable the </w:t>
      </w:r>
      <w:r>
        <w:rPr>
          <w:lang w:val="en-US"/>
        </w:rPr>
        <w:t>Safety Director</w:t>
      </w:r>
      <w:r w:rsidRPr="00F51BA2">
        <w:rPr>
          <w:lang w:val="en-US"/>
        </w:rPr>
        <w:t xml:space="preserve"> to have timely information in relation to certain incidents. </w:t>
      </w:r>
    </w:p>
    <w:p w14:paraId="4B3A2E53" w14:textId="7998AAE6" w:rsidR="003C7628" w:rsidRPr="001C2DC0" w:rsidRDefault="003C7628" w:rsidP="0095677C">
      <w:pPr>
        <w:pStyle w:val="Heading5"/>
        <w:rPr>
          <w:lang w:val="en-US"/>
        </w:rPr>
      </w:pPr>
      <w:bookmarkStart w:id="506" w:name="_Toc32909820"/>
      <w:r w:rsidRPr="001C2DC0">
        <w:rPr>
          <w:lang w:val="en-US"/>
        </w:rPr>
        <w:t xml:space="preserve">What </w:t>
      </w:r>
      <w:r w:rsidR="00DA378F" w:rsidRPr="001C2DC0">
        <w:rPr>
          <w:lang w:val="en-US"/>
        </w:rPr>
        <w:t xml:space="preserve">types of incidents </w:t>
      </w:r>
      <w:r w:rsidRPr="001C2DC0">
        <w:rPr>
          <w:lang w:val="en-US"/>
        </w:rPr>
        <w:t xml:space="preserve">should be </w:t>
      </w:r>
      <w:r w:rsidR="00DA378F" w:rsidRPr="001C2DC0">
        <w:rPr>
          <w:lang w:val="en-US"/>
        </w:rPr>
        <w:t xml:space="preserve">prescribed as </w:t>
      </w:r>
      <w:r w:rsidRPr="001C2DC0">
        <w:rPr>
          <w:lang w:val="en-US"/>
        </w:rPr>
        <w:t>a notifiable incident?</w:t>
      </w:r>
      <w:bookmarkEnd w:id="506"/>
    </w:p>
    <w:p w14:paraId="0F86BB6E" w14:textId="227ADE5A" w:rsidR="00A71583" w:rsidRDefault="00A71583" w:rsidP="00A71583">
      <w:pPr>
        <w:overflowPunct w:val="0"/>
        <w:autoSpaceDE w:val="0"/>
        <w:autoSpaceDN w:val="0"/>
        <w:adjustRightInd w:val="0"/>
        <w:spacing w:before="120" w:after="120"/>
        <w:textAlignment w:val="baseline"/>
        <w:rPr>
          <w:lang w:val="en-US"/>
        </w:rPr>
      </w:pPr>
      <w:r w:rsidRPr="00F51BA2">
        <w:rPr>
          <w:lang w:val="en-US"/>
        </w:rPr>
        <w:t xml:space="preserve">The requirement to notify the </w:t>
      </w:r>
      <w:r>
        <w:rPr>
          <w:lang w:val="en-US"/>
        </w:rPr>
        <w:t>Safety Director</w:t>
      </w:r>
      <w:r w:rsidRPr="00F51BA2">
        <w:rPr>
          <w:lang w:val="en-US"/>
        </w:rPr>
        <w:t xml:space="preserve"> of prescribed incidents is enlivened if there are </w:t>
      </w:r>
      <w:r>
        <w:rPr>
          <w:lang w:val="en-US"/>
        </w:rPr>
        <w:t xml:space="preserve">circumstances or </w:t>
      </w:r>
      <w:r w:rsidRPr="00F51BA2">
        <w:rPr>
          <w:lang w:val="en-US"/>
        </w:rPr>
        <w:t>types of incidents prescribed in the regulations. This means that if no incidents are prescribed then there is no requirement to notify the regulator.</w:t>
      </w:r>
    </w:p>
    <w:p w14:paraId="079779AA" w14:textId="204A66FA" w:rsidR="00BB2F64" w:rsidRPr="00F51BA2" w:rsidRDefault="00BB2F64" w:rsidP="00BB2F64">
      <w:pPr>
        <w:overflowPunct w:val="0"/>
        <w:autoSpaceDE w:val="0"/>
        <w:autoSpaceDN w:val="0"/>
        <w:adjustRightInd w:val="0"/>
        <w:spacing w:before="120" w:after="120"/>
        <w:textAlignment w:val="baseline"/>
        <w:rPr>
          <w:lang w:val="en-US"/>
        </w:rPr>
      </w:pPr>
      <w:r w:rsidRPr="00F51BA2">
        <w:rPr>
          <w:lang w:val="en-US"/>
        </w:rPr>
        <w:t xml:space="preserve">Not all types of incidents are suitable or necessary for this requirement. </w:t>
      </w:r>
      <w:r w:rsidR="003D6450">
        <w:rPr>
          <w:lang w:val="en-US"/>
        </w:rPr>
        <w:t>DoT considers that</w:t>
      </w:r>
      <w:r>
        <w:rPr>
          <w:lang w:val="en-US"/>
        </w:rPr>
        <w:t xml:space="preserve"> notifiable i</w:t>
      </w:r>
      <w:r w:rsidRPr="00F51BA2">
        <w:rPr>
          <w:lang w:val="en-US"/>
        </w:rPr>
        <w:t>ncidents should:</w:t>
      </w:r>
    </w:p>
    <w:p w14:paraId="59231D10" w14:textId="77777777" w:rsidR="00BB2F64" w:rsidRPr="003B31E8" w:rsidRDefault="00BB2F64"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relate to safety of the service</w:t>
      </w:r>
    </w:p>
    <w:p w14:paraId="331ED265" w14:textId="009472F1" w:rsidR="00BB2F64" w:rsidRPr="003B31E8" w:rsidRDefault="00BB2F64"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have </w:t>
      </w:r>
      <w:r w:rsidR="00FD2A55" w:rsidRPr="003B31E8">
        <w:rPr>
          <w:rFonts w:asciiTheme="minorHAnsi" w:hAnsiTheme="minorHAnsi" w:cstheme="minorHAnsi"/>
          <w:color w:val="auto"/>
          <w:sz w:val="20"/>
          <w:szCs w:val="20"/>
        </w:rPr>
        <w:t xml:space="preserve">a material </w:t>
      </w:r>
      <w:r w:rsidR="00E62DF6" w:rsidRPr="003B31E8">
        <w:rPr>
          <w:rFonts w:asciiTheme="minorHAnsi" w:hAnsiTheme="minorHAnsi" w:cstheme="minorHAnsi"/>
          <w:color w:val="auto"/>
          <w:sz w:val="20"/>
          <w:szCs w:val="20"/>
        </w:rPr>
        <w:t>consequence</w:t>
      </w:r>
      <w:r w:rsidRPr="003B31E8">
        <w:rPr>
          <w:rFonts w:asciiTheme="minorHAnsi" w:hAnsiTheme="minorHAnsi" w:cstheme="minorHAnsi"/>
          <w:color w:val="auto"/>
          <w:sz w:val="20"/>
          <w:szCs w:val="20"/>
        </w:rPr>
        <w:t>.</w:t>
      </w:r>
    </w:p>
    <w:p w14:paraId="407A2F87" w14:textId="768CAC5E" w:rsidR="00BB2F64" w:rsidRDefault="00BB2F64" w:rsidP="00BB2F64">
      <w:pPr>
        <w:overflowPunct w:val="0"/>
        <w:autoSpaceDE w:val="0"/>
        <w:autoSpaceDN w:val="0"/>
        <w:adjustRightInd w:val="0"/>
        <w:spacing w:before="120" w:after="120"/>
        <w:textAlignment w:val="baseline"/>
        <w:rPr>
          <w:lang w:val="en-US"/>
        </w:rPr>
      </w:pPr>
      <w:r w:rsidRPr="00F51BA2">
        <w:rPr>
          <w:lang w:val="en-US"/>
        </w:rPr>
        <w:t xml:space="preserve">The information would be used to identify the causes of the incident and to determine whether a person involved in </w:t>
      </w:r>
      <w:r>
        <w:rPr>
          <w:lang w:val="en-US"/>
        </w:rPr>
        <w:t xml:space="preserve">bus service </w:t>
      </w:r>
      <w:r w:rsidRPr="00F51BA2">
        <w:rPr>
          <w:lang w:val="en-US"/>
        </w:rPr>
        <w:t xml:space="preserve">operations </w:t>
      </w:r>
      <w:r>
        <w:rPr>
          <w:lang w:val="en-US"/>
        </w:rPr>
        <w:t xml:space="preserve">has failed to comply with legislative or other requirements. </w:t>
      </w:r>
      <w:r w:rsidR="00265E7A">
        <w:rPr>
          <w:lang w:val="en-US"/>
        </w:rPr>
        <w:t xml:space="preserve"> The information could also be used as part of a risk-based assessment as to what </w:t>
      </w:r>
      <w:r w:rsidR="008E2FBA">
        <w:rPr>
          <w:lang w:val="en-US"/>
        </w:rPr>
        <w:t>areas the regulator should focus their</w:t>
      </w:r>
      <w:r w:rsidR="00714D3F">
        <w:rPr>
          <w:lang w:val="en-US"/>
        </w:rPr>
        <w:t xml:space="preserve"> compliance monitoring and enforcement effort and </w:t>
      </w:r>
      <w:r w:rsidR="008E2FBA">
        <w:rPr>
          <w:lang w:val="en-US"/>
        </w:rPr>
        <w:t>resources</w:t>
      </w:r>
      <w:r w:rsidR="00714D3F">
        <w:rPr>
          <w:lang w:val="en-US"/>
        </w:rPr>
        <w:t xml:space="preserve"> at</w:t>
      </w:r>
      <w:r w:rsidR="008E2FBA">
        <w:rPr>
          <w:lang w:val="en-US"/>
        </w:rPr>
        <w:t>.</w:t>
      </w:r>
    </w:p>
    <w:p w14:paraId="44EF5939" w14:textId="0707CDA8" w:rsidR="00BB2F64" w:rsidRDefault="00BB2F64" w:rsidP="00BB2F64">
      <w:pPr>
        <w:overflowPunct w:val="0"/>
        <w:autoSpaceDE w:val="0"/>
        <w:autoSpaceDN w:val="0"/>
        <w:adjustRightInd w:val="0"/>
        <w:spacing w:before="120" w:after="120"/>
        <w:textAlignment w:val="baseline"/>
        <w:rPr>
          <w:lang w:val="en-US"/>
        </w:rPr>
      </w:pPr>
      <w:r>
        <w:rPr>
          <w:lang w:val="en-US"/>
        </w:rPr>
        <w:t xml:space="preserve">Consultation with TSV suggests that the threshold for notifiable incidents should be broadly focused on actual or potential consequences </w:t>
      </w:r>
      <w:r w:rsidR="00897E34">
        <w:rPr>
          <w:lang w:val="en-US"/>
        </w:rPr>
        <w:t xml:space="preserve">of an </w:t>
      </w:r>
      <w:r>
        <w:rPr>
          <w:lang w:val="en-US"/>
        </w:rPr>
        <w:t xml:space="preserve">incident rather </w:t>
      </w:r>
      <w:r w:rsidR="00C854DF">
        <w:rPr>
          <w:lang w:val="en-US"/>
        </w:rPr>
        <w:t xml:space="preserve">than </w:t>
      </w:r>
      <w:r w:rsidR="008642F7">
        <w:rPr>
          <w:lang w:val="en-US"/>
        </w:rPr>
        <w:t xml:space="preserve">narrowly defined </w:t>
      </w:r>
      <w:r>
        <w:rPr>
          <w:lang w:val="en-US"/>
        </w:rPr>
        <w:t>incident types or categories</w:t>
      </w:r>
      <w:r w:rsidRPr="00F51BA2">
        <w:rPr>
          <w:lang w:val="en-US"/>
        </w:rPr>
        <w:t>.</w:t>
      </w:r>
      <w:r>
        <w:rPr>
          <w:lang w:val="en-US"/>
        </w:rPr>
        <w:t xml:space="preserve"> As such, </w:t>
      </w:r>
      <w:r w:rsidR="0046622A">
        <w:rPr>
          <w:lang w:val="en-US"/>
        </w:rPr>
        <w:t>DoT considers inciden</w:t>
      </w:r>
      <w:r w:rsidR="008642F7">
        <w:rPr>
          <w:lang w:val="en-US"/>
        </w:rPr>
        <w:t>ts</w:t>
      </w:r>
      <w:r w:rsidR="0046622A">
        <w:rPr>
          <w:lang w:val="en-US"/>
        </w:rPr>
        <w:t xml:space="preserve"> should be</w:t>
      </w:r>
      <w:r w:rsidR="00AB5614">
        <w:rPr>
          <w:lang w:val="en-US"/>
        </w:rPr>
        <w:t xml:space="preserve"> framed to ensure that the consequences of the inciden</w:t>
      </w:r>
      <w:r w:rsidR="0046622A">
        <w:rPr>
          <w:lang w:val="en-US"/>
        </w:rPr>
        <w:t xml:space="preserve">t </w:t>
      </w:r>
      <w:r w:rsidR="00637532">
        <w:rPr>
          <w:lang w:val="en-US"/>
        </w:rPr>
        <w:t>are</w:t>
      </w:r>
      <w:r w:rsidR="0046622A">
        <w:rPr>
          <w:lang w:val="en-US"/>
        </w:rPr>
        <w:t xml:space="preserve"> reflected in the regulations. </w:t>
      </w:r>
      <w:r w:rsidR="00AE2D91">
        <w:rPr>
          <w:lang w:val="en-US"/>
        </w:rPr>
        <w:t xml:space="preserve">Incidents </w:t>
      </w:r>
      <w:r w:rsidR="0089231C">
        <w:rPr>
          <w:lang w:val="en-US"/>
        </w:rPr>
        <w:t>or</w:t>
      </w:r>
      <w:r w:rsidR="00AE2D91">
        <w:rPr>
          <w:lang w:val="en-US"/>
        </w:rPr>
        <w:t xml:space="preserve"> consequences</w:t>
      </w:r>
      <w:r w:rsidR="00962A8C">
        <w:rPr>
          <w:lang w:val="en-US"/>
        </w:rPr>
        <w:t xml:space="preserve"> considered appropriate for reporting to the Safety Director</w:t>
      </w:r>
      <w:r w:rsidR="00AE2D91">
        <w:rPr>
          <w:lang w:val="en-US"/>
        </w:rPr>
        <w:t xml:space="preserve"> include those which </w:t>
      </w:r>
      <w:r>
        <w:rPr>
          <w:lang w:val="en-US"/>
        </w:rPr>
        <w:t>resul</w:t>
      </w:r>
      <w:r w:rsidR="00AE2D91">
        <w:rPr>
          <w:lang w:val="en-US"/>
        </w:rPr>
        <w:t>t</w:t>
      </w:r>
      <w:r>
        <w:rPr>
          <w:lang w:val="en-US"/>
        </w:rPr>
        <w:t xml:space="preserve"> in</w:t>
      </w:r>
      <w:r w:rsidR="00CD4471">
        <w:rPr>
          <w:lang w:val="en-US"/>
        </w:rPr>
        <w:t xml:space="preserve"> (or had the potential to result in)</w:t>
      </w:r>
      <w:r>
        <w:rPr>
          <w:lang w:val="en-US"/>
        </w:rPr>
        <w:t>:</w:t>
      </w:r>
    </w:p>
    <w:p w14:paraId="2D3EAE02" w14:textId="4C079DE4" w:rsidR="00BB2F64" w:rsidRPr="003B31E8" w:rsidRDefault="00BB2F64"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the death of, or serious injury to, any person</w:t>
      </w:r>
    </w:p>
    <w:p w14:paraId="5B7B267D" w14:textId="7E32B290" w:rsidR="001427FC" w:rsidRPr="003B31E8" w:rsidRDefault="00BB2F64"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damage to </w:t>
      </w:r>
      <w:r w:rsidR="00E03BEA" w:rsidRPr="003B31E8">
        <w:rPr>
          <w:rFonts w:asciiTheme="minorHAnsi" w:hAnsiTheme="minorHAnsi" w:cstheme="minorHAnsi"/>
          <w:color w:val="auto"/>
          <w:sz w:val="20"/>
          <w:szCs w:val="20"/>
        </w:rPr>
        <w:t xml:space="preserve">any </w:t>
      </w:r>
      <w:r w:rsidRPr="003B31E8">
        <w:rPr>
          <w:rFonts w:asciiTheme="minorHAnsi" w:hAnsiTheme="minorHAnsi" w:cstheme="minorHAnsi"/>
          <w:color w:val="auto"/>
          <w:sz w:val="20"/>
          <w:szCs w:val="20"/>
        </w:rPr>
        <w:t>property</w:t>
      </w:r>
    </w:p>
    <w:p w14:paraId="65364294" w14:textId="5A1C5EA8" w:rsidR="00535D13" w:rsidRPr="003B31E8" w:rsidRDefault="001427FC"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loss of control of </w:t>
      </w:r>
      <w:r w:rsidR="006371A2" w:rsidRPr="003B31E8">
        <w:rPr>
          <w:rFonts w:asciiTheme="minorHAnsi" w:hAnsiTheme="minorHAnsi" w:cstheme="minorHAnsi"/>
          <w:color w:val="auto"/>
          <w:sz w:val="20"/>
          <w:szCs w:val="20"/>
        </w:rPr>
        <w:t xml:space="preserve">the </w:t>
      </w:r>
      <w:r w:rsidRPr="003B31E8">
        <w:rPr>
          <w:rFonts w:asciiTheme="minorHAnsi" w:hAnsiTheme="minorHAnsi" w:cstheme="minorHAnsi"/>
          <w:color w:val="auto"/>
          <w:sz w:val="20"/>
          <w:szCs w:val="20"/>
        </w:rPr>
        <w:t>bus</w:t>
      </w:r>
    </w:p>
    <w:p w14:paraId="6DA51A7A" w14:textId="77777777" w:rsidR="00535D13" w:rsidRPr="003B31E8" w:rsidRDefault="00535D13"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a person requiring immediate treatment as an in-patient in hospital</w:t>
      </w:r>
    </w:p>
    <w:p w14:paraId="0028E4A3" w14:textId="578613F9" w:rsidR="00BB2F64" w:rsidRPr="003B31E8" w:rsidRDefault="00535D13"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attendance by a police officer or health professional</w:t>
      </w:r>
      <w:r w:rsidR="004E2143" w:rsidRPr="003B31E8">
        <w:rPr>
          <w:rFonts w:asciiTheme="minorHAnsi" w:hAnsiTheme="minorHAnsi" w:cstheme="minorHAnsi"/>
          <w:color w:val="auto"/>
          <w:sz w:val="20"/>
          <w:szCs w:val="20"/>
        </w:rPr>
        <w:t>.</w:t>
      </w:r>
    </w:p>
    <w:p w14:paraId="6C545A68" w14:textId="50AD0CA2" w:rsidR="00BB2F64" w:rsidRPr="00F51BA2" w:rsidRDefault="00BB2F64" w:rsidP="00BB2F64">
      <w:pPr>
        <w:overflowPunct w:val="0"/>
        <w:autoSpaceDE w:val="0"/>
        <w:autoSpaceDN w:val="0"/>
        <w:adjustRightInd w:val="0"/>
        <w:spacing w:before="120" w:after="120"/>
        <w:textAlignment w:val="baseline"/>
        <w:rPr>
          <w:lang w:val="en-US"/>
        </w:rPr>
      </w:pPr>
      <w:r w:rsidRPr="00F51BA2">
        <w:rPr>
          <w:lang w:val="en-US"/>
        </w:rPr>
        <w:t xml:space="preserve">There are </w:t>
      </w:r>
      <w:r w:rsidR="004D36FA">
        <w:rPr>
          <w:lang w:val="en-US"/>
        </w:rPr>
        <w:t xml:space="preserve">also a range of events </w:t>
      </w:r>
      <w:r w:rsidR="00CB6762">
        <w:rPr>
          <w:lang w:val="en-US"/>
        </w:rPr>
        <w:t>that</w:t>
      </w:r>
      <w:r w:rsidR="004D36FA">
        <w:rPr>
          <w:lang w:val="en-US"/>
        </w:rPr>
        <w:t xml:space="preserve"> </w:t>
      </w:r>
      <w:r w:rsidR="0049535E">
        <w:rPr>
          <w:lang w:val="en-US"/>
        </w:rPr>
        <w:t xml:space="preserve">DoT </w:t>
      </w:r>
      <w:r w:rsidR="004D36FA">
        <w:rPr>
          <w:lang w:val="en-US"/>
        </w:rPr>
        <w:t>consider</w:t>
      </w:r>
      <w:r w:rsidR="0049535E">
        <w:rPr>
          <w:lang w:val="en-US"/>
        </w:rPr>
        <w:t>s</w:t>
      </w:r>
      <w:r w:rsidR="004D36FA">
        <w:rPr>
          <w:lang w:val="en-US"/>
        </w:rPr>
        <w:t xml:space="preserve"> </w:t>
      </w:r>
      <w:r w:rsidR="00CB6762">
        <w:rPr>
          <w:lang w:val="en-US"/>
        </w:rPr>
        <w:t xml:space="preserve">warranting </w:t>
      </w:r>
      <w:r w:rsidR="00B717C9">
        <w:rPr>
          <w:lang w:val="en-US"/>
        </w:rPr>
        <w:t>notification, including</w:t>
      </w:r>
      <w:r w:rsidRPr="00F51BA2">
        <w:rPr>
          <w:lang w:val="en-US"/>
        </w:rPr>
        <w:t>:</w:t>
      </w:r>
    </w:p>
    <w:p w14:paraId="7B1D364C" w14:textId="305D3F0E" w:rsidR="00BB2F64" w:rsidRPr="003B31E8" w:rsidRDefault="00BB2F64"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collision</w:t>
      </w:r>
      <w:r w:rsidR="00CC295B" w:rsidRPr="003B31E8">
        <w:rPr>
          <w:rFonts w:asciiTheme="minorHAnsi" w:hAnsiTheme="minorHAnsi" w:cstheme="minorHAnsi"/>
          <w:color w:val="auto"/>
          <w:sz w:val="20"/>
          <w:szCs w:val="20"/>
        </w:rPr>
        <w:t xml:space="preserve"> between the bus and</w:t>
      </w:r>
      <w:r w:rsidRPr="003B31E8">
        <w:rPr>
          <w:rFonts w:asciiTheme="minorHAnsi" w:hAnsiTheme="minorHAnsi" w:cstheme="minorHAnsi"/>
          <w:color w:val="auto"/>
          <w:sz w:val="20"/>
          <w:szCs w:val="20"/>
        </w:rPr>
        <w:t xml:space="preserve"> any person, vehicle, infrastructure, or</w:t>
      </w:r>
      <w:r w:rsidR="00535D13" w:rsidRPr="003B31E8">
        <w:rPr>
          <w:rFonts w:asciiTheme="minorHAnsi" w:hAnsiTheme="minorHAnsi" w:cstheme="minorHAnsi"/>
          <w:color w:val="auto"/>
          <w:sz w:val="20"/>
          <w:szCs w:val="20"/>
        </w:rPr>
        <w:t xml:space="preserve"> other property</w:t>
      </w:r>
    </w:p>
    <w:p w14:paraId="2AB8FED1" w14:textId="0448D03C" w:rsidR="00BB2F64" w:rsidRPr="003B31E8" w:rsidRDefault="00BB2F64"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implosion, explosion or fire</w:t>
      </w:r>
    </w:p>
    <w:p w14:paraId="16145F7C" w14:textId="78694098" w:rsidR="00BB2F64" w:rsidRPr="003B31E8" w:rsidRDefault="00BB2F64"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mechanical failure</w:t>
      </w:r>
    </w:p>
    <w:p w14:paraId="269FDD6F" w14:textId="1E3D6ADF" w:rsidR="00BB2F64" w:rsidRPr="003B31E8" w:rsidRDefault="00BB2F64"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divergence from the highway</w:t>
      </w:r>
    </w:p>
    <w:p w14:paraId="26729148" w14:textId="42E9FD7A" w:rsidR="00E04627" w:rsidRPr="003B31E8" w:rsidRDefault="00E04627"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uncontrolled movement of a bus</w:t>
      </w:r>
    </w:p>
    <w:p w14:paraId="1F1BC161" w14:textId="3D11ABFD" w:rsidR="00295C6F" w:rsidRPr="003B31E8" w:rsidRDefault="00E04627"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alleged </w:t>
      </w:r>
      <w:r w:rsidR="00295C6F" w:rsidRPr="003B31E8">
        <w:rPr>
          <w:rFonts w:asciiTheme="minorHAnsi" w:hAnsiTheme="minorHAnsi" w:cstheme="minorHAnsi"/>
          <w:color w:val="auto"/>
          <w:sz w:val="20"/>
          <w:szCs w:val="20"/>
        </w:rPr>
        <w:t>assault</w:t>
      </w:r>
    </w:p>
    <w:p w14:paraId="57737548" w14:textId="41D8E085" w:rsidR="00914187" w:rsidRPr="003B31E8" w:rsidRDefault="00914187"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suspected or attempted self-harm</w:t>
      </w:r>
    </w:p>
    <w:p w14:paraId="382A265C" w14:textId="78E00D43" w:rsidR="00914187" w:rsidRPr="003B31E8" w:rsidRDefault="001A5232"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terrorist attack</w:t>
      </w:r>
    </w:p>
    <w:p w14:paraId="4B4D4B9B" w14:textId="52F51461" w:rsidR="00FE5904" w:rsidRPr="003B31E8" w:rsidRDefault="00FE5904"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a circumstance where the driver of the bus is in contravention of the bus operators’ alcohol and drug management policy. </w:t>
      </w:r>
    </w:p>
    <w:p w14:paraId="0D4422F5" w14:textId="78D3991E" w:rsidR="00BB2F64" w:rsidRDefault="006F240C" w:rsidP="00BB2F64">
      <w:pPr>
        <w:overflowPunct w:val="0"/>
        <w:autoSpaceDE w:val="0"/>
        <w:autoSpaceDN w:val="0"/>
        <w:adjustRightInd w:val="0"/>
        <w:spacing w:before="120" w:after="120"/>
        <w:textAlignment w:val="baseline"/>
        <w:rPr>
          <w:lang w:val="en-US"/>
        </w:rPr>
      </w:pPr>
      <w:r>
        <w:rPr>
          <w:lang w:val="en-US"/>
        </w:rPr>
        <w:t xml:space="preserve">Further </w:t>
      </w:r>
      <w:r w:rsidR="0015013B">
        <w:rPr>
          <w:lang w:val="en-US"/>
        </w:rPr>
        <w:t>a</w:t>
      </w:r>
      <w:r w:rsidR="00BB2F64" w:rsidRPr="00E55C15">
        <w:rPr>
          <w:lang w:val="en-US"/>
        </w:rPr>
        <w:t xml:space="preserve">dvice from TSV suggests that </w:t>
      </w:r>
      <w:r w:rsidR="00CA6AE8">
        <w:rPr>
          <w:lang w:val="en-US"/>
        </w:rPr>
        <w:t xml:space="preserve">there are </w:t>
      </w:r>
      <w:r w:rsidR="002E471A">
        <w:rPr>
          <w:lang w:val="en-US"/>
        </w:rPr>
        <w:t xml:space="preserve">bus safety related </w:t>
      </w:r>
      <w:r w:rsidR="002E1C6C">
        <w:rPr>
          <w:lang w:val="en-US"/>
        </w:rPr>
        <w:t>circumstances</w:t>
      </w:r>
      <w:r w:rsidR="00CA6AE8">
        <w:rPr>
          <w:lang w:val="en-US"/>
        </w:rPr>
        <w:t xml:space="preserve"> </w:t>
      </w:r>
      <w:r w:rsidR="002E471A">
        <w:rPr>
          <w:lang w:val="en-US"/>
        </w:rPr>
        <w:t xml:space="preserve">in which </w:t>
      </w:r>
      <w:r w:rsidR="00845454">
        <w:rPr>
          <w:lang w:val="en-US"/>
        </w:rPr>
        <w:t xml:space="preserve">the regulator considers </w:t>
      </w:r>
      <w:r w:rsidR="002E471A">
        <w:rPr>
          <w:lang w:val="en-US"/>
        </w:rPr>
        <w:t>it</w:t>
      </w:r>
      <w:r w:rsidR="00845454">
        <w:rPr>
          <w:lang w:val="en-US"/>
        </w:rPr>
        <w:t xml:space="preserve"> app</w:t>
      </w:r>
      <w:r w:rsidR="00560191">
        <w:rPr>
          <w:lang w:val="en-US"/>
        </w:rPr>
        <w:t>ropriate to</w:t>
      </w:r>
      <w:r w:rsidR="00AF2616">
        <w:rPr>
          <w:lang w:val="en-US"/>
        </w:rPr>
        <w:t xml:space="preserve"> be notified</w:t>
      </w:r>
      <w:r w:rsidR="00C301A3">
        <w:rPr>
          <w:lang w:val="en-US"/>
        </w:rPr>
        <w:t xml:space="preserve">, with the incidents </w:t>
      </w:r>
      <w:r w:rsidR="00C1388A">
        <w:rPr>
          <w:lang w:val="en-US"/>
        </w:rPr>
        <w:t>also</w:t>
      </w:r>
      <w:r w:rsidR="00C410AE">
        <w:rPr>
          <w:lang w:val="en-US"/>
        </w:rPr>
        <w:t xml:space="preserve"> </w:t>
      </w:r>
      <w:r w:rsidR="00C301A3">
        <w:rPr>
          <w:lang w:val="en-US"/>
        </w:rPr>
        <w:t>relating</w:t>
      </w:r>
      <w:r w:rsidR="005C6E54">
        <w:rPr>
          <w:lang w:val="en-US"/>
        </w:rPr>
        <w:t xml:space="preserve"> to</w:t>
      </w:r>
      <w:r w:rsidR="00D41FB2">
        <w:rPr>
          <w:lang w:val="en-US"/>
        </w:rPr>
        <w:t xml:space="preserve"> legislative</w:t>
      </w:r>
      <w:r w:rsidR="00C410AE">
        <w:rPr>
          <w:lang w:val="en-US"/>
        </w:rPr>
        <w:t xml:space="preserve"> </w:t>
      </w:r>
      <w:r w:rsidR="008764A1">
        <w:rPr>
          <w:lang w:val="en-US"/>
        </w:rPr>
        <w:t>requirements</w:t>
      </w:r>
      <w:r w:rsidR="00D41FB2">
        <w:rPr>
          <w:lang w:val="en-US"/>
        </w:rPr>
        <w:t xml:space="preserve"> not under the </w:t>
      </w:r>
      <w:r w:rsidR="003A2F6F">
        <w:rPr>
          <w:lang w:val="en-US"/>
        </w:rPr>
        <w:t>Bus Safety Act</w:t>
      </w:r>
      <w:r w:rsidR="00BB2F64" w:rsidRPr="00E55C15">
        <w:rPr>
          <w:lang w:val="en-US"/>
        </w:rPr>
        <w:t xml:space="preserve">. For example, the </w:t>
      </w:r>
      <w:r w:rsidR="00BB2F64" w:rsidRPr="00E55C15">
        <w:rPr>
          <w:i/>
          <w:lang w:val="en-US"/>
        </w:rPr>
        <w:t>Education and Care Services National Law Act 2010</w:t>
      </w:r>
      <w:r w:rsidR="00BB2F64" w:rsidRPr="00E55C15">
        <w:rPr>
          <w:lang w:val="en-US"/>
        </w:rPr>
        <w:t xml:space="preserve"> have their own suite of safety requirements relating to ensuring the protection from harm and hazard and the adequate supervision of children when an </w:t>
      </w:r>
      <w:r w:rsidR="005E5F9D">
        <w:rPr>
          <w:lang w:val="en-US"/>
        </w:rPr>
        <w:t>approved provider of an</w:t>
      </w:r>
      <w:r w:rsidR="00BB2F64" w:rsidRPr="00E55C15">
        <w:rPr>
          <w:lang w:val="en-US"/>
        </w:rPr>
        <w:t xml:space="preserve"> education and care service manages the transport of children. </w:t>
      </w:r>
      <w:r w:rsidR="00806F1D">
        <w:rPr>
          <w:lang w:val="en-US"/>
        </w:rPr>
        <w:t xml:space="preserve">Although bus operators </w:t>
      </w:r>
      <w:r w:rsidR="009D782A">
        <w:rPr>
          <w:lang w:val="en-US"/>
        </w:rPr>
        <w:t xml:space="preserve">are not </w:t>
      </w:r>
      <w:r w:rsidR="00403F31">
        <w:rPr>
          <w:lang w:val="en-US"/>
        </w:rPr>
        <w:t>approved providers</w:t>
      </w:r>
      <w:r w:rsidR="009D782A">
        <w:rPr>
          <w:lang w:val="en-US"/>
        </w:rPr>
        <w:t xml:space="preserve"> under the</w:t>
      </w:r>
      <w:r w:rsidR="00806F1D">
        <w:rPr>
          <w:lang w:val="en-US"/>
        </w:rPr>
        <w:t xml:space="preserve"> </w:t>
      </w:r>
      <w:r w:rsidR="00806F1D" w:rsidRPr="00E55C15">
        <w:rPr>
          <w:i/>
          <w:lang w:val="en-US"/>
        </w:rPr>
        <w:t>Education and Care Services National Law Act 2010</w:t>
      </w:r>
      <w:r w:rsidR="00806F1D">
        <w:rPr>
          <w:i/>
          <w:lang w:val="en-US"/>
        </w:rPr>
        <w:t>,</w:t>
      </w:r>
      <w:r w:rsidR="00806F1D">
        <w:rPr>
          <w:lang w:val="en-US"/>
        </w:rPr>
        <w:t xml:space="preserve"> </w:t>
      </w:r>
      <w:r w:rsidR="002526CC">
        <w:rPr>
          <w:iCs/>
          <w:lang w:val="en-US"/>
        </w:rPr>
        <w:t xml:space="preserve">and therefore are </w:t>
      </w:r>
      <w:r w:rsidR="007503F3">
        <w:rPr>
          <w:iCs/>
          <w:lang w:val="en-US"/>
        </w:rPr>
        <w:lastRenderedPageBreak/>
        <w:t>not subject to notification requirements under that Act,</w:t>
      </w:r>
      <w:r w:rsidR="00806F1D">
        <w:rPr>
          <w:lang w:val="en-US"/>
        </w:rPr>
        <w:t xml:space="preserve"> </w:t>
      </w:r>
      <w:r w:rsidR="00BB2F64" w:rsidRPr="00E55C15">
        <w:rPr>
          <w:lang w:val="en-US"/>
        </w:rPr>
        <w:t xml:space="preserve">TSV </w:t>
      </w:r>
      <w:r w:rsidR="00806F1D">
        <w:rPr>
          <w:lang w:val="en-US"/>
        </w:rPr>
        <w:t>considers that the vulnerability of children</w:t>
      </w:r>
      <w:r w:rsidR="007B2433">
        <w:rPr>
          <w:lang w:val="en-US"/>
        </w:rPr>
        <w:t xml:space="preserve"> </w:t>
      </w:r>
      <w:r w:rsidR="006D6922">
        <w:rPr>
          <w:lang w:val="en-US"/>
        </w:rPr>
        <w:t xml:space="preserve">warrants that </w:t>
      </w:r>
      <w:r w:rsidR="00530542">
        <w:rPr>
          <w:lang w:val="en-US"/>
        </w:rPr>
        <w:t xml:space="preserve">bus </w:t>
      </w:r>
      <w:r w:rsidR="006D6922">
        <w:rPr>
          <w:lang w:val="en-US"/>
        </w:rPr>
        <w:t>operators notify the regulator</w:t>
      </w:r>
      <w:r w:rsidR="0089231C">
        <w:rPr>
          <w:lang w:val="en-US"/>
        </w:rPr>
        <w:t xml:space="preserve"> of</w:t>
      </w:r>
      <w:r w:rsidR="006D6922">
        <w:rPr>
          <w:lang w:val="en-US"/>
        </w:rPr>
        <w:t xml:space="preserve"> </w:t>
      </w:r>
      <w:r w:rsidR="003466B0">
        <w:rPr>
          <w:lang w:val="en-US"/>
        </w:rPr>
        <w:t xml:space="preserve">safety incidents relating to the </w:t>
      </w:r>
      <w:r w:rsidR="00FB66AA">
        <w:rPr>
          <w:lang w:val="en-US"/>
        </w:rPr>
        <w:t>protection</w:t>
      </w:r>
      <w:r w:rsidR="003466B0">
        <w:rPr>
          <w:lang w:val="en-US"/>
        </w:rPr>
        <w:t xml:space="preserve"> </w:t>
      </w:r>
      <w:r w:rsidR="00FB66AA">
        <w:rPr>
          <w:lang w:val="en-US"/>
        </w:rPr>
        <w:t>from harm and hazard</w:t>
      </w:r>
      <w:r w:rsidR="00D80FDA">
        <w:rPr>
          <w:lang w:val="en-US"/>
        </w:rPr>
        <w:t xml:space="preserve"> of children</w:t>
      </w:r>
      <w:r w:rsidR="005714A3">
        <w:rPr>
          <w:lang w:val="en-US"/>
        </w:rPr>
        <w:t>, including where a child has been left of</w:t>
      </w:r>
      <w:r w:rsidR="00B93A2B">
        <w:rPr>
          <w:lang w:val="en-US"/>
        </w:rPr>
        <w:t>f</w:t>
      </w:r>
      <w:r w:rsidR="005714A3">
        <w:rPr>
          <w:lang w:val="en-US"/>
        </w:rPr>
        <w:t xml:space="preserve"> a bus at the end of a route.</w:t>
      </w:r>
      <w:r w:rsidR="00806F1D">
        <w:rPr>
          <w:i/>
          <w:lang w:val="en-US"/>
        </w:rPr>
        <w:t xml:space="preserve"> </w:t>
      </w:r>
    </w:p>
    <w:p w14:paraId="3CFB6269" w14:textId="5705E9D6" w:rsidR="003E2101" w:rsidRPr="00F076CE" w:rsidRDefault="003E2101" w:rsidP="00BB2F64">
      <w:pPr>
        <w:overflowPunct w:val="0"/>
        <w:autoSpaceDE w:val="0"/>
        <w:autoSpaceDN w:val="0"/>
        <w:adjustRightInd w:val="0"/>
        <w:spacing w:before="120" w:after="120"/>
        <w:textAlignment w:val="baseline"/>
        <w:rPr>
          <w:lang w:val="en-US"/>
        </w:rPr>
      </w:pPr>
      <w:r>
        <w:rPr>
          <w:lang w:val="en-US"/>
        </w:rPr>
        <w:t xml:space="preserve">DoT also considered notifications relating </w:t>
      </w:r>
      <w:r w:rsidR="004B7587">
        <w:rPr>
          <w:lang w:val="en-US"/>
        </w:rPr>
        <w:t xml:space="preserve">to mechanical failures that results in the bus being unable to commence, continue or complete a journey. Consultation with TSV noted that this will result </w:t>
      </w:r>
      <w:r w:rsidR="00DB4D49">
        <w:rPr>
          <w:lang w:val="en-US"/>
        </w:rPr>
        <w:t xml:space="preserve">in </w:t>
      </w:r>
      <w:r w:rsidR="004B7587">
        <w:rPr>
          <w:lang w:val="en-US"/>
        </w:rPr>
        <w:t>a significant</w:t>
      </w:r>
      <w:r w:rsidR="008802EB">
        <w:rPr>
          <w:lang w:val="en-US"/>
        </w:rPr>
        <w:t xml:space="preserve"> reporting burden to the industry, with which TSV do not derive significant benefits from being notified. </w:t>
      </w:r>
      <w:r w:rsidR="00C84C95">
        <w:rPr>
          <w:lang w:val="en-US"/>
        </w:rPr>
        <w:t xml:space="preserve">As such, this incident was not included as a list of prescribed incidents. </w:t>
      </w:r>
    </w:p>
    <w:p w14:paraId="09FDC5AF" w14:textId="0B44175D" w:rsidR="00BB2F64" w:rsidRPr="001C2DC0" w:rsidRDefault="00BB2F64" w:rsidP="0095677C">
      <w:pPr>
        <w:pStyle w:val="Heading5"/>
      </w:pPr>
      <w:bookmarkStart w:id="507" w:name="_Toc32909821"/>
      <w:r w:rsidRPr="001C2DC0">
        <w:t xml:space="preserve">When </w:t>
      </w:r>
      <w:r w:rsidR="00931600">
        <w:t xml:space="preserve">should </w:t>
      </w:r>
      <w:r w:rsidRPr="001C2DC0">
        <w:t>the regulator be notified of a prescribed incident</w:t>
      </w:r>
      <w:bookmarkEnd w:id="507"/>
      <w:r w:rsidR="00931600">
        <w:t>?</w:t>
      </w:r>
    </w:p>
    <w:p w14:paraId="67957249" w14:textId="77777777" w:rsidR="00BB2F64" w:rsidRDefault="00BB2F64" w:rsidP="00BB2F64">
      <w:pPr>
        <w:overflowPunct w:val="0"/>
        <w:autoSpaceDE w:val="0"/>
        <w:autoSpaceDN w:val="0"/>
        <w:adjustRightInd w:val="0"/>
        <w:spacing w:before="120" w:after="120"/>
        <w:textAlignment w:val="baseline"/>
        <w:rPr>
          <w:lang w:val="en-US"/>
        </w:rPr>
      </w:pPr>
      <w:r w:rsidRPr="00F51BA2">
        <w:rPr>
          <w:lang w:val="en-US"/>
        </w:rPr>
        <w:t>The purpose of requiring the industry to alert the regulator that a specific type of incident has occurred is to enable an investigation to be conducted, if necessary,</w:t>
      </w:r>
      <w:r>
        <w:rPr>
          <w:lang w:val="en-US"/>
        </w:rPr>
        <w:t xml:space="preserve"> and</w:t>
      </w:r>
      <w:r w:rsidRPr="00F51BA2">
        <w:rPr>
          <w:lang w:val="en-US"/>
        </w:rPr>
        <w:t xml:space="preserve"> </w:t>
      </w:r>
      <w:r>
        <w:rPr>
          <w:lang w:val="en-US"/>
        </w:rPr>
        <w:t>to inform risk-based compliance monitoring and enforcement of safety issues</w:t>
      </w:r>
      <w:r w:rsidRPr="00F51BA2">
        <w:rPr>
          <w:lang w:val="en-US"/>
        </w:rPr>
        <w:t>.</w:t>
      </w:r>
      <w:r>
        <w:rPr>
          <w:lang w:val="en-US"/>
        </w:rPr>
        <w:t xml:space="preserve"> </w:t>
      </w:r>
    </w:p>
    <w:p w14:paraId="6B4E3EB2" w14:textId="78CF66F8" w:rsidR="00BB2F64" w:rsidRDefault="00BB2F64" w:rsidP="00BB2F64">
      <w:pPr>
        <w:overflowPunct w:val="0"/>
        <w:autoSpaceDE w:val="0"/>
        <w:autoSpaceDN w:val="0"/>
        <w:adjustRightInd w:val="0"/>
        <w:spacing w:before="120" w:after="120"/>
        <w:textAlignment w:val="baseline"/>
        <w:rPr>
          <w:lang w:val="en-US"/>
        </w:rPr>
      </w:pPr>
      <w:r>
        <w:rPr>
          <w:lang w:val="en-US"/>
        </w:rPr>
        <w:t>Different types of bus safety incidents</w:t>
      </w:r>
      <w:r w:rsidR="0087396A">
        <w:rPr>
          <w:lang w:val="en-US"/>
        </w:rPr>
        <w:t xml:space="preserve"> may</w:t>
      </w:r>
      <w:r>
        <w:rPr>
          <w:lang w:val="en-US"/>
        </w:rPr>
        <w:t xml:space="preserve"> involve differing levels of urgency with respect to notifying </w:t>
      </w:r>
      <w:r w:rsidR="00435192">
        <w:rPr>
          <w:lang w:val="en-US"/>
        </w:rPr>
        <w:t xml:space="preserve">the </w:t>
      </w:r>
      <w:r>
        <w:rPr>
          <w:lang w:val="en-US"/>
        </w:rPr>
        <w:t xml:space="preserve">Safety Director. Certain incidents of a serious nature </w:t>
      </w:r>
      <w:r w:rsidR="007A5B42">
        <w:rPr>
          <w:lang w:val="en-US"/>
        </w:rPr>
        <w:t xml:space="preserve">would suggest that the Safety Director </w:t>
      </w:r>
      <w:r w:rsidR="006F52AC">
        <w:rPr>
          <w:lang w:val="en-US"/>
        </w:rPr>
        <w:t xml:space="preserve">should </w:t>
      </w:r>
      <w:r>
        <w:rPr>
          <w:lang w:val="en-US"/>
        </w:rPr>
        <w:t xml:space="preserve">be </w:t>
      </w:r>
      <w:r w:rsidRPr="00F51BA2">
        <w:rPr>
          <w:lang w:val="en-US"/>
        </w:rPr>
        <w:t>notified quickly after the incident has occurred</w:t>
      </w:r>
      <w:r>
        <w:rPr>
          <w:lang w:val="en-US"/>
        </w:rPr>
        <w:t xml:space="preserve">, while other incidents of a relatively less serious </w:t>
      </w:r>
      <w:r w:rsidR="00DB4D49">
        <w:rPr>
          <w:lang w:val="en-US"/>
        </w:rPr>
        <w:t xml:space="preserve">nature </w:t>
      </w:r>
      <w:r>
        <w:rPr>
          <w:lang w:val="en-US"/>
        </w:rPr>
        <w:t>may only need to be reported to the regulator in a less urgent manner (</w:t>
      </w:r>
      <w:r w:rsidR="00414293">
        <w:rPr>
          <w:lang w:val="en-US"/>
        </w:rPr>
        <w:t>e.g.</w:t>
      </w:r>
      <w:r>
        <w:rPr>
          <w:lang w:val="en-US"/>
        </w:rPr>
        <w:t xml:space="preserve"> a</w:t>
      </w:r>
      <w:r w:rsidRPr="00F51BA2">
        <w:rPr>
          <w:lang w:val="en-US"/>
        </w:rPr>
        <w:t xml:space="preserve"> report to the regulator</w:t>
      </w:r>
      <w:r w:rsidR="00C61CDA">
        <w:rPr>
          <w:lang w:val="en-US"/>
        </w:rPr>
        <w:t xml:space="preserve"> on a monthly basis</w:t>
      </w:r>
      <w:r>
        <w:rPr>
          <w:lang w:val="en-US"/>
        </w:rPr>
        <w:t>)</w:t>
      </w:r>
      <w:r w:rsidRPr="00F51BA2">
        <w:rPr>
          <w:lang w:val="en-US"/>
        </w:rPr>
        <w:t xml:space="preserve">. </w:t>
      </w:r>
    </w:p>
    <w:p w14:paraId="3C9AD8AD" w14:textId="68A61932" w:rsidR="00991A50" w:rsidRDefault="0052531D" w:rsidP="00BB2F64">
      <w:pPr>
        <w:overflowPunct w:val="0"/>
        <w:autoSpaceDE w:val="0"/>
        <w:autoSpaceDN w:val="0"/>
        <w:adjustRightInd w:val="0"/>
        <w:spacing w:before="120" w:after="120"/>
        <w:textAlignment w:val="baseline"/>
        <w:rPr>
          <w:lang w:val="en-US"/>
        </w:rPr>
      </w:pPr>
      <w:r w:rsidRPr="005E1797">
        <w:rPr>
          <w:lang w:val="en-US"/>
        </w:rPr>
        <w:t>Information collected on bus safety incidents are used by TSV in a number of ways.</w:t>
      </w:r>
      <w:r w:rsidR="00F2228D" w:rsidRPr="005E1797">
        <w:rPr>
          <w:lang w:val="en-US"/>
        </w:rPr>
        <w:t xml:space="preserve"> Incidents reported to </w:t>
      </w:r>
      <w:r w:rsidR="001A5453">
        <w:rPr>
          <w:lang w:val="en-US"/>
        </w:rPr>
        <w:t xml:space="preserve">TSV </w:t>
      </w:r>
      <w:r w:rsidR="00F2228D" w:rsidRPr="005E1797">
        <w:rPr>
          <w:lang w:val="en-US"/>
        </w:rPr>
        <w:t>help</w:t>
      </w:r>
      <w:r w:rsidR="002438AE">
        <w:rPr>
          <w:lang w:val="en-US"/>
        </w:rPr>
        <w:t xml:space="preserve"> </w:t>
      </w:r>
      <w:r w:rsidR="001A5453">
        <w:rPr>
          <w:lang w:val="en-US"/>
        </w:rPr>
        <w:t>them</w:t>
      </w:r>
      <w:r w:rsidR="00F2228D" w:rsidRPr="005E1797">
        <w:rPr>
          <w:lang w:val="en-US"/>
        </w:rPr>
        <w:t xml:space="preserve"> identify current</w:t>
      </w:r>
      <w:r w:rsidR="002438AE">
        <w:rPr>
          <w:lang w:val="en-US"/>
        </w:rPr>
        <w:t xml:space="preserve"> </w:t>
      </w:r>
      <w:r w:rsidR="001A5453">
        <w:rPr>
          <w:lang w:val="en-US"/>
        </w:rPr>
        <w:t xml:space="preserve">or emerging bus </w:t>
      </w:r>
      <w:r w:rsidR="002438AE">
        <w:rPr>
          <w:lang w:val="en-US"/>
        </w:rPr>
        <w:t>safety</w:t>
      </w:r>
      <w:r w:rsidR="00F2228D" w:rsidRPr="005E1797">
        <w:rPr>
          <w:lang w:val="en-US"/>
        </w:rPr>
        <w:t xml:space="preserve"> issues in the bus industry</w:t>
      </w:r>
      <w:r w:rsidR="002438AE">
        <w:rPr>
          <w:lang w:val="en-US"/>
        </w:rPr>
        <w:t xml:space="preserve">. This </w:t>
      </w:r>
      <w:r w:rsidR="009158A6">
        <w:rPr>
          <w:lang w:val="en-US"/>
        </w:rPr>
        <w:t>enabl</w:t>
      </w:r>
      <w:r w:rsidR="00DA52E1">
        <w:rPr>
          <w:lang w:val="en-US"/>
        </w:rPr>
        <w:t xml:space="preserve">es </w:t>
      </w:r>
      <w:r w:rsidR="009158A6">
        <w:rPr>
          <w:lang w:val="en-US"/>
        </w:rPr>
        <w:t xml:space="preserve">TSV to target </w:t>
      </w:r>
      <w:r w:rsidR="00F2228D" w:rsidRPr="005E1797">
        <w:rPr>
          <w:lang w:val="en-US"/>
        </w:rPr>
        <w:t xml:space="preserve">compliance monitoring and enforcement </w:t>
      </w:r>
      <w:r w:rsidR="009158A6">
        <w:rPr>
          <w:lang w:val="en-US"/>
        </w:rPr>
        <w:t xml:space="preserve">activities. It also assists with informing future auditing efforts by TSV to investigate any possible breaches in safety duties under the </w:t>
      </w:r>
      <w:r w:rsidR="003A2F6F">
        <w:rPr>
          <w:lang w:val="en-US"/>
        </w:rPr>
        <w:t>Bus Safety Act</w:t>
      </w:r>
      <w:r w:rsidR="009158A6">
        <w:rPr>
          <w:lang w:val="en-US"/>
        </w:rPr>
        <w:t xml:space="preserve">. </w:t>
      </w:r>
    </w:p>
    <w:p w14:paraId="473FA809" w14:textId="692E87B9" w:rsidR="00991A50" w:rsidRDefault="009038B4" w:rsidP="00BB2F64">
      <w:pPr>
        <w:overflowPunct w:val="0"/>
        <w:autoSpaceDE w:val="0"/>
        <w:autoSpaceDN w:val="0"/>
        <w:adjustRightInd w:val="0"/>
        <w:spacing w:before="120" w:after="120"/>
        <w:textAlignment w:val="baseline"/>
        <w:rPr>
          <w:lang w:val="en-US"/>
        </w:rPr>
      </w:pPr>
      <w:r w:rsidRPr="005E1797">
        <w:rPr>
          <w:lang w:val="en-US"/>
        </w:rPr>
        <w:t>If TSV considers a particular incident to be serious in nature</w:t>
      </w:r>
      <w:r w:rsidR="00361147" w:rsidRPr="005E1797">
        <w:rPr>
          <w:lang w:val="en-US"/>
        </w:rPr>
        <w:t>, TSV wi</w:t>
      </w:r>
      <w:r w:rsidR="00435192">
        <w:rPr>
          <w:lang w:val="en-US"/>
        </w:rPr>
        <w:t>ll</w:t>
      </w:r>
      <w:r w:rsidR="00361147" w:rsidRPr="005E1797">
        <w:rPr>
          <w:lang w:val="en-US"/>
        </w:rPr>
        <w:t xml:space="preserve"> direct that an investigation take place</w:t>
      </w:r>
      <w:r w:rsidRPr="005E1797">
        <w:rPr>
          <w:lang w:val="en-US"/>
        </w:rPr>
        <w:t xml:space="preserve"> (</w:t>
      </w:r>
      <w:r w:rsidR="001C5A59">
        <w:rPr>
          <w:lang w:val="en-US"/>
        </w:rPr>
        <w:t>e.g.</w:t>
      </w:r>
      <w:r w:rsidR="00C3454C" w:rsidRPr="005E1797">
        <w:rPr>
          <w:lang w:val="en-US"/>
        </w:rPr>
        <w:t xml:space="preserve"> </w:t>
      </w:r>
      <w:r w:rsidRPr="005E1797">
        <w:rPr>
          <w:lang w:val="en-US"/>
        </w:rPr>
        <w:t xml:space="preserve">all bus rollaway </w:t>
      </w:r>
      <w:r w:rsidR="00C3454C" w:rsidRPr="005E1797">
        <w:rPr>
          <w:lang w:val="en-US"/>
        </w:rPr>
        <w:t>incidents report</w:t>
      </w:r>
      <w:r w:rsidR="00F2228D">
        <w:rPr>
          <w:lang w:val="en-US"/>
        </w:rPr>
        <w:t>ed</w:t>
      </w:r>
      <w:r w:rsidR="00C3454C" w:rsidRPr="005E1797">
        <w:rPr>
          <w:lang w:val="en-US"/>
        </w:rPr>
        <w:t xml:space="preserve"> to TSV are </w:t>
      </w:r>
      <w:r w:rsidRPr="005E1797">
        <w:rPr>
          <w:lang w:val="en-US"/>
        </w:rPr>
        <w:t>investigated as a matter of course</w:t>
      </w:r>
      <w:r w:rsidR="00FE3EDC">
        <w:rPr>
          <w:lang w:val="en-US"/>
        </w:rPr>
        <w:t xml:space="preserve"> due to the seriousness of</w:t>
      </w:r>
      <w:r w:rsidR="00F2228D">
        <w:rPr>
          <w:lang w:val="en-US"/>
        </w:rPr>
        <w:t xml:space="preserve"> the incident</w:t>
      </w:r>
      <w:r w:rsidRPr="005E1797">
        <w:rPr>
          <w:lang w:val="en-US"/>
        </w:rPr>
        <w:t>)</w:t>
      </w:r>
      <w:r w:rsidR="0052531D" w:rsidRPr="005E1797">
        <w:rPr>
          <w:lang w:val="en-US"/>
        </w:rPr>
        <w:t>.</w:t>
      </w:r>
      <w:r w:rsidR="00EC42BD" w:rsidRPr="005E1797">
        <w:rPr>
          <w:lang w:val="en-US"/>
        </w:rPr>
        <w:t xml:space="preserve"> </w:t>
      </w:r>
      <w:r w:rsidR="00F27840">
        <w:rPr>
          <w:lang w:val="en-US"/>
        </w:rPr>
        <w:t>An investigation may provide bus</w:t>
      </w:r>
      <w:r w:rsidR="00361147" w:rsidRPr="005E1797">
        <w:rPr>
          <w:lang w:val="en-US"/>
        </w:rPr>
        <w:t xml:space="preserve"> operators with intelligence to be able to put in place systems or procedures to </w:t>
      </w:r>
      <w:r w:rsidR="00F27840">
        <w:rPr>
          <w:lang w:val="en-US"/>
        </w:rPr>
        <w:t>minimise</w:t>
      </w:r>
      <w:r w:rsidR="00361147" w:rsidRPr="005E1797">
        <w:rPr>
          <w:lang w:val="en-US"/>
        </w:rPr>
        <w:t xml:space="preserve"> similar future incidents from occurring</w:t>
      </w:r>
      <w:r w:rsidR="004F16D7">
        <w:rPr>
          <w:lang w:val="en-US"/>
        </w:rPr>
        <w:t>. Identifying areas of safety concerns may also assist TSV with devising no</w:t>
      </w:r>
      <w:r w:rsidR="00990014">
        <w:rPr>
          <w:lang w:val="en-US"/>
        </w:rPr>
        <w:t>n-</w:t>
      </w:r>
      <w:r w:rsidR="004F16D7">
        <w:rPr>
          <w:lang w:val="en-US"/>
        </w:rPr>
        <w:t>regulatory actions in response</w:t>
      </w:r>
      <w:r w:rsidR="00990014">
        <w:rPr>
          <w:lang w:val="en-US"/>
        </w:rPr>
        <w:t xml:space="preserve"> to </w:t>
      </w:r>
      <w:r w:rsidR="00875288">
        <w:rPr>
          <w:lang w:val="en-US"/>
        </w:rPr>
        <w:t>emerging</w:t>
      </w:r>
      <w:r w:rsidR="00990014">
        <w:rPr>
          <w:lang w:val="en-US"/>
        </w:rPr>
        <w:t xml:space="preserve"> bus safety issues,</w:t>
      </w:r>
      <w:r w:rsidR="004F16D7">
        <w:rPr>
          <w:lang w:val="en-US"/>
        </w:rPr>
        <w:t xml:space="preserve"> such as promoting education campaigns to </w:t>
      </w:r>
      <w:r w:rsidR="00B11ED1">
        <w:rPr>
          <w:lang w:val="en-US"/>
        </w:rPr>
        <w:t>minimise b</w:t>
      </w:r>
      <w:r w:rsidR="004F16D7">
        <w:rPr>
          <w:lang w:val="en-US"/>
        </w:rPr>
        <w:t xml:space="preserve">us safety incidents.  </w:t>
      </w:r>
    </w:p>
    <w:p w14:paraId="33C82D3F" w14:textId="31E4637B" w:rsidR="00BB2F64" w:rsidRDefault="00BB2F64" w:rsidP="00BB2F64">
      <w:pPr>
        <w:overflowPunct w:val="0"/>
        <w:autoSpaceDE w:val="0"/>
        <w:autoSpaceDN w:val="0"/>
        <w:adjustRightInd w:val="0"/>
        <w:spacing w:before="120" w:after="120"/>
        <w:textAlignment w:val="baseline"/>
        <w:rPr>
          <w:lang w:val="en-US"/>
        </w:rPr>
      </w:pPr>
      <w:r>
        <w:rPr>
          <w:lang w:val="en-US"/>
        </w:rPr>
        <w:t>O</w:t>
      </w:r>
      <w:r w:rsidRPr="00F51BA2">
        <w:rPr>
          <w:lang w:val="en-US"/>
        </w:rPr>
        <w:t xml:space="preserve">ne option could be to require </w:t>
      </w:r>
      <w:r>
        <w:rPr>
          <w:lang w:val="en-US"/>
        </w:rPr>
        <w:t xml:space="preserve">certain incidents </w:t>
      </w:r>
      <w:r w:rsidR="00573A9F">
        <w:rPr>
          <w:lang w:val="en-US"/>
        </w:rPr>
        <w:t xml:space="preserve">to </w:t>
      </w:r>
      <w:r>
        <w:rPr>
          <w:lang w:val="en-US"/>
        </w:rPr>
        <w:t xml:space="preserve">be notified to the Safety Director orally as soon as the bus operator is aware of the incident. </w:t>
      </w:r>
      <w:r w:rsidRPr="00F51BA2">
        <w:rPr>
          <w:lang w:val="en-US"/>
        </w:rPr>
        <w:t>Taking a similar requirement in other safety schemes</w:t>
      </w:r>
      <w:r w:rsidR="00381B43">
        <w:rPr>
          <w:lang w:val="en-US"/>
        </w:rPr>
        <w:t xml:space="preserve"> (e.g. the </w:t>
      </w:r>
      <w:r w:rsidR="00170A66" w:rsidRPr="001B6E44">
        <w:rPr>
          <w:i/>
          <w:iCs/>
          <w:lang w:val="en-US"/>
        </w:rPr>
        <w:t xml:space="preserve">Rail Safety </w:t>
      </w:r>
      <w:r w:rsidR="004560A1" w:rsidRPr="001B6E44">
        <w:rPr>
          <w:i/>
          <w:iCs/>
          <w:lang w:val="en-US"/>
        </w:rPr>
        <w:t xml:space="preserve">National </w:t>
      </w:r>
      <w:r w:rsidR="00170A66" w:rsidRPr="001B6E44">
        <w:rPr>
          <w:i/>
          <w:iCs/>
          <w:lang w:val="en-US"/>
        </w:rPr>
        <w:t>Law</w:t>
      </w:r>
      <w:r w:rsidR="00170A66">
        <w:rPr>
          <w:lang w:val="en-US"/>
        </w:rPr>
        <w:t>)</w:t>
      </w:r>
      <w:r>
        <w:rPr>
          <w:lang w:val="en-US"/>
        </w:rPr>
        <w:t xml:space="preserve">, this oral notification can be followed up with a written notification of the bus incident </w:t>
      </w:r>
      <w:r w:rsidRPr="00F51BA2">
        <w:rPr>
          <w:lang w:val="en-US"/>
        </w:rPr>
        <w:t>within 72 hours of an incident occurring</w:t>
      </w:r>
      <w:r w:rsidR="00EA0AAA">
        <w:rPr>
          <w:lang w:val="en-US"/>
        </w:rPr>
        <w:t xml:space="preserve"> to ensure that all </w:t>
      </w:r>
      <w:r w:rsidR="008A416E">
        <w:rPr>
          <w:lang w:val="en-US"/>
        </w:rPr>
        <w:t xml:space="preserve">relevant </w:t>
      </w:r>
      <w:r w:rsidR="00EA0AAA">
        <w:rPr>
          <w:lang w:val="en-US"/>
        </w:rPr>
        <w:t>information is captured in an accessible and</w:t>
      </w:r>
      <w:r w:rsidR="007732C6">
        <w:rPr>
          <w:lang w:val="en-US"/>
        </w:rPr>
        <w:t xml:space="preserve"> easy to examine</w:t>
      </w:r>
      <w:r w:rsidR="00435192">
        <w:rPr>
          <w:lang w:val="en-US"/>
        </w:rPr>
        <w:t xml:space="preserve"> format</w:t>
      </w:r>
      <w:r w:rsidRPr="00F51BA2">
        <w:rPr>
          <w:lang w:val="en-US"/>
        </w:rPr>
        <w:t>.</w:t>
      </w:r>
      <w:r w:rsidR="0067185B">
        <w:rPr>
          <w:lang w:val="en-US"/>
        </w:rPr>
        <w:t xml:space="preserve"> </w:t>
      </w:r>
      <w:r w:rsidR="0043167F">
        <w:rPr>
          <w:lang w:val="en-US"/>
        </w:rPr>
        <w:t xml:space="preserve">This </w:t>
      </w:r>
      <w:r w:rsidR="00386E64">
        <w:rPr>
          <w:lang w:val="en-US"/>
        </w:rPr>
        <w:t>may</w:t>
      </w:r>
      <w:r w:rsidR="0043167F">
        <w:rPr>
          <w:lang w:val="en-US"/>
        </w:rPr>
        <w:t xml:space="preserve"> </w:t>
      </w:r>
      <w:r w:rsidR="00435192">
        <w:rPr>
          <w:lang w:val="en-US"/>
        </w:rPr>
        <w:t xml:space="preserve">be </w:t>
      </w:r>
      <w:r w:rsidR="0043167F">
        <w:rPr>
          <w:lang w:val="en-US"/>
        </w:rPr>
        <w:t xml:space="preserve">important in situations where the operator </w:t>
      </w:r>
      <w:r w:rsidR="0028093E">
        <w:rPr>
          <w:lang w:val="en-US"/>
        </w:rPr>
        <w:t>is</w:t>
      </w:r>
      <w:r w:rsidR="0043167F">
        <w:rPr>
          <w:lang w:val="en-US"/>
        </w:rPr>
        <w:t xml:space="preserve"> not in a position to provide all the details of the incident </w:t>
      </w:r>
      <w:r w:rsidR="00D2740B">
        <w:rPr>
          <w:lang w:val="en-US"/>
        </w:rPr>
        <w:t xml:space="preserve">immediately </w:t>
      </w:r>
      <w:r w:rsidR="00B22B36">
        <w:rPr>
          <w:lang w:val="en-US"/>
        </w:rPr>
        <w:t>(e.g. if police or an ambulance is in attendance, the operator may not be</w:t>
      </w:r>
      <w:r w:rsidR="00D10E3B">
        <w:rPr>
          <w:lang w:val="en-US"/>
        </w:rPr>
        <w:t xml:space="preserve"> able to ascertain immediately</w:t>
      </w:r>
      <w:r w:rsidR="00B22B36">
        <w:rPr>
          <w:lang w:val="en-US"/>
        </w:rPr>
        <w:t xml:space="preserve"> whether a fatality or serious injury has occurred) </w:t>
      </w:r>
      <w:r w:rsidR="0043167F">
        <w:rPr>
          <w:lang w:val="en-US"/>
        </w:rPr>
        <w:t>while also</w:t>
      </w:r>
      <w:r w:rsidR="002B52EA">
        <w:rPr>
          <w:lang w:val="en-US"/>
        </w:rPr>
        <w:t xml:space="preserve"> balanc</w:t>
      </w:r>
      <w:r w:rsidR="00435192">
        <w:rPr>
          <w:lang w:val="en-US"/>
        </w:rPr>
        <w:t>ing</w:t>
      </w:r>
      <w:r w:rsidR="0043167F">
        <w:rPr>
          <w:lang w:val="en-US"/>
        </w:rPr>
        <w:t xml:space="preserve"> the need for the </w:t>
      </w:r>
      <w:r w:rsidR="002507FE">
        <w:rPr>
          <w:lang w:val="en-US"/>
        </w:rPr>
        <w:t xml:space="preserve">Safety Director </w:t>
      </w:r>
      <w:r w:rsidR="0043167F">
        <w:rPr>
          <w:lang w:val="en-US"/>
        </w:rPr>
        <w:t xml:space="preserve">to be </w:t>
      </w:r>
      <w:r w:rsidR="002507FE">
        <w:rPr>
          <w:lang w:val="en-US"/>
        </w:rPr>
        <w:t xml:space="preserve">made aware of the </w:t>
      </w:r>
      <w:r w:rsidR="0043167F">
        <w:rPr>
          <w:lang w:val="en-US"/>
        </w:rPr>
        <w:t>incident in a timely manner</w:t>
      </w:r>
      <w:r w:rsidR="002B52EA">
        <w:rPr>
          <w:lang w:val="en-US"/>
        </w:rPr>
        <w:t xml:space="preserve">. This puts the Safety Director in a position to be able to begin an investigation of the incident immediately, while </w:t>
      </w:r>
      <w:r w:rsidR="005A60F9">
        <w:rPr>
          <w:lang w:val="en-US"/>
        </w:rPr>
        <w:t xml:space="preserve">giving </w:t>
      </w:r>
      <w:r w:rsidR="002B52EA">
        <w:rPr>
          <w:lang w:val="en-US"/>
        </w:rPr>
        <w:t>the operator time to provide full details of the incident with</w:t>
      </w:r>
      <w:r w:rsidR="0028093E">
        <w:rPr>
          <w:lang w:val="en-US"/>
        </w:rPr>
        <w:t>in</w:t>
      </w:r>
      <w:r w:rsidR="002B52EA">
        <w:rPr>
          <w:lang w:val="en-US"/>
        </w:rPr>
        <w:t xml:space="preserve"> a short (but not immediate) </w:t>
      </w:r>
      <w:r w:rsidR="00BC631B">
        <w:rPr>
          <w:lang w:val="en-US"/>
        </w:rPr>
        <w:t>timeframe</w:t>
      </w:r>
      <w:r w:rsidR="002B52EA">
        <w:rPr>
          <w:lang w:val="en-US"/>
        </w:rPr>
        <w:t>.</w:t>
      </w:r>
      <w:r w:rsidRPr="00F51BA2">
        <w:rPr>
          <w:lang w:val="en-US"/>
        </w:rPr>
        <w:t xml:space="preserve"> An alternative that could be considered is </w:t>
      </w:r>
      <w:r w:rsidR="00D372AA">
        <w:rPr>
          <w:lang w:val="en-US"/>
        </w:rPr>
        <w:t>for the operator to have</w:t>
      </w:r>
      <w:r w:rsidRPr="00F51BA2">
        <w:rPr>
          <w:lang w:val="en-US"/>
        </w:rPr>
        <w:t xml:space="preserve"> one week to </w:t>
      </w:r>
      <w:r>
        <w:rPr>
          <w:lang w:val="en-US"/>
        </w:rPr>
        <w:t>provide a written notification</w:t>
      </w:r>
      <w:r w:rsidR="00B91D89">
        <w:rPr>
          <w:lang w:val="en-US"/>
        </w:rPr>
        <w:t>.</w:t>
      </w:r>
      <w:r w:rsidR="0067185B">
        <w:rPr>
          <w:lang w:val="en-US"/>
        </w:rPr>
        <w:t xml:space="preserve"> </w:t>
      </w:r>
      <w:r w:rsidR="00BE374E">
        <w:rPr>
          <w:lang w:val="en-US"/>
        </w:rPr>
        <w:t xml:space="preserve">A written notification also </w:t>
      </w:r>
      <w:r w:rsidR="0067185B">
        <w:rPr>
          <w:lang w:val="en-US"/>
        </w:rPr>
        <w:t>ensures that there is a paper trail of evidence to demonstrate that the bus operator fulfilled their duty to notify the regulator in the event of a bus safety incident.</w:t>
      </w:r>
    </w:p>
    <w:p w14:paraId="700B2D3C" w14:textId="77CB6C31" w:rsidR="001639E6" w:rsidRDefault="00BB2F64" w:rsidP="00BB2F64">
      <w:pPr>
        <w:overflowPunct w:val="0"/>
        <w:autoSpaceDE w:val="0"/>
        <w:autoSpaceDN w:val="0"/>
        <w:adjustRightInd w:val="0"/>
        <w:spacing w:before="120" w:after="120"/>
        <w:textAlignment w:val="baseline"/>
        <w:rPr>
          <w:lang w:val="en-US"/>
        </w:rPr>
      </w:pPr>
      <w:r>
        <w:rPr>
          <w:lang w:val="en-US"/>
        </w:rPr>
        <w:t xml:space="preserve">Other incidents </w:t>
      </w:r>
      <w:r w:rsidR="00604BC6">
        <w:rPr>
          <w:lang w:val="en-US"/>
        </w:rPr>
        <w:t xml:space="preserve">that are considered </w:t>
      </w:r>
      <w:r w:rsidR="006A5747">
        <w:rPr>
          <w:lang w:val="en-US"/>
        </w:rPr>
        <w:t xml:space="preserve">less serious in nature </w:t>
      </w:r>
      <w:r>
        <w:rPr>
          <w:lang w:val="en-US"/>
        </w:rPr>
        <w:t>may require less urgent notification and could be provided as a written notification</w:t>
      </w:r>
      <w:r w:rsidR="00D372AA">
        <w:rPr>
          <w:lang w:val="en-US"/>
        </w:rPr>
        <w:t xml:space="preserve"> only</w:t>
      </w:r>
      <w:r>
        <w:rPr>
          <w:lang w:val="en-US"/>
        </w:rPr>
        <w:t xml:space="preserve"> </w:t>
      </w:r>
      <w:r w:rsidR="00EA37F1">
        <w:rPr>
          <w:lang w:val="en-US"/>
        </w:rPr>
        <w:t xml:space="preserve">within a short timeframe (e.g. within 72 hours) </w:t>
      </w:r>
      <w:r>
        <w:rPr>
          <w:lang w:val="en-US"/>
        </w:rPr>
        <w:t>after the operator becomes aware of the safety incident.</w:t>
      </w:r>
      <w:r w:rsidR="00DD50EE">
        <w:rPr>
          <w:lang w:val="en-US"/>
        </w:rPr>
        <w:t xml:space="preserve"> </w:t>
      </w:r>
    </w:p>
    <w:p w14:paraId="7147A4A2" w14:textId="52028877" w:rsidR="002C0222" w:rsidRDefault="00DD50EE" w:rsidP="00BB2F64">
      <w:pPr>
        <w:overflowPunct w:val="0"/>
        <w:autoSpaceDE w:val="0"/>
        <w:autoSpaceDN w:val="0"/>
        <w:adjustRightInd w:val="0"/>
        <w:spacing w:before="120" w:after="120"/>
        <w:textAlignment w:val="baseline"/>
        <w:rPr>
          <w:lang w:val="en-US"/>
        </w:rPr>
      </w:pPr>
      <w:r>
        <w:rPr>
          <w:lang w:val="en-US"/>
        </w:rPr>
        <w:t xml:space="preserve">Furthermore, </w:t>
      </w:r>
      <w:r w:rsidR="001639E6">
        <w:rPr>
          <w:lang w:val="en-US"/>
        </w:rPr>
        <w:t>a third category of incidents that are considered to be relatively</w:t>
      </w:r>
      <w:r>
        <w:rPr>
          <w:lang w:val="en-US"/>
        </w:rPr>
        <w:t xml:space="preserve"> minor in nature </w:t>
      </w:r>
      <w:r w:rsidR="001639E6">
        <w:rPr>
          <w:lang w:val="en-US"/>
        </w:rPr>
        <w:t>and consequence</w:t>
      </w:r>
      <w:r w:rsidR="00EA37F1">
        <w:rPr>
          <w:lang w:val="en-US"/>
        </w:rPr>
        <w:t xml:space="preserve"> may not need to be reported individually within a short timeframe after the operator becomes aware of the incident. </w:t>
      </w:r>
      <w:r w:rsidR="00A4220E">
        <w:rPr>
          <w:lang w:val="en-US"/>
        </w:rPr>
        <w:t>These may include incidents which are still important</w:t>
      </w:r>
      <w:r w:rsidR="00EA37F1">
        <w:rPr>
          <w:lang w:val="en-US"/>
        </w:rPr>
        <w:t xml:space="preserve"> for the Safety</w:t>
      </w:r>
      <w:r>
        <w:rPr>
          <w:lang w:val="en-US"/>
        </w:rPr>
        <w:t xml:space="preserve"> Director to be aware of (such as for </w:t>
      </w:r>
      <w:r w:rsidR="00845F9A">
        <w:rPr>
          <w:lang w:val="en-US"/>
        </w:rPr>
        <w:t xml:space="preserve">the purposes of </w:t>
      </w:r>
      <w:r>
        <w:rPr>
          <w:lang w:val="en-US"/>
        </w:rPr>
        <w:t>risk-based compliance monitoring</w:t>
      </w:r>
      <w:r w:rsidR="007454D6">
        <w:rPr>
          <w:lang w:val="en-US"/>
        </w:rPr>
        <w:t xml:space="preserve"> and monitoring trends in bus safety</w:t>
      </w:r>
      <w:r>
        <w:rPr>
          <w:lang w:val="en-US"/>
        </w:rPr>
        <w:t xml:space="preserve">), </w:t>
      </w:r>
      <w:r w:rsidR="00EA37F1">
        <w:rPr>
          <w:lang w:val="en-US"/>
        </w:rPr>
        <w:t>but for which the</w:t>
      </w:r>
      <w:r>
        <w:rPr>
          <w:lang w:val="en-US"/>
        </w:rPr>
        <w:t xml:space="preserve"> timeliness of knowing the information is of less importa</w:t>
      </w:r>
      <w:r w:rsidR="00AD2473">
        <w:rPr>
          <w:lang w:val="en-US"/>
        </w:rPr>
        <w:t>nce. Consultation with TSV indicated that certain incidents, such</w:t>
      </w:r>
      <w:r w:rsidR="00691907">
        <w:rPr>
          <w:lang w:val="en-US"/>
        </w:rPr>
        <w:t xml:space="preserve"> as</w:t>
      </w:r>
      <w:r w:rsidR="00AD2473">
        <w:rPr>
          <w:lang w:val="en-US"/>
        </w:rPr>
        <w:t xml:space="preserve"> </w:t>
      </w:r>
      <w:r w:rsidR="007A26FF">
        <w:rPr>
          <w:lang w:val="en-US"/>
        </w:rPr>
        <w:t xml:space="preserve">less serious </w:t>
      </w:r>
      <w:r w:rsidR="00EC31BB">
        <w:rPr>
          <w:lang w:val="en-US"/>
        </w:rPr>
        <w:t>incidents</w:t>
      </w:r>
      <w:r w:rsidR="007A26FF">
        <w:rPr>
          <w:lang w:val="en-US"/>
        </w:rPr>
        <w:t xml:space="preserve"> involving the attendance by a police officer or health professional</w:t>
      </w:r>
      <w:r w:rsidR="009402B6">
        <w:rPr>
          <w:lang w:val="en-US"/>
        </w:rPr>
        <w:t xml:space="preserve"> (of which there </w:t>
      </w:r>
      <w:r w:rsidR="00E25B4B">
        <w:rPr>
          <w:lang w:val="en-US"/>
        </w:rPr>
        <w:t xml:space="preserve">was </w:t>
      </w:r>
      <w:r w:rsidR="009402B6">
        <w:rPr>
          <w:lang w:val="en-US"/>
        </w:rPr>
        <w:t>no serious consequenc</w:t>
      </w:r>
      <w:r w:rsidR="00E25B4B">
        <w:rPr>
          <w:lang w:val="en-US"/>
        </w:rPr>
        <w:t>e)</w:t>
      </w:r>
      <w:r w:rsidR="007A26FF">
        <w:rPr>
          <w:lang w:val="en-US"/>
        </w:rPr>
        <w:t>, an alleged assault witness</w:t>
      </w:r>
      <w:r w:rsidR="00EC31BB">
        <w:rPr>
          <w:lang w:val="en-US"/>
        </w:rPr>
        <w:t>ed</w:t>
      </w:r>
      <w:r w:rsidR="007A26FF">
        <w:rPr>
          <w:lang w:val="en-US"/>
        </w:rPr>
        <w:t xml:space="preserve"> by a bus driver or minor property damage</w:t>
      </w:r>
      <w:r w:rsidR="00C913B9">
        <w:rPr>
          <w:lang w:val="en-US"/>
        </w:rPr>
        <w:t xml:space="preserve">, only need to be reported to the Safety Director </w:t>
      </w:r>
      <w:r w:rsidR="00C22F5E">
        <w:rPr>
          <w:lang w:val="en-US"/>
        </w:rPr>
        <w:t>as part of a group report</w:t>
      </w:r>
      <w:r w:rsidR="00C913B9">
        <w:rPr>
          <w:lang w:val="en-US"/>
        </w:rPr>
        <w:t xml:space="preserve"> (e.g. monthly reportin</w:t>
      </w:r>
      <w:r w:rsidR="00A600BE">
        <w:rPr>
          <w:lang w:val="en-US"/>
        </w:rPr>
        <w:t>g</w:t>
      </w:r>
      <w:r w:rsidR="00A4220E">
        <w:rPr>
          <w:lang w:val="en-US"/>
        </w:rPr>
        <w:t xml:space="preserve">). </w:t>
      </w:r>
    </w:p>
    <w:p w14:paraId="46935D61" w14:textId="18BB5954" w:rsidR="00BB2F64" w:rsidRPr="001C2DC0" w:rsidRDefault="00BB2F64" w:rsidP="0095677C">
      <w:pPr>
        <w:pStyle w:val="Heading5"/>
      </w:pPr>
      <w:bookmarkStart w:id="508" w:name="_Toc32909823"/>
      <w:r w:rsidRPr="001C2DC0">
        <w:lastRenderedPageBreak/>
        <w:t>Manner in which the regulator should be notified of a prescribed incident</w:t>
      </w:r>
      <w:bookmarkEnd w:id="508"/>
    </w:p>
    <w:p w14:paraId="1E722ABB" w14:textId="001AC7EB" w:rsidR="00BB2F64" w:rsidRPr="00F51BA2" w:rsidRDefault="003306EC" w:rsidP="00BB2F64">
      <w:pPr>
        <w:overflowPunct w:val="0"/>
        <w:autoSpaceDE w:val="0"/>
        <w:autoSpaceDN w:val="0"/>
        <w:adjustRightInd w:val="0"/>
        <w:spacing w:before="120" w:after="120"/>
        <w:textAlignment w:val="baseline"/>
        <w:rPr>
          <w:lang w:val="en-US"/>
        </w:rPr>
      </w:pPr>
      <w:r>
        <w:rPr>
          <w:lang w:val="en-US"/>
        </w:rPr>
        <w:t xml:space="preserve">There is a minimum level of information the </w:t>
      </w:r>
      <w:r w:rsidR="00BB2F64">
        <w:rPr>
          <w:lang w:val="en-US"/>
        </w:rPr>
        <w:t>Safety Director</w:t>
      </w:r>
      <w:r w:rsidR="00BB2F64" w:rsidRPr="00F51BA2">
        <w:rPr>
          <w:lang w:val="en-US"/>
        </w:rPr>
        <w:t xml:space="preserve"> </w:t>
      </w:r>
      <w:r>
        <w:rPr>
          <w:lang w:val="en-US"/>
        </w:rPr>
        <w:t>r</w:t>
      </w:r>
      <w:r w:rsidR="00BB2F64" w:rsidRPr="00F51BA2">
        <w:rPr>
          <w:lang w:val="en-US"/>
        </w:rPr>
        <w:t>equire</w:t>
      </w:r>
      <w:r>
        <w:rPr>
          <w:lang w:val="en-US"/>
        </w:rPr>
        <w:t xml:space="preserve">s </w:t>
      </w:r>
      <w:r w:rsidR="00BB2F64" w:rsidRPr="00F51BA2">
        <w:rPr>
          <w:lang w:val="en-US"/>
        </w:rPr>
        <w:t>to assess whether</w:t>
      </w:r>
      <w:r w:rsidR="001C6F58">
        <w:rPr>
          <w:lang w:val="en-US"/>
        </w:rPr>
        <w:t xml:space="preserve"> there is a breach of </w:t>
      </w:r>
      <w:r w:rsidR="00B202A6">
        <w:rPr>
          <w:lang w:val="en-US"/>
        </w:rPr>
        <w:t>a duty holder</w:t>
      </w:r>
      <w:r w:rsidR="006843EF">
        <w:rPr>
          <w:lang w:val="en-US"/>
        </w:rPr>
        <w:t>’</w:t>
      </w:r>
      <w:r w:rsidR="00B202A6">
        <w:rPr>
          <w:lang w:val="en-US"/>
        </w:rPr>
        <w:t>s safety</w:t>
      </w:r>
      <w:r w:rsidR="001C6F58">
        <w:rPr>
          <w:lang w:val="en-US"/>
        </w:rPr>
        <w:t xml:space="preserve"> duties or whether</w:t>
      </w:r>
      <w:r w:rsidR="00BB2F64" w:rsidRPr="00F51BA2">
        <w:rPr>
          <w:lang w:val="en-US"/>
        </w:rPr>
        <w:t xml:space="preserve"> to proceed with an investigation. A notification should contain enough information about the service (e.g. who the driver was, which vehicle was used to provide the service etc</w:t>
      </w:r>
      <w:r w:rsidR="00BB2F64">
        <w:rPr>
          <w:lang w:val="en-US"/>
        </w:rPr>
        <w:t>.</w:t>
      </w:r>
      <w:r w:rsidR="00BB2F64" w:rsidRPr="00F51BA2">
        <w:rPr>
          <w:lang w:val="en-US"/>
        </w:rPr>
        <w:t>)</w:t>
      </w:r>
      <w:r w:rsidR="00E94D83">
        <w:rPr>
          <w:lang w:val="en-US"/>
        </w:rPr>
        <w:t xml:space="preserve"> for the Safety Director to make an appropriate choice on what action to take, if required</w:t>
      </w:r>
      <w:r w:rsidR="00BB2F64" w:rsidRPr="00F51BA2">
        <w:rPr>
          <w:lang w:val="en-US"/>
        </w:rPr>
        <w:t>.</w:t>
      </w:r>
    </w:p>
    <w:p w14:paraId="1CDE0F45" w14:textId="463A1007" w:rsidR="00BB2F64" w:rsidRDefault="00BB2F64" w:rsidP="00BB2F64">
      <w:pPr>
        <w:overflowPunct w:val="0"/>
        <w:autoSpaceDE w:val="0"/>
        <w:autoSpaceDN w:val="0"/>
        <w:adjustRightInd w:val="0"/>
        <w:spacing w:before="120" w:after="120"/>
        <w:textAlignment w:val="baseline"/>
        <w:rPr>
          <w:lang w:val="en-US"/>
        </w:rPr>
      </w:pPr>
      <w:r w:rsidRPr="00F51BA2">
        <w:rPr>
          <w:lang w:val="en-US"/>
        </w:rPr>
        <w:t>The regulations could prescribe the specific matters that must be provided when an incident happens, and a notification is made. Alternatively, the regulations could specify that a notification must be made in the manner and form determined by the regulator.</w:t>
      </w:r>
      <w:r w:rsidR="00A448AD">
        <w:rPr>
          <w:lang w:val="en-US"/>
        </w:rPr>
        <w:t xml:space="preserve"> While the latter provides</w:t>
      </w:r>
      <w:r w:rsidR="00A47107">
        <w:rPr>
          <w:lang w:val="en-US"/>
        </w:rPr>
        <w:t xml:space="preserve"> </w:t>
      </w:r>
      <w:r w:rsidR="00DE6172">
        <w:rPr>
          <w:lang w:val="en-US"/>
        </w:rPr>
        <w:t>greater</w:t>
      </w:r>
      <w:r w:rsidR="00D44FDF">
        <w:rPr>
          <w:lang w:val="en-US"/>
        </w:rPr>
        <w:t xml:space="preserve"> </w:t>
      </w:r>
      <w:r w:rsidR="00A47107">
        <w:rPr>
          <w:lang w:val="en-US"/>
        </w:rPr>
        <w:t>flexibility to the Safety Director</w:t>
      </w:r>
      <w:r w:rsidR="00A448AD">
        <w:rPr>
          <w:lang w:val="en-US"/>
        </w:rPr>
        <w:t xml:space="preserve"> in terms of the information they can require and how the information is received from the bus operator in relation to a bus safety incident, it does reduce an operator’s certainty on the incident notification process. However, given the notification is to be made on matters relating to a bus safety incidents, it is reasonable for the operators to assume the types of information the Safety Director will require will be based on gathering information relating to the “what”, “who”, “when”, “how” and “why”</w:t>
      </w:r>
      <w:r w:rsidR="00A47107">
        <w:rPr>
          <w:lang w:val="en-US"/>
        </w:rPr>
        <w:t xml:space="preserve">. </w:t>
      </w:r>
    </w:p>
    <w:p w14:paraId="185298CF" w14:textId="77777777" w:rsidR="00641F4E" w:rsidRPr="001C2DC0" w:rsidRDefault="00641F4E" w:rsidP="0095677C">
      <w:pPr>
        <w:pStyle w:val="Heading5"/>
      </w:pPr>
      <w:r w:rsidRPr="001C2DC0">
        <w:t>Summary</w:t>
      </w:r>
    </w:p>
    <w:p w14:paraId="0D3CF437" w14:textId="77777777" w:rsidR="00AD17BB" w:rsidRDefault="00641F4E" w:rsidP="00641F4E">
      <w:r>
        <w:t xml:space="preserve">DoT has considered a range of options for the industry notifying the regulator of the occurrence of a bus incident. </w:t>
      </w:r>
    </w:p>
    <w:p w14:paraId="33BCED74" w14:textId="2597AAFE" w:rsidR="00641F4E" w:rsidRDefault="001B1CF5" w:rsidP="00641F4E">
      <w:r>
        <w:t xml:space="preserve">Based on the above considerations, </w:t>
      </w:r>
      <w:r w:rsidR="00AD17BB">
        <w:t xml:space="preserve">Section </w:t>
      </w:r>
      <w:r w:rsidR="00AD17BB">
        <w:fldChar w:fldCharType="begin"/>
      </w:r>
      <w:r w:rsidR="00AD17BB">
        <w:instrText xml:space="preserve"> REF _Ref41819690 \r \h </w:instrText>
      </w:r>
      <w:r w:rsidR="00AD17BB">
        <w:fldChar w:fldCharType="separate"/>
      </w:r>
      <w:r w:rsidR="00277F6E">
        <w:t>7.3</w:t>
      </w:r>
      <w:r w:rsidR="00AD17BB">
        <w:fldChar w:fldCharType="end"/>
      </w:r>
      <w:r w:rsidR="00EB5C37">
        <w:t xml:space="preserve"> further</w:t>
      </w:r>
      <w:r w:rsidR="00641F4E">
        <w:t xml:space="preserve"> assess</w:t>
      </w:r>
      <w:r w:rsidR="00AD17BB">
        <w:t>es</w:t>
      </w:r>
      <w:r w:rsidR="00641F4E">
        <w:t xml:space="preserve"> the impact of regulations which require bus operators to report incidents to the regulator</w:t>
      </w:r>
      <w:r w:rsidR="00FA2A66">
        <w:t xml:space="preserve">. </w:t>
      </w:r>
      <w:r w:rsidR="00B37277">
        <w:t>The</w:t>
      </w:r>
      <w:r w:rsidR="00641F4E">
        <w:t xml:space="preserve"> </w:t>
      </w:r>
      <w:r w:rsidR="00FA2A66">
        <w:t xml:space="preserve">type of </w:t>
      </w:r>
      <w:r w:rsidR="00641F4E">
        <w:t>incidents required to be notified to the Safety Director under the proposed regulations will be similar to the incidents required to be notified to the Safety Director under the current Bus Safety Regulations</w:t>
      </w:r>
      <w:r w:rsidR="00B37277">
        <w:t xml:space="preserve"> (status quo)</w:t>
      </w:r>
      <w:r w:rsidR="00641F4E">
        <w:t>.</w:t>
      </w:r>
    </w:p>
    <w:p w14:paraId="470C871A" w14:textId="6F0C1248" w:rsidR="001467D0" w:rsidRDefault="00D52785" w:rsidP="00641F4E">
      <w:r>
        <w:t xml:space="preserve">DoT will further consider in </w:t>
      </w:r>
      <w:r w:rsidR="005D7587">
        <w:t>the</w:t>
      </w:r>
      <w:r>
        <w:t xml:space="preserve"> option</w:t>
      </w:r>
      <w:r w:rsidR="001467D0">
        <w:t>s subcategori</w:t>
      </w:r>
      <w:r w:rsidR="00BB6626">
        <w:t>es of</w:t>
      </w:r>
      <w:r w:rsidR="001467D0">
        <w:t xml:space="preserve"> when an incident needs to be notified to the Safety Director</w:t>
      </w:r>
      <w:r w:rsidR="00285AC8">
        <w:t xml:space="preserve">, </w:t>
      </w:r>
      <w:r w:rsidR="001467D0">
        <w:t>based on the seriousness of the incidents</w:t>
      </w:r>
      <w:r w:rsidR="00285AC8">
        <w:t xml:space="preserve">, as </w:t>
      </w:r>
      <w:r w:rsidR="001467D0">
        <w:t>follows:</w:t>
      </w:r>
    </w:p>
    <w:p w14:paraId="33A13999" w14:textId="6DD9F62F" w:rsidR="001467D0" w:rsidRPr="003B31E8" w:rsidRDefault="001467D0"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oral notification, as well as written notification within 72 hours (status quo</w:t>
      </w:r>
      <w:r w:rsidR="00AF177E" w:rsidRPr="003B31E8">
        <w:rPr>
          <w:rFonts w:asciiTheme="minorHAnsi" w:hAnsiTheme="minorHAnsi" w:cstheme="minorHAnsi"/>
          <w:color w:val="auto"/>
          <w:sz w:val="20"/>
          <w:szCs w:val="20"/>
        </w:rPr>
        <w:t xml:space="preserve"> for all notification</w:t>
      </w:r>
      <w:r w:rsidR="000A14E6" w:rsidRPr="003B31E8">
        <w:rPr>
          <w:rFonts w:asciiTheme="minorHAnsi" w:hAnsiTheme="minorHAnsi" w:cstheme="minorHAnsi"/>
          <w:color w:val="auto"/>
          <w:sz w:val="20"/>
          <w:szCs w:val="20"/>
        </w:rPr>
        <w:t>s</w:t>
      </w:r>
      <w:r w:rsidRPr="003B31E8">
        <w:rPr>
          <w:rFonts w:asciiTheme="minorHAnsi" w:hAnsiTheme="minorHAnsi" w:cstheme="minorHAnsi"/>
          <w:color w:val="auto"/>
          <w:sz w:val="20"/>
          <w:szCs w:val="20"/>
        </w:rPr>
        <w:t>)</w:t>
      </w:r>
    </w:p>
    <w:p w14:paraId="56C7A17A" w14:textId="47139A51" w:rsidR="001467D0" w:rsidRPr="003B31E8" w:rsidRDefault="001467D0"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written notification within 72 hours</w:t>
      </w:r>
    </w:p>
    <w:p w14:paraId="753DB6E0" w14:textId="3D6046B1" w:rsidR="00D52785" w:rsidRPr="003B31E8" w:rsidRDefault="001467D0"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written notification on a monthly reporting basis</w:t>
      </w:r>
      <w:r w:rsidR="00D52785" w:rsidRPr="003B31E8">
        <w:rPr>
          <w:rFonts w:asciiTheme="minorHAnsi" w:hAnsiTheme="minorHAnsi" w:cstheme="minorHAnsi"/>
          <w:color w:val="auto"/>
          <w:sz w:val="20"/>
          <w:szCs w:val="20"/>
        </w:rPr>
        <w:t>.</w:t>
      </w:r>
    </w:p>
    <w:p w14:paraId="19C09FAC" w14:textId="5885319A" w:rsidR="00015572" w:rsidRPr="00293863" w:rsidRDefault="00015572" w:rsidP="00FF18D3">
      <w:pPr>
        <w:pStyle w:val="Heading2"/>
      </w:pPr>
      <w:bookmarkStart w:id="509" w:name="_Toc32909824"/>
      <w:bookmarkStart w:id="510" w:name="_Ref41981459"/>
      <w:bookmarkStart w:id="511" w:name="_Toc45704363"/>
      <w:r w:rsidRPr="00293863">
        <w:t>Bus incident investigation</w:t>
      </w:r>
      <w:bookmarkEnd w:id="509"/>
      <w:bookmarkEnd w:id="510"/>
      <w:bookmarkEnd w:id="511"/>
    </w:p>
    <w:p w14:paraId="086A5CBE" w14:textId="1045B996" w:rsidR="0053143E" w:rsidRDefault="00015572" w:rsidP="00015572">
      <w:r>
        <w:t xml:space="preserve">The </w:t>
      </w:r>
      <w:r w:rsidR="006B6049">
        <w:t>proposed</w:t>
      </w:r>
      <w:r w:rsidR="007D3CDB">
        <w:t xml:space="preserve"> </w:t>
      </w:r>
      <w:r>
        <w:t xml:space="preserve">regulations provide that </w:t>
      </w:r>
      <w:r w:rsidRPr="00D1332F">
        <w:t>bus operators must notify the Safety Director of</w:t>
      </w:r>
      <w:r w:rsidR="00BD0518">
        <w:t xml:space="preserve"> prescribed bus safety </w:t>
      </w:r>
      <w:r w:rsidRPr="00D1332F">
        <w:t>incidents</w:t>
      </w:r>
      <w:r w:rsidR="00BD2A2D">
        <w:t>.</w:t>
      </w:r>
      <w:r w:rsidR="005808AA">
        <w:t xml:space="preserve"> This RIS considers whether</w:t>
      </w:r>
      <w:r w:rsidR="00F62DCD">
        <w:t xml:space="preserve"> further actions may be required </w:t>
      </w:r>
      <w:r w:rsidR="00CE5B36">
        <w:t>by</w:t>
      </w:r>
      <w:r w:rsidR="00F62DCD">
        <w:t xml:space="preserve"> bus operators after a notification event has occurred.</w:t>
      </w:r>
      <w:r w:rsidR="005808AA">
        <w:t xml:space="preserve"> DoT considers that </w:t>
      </w:r>
      <w:r w:rsidR="00B63B03">
        <w:t xml:space="preserve">an investigation of the bus </w:t>
      </w:r>
      <w:r w:rsidR="008E57C0">
        <w:t xml:space="preserve">safety </w:t>
      </w:r>
      <w:r w:rsidR="00B63B03">
        <w:t>incident is the most appropriate response to an inciden</w:t>
      </w:r>
      <w:r w:rsidR="00350092">
        <w:t>t</w:t>
      </w:r>
      <w:r w:rsidR="0053143E">
        <w:t xml:space="preserve">. </w:t>
      </w:r>
    </w:p>
    <w:p w14:paraId="4E0EE11B" w14:textId="3D264BE4" w:rsidR="00EE444B" w:rsidRDefault="00FA1933" w:rsidP="00EE444B">
      <w:r>
        <w:t xml:space="preserve">Options in relation to conducting a bus incident investigation </w:t>
      </w:r>
      <w:r w:rsidR="009A664D">
        <w:t>relate to</w:t>
      </w:r>
      <w:r w:rsidR="0053143E">
        <w:t xml:space="preserve"> whether all bus </w:t>
      </w:r>
      <w:r w:rsidR="008E57C0">
        <w:t xml:space="preserve">safety </w:t>
      </w:r>
      <w:r w:rsidR="0053143E">
        <w:t xml:space="preserve">incidents should be investigated, whether a prescribed subset of incidents should be investigated or whether the Safety Director </w:t>
      </w:r>
      <w:r w:rsidR="00794F93">
        <w:t xml:space="preserve">should have the discretion </w:t>
      </w:r>
      <w:r w:rsidR="008F5CD5">
        <w:t xml:space="preserve">to direct an operator to </w:t>
      </w:r>
      <w:r w:rsidR="00015572" w:rsidRPr="00D1332F">
        <w:t xml:space="preserve">investigate any such incidents. </w:t>
      </w:r>
      <w:r w:rsidR="008F5CD5">
        <w:t>Given the variable nature and significance of incidents, the</w:t>
      </w:r>
      <w:r w:rsidR="00794F93">
        <w:t xml:space="preserve"> trigger for a bus safety incident </w:t>
      </w:r>
      <w:r w:rsidR="002025BD">
        <w:t>could</w:t>
      </w:r>
      <w:r w:rsidR="00794F93">
        <w:t xml:space="preserve"> be flexible.</w:t>
      </w:r>
      <w:r w:rsidR="00B9171A">
        <w:t xml:space="preserve"> Under this option, </w:t>
      </w:r>
      <w:r w:rsidR="00794F93">
        <w:t>the Safety Director</w:t>
      </w:r>
      <w:r w:rsidR="00B9171A">
        <w:t xml:space="preserve"> could</w:t>
      </w:r>
      <w:r w:rsidR="00794F93">
        <w:t xml:space="preserve"> have the discretion to </w:t>
      </w:r>
      <w:r w:rsidR="002D1128">
        <w:t xml:space="preserve">direct a bus operator to conduct </w:t>
      </w:r>
      <w:r w:rsidR="00794F93">
        <w:t>a bus inciden</w:t>
      </w:r>
      <w:r w:rsidR="003F4F43">
        <w:t>t</w:t>
      </w:r>
      <w:r w:rsidR="00794F93">
        <w:t xml:space="preserve"> investigation.</w:t>
      </w:r>
      <w:r w:rsidR="002D1128">
        <w:t xml:space="preserve"> </w:t>
      </w:r>
      <w:r w:rsidR="002D4764" w:rsidRPr="00B1659C">
        <w:t>The Safety Director alr</w:t>
      </w:r>
      <w:r w:rsidR="002D4764" w:rsidRPr="00C131FA">
        <w:t xml:space="preserve">eady </w:t>
      </w:r>
      <w:r w:rsidR="002E72D0" w:rsidRPr="00C131FA">
        <w:t>ha</w:t>
      </w:r>
      <w:r w:rsidR="000A14E6">
        <w:t>s</w:t>
      </w:r>
      <w:r w:rsidR="002E72D0" w:rsidRPr="00C131FA">
        <w:t xml:space="preserve"> a range of </w:t>
      </w:r>
      <w:r w:rsidR="00B1659C" w:rsidRPr="00EC5AB1">
        <w:t>investigatory</w:t>
      </w:r>
      <w:r w:rsidR="002E72D0" w:rsidRPr="00EC5AB1">
        <w:t xml:space="preserve"> powers for buses</w:t>
      </w:r>
      <w:r w:rsidR="00EC5AB1">
        <w:t xml:space="preserve"> – </w:t>
      </w:r>
      <w:r w:rsidR="002E72D0" w:rsidRPr="00EC5AB1">
        <w:t>including</w:t>
      </w:r>
      <w:r w:rsidR="00B1659C" w:rsidRPr="00EC5AB1">
        <w:t xml:space="preserve"> entry and boarding powers, search and seizure powers etc. </w:t>
      </w:r>
      <w:r w:rsidR="00EC5AB1">
        <w:t xml:space="preserve">– </w:t>
      </w:r>
      <w:r w:rsidR="00B1659C" w:rsidRPr="00EC5AB1">
        <w:t>under the</w:t>
      </w:r>
      <w:r w:rsidR="002C1E9A" w:rsidRPr="00B1659C">
        <w:t xml:space="preserve"> </w:t>
      </w:r>
      <w:r w:rsidR="00EE444B" w:rsidRPr="00B1659C">
        <w:rPr>
          <w:i/>
        </w:rPr>
        <w:t>Transport (Safety Schemes Compliance and Enforcement) Act 2014</w:t>
      </w:r>
      <w:r w:rsidR="00B1659C" w:rsidRPr="00B1659C">
        <w:t>.</w:t>
      </w:r>
    </w:p>
    <w:p w14:paraId="0DBA4009" w14:textId="76D6D16B" w:rsidR="00015572" w:rsidRDefault="00015572" w:rsidP="00015572">
      <w:r w:rsidRPr="00D1332F">
        <w:t xml:space="preserve">Where an investigation is conducted, </w:t>
      </w:r>
      <w:r w:rsidR="00C345F3">
        <w:t xml:space="preserve">information relating to the </w:t>
      </w:r>
      <w:r w:rsidR="009F2FC9">
        <w:t xml:space="preserve">incident and </w:t>
      </w:r>
      <w:r w:rsidR="00C345F3">
        <w:t xml:space="preserve">investigation is </w:t>
      </w:r>
      <w:r w:rsidR="00C2367D">
        <w:t>important to ensure that</w:t>
      </w:r>
      <w:r w:rsidR="00FC786B">
        <w:t xml:space="preserve"> measures are taken by the operator </w:t>
      </w:r>
      <w:r w:rsidR="009F2FC9">
        <w:t xml:space="preserve">to take actions to prevent the bus incident occurring again. This is in line with the objectives of the </w:t>
      </w:r>
      <w:r w:rsidR="003A2F6F">
        <w:t>Bus Safety Act</w:t>
      </w:r>
      <w:r w:rsidR="009F2FC9">
        <w:t xml:space="preserve"> to ensure safety of bus services. </w:t>
      </w:r>
      <w:r w:rsidR="00A64661">
        <w:t xml:space="preserve">To ensure the integrity of the bus </w:t>
      </w:r>
      <w:r w:rsidR="000A14E6">
        <w:t xml:space="preserve">incident </w:t>
      </w:r>
      <w:r w:rsidR="00A64661">
        <w:t xml:space="preserve">investigations, </w:t>
      </w:r>
      <w:r w:rsidR="00DF455E">
        <w:t>DoT considers that the S</w:t>
      </w:r>
      <w:r w:rsidRPr="00D1332F">
        <w:t>afety Director</w:t>
      </w:r>
      <w:r w:rsidR="00024D88">
        <w:t xml:space="preserve"> should be</w:t>
      </w:r>
      <w:r w:rsidRPr="00D1332F">
        <w:t xml:space="preserve"> empowered to require a more thorough investigation to be undertaken or further information to be provided. The Safety Director </w:t>
      </w:r>
      <w:r w:rsidR="00444D04">
        <w:t xml:space="preserve">should </w:t>
      </w:r>
      <w:r w:rsidRPr="00D1332F">
        <w:t xml:space="preserve">also </w:t>
      </w:r>
      <w:r w:rsidR="00955D25">
        <w:t xml:space="preserve">be </w:t>
      </w:r>
      <w:r w:rsidRPr="00D1332F">
        <w:t>empowered to conduct his/her own investigation.</w:t>
      </w:r>
    </w:p>
    <w:p w14:paraId="1DBBC152" w14:textId="726E9076" w:rsidR="00CB5E78" w:rsidRPr="001C2DC0" w:rsidRDefault="00CB5E78" w:rsidP="0095677C">
      <w:pPr>
        <w:pStyle w:val="Heading5"/>
      </w:pPr>
      <w:r w:rsidRPr="001C2DC0">
        <w:lastRenderedPageBreak/>
        <w:t>Summary</w:t>
      </w:r>
    </w:p>
    <w:p w14:paraId="6B319403" w14:textId="703551F5" w:rsidR="00CB5E78" w:rsidRPr="00CB5E78" w:rsidRDefault="006D2F25" w:rsidP="00CB5E78">
      <w:r>
        <w:t xml:space="preserve">Based on the above considerations, </w:t>
      </w:r>
      <w:r w:rsidR="009810AE">
        <w:t xml:space="preserve">Section </w:t>
      </w:r>
      <w:r w:rsidR="009810AE">
        <w:fldChar w:fldCharType="begin"/>
      </w:r>
      <w:r w:rsidR="009810AE">
        <w:instrText xml:space="preserve"> REF _Ref41819719 \r \h </w:instrText>
      </w:r>
      <w:r w:rsidR="009810AE">
        <w:fldChar w:fldCharType="separate"/>
      </w:r>
      <w:r w:rsidR="00277F6E">
        <w:t>7.4</w:t>
      </w:r>
      <w:r w:rsidR="009810AE">
        <w:fldChar w:fldCharType="end"/>
      </w:r>
      <w:r w:rsidR="00656B8F">
        <w:t xml:space="preserve"> </w:t>
      </w:r>
      <w:r w:rsidR="00F84230">
        <w:t xml:space="preserve">further </w:t>
      </w:r>
      <w:r w:rsidR="00656B8F">
        <w:t>assess</w:t>
      </w:r>
      <w:r w:rsidR="009810AE">
        <w:t>es</w:t>
      </w:r>
      <w:r w:rsidR="00656B8F">
        <w:t xml:space="preserve"> the impacts of regulations which gives the Safety </w:t>
      </w:r>
      <w:r w:rsidR="00E1046C">
        <w:t>D</w:t>
      </w:r>
      <w:r w:rsidR="00656B8F">
        <w:t xml:space="preserve">irector the power to </w:t>
      </w:r>
      <w:r w:rsidR="00DA1A29">
        <w:t>direct</w:t>
      </w:r>
      <w:r w:rsidR="00656B8F">
        <w:t xml:space="preserve"> a bus operator to investigate a bus safety incident</w:t>
      </w:r>
      <w:r w:rsidR="00F84230">
        <w:t xml:space="preserve"> (status quo)</w:t>
      </w:r>
      <w:r w:rsidR="00656B8F">
        <w:t xml:space="preserve">. </w:t>
      </w:r>
    </w:p>
    <w:p w14:paraId="2FC6DAE4" w14:textId="65338217" w:rsidR="00662C7C" w:rsidRDefault="001861FC" w:rsidP="00615063">
      <w:pPr>
        <w:pStyle w:val="Heading2"/>
      </w:pPr>
      <w:bookmarkStart w:id="512" w:name="_Ref41987755"/>
      <w:bookmarkStart w:id="513" w:name="_Ref42001112"/>
      <w:bookmarkStart w:id="514" w:name="_Toc45704364"/>
      <w:r>
        <w:t xml:space="preserve">Requirements of </w:t>
      </w:r>
      <w:r w:rsidR="00CD3170">
        <w:t>a</w:t>
      </w:r>
      <w:r w:rsidR="00FE2820">
        <w:t xml:space="preserve">ccreditation and </w:t>
      </w:r>
      <w:r w:rsidR="00CD3170">
        <w:t>r</w:t>
      </w:r>
      <w:r w:rsidR="00FE2820">
        <w:t>egistration</w:t>
      </w:r>
      <w:bookmarkEnd w:id="512"/>
      <w:bookmarkEnd w:id="513"/>
      <w:bookmarkEnd w:id="514"/>
    </w:p>
    <w:p w14:paraId="2C0C0955" w14:textId="65AB904F" w:rsidR="00662C7C" w:rsidRDefault="00662C7C" w:rsidP="00662C7C">
      <w:r>
        <w:t xml:space="preserve">In the context of supporting the </w:t>
      </w:r>
      <w:r w:rsidR="002A3D43">
        <w:t xml:space="preserve">provisions </w:t>
      </w:r>
      <w:r>
        <w:t xml:space="preserve">of the </w:t>
      </w:r>
      <w:r w:rsidR="003A2F6F">
        <w:t>Bus Safety Act</w:t>
      </w:r>
      <w:r>
        <w:t xml:space="preserve">, the base case of no regulations would </w:t>
      </w:r>
      <w:r w:rsidR="002A3D43">
        <w:t>make it difficult for the Safety Director to make decisions in relation to applications for accreditation or registration</w:t>
      </w:r>
      <w:r w:rsidR="00421DC2">
        <w:t xml:space="preserve">. </w:t>
      </w:r>
      <w:r w:rsidR="00B9402E">
        <w:t>D</w:t>
      </w:r>
      <w:r w:rsidR="00421DC2">
        <w:t>o</w:t>
      </w:r>
      <w:r w:rsidR="00B9402E">
        <w:t>T considers</w:t>
      </w:r>
      <w:r>
        <w:t xml:space="preserve"> that regulations to enable the Safety Director to collect information and documents relating to an application for bus operator registration or accreditation is preferred </w:t>
      </w:r>
      <w:r w:rsidR="00595AE1">
        <w:t xml:space="preserve">compared </w:t>
      </w:r>
      <w:r>
        <w:t>to no regulations.</w:t>
      </w:r>
      <w:r w:rsidRPr="00BE5AFC">
        <w:t xml:space="preserve"> </w:t>
      </w:r>
      <w:r>
        <w:t xml:space="preserve">That is, regulations are necessary to enable the Safety Director to administer the objectives of the </w:t>
      </w:r>
      <w:r w:rsidR="003A2F6F">
        <w:t>Bus Safety Act</w:t>
      </w:r>
      <w:r>
        <w:t xml:space="preserve"> by supporting the efficient and effective compliance monitoring and enforcement of bus safety laws. As such, the</w:t>
      </w:r>
      <w:r w:rsidR="00595AE1">
        <w:t xml:space="preserve"> following</w:t>
      </w:r>
      <w:r>
        <w:t xml:space="preserve"> analysis focuses on </w:t>
      </w:r>
      <w:r w:rsidRPr="00BE5AFC">
        <w:t>what regulations can be justified on the grounds that they would best satisfy the specified regulatory objectives.</w:t>
      </w:r>
    </w:p>
    <w:p w14:paraId="5B0129C0" w14:textId="013A4DDD" w:rsidR="008118A7" w:rsidRPr="005B3560" w:rsidRDefault="00B95776" w:rsidP="008118A7">
      <w:r w:rsidRPr="00405E79">
        <w:t xml:space="preserve">It is important to note in the following sections relating to </w:t>
      </w:r>
      <w:r w:rsidR="00BB2AD0" w:rsidRPr="00405E79">
        <w:t>accreditation</w:t>
      </w:r>
      <w:r w:rsidRPr="00405E79">
        <w:t>, registration, identification, records and exemptions</w:t>
      </w:r>
      <w:r w:rsidR="00CE600D" w:rsidRPr="00405E79">
        <w:t>,</w:t>
      </w:r>
      <w:r w:rsidR="006963DF" w:rsidRPr="00405E79">
        <w:t xml:space="preserve"> DoT considers that regulations are required in cases where it provides guiding overarching principles for the application </w:t>
      </w:r>
      <w:r w:rsidR="008D5FC8" w:rsidRPr="00405E79">
        <w:t xml:space="preserve">of the </w:t>
      </w:r>
      <w:r w:rsidR="003A2F6F">
        <w:t>Bus Safety Act</w:t>
      </w:r>
      <w:r w:rsidR="008D5FC8" w:rsidRPr="00405E79">
        <w:t xml:space="preserve"> </w:t>
      </w:r>
      <w:r w:rsidR="000E7481" w:rsidRPr="00405E79">
        <w:t>or covers main obligations</w:t>
      </w:r>
      <w:r w:rsidR="00BE1B89" w:rsidRPr="00405E79">
        <w:t xml:space="preserve"> to be applied broadly across the whole bus industry.</w:t>
      </w:r>
      <w:r w:rsidR="00B72A9D" w:rsidRPr="00405E79">
        <w:t xml:space="preserve"> </w:t>
      </w:r>
      <w:r w:rsidR="00AB7390" w:rsidRPr="00405E79">
        <w:t xml:space="preserve">Other matters that are more administrative in nature, or which does not apply </w:t>
      </w:r>
      <w:r w:rsidR="002056BC" w:rsidRPr="00405E79">
        <w:t>consistently</w:t>
      </w:r>
      <w:r w:rsidR="00AB7390" w:rsidRPr="00405E79">
        <w:t xml:space="preserve"> across the whole industry, are</w:t>
      </w:r>
      <w:r w:rsidR="00300686" w:rsidRPr="00405E79">
        <w:t xml:space="preserve"> more appropriately left to </w:t>
      </w:r>
      <w:r w:rsidR="002056BC" w:rsidRPr="00405E79">
        <w:t xml:space="preserve">the discretion of the regulator. </w:t>
      </w:r>
      <w:r w:rsidR="00300686" w:rsidRPr="00405E79">
        <w:t>For example,</w:t>
      </w:r>
      <w:r w:rsidR="004C59A0" w:rsidRPr="00405E79">
        <w:t xml:space="preserve"> the proposed </w:t>
      </w:r>
      <w:r w:rsidR="007044B5">
        <w:t>r</w:t>
      </w:r>
      <w:r w:rsidR="004C59A0" w:rsidRPr="00405E79">
        <w:t>egulations do not cover the broad array of conditions that may be imposed on specific operators. Other matters that are administrative in nature, such as</w:t>
      </w:r>
      <w:r w:rsidR="002056BC" w:rsidRPr="00405E79">
        <w:t xml:space="preserve"> the form in which records are to be kept, are left for the </w:t>
      </w:r>
      <w:r w:rsidR="00405E79" w:rsidRPr="00405E79">
        <w:t>regulator</w:t>
      </w:r>
      <w:r w:rsidR="002056BC" w:rsidRPr="00405E79">
        <w:t xml:space="preserve"> to decide.</w:t>
      </w:r>
    </w:p>
    <w:p w14:paraId="64CEC457" w14:textId="784C1CE6" w:rsidR="00662C7C" w:rsidRPr="001C2DC0" w:rsidRDefault="00662C7C" w:rsidP="0095677C">
      <w:pPr>
        <w:pStyle w:val="Heading5"/>
      </w:pPr>
      <w:bookmarkStart w:id="515" w:name="_Toc32909826"/>
      <w:r w:rsidRPr="001C2DC0">
        <w:t>What should accompany all applications</w:t>
      </w:r>
      <w:bookmarkEnd w:id="515"/>
      <w:r w:rsidR="00927BBA" w:rsidRPr="001C2DC0">
        <w:t xml:space="preserve"> for accreditation or registration</w:t>
      </w:r>
      <w:r w:rsidR="00386AAF">
        <w:t>?</w:t>
      </w:r>
    </w:p>
    <w:p w14:paraId="1FBF30A3" w14:textId="5C6726D2" w:rsidR="00A64A49" w:rsidRDefault="00107BB9" w:rsidP="00662C7C">
      <w:r>
        <w:t xml:space="preserve">When considering an application for an accreditation </w:t>
      </w:r>
      <w:r w:rsidR="003B2DAD">
        <w:t>or registration</w:t>
      </w:r>
      <w:r w:rsidR="00896970">
        <w:t xml:space="preserve">, the Safety Director will require </w:t>
      </w:r>
      <w:r w:rsidR="00C57795">
        <w:t xml:space="preserve">basic identifying information about the applicant. </w:t>
      </w:r>
    </w:p>
    <w:p w14:paraId="6B4F1BDD" w14:textId="4A1CDA10" w:rsidR="00662C7C" w:rsidRDefault="00662C7C" w:rsidP="00662C7C">
      <w:r>
        <w:t>Important information required include</w:t>
      </w:r>
      <w:r w:rsidR="00D274E0">
        <w:t>s</w:t>
      </w:r>
      <w:r>
        <w:t xml:space="preserve"> information relating to the </w:t>
      </w:r>
      <w:r w:rsidRPr="00CE3BEF">
        <w:t xml:space="preserve">identity of relevant applicant, </w:t>
      </w:r>
      <w:r>
        <w:t xml:space="preserve">such as </w:t>
      </w:r>
      <w:r w:rsidRPr="00CE3BEF">
        <w:t xml:space="preserve">if the applicant is a natural person, partnership, unincorporated body, company or body corporate. </w:t>
      </w:r>
    </w:p>
    <w:p w14:paraId="54ECDA74" w14:textId="34C9B735" w:rsidR="00662C7C" w:rsidRDefault="003B6453" w:rsidP="00662C7C">
      <w:r>
        <w:t xml:space="preserve">Additionally, the </w:t>
      </w:r>
      <w:r w:rsidR="002143A5">
        <w:t xml:space="preserve">Safety Director may require information </w:t>
      </w:r>
      <w:r w:rsidR="004C2752">
        <w:t>in relation to the buses used to provide services</w:t>
      </w:r>
      <w:r w:rsidR="00C043D9">
        <w:t xml:space="preserve">. </w:t>
      </w:r>
      <w:r w:rsidR="001212C7">
        <w:t xml:space="preserve">The proposed regulations </w:t>
      </w:r>
      <w:r w:rsidR="007749C8">
        <w:t xml:space="preserve">could </w:t>
      </w:r>
      <w:r w:rsidR="001212C7">
        <w:t>require e</w:t>
      </w:r>
      <w:r w:rsidR="00662C7C">
        <w:t xml:space="preserve">vidence of the safety of </w:t>
      </w:r>
      <w:r w:rsidR="004539BE">
        <w:t>all</w:t>
      </w:r>
      <w:r w:rsidR="00662C7C">
        <w:t xml:space="preserve"> vehicles used by the bus operator. Given </w:t>
      </w:r>
      <w:r w:rsidR="007044B5">
        <w:t xml:space="preserve">that </w:t>
      </w:r>
      <w:r w:rsidR="00662C7C">
        <w:t xml:space="preserve">a </w:t>
      </w:r>
      <w:r w:rsidR="00CF7FEC">
        <w:t>C</w:t>
      </w:r>
      <w:r w:rsidR="00662C7C">
        <w:t xml:space="preserve">ertificate of </w:t>
      </w:r>
      <w:r w:rsidR="00CF7FEC">
        <w:t>R</w:t>
      </w:r>
      <w:r w:rsidR="00662C7C">
        <w:t xml:space="preserve">oadworthiness of </w:t>
      </w:r>
      <w:r w:rsidR="007044B5">
        <w:t xml:space="preserve">a </w:t>
      </w:r>
      <w:r w:rsidR="00662C7C">
        <w:t>bus used to provide a bus service</w:t>
      </w:r>
      <w:r w:rsidR="00964D26">
        <w:t xml:space="preserve"> is a significant indicator of the safety of the vehicle</w:t>
      </w:r>
      <w:r w:rsidR="00662C7C">
        <w:t xml:space="preserve">, this </w:t>
      </w:r>
      <w:r w:rsidR="007749C8">
        <w:t xml:space="preserve">could </w:t>
      </w:r>
      <w:r w:rsidR="00662C7C">
        <w:t>be required for</w:t>
      </w:r>
      <w:r w:rsidR="007044B5">
        <w:t xml:space="preserve"> bus operated by</w:t>
      </w:r>
      <w:r w:rsidR="00662C7C">
        <w:t xml:space="preserve"> both accredited bus operators and registered bus operators.</w:t>
      </w:r>
      <w:r w:rsidR="00B17E79">
        <w:t xml:space="preserve"> </w:t>
      </w:r>
      <w:r w:rsidR="00CF7FEC">
        <w:t xml:space="preserve">An </w:t>
      </w:r>
      <w:r w:rsidR="004533B6">
        <w:t>alternative</w:t>
      </w:r>
      <w:r w:rsidR="00CF7FEC">
        <w:t xml:space="preserve"> is for a licensed bus tester to verify that the bus is safe to use on Victoria</w:t>
      </w:r>
      <w:r w:rsidR="003C28A7">
        <w:t>n</w:t>
      </w:r>
      <w:r w:rsidR="00CF7FEC">
        <w:t xml:space="preserve"> roads.</w:t>
      </w:r>
    </w:p>
    <w:p w14:paraId="0C5A66B3" w14:textId="2F73BFEC" w:rsidR="006E29C7" w:rsidRDefault="006E29C7" w:rsidP="00662C7C">
      <w:r>
        <w:t xml:space="preserve">Previous </w:t>
      </w:r>
      <w:r w:rsidR="003F162E">
        <w:t xml:space="preserve">accreditation and registration details may be important information for the Safety Director. As such, information relating to </w:t>
      </w:r>
      <w:r w:rsidR="00FA3F2A">
        <w:t xml:space="preserve">dates of any previous </w:t>
      </w:r>
      <w:r w:rsidR="00087890">
        <w:t>registrations</w:t>
      </w:r>
      <w:r w:rsidR="00FA3F2A">
        <w:t xml:space="preserve"> or </w:t>
      </w:r>
      <w:r w:rsidR="00087890">
        <w:t>accreditations</w:t>
      </w:r>
      <w:r w:rsidR="00FA3F2A">
        <w:t xml:space="preserve"> held by the applicant in relation to the operation of bus services could be required.</w:t>
      </w:r>
    </w:p>
    <w:p w14:paraId="1D858702" w14:textId="2BA48282" w:rsidR="00662C7C" w:rsidRPr="001C2DC0" w:rsidRDefault="00662C7C" w:rsidP="0095677C">
      <w:pPr>
        <w:pStyle w:val="Heading5"/>
      </w:pPr>
      <w:bookmarkStart w:id="516" w:name="_Toc32909827"/>
      <w:r w:rsidRPr="001C2DC0">
        <w:t xml:space="preserve">Documents supporting </w:t>
      </w:r>
      <w:bookmarkEnd w:id="516"/>
      <w:r w:rsidR="00F54FA4" w:rsidRPr="001C2DC0">
        <w:t>an application for accreditation</w:t>
      </w:r>
    </w:p>
    <w:p w14:paraId="010057EC" w14:textId="070F6AAA" w:rsidR="0093047F" w:rsidRDefault="0093047F" w:rsidP="00662C7C">
      <w:r>
        <w:t>The Safety Director is required to consider additional matters before making a decision on an application</w:t>
      </w:r>
      <w:r w:rsidR="003058D0">
        <w:t xml:space="preserve"> for accreditation. That is, the Safety Director </w:t>
      </w:r>
      <w:r w:rsidR="00A12D22">
        <w:t>mus</w:t>
      </w:r>
      <w:r w:rsidR="00AF5BCD">
        <w:t xml:space="preserve">t be satisfied the applicant </w:t>
      </w:r>
      <w:r w:rsidR="00FC2532">
        <w:t xml:space="preserve">has the competence and capacity to </w:t>
      </w:r>
      <w:r w:rsidR="00D71F8F">
        <w:t>operate a bus service safely</w:t>
      </w:r>
      <w:r w:rsidR="00A96C30">
        <w:t xml:space="preserve"> and that the operator (or </w:t>
      </w:r>
      <w:r w:rsidR="000265BD">
        <w:t>relevant persons, such as company directors) have not committed certain disqualifying offences</w:t>
      </w:r>
      <w:r w:rsidR="00447046">
        <w:t xml:space="preserve"> as specified under the </w:t>
      </w:r>
      <w:r w:rsidR="003A2F6F">
        <w:t>Bus Safety Act</w:t>
      </w:r>
      <w:r w:rsidR="00D71F8F">
        <w:t>.</w:t>
      </w:r>
      <w:r w:rsidR="00EC566E">
        <w:t xml:space="preserve"> Disqualif</w:t>
      </w:r>
      <w:r w:rsidR="003025F3">
        <w:t xml:space="preserve">ying </w:t>
      </w:r>
      <w:r w:rsidR="00EC566E">
        <w:t>offence</w:t>
      </w:r>
      <w:r w:rsidR="006E052A">
        <w:t>s</w:t>
      </w:r>
      <w:r w:rsidR="00EC566E">
        <w:t xml:space="preserve"> include offence</w:t>
      </w:r>
      <w:r w:rsidR="001B6CF5">
        <w:t xml:space="preserve">s </w:t>
      </w:r>
      <w:r w:rsidR="00A04EFF">
        <w:t>against</w:t>
      </w:r>
      <w:r w:rsidR="006255BC">
        <w:t xml:space="preserve"> or specified under</w:t>
      </w:r>
      <w:r w:rsidR="00EC566E">
        <w:t xml:space="preserve"> the </w:t>
      </w:r>
      <w:r w:rsidR="00EC566E" w:rsidRPr="004A4F8F">
        <w:rPr>
          <w:i/>
          <w:iCs/>
        </w:rPr>
        <w:t>Crimes Act 1958</w:t>
      </w:r>
      <w:r w:rsidR="00EC566E">
        <w:t xml:space="preserve">, </w:t>
      </w:r>
      <w:r w:rsidR="00EC566E" w:rsidRPr="004A4F8F">
        <w:rPr>
          <w:i/>
          <w:iCs/>
        </w:rPr>
        <w:t>Sentencing Act 1991</w:t>
      </w:r>
      <w:r w:rsidR="00EC566E">
        <w:t>,</w:t>
      </w:r>
      <w:r w:rsidR="00575581">
        <w:t xml:space="preserve"> </w:t>
      </w:r>
      <w:r w:rsidR="00575581" w:rsidRPr="004A4F8F">
        <w:rPr>
          <w:i/>
          <w:iCs/>
        </w:rPr>
        <w:t>Working with Children Act 2005</w:t>
      </w:r>
      <w:r w:rsidR="00575581">
        <w:t xml:space="preserve">, </w:t>
      </w:r>
      <w:r w:rsidR="004A4F8F" w:rsidRPr="004A4F8F">
        <w:rPr>
          <w:i/>
          <w:iCs/>
        </w:rPr>
        <w:t>Road Safety Act 1986</w:t>
      </w:r>
      <w:r w:rsidR="004A4F8F">
        <w:t xml:space="preserve"> and </w:t>
      </w:r>
      <w:r w:rsidR="004A4F8F" w:rsidRPr="004A4F8F">
        <w:rPr>
          <w:i/>
          <w:iCs/>
        </w:rPr>
        <w:t>Bus Services Act 1995</w:t>
      </w:r>
      <w:r w:rsidR="004A4F8F">
        <w:t xml:space="preserve">, among other offences. </w:t>
      </w:r>
    </w:p>
    <w:p w14:paraId="3BCC01E7" w14:textId="6BA9CD04" w:rsidR="008A3D72" w:rsidRDefault="00686AF6" w:rsidP="00662C7C">
      <w:r>
        <w:t>Evidence of a</w:t>
      </w:r>
      <w:r w:rsidR="00662C7C">
        <w:t>n accredited operator’s competency (i.e. training</w:t>
      </w:r>
      <w:r w:rsidR="002E7384">
        <w:t>, skills or experience</w:t>
      </w:r>
      <w:r w:rsidR="00662C7C">
        <w:t xml:space="preserve">) and capacity (i.e. established </w:t>
      </w:r>
      <w:r w:rsidR="00EA1A40">
        <w:t>MMS and MIS</w:t>
      </w:r>
      <w:r w:rsidR="00662C7C">
        <w:t>) is necessary to support</w:t>
      </w:r>
      <w:r>
        <w:t xml:space="preserve"> the purpose of accreditation</w:t>
      </w:r>
      <w:r w:rsidR="00662C7C">
        <w:t xml:space="preserve"> under the </w:t>
      </w:r>
      <w:r w:rsidR="003A2F6F">
        <w:t>Bus Safety Act</w:t>
      </w:r>
      <w:r w:rsidR="00662C7C">
        <w:t xml:space="preserve">. </w:t>
      </w:r>
    </w:p>
    <w:p w14:paraId="600B92A8" w14:textId="3FFB9056" w:rsidR="00A57785" w:rsidRDefault="00033F87" w:rsidP="00662C7C">
      <w:r>
        <w:t xml:space="preserve">Under the </w:t>
      </w:r>
      <w:r w:rsidR="003A2F6F">
        <w:t>Bus Safety Act</w:t>
      </w:r>
      <w:r>
        <w:t>,</w:t>
      </w:r>
      <w:r w:rsidR="001B7C1D">
        <w:t xml:space="preserve"> the Safety Director must refuse an application for </w:t>
      </w:r>
      <w:r w:rsidR="00BA36B5">
        <w:t xml:space="preserve">accreditation </w:t>
      </w:r>
      <w:r w:rsidR="007259AD">
        <w:t>(or relevant person, as the case may be)</w:t>
      </w:r>
      <w:r w:rsidR="00361AD1">
        <w:t xml:space="preserve"> in circumstances </w:t>
      </w:r>
      <w:r w:rsidR="00F07F4D">
        <w:t>where</w:t>
      </w:r>
      <w:r w:rsidR="00526DBE">
        <w:t xml:space="preserve"> the applicant</w:t>
      </w:r>
      <w:r w:rsidR="00A57785">
        <w:t>:</w:t>
      </w:r>
    </w:p>
    <w:p w14:paraId="208BFF23" w14:textId="252E04B0" w:rsidR="00D67AF5" w:rsidRPr="0098365B" w:rsidRDefault="00526DBE"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lastRenderedPageBreak/>
        <w:t>has</w:t>
      </w:r>
      <w:r w:rsidR="007259AD" w:rsidRPr="0098365B">
        <w:rPr>
          <w:rFonts w:asciiTheme="minorHAnsi" w:eastAsiaTheme="minorHAnsi" w:hAnsiTheme="minorHAnsi" w:cstheme="minorBidi"/>
          <w:color w:val="000000" w:themeColor="text1"/>
          <w:sz w:val="20"/>
          <w:szCs w:val="18"/>
          <w:lang w:eastAsia="en-US"/>
        </w:rPr>
        <w:t xml:space="preserve"> been found guilty</w:t>
      </w:r>
      <w:r w:rsidR="00A57785" w:rsidRPr="0098365B">
        <w:rPr>
          <w:rFonts w:asciiTheme="minorHAnsi" w:eastAsiaTheme="minorHAnsi" w:hAnsiTheme="minorHAnsi" w:cstheme="minorBidi"/>
          <w:color w:val="000000" w:themeColor="text1"/>
          <w:sz w:val="20"/>
          <w:szCs w:val="18"/>
          <w:lang w:eastAsia="en-US"/>
        </w:rPr>
        <w:t xml:space="preserve"> of a tier 1 offence (other than a specifi</w:t>
      </w:r>
      <w:r w:rsidR="00D67AF5" w:rsidRPr="0098365B">
        <w:rPr>
          <w:rFonts w:asciiTheme="minorHAnsi" w:eastAsiaTheme="minorHAnsi" w:hAnsiTheme="minorHAnsi" w:cstheme="minorBidi"/>
          <w:color w:val="000000" w:themeColor="text1"/>
          <w:sz w:val="20"/>
          <w:szCs w:val="18"/>
          <w:lang w:eastAsia="en-US"/>
        </w:rPr>
        <w:t>ed indictable fraud or dishonesty offence)</w:t>
      </w:r>
    </w:p>
    <w:p w14:paraId="4CF89112" w14:textId="77777777" w:rsidR="000F4355" w:rsidRPr="0098365B" w:rsidRDefault="00022502"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has been found guilty in the last 10 years</w:t>
      </w:r>
      <w:r w:rsidR="00D67AF5" w:rsidRPr="0098365B">
        <w:rPr>
          <w:rFonts w:asciiTheme="minorHAnsi" w:eastAsiaTheme="minorHAnsi" w:hAnsiTheme="minorHAnsi" w:cstheme="minorBidi"/>
          <w:color w:val="000000" w:themeColor="text1"/>
          <w:sz w:val="20"/>
          <w:szCs w:val="18"/>
          <w:lang w:eastAsia="en-US"/>
        </w:rPr>
        <w:t xml:space="preserve"> </w:t>
      </w:r>
      <w:r w:rsidR="007259AD" w:rsidRPr="0098365B">
        <w:rPr>
          <w:rFonts w:asciiTheme="minorHAnsi" w:eastAsiaTheme="minorHAnsi" w:hAnsiTheme="minorHAnsi" w:cstheme="minorBidi"/>
          <w:color w:val="000000" w:themeColor="text1"/>
          <w:sz w:val="20"/>
          <w:szCs w:val="18"/>
          <w:lang w:eastAsia="en-US"/>
        </w:rPr>
        <w:t xml:space="preserve">of a tier 1 </w:t>
      </w:r>
      <w:r w:rsidR="000F4355" w:rsidRPr="0098365B">
        <w:rPr>
          <w:rFonts w:asciiTheme="minorHAnsi" w:eastAsiaTheme="minorHAnsi" w:hAnsiTheme="minorHAnsi" w:cstheme="minorBidi"/>
          <w:color w:val="000000" w:themeColor="text1"/>
          <w:sz w:val="20"/>
          <w:szCs w:val="18"/>
          <w:lang w:eastAsia="en-US"/>
        </w:rPr>
        <w:t>offence that is a specified indictable fraud or dishonesty offence</w:t>
      </w:r>
    </w:p>
    <w:p w14:paraId="5D8FA6F7" w14:textId="77777777" w:rsidR="00361AD1" w:rsidRPr="0098365B" w:rsidRDefault="000F4355"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is subject to certain provisions under the Working with Children Act 2005</w:t>
      </w:r>
    </w:p>
    <w:p w14:paraId="66F7E044" w14:textId="484CAE9F" w:rsidR="00887E2A" w:rsidRPr="0098365B" w:rsidRDefault="00526DBE" w:rsidP="0098365B">
      <w:pPr>
        <w:pStyle w:val="ListParagraph"/>
        <w:numPr>
          <w:ilvl w:val="0"/>
          <w:numId w:val="11"/>
        </w:numPr>
        <w:rPr>
          <w:rFonts w:asciiTheme="minorHAnsi" w:eastAsiaTheme="minorHAnsi" w:hAnsiTheme="minorHAnsi" w:cstheme="minorBidi"/>
          <w:color w:val="000000" w:themeColor="text1"/>
          <w:sz w:val="20"/>
          <w:szCs w:val="18"/>
          <w:lang w:eastAsia="en-US"/>
        </w:rPr>
      </w:pPr>
      <w:r w:rsidRPr="0098365B">
        <w:rPr>
          <w:rFonts w:asciiTheme="minorHAnsi" w:eastAsiaTheme="minorHAnsi" w:hAnsiTheme="minorHAnsi" w:cstheme="minorBidi"/>
          <w:color w:val="000000" w:themeColor="text1"/>
          <w:sz w:val="20"/>
          <w:szCs w:val="18"/>
          <w:lang w:eastAsia="en-US"/>
        </w:rPr>
        <w:t>is insolvent</w:t>
      </w:r>
      <w:r w:rsidR="0059346B" w:rsidRPr="0098365B">
        <w:rPr>
          <w:rFonts w:asciiTheme="minorHAnsi" w:eastAsiaTheme="minorHAnsi" w:hAnsiTheme="minorHAnsi" w:cstheme="minorBidi"/>
          <w:color w:val="000000" w:themeColor="text1"/>
          <w:sz w:val="20"/>
          <w:szCs w:val="18"/>
          <w:lang w:eastAsia="en-US"/>
        </w:rPr>
        <w:t>,</w:t>
      </w:r>
      <w:r w:rsidR="0034156C" w:rsidRPr="0098365B">
        <w:rPr>
          <w:rFonts w:asciiTheme="minorHAnsi" w:eastAsiaTheme="minorHAnsi" w:hAnsiTheme="minorHAnsi" w:cstheme="minorBidi"/>
          <w:color w:val="000000" w:themeColor="text1"/>
          <w:sz w:val="20"/>
          <w:szCs w:val="18"/>
          <w:lang w:eastAsia="en-US"/>
        </w:rPr>
        <w:t xml:space="preserve"> placed in </w:t>
      </w:r>
      <w:r w:rsidR="0059346B" w:rsidRPr="0098365B">
        <w:rPr>
          <w:rFonts w:asciiTheme="minorHAnsi" w:eastAsiaTheme="minorHAnsi" w:hAnsiTheme="minorHAnsi" w:cstheme="minorBidi"/>
          <w:color w:val="000000" w:themeColor="text1"/>
          <w:sz w:val="20"/>
          <w:szCs w:val="18"/>
          <w:lang w:eastAsia="en-US"/>
        </w:rPr>
        <w:t>administration or is under order for winding up</w:t>
      </w:r>
      <w:r w:rsidR="00D76A85" w:rsidRPr="0098365B">
        <w:rPr>
          <w:rFonts w:asciiTheme="minorHAnsi" w:eastAsiaTheme="minorHAnsi" w:hAnsiTheme="minorHAnsi" w:cstheme="minorBidi"/>
          <w:color w:val="000000" w:themeColor="text1"/>
          <w:sz w:val="20"/>
          <w:szCs w:val="18"/>
          <w:lang w:eastAsia="en-US"/>
        </w:rPr>
        <w:t>.</w:t>
      </w:r>
    </w:p>
    <w:p w14:paraId="26991CAA" w14:textId="6C2B0098" w:rsidR="00662C7C" w:rsidRDefault="008A3D72" w:rsidP="0098365B">
      <w:r>
        <w:t xml:space="preserve">In order </w:t>
      </w:r>
      <w:r w:rsidR="00F356D9">
        <w:t xml:space="preserve">for the Safety Director to make an assessment of an  application for accreditation in accordance with </w:t>
      </w:r>
      <w:r w:rsidR="00480479">
        <w:t>th</w:t>
      </w:r>
      <w:r w:rsidR="00F356D9">
        <w:t xml:space="preserve">e </w:t>
      </w:r>
      <w:r w:rsidR="003A2F6F">
        <w:t>Bus Safety Act</w:t>
      </w:r>
      <w:r w:rsidR="00F356D9">
        <w:t xml:space="preserve">, </w:t>
      </w:r>
      <w:r>
        <w:t>the Safety Director</w:t>
      </w:r>
      <w:r w:rsidR="00AF56D7">
        <w:t xml:space="preserve"> requires</w:t>
      </w:r>
      <w:r>
        <w:t xml:space="preserve"> information </w:t>
      </w:r>
      <w:r w:rsidR="004A6BC3">
        <w:t>about the applicant’s criminal record,</w:t>
      </w:r>
      <w:r w:rsidR="003A1088">
        <w:t xml:space="preserve"> meaning</w:t>
      </w:r>
      <w:r w:rsidR="004A6BC3">
        <w:t xml:space="preserve"> the Safety Director could require the</w:t>
      </w:r>
      <w:r w:rsidR="00F46A2B">
        <w:t xml:space="preserve"> applicant to agree to a</w:t>
      </w:r>
      <w:r w:rsidR="00AB3BAC">
        <w:t xml:space="preserve"> police background check or to provide information in relation </w:t>
      </w:r>
      <w:r w:rsidR="003E3AD4">
        <w:t>offences that the person has been found guilty of.</w:t>
      </w:r>
      <w:r w:rsidR="004A6BC3">
        <w:t xml:space="preserve"> </w:t>
      </w:r>
    </w:p>
    <w:p w14:paraId="2BFD1433" w14:textId="725DB815" w:rsidR="004E1261" w:rsidRPr="001C2DC0" w:rsidRDefault="004E1261" w:rsidP="0095677C">
      <w:pPr>
        <w:pStyle w:val="Heading5"/>
      </w:pPr>
      <w:bookmarkStart w:id="517" w:name="_Toc32909828"/>
      <w:r w:rsidRPr="001C2DC0">
        <w:t>Conditions</w:t>
      </w:r>
      <w:bookmarkEnd w:id="517"/>
      <w:r w:rsidR="00E672EA" w:rsidRPr="001C2DC0">
        <w:t xml:space="preserve"> of accreditation</w:t>
      </w:r>
    </w:p>
    <w:p w14:paraId="7CE7DA30" w14:textId="4FE65F8A" w:rsidR="004E1261" w:rsidRDefault="00322DBD" w:rsidP="004E1261">
      <w:r>
        <w:t>A</w:t>
      </w:r>
      <w:r w:rsidR="004E1261" w:rsidRPr="005B3560">
        <w:t xml:space="preserve">ny proposed regulatory requirements </w:t>
      </w:r>
      <w:r>
        <w:t xml:space="preserve">could </w:t>
      </w:r>
      <w:r w:rsidR="004E1261" w:rsidRPr="005B3560">
        <w:t>impose a set of conditions in which accredited operators are required to abide by in order to keep their accreditation. The need for certain conditions, including those relating to establishing and maintaining</w:t>
      </w:r>
      <w:r w:rsidR="00EA1A40">
        <w:t xml:space="preserve"> an MMS and MIS</w:t>
      </w:r>
      <w:r w:rsidR="004E1261" w:rsidRPr="005B3560">
        <w:t xml:space="preserve">, and paying applicable fees are discussed in further detail in its respective sections of this RIS. </w:t>
      </w:r>
    </w:p>
    <w:p w14:paraId="65AA61B1" w14:textId="1BC80BAB" w:rsidR="004E1261" w:rsidRDefault="004E1261" w:rsidP="004E1261">
      <w:r>
        <w:t xml:space="preserve">Other conditions relate to rules around what can or cannot be done with respect to their </w:t>
      </w:r>
      <w:r w:rsidR="007223AF">
        <w:t xml:space="preserve">accreditation </w:t>
      </w:r>
      <w:r>
        <w:t xml:space="preserve">certificate. Certificates of accreditation or registration are a useful tool for compliance monitoring and enforcement purposes as it allows </w:t>
      </w:r>
      <w:r w:rsidR="00E35096">
        <w:t>transport</w:t>
      </w:r>
      <w:r>
        <w:t xml:space="preserve"> safety officers to verify the details of the accredited party from the certificate. It follows that conditions relating to altering or defacing a certificate be included in the proposed regulations.  </w:t>
      </w:r>
    </w:p>
    <w:p w14:paraId="52CBA633" w14:textId="2A428499" w:rsidR="00756DB7" w:rsidRDefault="00756DB7" w:rsidP="00756DB7">
      <w:r>
        <w:t xml:space="preserve">It is noted that with the increasing use of technology in relation to electronic permissioning, certificates may move to a non-physical digital form. In this case, there may no longer be a need for conditions relating to altering or defacing </w:t>
      </w:r>
      <w:r w:rsidR="000064A1">
        <w:t xml:space="preserve">a </w:t>
      </w:r>
      <w:r>
        <w:t xml:space="preserve">certificate. As the implementation of the permissions system has not yet moved to digital, this will not be considered further in this RIS.  </w:t>
      </w:r>
    </w:p>
    <w:p w14:paraId="52EB0A9A" w14:textId="4162C42A" w:rsidR="008F5BFF" w:rsidRPr="001C2DC0" w:rsidRDefault="008F5BFF" w:rsidP="0095677C">
      <w:pPr>
        <w:pStyle w:val="Heading5"/>
      </w:pPr>
      <w:bookmarkStart w:id="518" w:name="_Toc32909829"/>
      <w:r w:rsidRPr="001C2DC0">
        <w:t>Issue of certificat</w:t>
      </w:r>
      <w:r w:rsidR="00DC7B97" w:rsidRPr="001C2DC0">
        <w:t>e</w:t>
      </w:r>
      <w:r w:rsidRPr="001C2DC0">
        <w:t xml:space="preserve"> of registration</w:t>
      </w:r>
      <w:bookmarkEnd w:id="518"/>
    </w:p>
    <w:p w14:paraId="1E02A1FF" w14:textId="64746C5F" w:rsidR="008F5BFF" w:rsidRDefault="00162BB4" w:rsidP="008F5BFF">
      <w:r>
        <w:t xml:space="preserve">The </w:t>
      </w:r>
      <w:r w:rsidR="003A2F6F">
        <w:t>Bus Safety Act</w:t>
      </w:r>
      <w:r>
        <w:t xml:space="preserve"> </w:t>
      </w:r>
      <w:r w:rsidR="00114E0E">
        <w:t xml:space="preserve">allows the Safety Director to issue a certificate of registration to the </w:t>
      </w:r>
      <w:r w:rsidR="00F95511">
        <w:t xml:space="preserve">registered bus operator. </w:t>
      </w:r>
      <w:r w:rsidR="008F5BFF">
        <w:t>It is intended for the regulations to specify details that the Safety Director must include on a certificate of registration when</w:t>
      </w:r>
      <w:r w:rsidR="000064A1">
        <w:t xml:space="preserve"> it is</w:t>
      </w:r>
      <w:r w:rsidR="008F5BFF">
        <w:t xml:space="preserve"> issue</w:t>
      </w:r>
      <w:r w:rsidR="002A6F1F">
        <w:t>d</w:t>
      </w:r>
      <w:r w:rsidR="008F5BFF">
        <w:t xml:space="preserve"> to a registered bus operator. </w:t>
      </w:r>
      <w:r w:rsidR="00F80DA4">
        <w:t>I</w:t>
      </w:r>
      <w:r w:rsidR="008F5BFF">
        <w:t xml:space="preserve">t </w:t>
      </w:r>
      <w:r w:rsidR="00F80DA4">
        <w:t xml:space="preserve">may be </w:t>
      </w:r>
      <w:r w:rsidR="008F5BFF">
        <w:t>necessary to include basic details on the certificate of registration</w:t>
      </w:r>
      <w:r w:rsidR="00EA529D">
        <w:t xml:space="preserve"> including</w:t>
      </w:r>
      <w:r w:rsidR="008F5BFF">
        <w:t xml:space="preserve"> a registration number, name and contact details of the registered bus operator or a contact person. </w:t>
      </w:r>
      <w:r w:rsidR="00F80DA4">
        <w:t xml:space="preserve">The </w:t>
      </w:r>
      <w:r w:rsidR="008F5BFF">
        <w:t>Safety Director</w:t>
      </w:r>
      <w:r w:rsidR="00F80DA4">
        <w:t xml:space="preserve"> could also require</w:t>
      </w:r>
      <w:r w:rsidR="008F5BFF">
        <w:t xml:space="preserve"> any additional information </w:t>
      </w:r>
      <w:r w:rsidR="007B1583">
        <w:t xml:space="preserve">to be included </w:t>
      </w:r>
      <w:r w:rsidR="008F5BFF">
        <w:t xml:space="preserve">on the registration certificate as appropriate. </w:t>
      </w:r>
      <w:r w:rsidR="001C7B5C">
        <w:t xml:space="preserve">Specifying details in the regulations would ensure consistency and certainty in the </w:t>
      </w:r>
      <w:r w:rsidR="004D123C">
        <w:t>details that are included in the certificate</w:t>
      </w:r>
      <w:r w:rsidR="00EC6B22">
        <w:t xml:space="preserve"> and ensures that the operator is aware of the basic information required for </w:t>
      </w:r>
      <w:r w:rsidR="00FD7BD8">
        <w:t>the certificat</w:t>
      </w:r>
      <w:r w:rsidR="000064A1">
        <w:t>e</w:t>
      </w:r>
      <w:r w:rsidR="00EC6B22">
        <w:t xml:space="preserve"> of registration. </w:t>
      </w:r>
    </w:p>
    <w:p w14:paraId="47741B64" w14:textId="1F145AC8" w:rsidR="00BF6208" w:rsidRPr="001C2DC0" w:rsidRDefault="00BF6208" w:rsidP="0095677C">
      <w:pPr>
        <w:pStyle w:val="Heading5"/>
      </w:pPr>
      <w:r w:rsidRPr="001C2DC0">
        <w:t>Summary</w:t>
      </w:r>
    </w:p>
    <w:p w14:paraId="6458BB12" w14:textId="4034B6D1" w:rsidR="00BF6208" w:rsidRDefault="00EB52EC" w:rsidP="00BF6208">
      <w:r>
        <w:t>DoT considers that the regulations should prescribe specific requirements</w:t>
      </w:r>
      <w:r w:rsidR="00A80DA7">
        <w:t xml:space="preserve"> relating to applications for accreditation and registration. These</w:t>
      </w:r>
      <w:r>
        <w:t xml:space="preserve"> include powers for the Safety Director to collect information and documents relating to the application for bus operator accreditation and registration</w:t>
      </w:r>
      <w:r w:rsidR="00096A67">
        <w:t xml:space="preserve"> (status quo)</w:t>
      </w:r>
      <w:r w:rsidR="00A80DA7">
        <w:t>.</w:t>
      </w:r>
      <w:r w:rsidR="00375C10">
        <w:t xml:space="preserve"> </w:t>
      </w:r>
      <w:r w:rsidR="0065339F">
        <w:t xml:space="preserve">Section </w:t>
      </w:r>
      <w:r w:rsidR="0065339F">
        <w:fldChar w:fldCharType="begin"/>
      </w:r>
      <w:r w:rsidR="0065339F">
        <w:instrText xml:space="preserve"> REF _Ref42010080 \r \h </w:instrText>
      </w:r>
      <w:r w:rsidR="0065339F">
        <w:fldChar w:fldCharType="separate"/>
      </w:r>
      <w:r w:rsidR="00277F6E">
        <w:t>7.5</w:t>
      </w:r>
      <w:r w:rsidR="0065339F">
        <w:fldChar w:fldCharType="end"/>
      </w:r>
      <w:r w:rsidR="00FB69F3">
        <w:t xml:space="preserve"> </w:t>
      </w:r>
      <w:r w:rsidR="00C54D36">
        <w:t xml:space="preserve">further </w:t>
      </w:r>
      <w:r w:rsidR="00FB69F3">
        <w:t>assess</w:t>
      </w:r>
      <w:r w:rsidR="00DA56D2">
        <w:t>es</w:t>
      </w:r>
      <w:r w:rsidR="00FB69F3">
        <w:t xml:space="preserve"> the administrative </w:t>
      </w:r>
      <w:r w:rsidR="00C54D36">
        <w:t xml:space="preserve">and compliance costs of the providing this information. </w:t>
      </w:r>
    </w:p>
    <w:p w14:paraId="6A6C9E0D" w14:textId="61E9A664" w:rsidR="00C54D36" w:rsidRPr="00BF6208" w:rsidRDefault="00C54D36" w:rsidP="00BF6208">
      <w:r>
        <w:t xml:space="preserve">DoT also supports making regulations which provide for the issue of certificates of </w:t>
      </w:r>
      <w:r w:rsidR="00AB7092">
        <w:t>registration</w:t>
      </w:r>
      <w:r w:rsidR="0008795B">
        <w:t>.</w:t>
      </w:r>
    </w:p>
    <w:p w14:paraId="63508896" w14:textId="77777777" w:rsidR="00662C7C" w:rsidRDefault="00662C7C" w:rsidP="00662C7C">
      <w:pPr>
        <w:pStyle w:val="Heading2"/>
      </w:pPr>
      <w:bookmarkStart w:id="519" w:name="_Toc32909830"/>
      <w:bookmarkStart w:id="520" w:name="_Ref41992911"/>
      <w:bookmarkStart w:id="521" w:name="_Ref42010105"/>
      <w:bookmarkStart w:id="522" w:name="_Toc45704365"/>
      <w:r>
        <w:t>Identification</w:t>
      </w:r>
      <w:bookmarkEnd w:id="519"/>
      <w:bookmarkEnd w:id="520"/>
      <w:bookmarkEnd w:id="521"/>
      <w:bookmarkEnd w:id="522"/>
    </w:p>
    <w:p w14:paraId="2394DD74" w14:textId="4E70DBCF" w:rsidR="00662C7C" w:rsidRPr="000A17B0" w:rsidRDefault="00662C7C" w:rsidP="00662C7C">
      <w:r w:rsidRPr="000A17B0">
        <w:t xml:space="preserve">DoT considers there is merit in assessing options </w:t>
      </w:r>
      <w:r w:rsidR="0007558D">
        <w:t>for the</w:t>
      </w:r>
      <w:r w:rsidRPr="000A17B0">
        <w:t xml:space="preserve"> display of information relat</w:t>
      </w:r>
      <w:r w:rsidR="00B94CD2">
        <w:t xml:space="preserve">ing </w:t>
      </w:r>
      <w:r w:rsidRPr="000A17B0">
        <w:t xml:space="preserve">to the person responsible for the provision of the bus service. </w:t>
      </w:r>
      <w:r w:rsidR="00B2582E">
        <w:t>As discussed previously, DoT</w:t>
      </w:r>
      <w:r w:rsidR="004C6288">
        <w:t xml:space="preserve"> considers the main rationale for </w:t>
      </w:r>
      <w:r w:rsidR="0025585B">
        <w:t>the display of i</w:t>
      </w:r>
      <w:r w:rsidR="004C6288">
        <w:t xml:space="preserve">dentification </w:t>
      </w:r>
      <w:r w:rsidR="0025585B">
        <w:t xml:space="preserve">information relating to the operator is to ensure that </w:t>
      </w:r>
      <w:r w:rsidR="00B94CD2">
        <w:t xml:space="preserve">the regulator and </w:t>
      </w:r>
      <w:r w:rsidR="00003C4B">
        <w:t xml:space="preserve">transport safety officers </w:t>
      </w:r>
      <w:r w:rsidR="0025585B">
        <w:t xml:space="preserve">can </w:t>
      </w:r>
      <w:r w:rsidR="002A72FC">
        <w:t>ascertain</w:t>
      </w:r>
      <w:r w:rsidR="00003C4B">
        <w:t xml:space="preserve"> the person responsible for the bus service. This ensures a</w:t>
      </w:r>
      <w:r w:rsidR="0015220A">
        <w:t xml:space="preserve">n effective and </w:t>
      </w:r>
      <w:r w:rsidR="006C3F05">
        <w:t>efficient</w:t>
      </w:r>
      <w:r w:rsidR="0015220A">
        <w:t xml:space="preserve"> compliance monitoring and enforcement regime for bus safety </w:t>
      </w:r>
      <w:r w:rsidR="006C3F05">
        <w:t>regulations</w:t>
      </w:r>
      <w:r w:rsidR="0015220A">
        <w:t xml:space="preserve">. </w:t>
      </w:r>
    </w:p>
    <w:p w14:paraId="5667D0B3" w14:textId="550C7AEB" w:rsidR="00B002E4" w:rsidRPr="001C2DC0" w:rsidRDefault="00557391" w:rsidP="0095677C">
      <w:pPr>
        <w:pStyle w:val="Heading5"/>
      </w:pPr>
      <w:bookmarkStart w:id="523" w:name="_Toc32909831"/>
      <w:r w:rsidRPr="001C2DC0">
        <w:lastRenderedPageBreak/>
        <w:t>Who should display identification?</w:t>
      </w:r>
      <w:bookmarkEnd w:id="523"/>
    </w:p>
    <w:p w14:paraId="732DA684" w14:textId="3EE65C72" w:rsidR="00F4772D" w:rsidRDefault="00F4772D" w:rsidP="009F6AB5">
      <w:r>
        <w:t xml:space="preserve">There are two </w:t>
      </w:r>
      <w:r w:rsidR="00373926">
        <w:t>relevant cohorts</w:t>
      </w:r>
      <w:r w:rsidR="00FE0AD1">
        <w:t>:</w:t>
      </w:r>
      <w:r w:rsidR="00D57090">
        <w:t xml:space="preserve"> accredited bus operators and registered bus operators.</w:t>
      </w:r>
    </w:p>
    <w:p w14:paraId="0C921DB0" w14:textId="5310ACD7" w:rsidR="009F6AB5" w:rsidRDefault="009F6AB5" w:rsidP="009F6AB5">
      <w:r>
        <w:t>A</w:t>
      </w:r>
      <w:r w:rsidRPr="000A17B0">
        <w:t>ccredited bus operators are subject to greater regulatory requirements, such as competency and capacity requirements, record keeping</w:t>
      </w:r>
      <w:r w:rsidR="00A00570">
        <w:t xml:space="preserve">, </w:t>
      </w:r>
      <w:r w:rsidR="0078198B">
        <w:t xml:space="preserve">and requirements to </w:t>
      </w:r>
      <w:r w:rsidR="009C3268">
        <w:t>establish</w:t>
      </w:r>
      <w:r w:rsidR="0078198B">
        <w:t xml:space="preserve"> and maintain an </w:t>
      </w:r>
      <w:r w:rsidR="00A00570">
        <w:t>MIS and MMS</w:t>
      </w:r>
      <w:r w:rsidRPr="000A17B0">
        <w:t>. Accredited bus operators provide commercial for-profit bus services and local bus services in larger buses that seat 13 or more adults and are therefore considered to provide services that are higher risk compared to smaller or not-for-profit type services (which only require registration).</w:t>
      </w:r>
      <w:r>
        <w:t xml:space="preserve"> </w:t>
      </w:r>
    </w:p>
    <w:p w14:paraId="089E23A0" w14:textId="642E3779" w:rsidR="009F6AB5" w:rsidRDefault="009F6AB5" w:rsidP="009F6AB5">
      <w:r>
        <w:t>Registered operators, on the other hand, are subject to a lighter touch regulatory regime, due to the assessment that the type of bus service</w:t>
      </w:r>
      <w:r w:rsidR="0092607A">
        <w:t>s</w:t>
      </w:r>
      <w:r>
        <w:t xml:space="preserve"> offered, particularly the non-for-profit and community sector. </w:t>
      </w:r>
    </w:p>
    <w:p w14:paraId="5AD45DF7" w14:textId="2405B0A6" w:rsidR="00557391" w:rsidRPr="00557391" w:rsidRDefault="002939F0" w:rsidP="00557391">
      <w:r>
        <w:t>DoT considers that</w:t>
      </w:r>
      <w:r w:rsidR="004D6AE6">
        <w:t>,</w:t>
      </w:r>
      <w:r w:rsidR="001C480D">
        <w:t xml:space="preserve"> for reasons described in Section </w:t>
      </w:r>
      <w:r w:rsidR="001C480D">
        <w:fldChar w:fldCharType="begin"/>
      </w:r>
      <w:r w:rsidR="001C480D">
        <w:instrText xml:space="preserve"> REF _Ref30412152 \r \h </w:instrText>
      </w:r>
      <w:r w:rsidR="001C480D">
        <w:fldChar w:fldCharType="separate"/>
      </w:r>
      <w:r w:rsidR="00277F6E">
        <w:t>3.6</w:t>
      </w:r>
      <w:r w:rsidR="001C480D">
        <w:fldChar w:fldCharType="end"/>
      </w:r>
      <w:r>
        <w:t xml:space="preserve">, all the </w:t>
      </w:r>
      <w:r w:rsidR="00BB4C42">
        <w:t xml:space="preserve">persons responsible for the </w:t>
      </w:r>
      <w:r>
        <w:t xml:space="preserve">accredited and registered </w:t>
      </w:r>
      <w:r w:rsidR="00BB4C42">
        <w:t>bus service should be identified on the road-</w:t>
      </w:r>
      <w:r w:rsidR="001A653A">
        <w:t xml:space="preserve">side </w:t>
      </w:r>
      <w:r w:rsidR="00EF3805">
        <w:t xml:space="preserve">for </w:t>
      </w:r>
      <w:r w:rsidR="001A653A">
        <w:t>compliance</w:t>
      </w:r>
      <w:r w:rsidR="004D6AE6">
        <w:t xml:space="preserve"> monitoring and enforcement purposes </w:t>
      </w:r>
      <w:r w:rsidR="00BB4C42">
        <w:t>(i.e. via</w:t>
      </w:r>
      <w:r w:rsidR="00664F00">
        <w:t xml:space="preserve"> </w:t>
      </w:r>
      <w:r w:rsidR="00B924E5">
        <w:t>identification</w:t>
      </w:r>
      <w:r w:rsidR="00664F00">
        <w:t xml:space="preserve"> on the bus). </w:t>
      </w:r>
      <w:r w:rsidR="00B924E5">
        <w:t xml:space="preserve">This is particularly relevant for mini-bus services, as there is little differentiation between a registered mini-bus and a </w:t>
      </w:r>
      <w:r w:rsidR="00997F1A">
        <w:t>privately-owned</w:t>
      </w:r>
      <w:r w:rsidR="002E286D">
        <w:t xml:space="preserve"> </w:t>
      </w:r>
      <w:r w:rsidR="00534E7C">
        <w:t xml:space="preserve">people mover type </w:t>
      </w:r>
      <w:r w:rsidR="001D6EFE">
        <w:t>vehicle</w:t>
      </w:r>
      <w:r w:rsidR="00A9764F">
        <w:t>.</w:t>
      </w:r>
      <w:r w:rsidR="001E5E6E">
        <w:t xml:space="preserve"> </w:t>
      </w:r>
      <w:r w:rsidR="00710C9C">
        <w:t xml:space="preserve"> </w:t>
      </w:r>
    </w:p>
    <w:p w14:paraId="1E67D13B" w14:textId="69713ED7" w:rsidR="00557391" w:rsidRPr="001C2DC0" w:rsidRDefault="00557391" w:rsidP="0095677C">
      <w:pPr>
        <w:pStyle w:val="Heading5"/>
      </w:pPr>
      <w:bookmarkStart w:id="524" w:name="_Toc32909832"/>
      <w:r w:rsidRPr="001C2DC0">
        <w:t>Manner of identification</w:t>
      </w:r>
      <w:bookmarkEnd w:id="524"/>
    </w:p>
    <w:p w14:paraId="710E0186" w14:textId="07A70F2C" w:rsidR="00C6697D" w:rsidRDefault="00E97934" w:rsidP="00997F1A">
      <w:r>
        <w:t xml:space="preserve">There are several means by which </w:t>
      </w:r>
      <w:r w:rsidR="00430C33">
        <w:t>identification information could be conveyed</w:t>
      </w:r>
      <w:r w:rsidR="00B57CDB">
        <w:t xml:space="preserve"> to the regulator and transport </w:t>
      </w:r>
      <w:r w:rsidR="00FB78B8">
        <w:t>safety</w:t>
      </w:r>
      <w:r w:rsidR="00B57CDB">
        <w:t xml:space="preserve"> officer</w:t>
      </w:r>
      <w:r w:rsidR="00A82764">
        <w:t>s</w:t>
      </w:r>
      <w:r w:rsidR="00B57CDB">
        <w:t xml:space="preserve"> to ensure they are able to ascertain the person responsible for the bus service</w:t>
      </w:r>
      <w:r w:rsidR="00430C33">
        <w:t xml:space="preserve">. </w:t>
      </w:r>
      <w:r w:rsidR="00997F1A">
        <w:t>Options include</w:t>
      </w:r>
      <w:r w:rsidR="00F6707E">
        <w:t xml:space="preserve"> a sign</w:t>
      </w:r>
      <w:r w:rsidR="00A21840">
        <w:t xml:space="preserve"> with relevant identification to be</w:t>
      </w:r>
      <w:r w:rsidR="00F6707E">
        <w:t xml:space="preserve"> attached to the vehicle that can viewed from the outside, </w:t>
      </w:r>
      <w:r w:rsidR="00D63D48">
        <w:t xml:space="preserve">a requirement of </w:t>
      </w:r>
      <w:r w:rsidR="009A3F14">
        <w:t>each</w:t>
      </w:r>
      <w:r w:rsidR="00D63D48">
        <w:t xml:space="preserve"> bus to</w:t>
      </w:r>
      <w:r w:rsidR="00CD0104">
        <w:t xml:space="preserve"> have a copy of an </w:t>
      </w:r>
      <w:r w:rsidR="001645EF">
        <w:t xml:space="preserve">accreditation or registration certificate, or </w:t>
      </w:r>
      <w:r w:rsidR="00F6707E">
        <w:t xml:space="preserve">a special number plate. </w:t>
      </w:r>
      <w:r w:rsidR="00146D98">
        <w:t>I</w:t>
      </w:r>
      <w:r w:rsidR="00ED5629">
        <w:t xml:space="preserve">dentification from the outside of the bus is </w:t>
      </w:r>
      <w:r w:rsidR="00146D98">
        <w:t xml:space="preserve">an option to ensure </w:t>
      </w:r>
      <w:r w:rsidR="00591B69">
        <w:t>transport safety</w:t>
      </w:r>
      <w:r w:rsidR="00ED5629">
        <w:t xml:space="preserve"> officer</w:t>
      </w:r>
      <w:r w:rsidR="00591B69">
        <w:t>s</w:t>
      </w:r>
      <w:r w:rsidR="00ED5629">
        <w:t xml:space="preserve"> </w:t>
      </w:r>
      <w:r w:rsidR="00146D98">
        <w:t xml:space="preserve">can </w:t>
      </w:r>
      <w:r w:rsidR="00ED5629">
        <w:t xml:space="preserve">readily identify the </w:t>
      </w:r>
      <w:r w:rsidR="007B2FFC">
        <w:t>responsible operator of the bus</w:t>
      </w:r>
      <w:r w:rsidR="004F3C01">
        <w:t>. In addition, as the responsible operator of each bus may change depending on</w:t>
      </w:r>
      <w:r w:rsidR="008C098F">
        <w:t xml:space="preserve"> the</w:t>
      </w:r>
      <w:r w:rsidR="004F3C01">
        <w:t xml:space="preserve"> bus service provided, it</w:t>
      </w:r>
      <w:r w:rsidR="00CC3106">
        <w:t xml:space="preserve"> proposed that identification should be easily changed</w:t>
      </w:r>
      <w:r w:rsidR="00C6697D">
        <w:t xml:space="preserve"> (i.e. not permanently affixed to the bus). </w:t>
      </w:r>
    </w:p>
    <w:p w14:paraId="73A78EDB" w14:textId="5CD40F1C" w:rsidR="006A50D2" w:rsidRDefault="006A50D2" w:rsidP="006A50D2">
      <w:r>
        <w:t>Given all vehicles used on Victorian roads must be registered with VicRoads’s Registration and Licen</w:t>
      </w:r>
      <w:r w:rsidR="00AF27BD">
        <w:t>s</w:t>
      </w:r>
      <w:r>
        <w:t>ing, it may also be possible for transport safety officers to identify the responsible operator by a general issue registration plate of each bus. This would require</w:t>
      </w:r>
      <w:r w:rsidR="008C098F">
        <w:t xml:space="preserve"> the regulator</w:t>
      </w:r>
      <w:r w:rsidR="000D073E">
        <w:t xml:space="preserve"> to</w:t>
      </w:r>
      <w:r>
        <w:t xml:space="preserve"> hold records of all operators and each bus in the bus fleet’s registration plate. </w:t>
      </w:r>
      <w:r w:rsidR="00682057">
        <w:t xml:space="preserve">This option may not be practical as </w:t>
      </w:r>
      <w:r w:rsidR="008C098F">
        <w:t>the regulator’s</w:t>
      </w:r>
      <w:r w:rsidR="00682057">
        <w:t xml:space="preserve"> </w:t>
      </w:r>
      <w:r w:rsidR="000C685E">
        <w:t>records would need to be updated in real-time</w:t>
      </w:r>
      <w:r w:rsidR="00682057">
        <w:t xml:space="preserve"> sin</w:t>
      </w:r>
      <w:r w:rsidR="00A5327F">
        <w:t>ce</w:t>
      </w:r>
      <w:r w:rsidR="000C685E">
        <w:t xml:space="preserve"> a particular bus may be operated by different </w:t>
      </w:r>
      <w:r w:rsidR="007A7BFA">
        <w:t>operator</w:t>
      </w:r>
      <w:r w:rsidR="00971E5B">
        <w:t>s</w:t>
      </w:r>
      <w:r w:rsidR="000C685E">
        <w:t xml:space="preserve"> at any given time. </w:t>
      </w:r>
    </w:p>
    <w:p w14:paraId="38849B8B" w14:textId="5A99043C" w:rsidR="00997F1A" w:rsidRDefault="00C6697D" w:rsidP="00997F1A">
      <w:r>
        <w:t xml:space="preserve">For these reasons, DoT considers </w:t>
      </w:r>
      <w:r w:rsidR="000D073E">
        <w:t xml:space="preserve">it </w:t>
      </w:r>
      <w:r w:rsidR="00424CFB">
        <w:t xml:space="preserve">may be </w:t>
      </w:r>
      <w:r>
        <w:t xml:space="preserve">appropriate that a </w:t>
      </w:r>
      <w:r w:rsidR="006B4CDB">
        <w:t>removable</w:t>
      </w:r>
      <w:r>
        <w:t xml:space="preserve"> sign or sticker be attached to the outside of the bus which identifies the responsible operator of the bus at the time. </w:t>
      </w:r>
    </w:p>
    <w:p w14:paraId="4242E8FF" w14:textId="7AAAA189" w:rsidR="00F6707E" w:rsidRPr="001C2DC0" w:rsidRDefault="00F6707E" w:rsidP="0095677C">
      <w:pPr>
        <w:pStyle w:val="Heading5"/>
      </w:pPr>
      <w:bookmarkStart w:id="525" w:name="_Toc32909833"/>
      <w:r w:rsidRPr="001C2DC0">
        <w:t>Type of information to be displayed</w:t>
      </w:r>
      <w:bookmarkEnd w:id="525"/>
    </w:p>
    <w:p w14:paraId="4920270E" w14:textId="050C5C79" w:rsidR="00C10BB2" w:rsidRPr="00C10BB2" w:rsidRDefault="007F1785" w:rsidP="007F1785">
      <w:pPr>
        <w:rPr>
          <w:szCs w:val="20"/>
        </w:rPr>
      </w:pPr>
      <w:r w:rsidRPr="00C10BB2">
        <w:rPr>
          <w:szCs w:val="20"/>
        </w:rPr>
        <w:t>Information may include</w:t>
      </w:r>
      <w:r w:rsidR="00C10BB2" w:rsidRPr="00C10BB2">
        <w:rPr>
          <w:szCs w:val="20"/>
        </w:rPr>
        <w:t>:</w:t>
      </w:r>
    </w:p>
    <w:p w14:paraId="04D4D2BF" w14:textId="75E8B983" w:rsidR="00555516" w:rsidRDefault="007F1785" w:rsidP="003B31E8">
      <w:pPr>
        <w:pStyle w:val="ListParagraph"/>
        <w:numPr>
          <w:ilvl w:val="0"/>
          <w:numId w:val="12"/>
        </w:numPr>
        <w:rPr>
          <w:rFonts w:asciiTheme="minorHAnsi" w:hAnsiTheme="minorHAnsi" w:cstheme="minorHAnsi"/>
          <w:color w:val="auto"/>
          <w:sz w:val="20"/>
          <w:szCs w:val="20"/>
        </w:rPr>
      </w:pPr>
      <w:r w:rsidRPr="00801741">
        <w:rPr>
          <w:rFonts w:asciiTheme="minorHAnsi" w:hAnsiTheme="minorHAnsi" w:cstheme="minorHAnsi"/>
          <w:color w:val="auto"/>
          <w:sz w:val="20"/>
          <w:szCs w:val="20"/>
        </w:rPr>
        <w:t xml:space="preserve">the </w:t>
      </w:r>
      <w:r w:rsidR="009D6EBF" w:rsidRPr="00801741">
        <w:rPr>
          <w:rFonts w:asciiTheme="minorHAnsi" w:hAnsiTheme="minorHAnsi" w:cstheme="minorHAnsi"/>
          <w:color w:val="auto"/>
          <w:sz w:val="20"/>
          <w:szCs w:val="20"/>
        </w:rPr>
        <w:t xml:space="preserve">person </w:t>
      </w:r>
      <w:r w:rsidR="00C10BB2">
        <w:rPr>
          <w:rFonts w:asciiTheme="minorHAnsi" w:hAnsiTheme="minorHAnsi" w:cstheme="minorHAnsi"/>
          <w:color w:val="auto"/>
          <w:sz w:val="20"/>
          <w:szCs w:val="20"/>
        </w:rPr>
        <w:t xml:space="preserve">or </w:t>
      </w:r>
      <w:r w:rsidR="00555516">
        <w:rPr>
          <w:rFonts w:asciiTheme="minorHAnsi" w:hAnsiTheme="minorHAnsi" w:cstheme="minorHAnsi"/>
          <w:color w:val="auto"/>
          <w:sz w:val="20"/>
          <w:szCs w:val="20"/>
        </w:rPr>
        <w:t xml:space="preserve">operator </w:t>
      </w:r>
      <w:r w:rsidR="00C10BB2">
        <w:rPr>
          <w:rFonts w:asciiTheme="minorHAnsi" w:hAnsiTheme="minorHAnsi" w:cstheme="minorHAnsi"/>
          <w:color w:val="auto"/>
          <w:sz w:val="20"/>
          <w:szCs w:val="20"/>
        </w:rPr>
        <w:t>responsible</w:t>
      </w:r>
      <w:r w:rsidR="00555516">
        <w:rPr>
          <w:rFonts w:asciiTheme="minorHAnsi" w:hAnsiTheme="minorHAnsi" w:cstheme="minorHAnsi"/>
          <w:color w:val="auto"/>
          <w:sz w:val="20"/>
          <w:szCs w:val="20"/>
        </w:rPr>
        <w:t xml:space="preserve"> </w:t>
      </w:r>
      <w:r w:rsidR="009D6EBF" w:rsidRPr="00801741">
        <w:rPr>
          <w:rFonts w:asciiTheme="minorHAnsi" w:hAnsiTheme="minorHAnsi" w:cstheme="minorHAnsi"/>
          <w:color w:val="auto"/>
          <w:sz w:val="20"/>
          <w:szCs w:val="20"/>
        </w:rPr>
        <w:t>for the bus service</w:t>
      </w:r>
    </w:p>
    <w:p w14:paraId="7B495BA2" w14:textId="1C6F0685" w:rsidR="00801741" w:rsidRDefault="00543289" w:rsidP="003B31E8">
      <w:pPr>
        <w:pStyle w:val="ListParagraph"/>
        <w:numPr>
          <w:ilvl w:val="0"/>
          <w:numId w:val="12"/>
        </w:numPr>
        <w:rPr>
          <w:rFonts w:asciiTheme="minorHAnsi" w:hAnsiTheme="minorHAnsi" w:cstheme="minorHAnsi"/>
          <w:color w:val="auto"/>
          <w:sz w:val="20"/>
          <w:szCs w:val="20"/>
        </w:rPr>
      </w:pPr>
      <w:r>
        <w:rPr>
          <w:rFonts w:asciiTheme="minorHAnsi" w:hAnsiTheme="minorHAnsi" w:cstheme="minorHAnsi"/>
          <w:color w:val="auto"/>
          <w:sz w:val="20"/>
          <w:szCs w:val="20"/>
        </w:rPr>
        <w:t>t</w:t>
      </w:r>
      <w:r w:rsidR="00971945">
        <w:rPr>
          <w:rFonts w:asciiTheme="minorHAnsi" w:hAnsiTheme="minorHAnsi" w:cstheme="minorHAnsi"/>
          <w:color w:val="auto"/>
          <w:sz w:val="20"/>
          <w:szCs w:val="20"/>
        </w:rPr>
        <w:t xml:space="preserve">he </w:t>
      </w:r>
      <w:r>
        <w:rPr>
          <w:rFonts w:asciiTheme="minorHAnsi" w:hAnsiTheme="minorHAnsi" w:cstheme="minorHAnsi"/>
          <w:color w:val="auto"/>
          <w:sz w:val="20"/>
          <w:szCs w:val="20"/>
        </w:rPr>
        <w:t>accreditation</w:t>
      </w:r>
      <w:r w:rsidR="00971945">
        <w:rPr>
          <w:rFonts w:asciiTheme="minorHAnsi" w:hAnsiTheme="minorHAnsi" w:cstheme="minorHAnsi"/>
          <w:color w:val="auto"/>
          <w:sz w:val="20"/>
          <w:szCs w:val="20"/>
        </w:rPr>
        <w:t xml:space="preserve"> or registration numbers </w:t>
      </w:r>
      <w:r>
        <w:rPr>
          <w:rFonts w:asciiTheme="minorHAnsi" w:hAnsiTheme="minorHAnsi" w:cstheme="minorHAnsi"/>
          <w:color w:val="auto"/>
          <w:sz w:val="20"/>
          <w:szCs w:val="20"/>
        </w:rPr>
        <w:t>for the operator issued by the Safety Director</w:t>
      </w:r>
    </w:p>
    <w:p w14:paraId="1F669151" w14:textId="1F73CE36" w:rsidR="00801741" w:rsidRDefault="00113BB8" w:rsidP="003B31E8">
      <w:pPr>
        <w:pStyle w:val="ListParagraph"/>
        <w:numPr>
          <w:ilvl w:val="0"/>
          <w:numId w:val="12"/>
        </w:numPr>
        <w:rPr>
          <w:rFonts w:asciiTheme="minorHAnsi" w:hAnsiTheme="minorHAnsi" w:cstheme="minorHAnsi"/>
          <w:color w:val="auto"/>
          <w:sz w:val="20"/>
          <w:szCs w:val="20"/>
        </w:rPr>
      </w:pPr>
      <w:r>
        <w:rPr>
          <w:rFonts w:asciiTheme="minorHAnsi" w:hAnsiTheme="minorHAnsi" w:cstheme="minorHAnsi"/>
          <w:color w:val="auto"/>
          <w:sz w:val="20"/>
          <w:szCs w:val="20"/>
        </w:rPr>
        <w:t xml:space="preserve">the </w:t>
      </w:r>
      <w:r w:rsidR="00DF7B42" w:rsidRPr="00801741">
        <w:rPr>
          <w:rFonts w:asciiTheme="minorHAnsi" w:hAnsiTheme="minorHAnsi" w:cstheme="minorHAnsi"/>
          <w:color w:val="auto"/>
          <w:sz w:val="20"/>
          <w:szCs w:val="20"/>
        </w:rPr>
        <w:t>contact details of the responsible person</w:t>
      </w:r>
    </w:p>
    <w:p w14:paraId="32406A15" w14:textId="5DD75AA5" w:rsidR="00801741" w:rsidRDefault="00472A7F" w:rsidP="003B31E8">
      <w:pPr>
        <w:pStyle w:val="ListParagraph"/>
        <w:numPr>
          <w:ilvl w:val="0"/>
          <w:numId w:val="12"/>
        </w:numPr>
        <w:rPr>
          <w:rFonts w:asciiTheme="minorHAnsi" w:hAnsiTheme="minorHAnsi" w:cstheme="minorHAnsi"/>
          <w:color w:val="auto"/>
          <w:sz w:val="20"/>
          <w:szCs w:val="20"/>
        </w:rPr>
      </w:pPr>
      <w:r w:rsidRPr="00801741">
        <w:rPr>
          <w:rFonts w:asciiTheme="minorHAnsi" w:hAnsiTheme="minorHAnsi" w:cstheme="minorHAnsi"/>
          <w:color w:val="auto"/>
          <w:sz w:val="20"/>
          <w:szCs w:val="20"/>
        </w:rPr>
        <w:t>information regarding the type of bus service the bus offers</w:t>
      </w:r>
    </w:p>
    <w:p w14:paraId="7F040AE3" w14:textId="3CE181E1" w:rsidR="007F1785" w:rsidRDefault="009D6EBF" w:rsidP="003B31E8">
      <w:pPr>
        <w:pStyle w:val="ListParagraph"/>
        <w:numPr>
          <w:ilvl w:val="0"/>
          <w:numId w:val="12"/>
        </w:numPr>
        <w:rPr>
          <w:rFonts w:asciiTheme="minorHAnsi" w:hAnsiTheme="minorHAnsi" w:cstheme="minorHAnsi"/>
          <w:color w:val="auto"/>
          <w:sz w:val="20"/>
          <w:szCs w:val="20"/>
        </w:rPr>
      </w:pPr>
      <w:r w:rsidRPr="00801741">
        <w:rPr>
          <w:rFonts w:asciiTheme="minorHAnsi" w:hAnsiTheme="minorHAnsi" w:cstheme="minorHAnsi"/>
          <w:color w:val="auto"/>
          <w:sz w:val="20"/>
          <w:szCs w:val="20"/>
        </w:rPr>
        <w:t>identification of the bus driver</w:t>
      </w:r>
      <w:r w:rsidR="00472A7F" w:rsidRPr="00801741">
        <w:rPr>
          <w:rFonts w:asciiTheme="minorHAnsi" w:hAnsiTheme="minorHAnsi" w:cstheme="minorHAnsi"/>
          <w:color w:val="auto"/>
          <w:sz w:val="20"/>
          <w:szCs w:val="20"/>
        </w:rPr>
        <w:t>.</w:t>
      </w:r>
      <w:r w:rsidR="00E57B76" w:rsidRPr="00801741">
        <w:rPr>
          <w:rFonts w:asciiTheme="minorHAnsi" w:hAnsiTheme="minorHAnsi" w:cstheme="minorHAnsi"/>
          <w:color w:val="auto"/>
          <w:sz w:val="20"/>
          <w:szCs w:val="20"/>
        </w:rPr>
        <w:t xml:space="preserve"> </w:t>
      </w:r>
    </w:p>
    <w:p w14:paraId="1965A895" w14:textId="7B8AFB32" w:rsidR="0008795B" w:rsidRPr="001C2DC0" w:rsidRDefault="0008795B" w:rsidP="0095677C">
      <w:pPr>
        <w:pStyle w:val="Heading5"/>
      </w:pPr>
      <w:r w:rsidRPr="001C2DC0">
        <w:t>Summary</w:t>
      </w:r>
    </w:p>
    <w:p w14:paraId="05E5F9E4" w14:textId="5854F274" w:rsidR="00F6256B" w:rsidRDefault="00E3798B" w:rsidP="0008795B">
      <w:r>
        <w:t xml:space="preserve">Identification information would assist the regulator in compliance monitoring and enforcement by identifying bus services. </w:t>
      </w:r>
      <w:r w:rsidR="00552F0A">
        <w:t>Section</w:t>
      </w:r>
      <w:r w:rsidR="00A744D9">
        <w:t xml:space="preserve"> </w:t>
      </w:r>
      <w:r w:rsidR="009E5AD4">
        <w:fldChar w:fldCharType="begin"/>
      </w:r>
      <w:r w:rsidR="009E5AD4">
        <w:instrText xml:space="preserve"> REF _Ref43279175 \r \h </w:instrText>
      </w:r>
      <w:r w:rsidR="009E5AD4">
        <w:fldChar w:fldCharType="separate"/>
      </w:r>
      <w:r w:rsidR="00277F6E">
        <w:t>7.6</w:t>
      </w:r>
      <w:r w:rsidR="009E5AD4">
        <w:fldChar w:fldCharType="end"/>
      </w:r>
      <w:r>
        <w:t xml:space="preserve"> further </w:t>
      </w:r>
      <w:r w:rsidR="005373BB">
        <w:t>assess</w:t>
      </w:r>
      <w:r w:rsidR="00552F0A">
        <w:t>es</w:t>
      </w:r>
      <w:r>
        <w:t xml:space="preserve"> the impacts</w:t>
      </w:r>
      <w:r w:rsidR="005373BB">
        <w:t xml:space="preserve"> of requiring all operators to display </w:t>
      </w:r>
      <w:r w:rsidR="00E25662">
        <w:t xml:space="preserve">identifying information on </w:t>
      </w:r>
      <w:r w:rsidR="003B2D54">
        <w:t>their buses.</w:t>
      </w:r>
      <w:r w:rsidR="006546A5">
        <w:t xml:space="preserve"> This information would include the name and accreditation/registration number of the operator.</w:t>
      </w:r>
      <w:r w:rsidR="003B2D54">
        <w:t xml:space="preserve"> </w:t>
      </w:r>
    </w:p>
    <w:p w14:paraId="5C4CA947" w14:textId="57AC5D8D" w:rsidR="0008795B" w:rsidRPr="0008795B" w:rsidRDefault="003B2D54" w:rsidP="0008795B">
      <w:r>
        <w:t xml:space="preserve">DoT will also consider the merits of requiring accredited operators to display </w:t>
      </w:r>
      <w:r w:rsidR="00514CD4">
        <w:t>restricted</w:t>
      </w:r>
      <w:r w:rsidR="001566DB">
        <w:t>-</w:t>
      </w:r>
      <w:r w:rsidR="00514CD4">
        <w:t>issue bus number</w:t>
      </w:r>
      <w:r w:rsidR="001566DB">
        <w:t xml:space="preserve"> plates on all their vehicles</w:t>
      </w:r>
      <w:r w:rsidR="00F6256B">
        <w:t xml:space="preserve"> (status quo)</w:t>
      </w:r>
      <w:r w:rsidR="001566DB">
        <w:t>.</w:t>
      </w:r>
    </w:p>
    <w:p w14:paraId="31902DFC" w14:textId="164AA5C2" w:rsidR="00615063" w:rsidRDefault="00615063" w:rsidP="00615063">
      <w:pPr>
        <w:pStyle w:val="Heading2"/>
      </w:pPr>
      <w:bookmarkStart w:id="526" w:name="_Toc32909834"/>
      <w:bookmarkStart w:id="527" w:name="_Ref41992974"/>
      <w:bookmarkStart w:id="528" w:name="_Ref42010144"/>
      <w:bookmarkStart w:id="529" w:name="_Toc45704366"/>
      <w:r>
        <w:lastRenderedPageBreak/>
        <w:t>Records</w:t>
      </w:r>
      <w:bookmarkEnd w:id="526"/>
      <w:bookmarkEnd w:id="527"/>
      <w:bookmarkEnd w:id="528"/>
      <w:bookmarkEnd w:id="529"/>
    </w:p>
    <w:p w14:paraId="5D14BF61" w14:textId="6E5B54B7" w:rsidR="00F13E46" w:rsidRDefault="00407C1C" w:rsidP="00F13E46">
      <w:r>
        <w:t>Records and record keeping requirement</w:t>
      </w:r>
      <w:r w:rsidR="00DE3DBB">
        <w:t>s</w:t>
      </w:r>
      <w:r>
        <w:t xml:space="preserve"> may support e</w:t>
      </w:r>
      <w:r w:rsidR="00F13E46">
        <w:t xml:space="preserve">ffective compliance monitoring and enforcement of the </w:t>
      </w:r>
      <w:r w:rsidR="003A2F6F">
        <w:t>Bus Safety Act</w:t>
      </w:r>
      <w:r w:rsidR="00F13E46">
        <w:t xml:space="preserve"> and its regulations by the Safety Director </w:t>
      </w:r>
      <w:r w:rsidR="000806F8">
        <w:t xml:space="preserve">by </w:t>
      </w:r>
      <w:r w:rsidR="00F13E46">
        <w:t xml:space="preserve">ensuring that the Safety Director is able to access evidence of compliance with </w:t>
      </w:r>
      <w:r w:rsidR="00F13E46" w:rsidRPr="007B0D1F">
        <w:t xml:space="preserve">the law. </w:t>
      </w:r>
      <w:r w:rsidR="00F13E46">
        <w:t xml:space="preserve">Section 54 of the </w:t>
      </w:r>
      <w:r w:rsidR="003A2F6F">
        <w:t>Bus Safety Act</w:t>
      </w:r>
      <w:r w:rsidR="00F13E46">
        <w:t xml:space="preserve"> enables the Safety Director to request an accredited or registered bus operator to provide the Safety Director information relating to the safety of the bus service operations. </w:t>
      </w:r>
    </w:p>
    <w:p w14:paraId="7FFED0CA" w14:textId="4355EC1C" w:rsidR="00F13E46" w:rsidRDefault="00F13E46" w:rsidP="00F13E46">
      <w:r w:rsidRPr="00CB6FD0">
        <w:t xml:space="preserve">Records are </w:t>
      </w:r>
      <w:r>
        <w:t xml:space="preserve">an important requirement </w:t>
      </w:r>
      <w:r w:rsidRPr="00CB6FD0">
        <w:t>to operationalise the legislative arrangement</w:t>
      </w:r>
      <w:r w:rsidR="00075C18">
        <w:t>s</w:t>
      </w:r>
      <w:r w:rsidRPr="00CB6FD0">
        <w:t xml:space="preserve"> established under the </w:t>
      </w:r>
      <w:r w:rsidR="003A2F6F">
        <w:t>Bus Safety Act</w:t>
      </w:r>
      <w:r w:rsidRPr="00CB6FD0">
        <w:t>.</w:t>
      </w:r>
      <w:r>
        <w:t xml:space="preserve"> Section 72 of the </w:t>
      </w:r>
      <w:r w:rsidR="003A2F6F">
        <w:t>Act</w:t>
      </w:r>
      <w:r>
        <w:t xml:space="preserve"> provides that regulations may be made in relation to prescribing the keeping and the form of any records or other document as may be necessary for the administration of the </w:t>
      </w:r>
      <w:r w:rsidR="003A2F6F">
        <w:t>Act</w:t>
      </w:r>
      <w:r>
        <w:t>. Requiring record</w:t>
      </w:r>
      <w:r w:rsidR="00CF689C">
        <w:t>s</w:t>
      </w:r>
      <w:r>
        <w:t xml:space="preserve"> to be kept ensures that the Safety Director is able to inspect them for the purposes for </w:t>
      </w:r>
      <w:r w:rsidRPr="00CB6FD0">
        <w:t xml:space="preserve">compliance monitoring and enforcement </w:t>
      </w:r>
      <w:r>
        <w:t xml:space="preserve">of requirements </w:t>
      </w:r>
      <w:r w:rsidRPr="00CB6FD0">
        <w:t xml:space="preserve">specified in the </w:t>
      </w:r>
      <w:r w:rsidR="003A2F6F">
        <w:t>Act</w:t>
      </w:r>
      <w:r>
        <w:t xml:space="preserve"> and its r</w:t>
      </w:r>
      <w:r w:rsidRPr="00CB6FD0">
        <w:t>egulations.</w:t>
      </w:r>
      <w:r>
        <w:t xml:space="preserve"> Regulations can ensure access to certain information which otherwise may not be kept as a record, and include matters relating to:</w:t>
      </w:r>
    </w:p>
    <w:p w14:paraId="6D9CCC71" w14:textId="77777777" w:rsidR="00F13E46" w:rsidRPr="003B31E8" w:rsidRDefault="00F13E46"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conditions of accreditation</w:t>
      </w:r>
    </w:p>
    <w:p w14:paraId="47211E4B" w14:textId="77777777" w:rsidR="009C3268" w:rsidRPr="003B31E8" w:rsidRDefault="009C3268"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maintenance management system</w:t>
      </w:r>
    </w:p>
    <w:p w14:paraId="335BFD05" w14:textId="45D73A15" w:rsidR="00F13E46" w:rsidRPr="003B31E8" w:rsidRDefault="009C3268"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management information system</w:t>
      </w:r>
    </w:p>
    <w:p w14:paraId="6B0666EE" w14:textId="77777777" w:rsidR="00F13E46" w:rsidRPr="003B31E8" w:rsidRDefault="00F13E46"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annual audit of bus service operations</w:t>
      </w:r>
    </w:p>
    <w:p w14:paraId="6FA7A88D" w14:textId="77777777" w:rsidR="00F13E46" w:rsidRPr="003B31E8" w:rsidRDefault="00F13E46"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annual vehicle inspections.</w:t>
      </w:r>
    </w:p>
    <w:p w14:paraId="0340DABE" w14:textId="37AA9E52" w:rsidR="00615063" w:rsidRDefault="00615063" w:rsidP="00615063">
      <w:r w:rsidRPr="00CB6FD0">
        <w:t xml:space="preserve">The type of records required is dependent on the specific information that is needed for </w:t>
      </w:r>
      <w:r>
        <w:t>bus operators</w:t>
      </w:r>
      <w:r w:rsidRPr="00CB6FD0">
        <w:t xml:space="preserve"> to demonstrate compliance with requirements under the </w:t>
      </w:r>
      <w:r w:rsidR="003A2F6F">
        <w:t>Bus Safety Act</w:t>
      </w:r>
      <w:r w:rsidRPr="00CB6FD0">
        <w:t xml:space="preserve"> and </w:t>
      </w:r>
      <w:r w:rsidR="00241506">
        <w:t>its</w:t>
      </w:r>
      <w:r w:rsidR="00241506" w:rsidRPr="00CB6FD0">
        <w:t xml:space="preserve"> </w:t>
      </w:r>
      <w:r w:rsidRPr="00CB6FD0">
        <w:t xml:space="preserve">regulations. </w:t>
      </w:r>
    </w:p>
    <w:p w14:paraId="2E64DE14" w14:textId="7BC3E044" w:rsidR="0089324B" w:rsidRDefault="0089324B" w:rsidP="00615063">
      <w:r>
        <w:t>In order to consider options relating to prescribing record keeping requirements, it is necessary to consider what records should be kept, who should be required to keep those records and the manner in which records must be kept.</w:t>
      </w:r>
    </w:p>
    <w:p w14:paraId="6A14555B" w14:textId="77777777" w:rsidR="00615063" w:rsidRPr="001C2DC0" w:rsidRDefault="00615063" w:rsidP="0095677C">
      <w:pPr>
        <w:pStyle w:val="Heading5"/>
      </w:pPr>
      <w:bookmarkStart w:id="530" w:name="_Toc32909835"/>
      <w:r w:rsidRPr="001C2DC0">
        <w:t>What records should be kept?</w:t>
      </w:r>
      <w:bookmarkEnd w:id="530"/>
    </w:p>
    <w:p w14:paraId="2FCD8CF0" w14:textId="27888882" w:rsidR="00A23327" w:rsidRDefault="00543993" w:rsidP="00615063">
      <w:r>
        <w:t xml:space="preserve">The types of records that could be required to be kept under the </w:t>
      </w:r>
      <w:r w:rsidR="00F82A76">
        <w:t xml:space="preserve">proposed </w:t>
      </w:r>
      <w:r w:rsidR="003F560B">
        <w:t>r</w:t>
      </w:r>
      <w:r w:rsidR="00F82A76">
        <w:t>egulations</w:t>
      </w:r>
      <w:r>
        <w:t xml:space="preserve"> </w:t>
      </w:r>
      <w:r w:rsidR="006A1A55">
        <w:t xml:space="preserve">should reflect the </w:t>
      </w:r>
      <w:r w:rsidR="001B0993">
        <w:t xml:space="preserve">information that may be needed to conduct an audit or investigation </w:t>
      </w:r>
      <w:r w:rsidR="00846571">
        <w:t>of a bus operator to determine whether that operator has complied with their obligations under the</w:t>
      </w:r>
      <w:r w:rsidR="008F5776">
        <w:t xml:space="preserve"> </w:t>
      </w:r>
      <w:r w:rsidR="003A2F6F">
        <w:t>Bus Safety Act</w:t>
      </w:r>
      <w:r w:rsidR="00846571">
        <w:t>.</w:t>
      </w:r>
      <w:r w:rsidR="006A1A55">
        <w:t xml:space="preserve"> </w:t>
      </w:r>
      <w:r w:rsidR="00437CC6">
        <w:t>This would include</w:t>
      </w:r>
      <w:r w:rsidR="00A23327">
        <w:t xml:space="preserve"> compliance with</w:t>
      </w:r>
      <w:r w:rsidR="00437CC6">
        <w:t xml:space="preserve">: </w:t>
      </w:r>
    </w:p>
    <w:p w14:paraId="54AA99DE" w14:textId="1850483C" w:rsidR="00437CC6" w:rsidRPr="003B31E8" w:rsidRDefault="00A23327"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the general safety duties </w:t>
      </w:r>
      <w:r w:rsidR="007771D2" w:rsidRPr="003B31E8">
        <w:rPr>
          <w:rFonts w:asciiTheme="minorHAnsi" w:hAnsiTheme="minorHAnsi" w:cstheme="minorHAnsi"/>
          <w:color w:val="auto"/>
          <w:sz w:val="20"/>
          <w:szCs w:val="20"/>
        </w:rPr>
        <w:t xml:space="preserve">under the </w:t>
      </w:r>
      <w:r w:rsidR="003A2F6F" w:rsidRPr="003B31E8">
        <w:rPr>
          <w:rFonts w:asciiTheme="minorHAnsi" w:hAnsiTheme="minorHAnsi" w:cstheme="minorHAnsi"/>
          <w:color w:val="auto"/>
          <w:sz w:val="20"/>
          <w:szCs w:val="20"/>
        </w:rPr>
        <w:t>Act</w:t>
      </w:r>
    </w:p>
    <w:p w14:paraId="36ADC987" w14:textId="7AB7FC0D" w:rsidR="007D4078" w:rsidRPr="003B31E8" w:rsidRDefault="007D4078"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conditions of accreditation or registration</w:t>
      </w:r>
    </w:p>
    <w:p w14:paraId="2BFE5FEA" w14:textId="099F07A0" w:rsidR="00A23327" w:rsidRPr="003B31E8" w:rsidRDefault="007D4078"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requirement</w:t>
      </w:r>
      <w:r w:rsidR="005B45D3" w:rsidRPr="003B31E8">
        <w:rPr>
          <w:rFonts w:asciiTheme="minorHAnsi" w:hAnsiTheme="minorHAnsi" w:cstheme="minorHAnsi"/>
          <w:color w:val="auto"/>
          <w:sz w:val="20"/>
          <w:szCs w:val="20"/>
        </w:rPr>
        <w:t>s</w:t>
      </w:r>
      <w:r w:rsidRPr="003B31E8">
        <w:rPr>
          <w:rFonts w:asciiTheme="minorHAnsi" w:hAnsiTheme="minorHAnsi" w:cstheme="minorHAnsi"/>
          <w:color w:val="auto"/>
          <w:sz w:val="20"/>
          <w:szCs w:val="20"/>
        </w:rPr>
        <w:t xml:space="preserve"> prescribed under the regulations</w:t>
      </w:r>
      <w:r w:rsidR="005B45D3" w:rsidRPr="003B31E8">
        <w:rPr>
          <w:rFonts w:asciiTheme="minorHAnsi" w:hAnsiTheme="minorHAnsi" w:cstheme="minorHAnsi"/>
          <w:color w:val="auto"/>
          <w:sz w:val="20"/>
          <w:szCs w:val="20"/>
        </w:rPr>
        <w:t xml:space="preserve"> (e.g. inspections</w:t>
      </w:r>
      <w:r w:rsidR="00945E37" w:rsidRPr="003B31E8">
        <w:rPr>
          <w:rFonts w:asciiTheme="minorHAnsi" w:hAnsiTheme="minorHAnsi" w:cstheme="minorHAnsi"/>
          <w:color w:val="auto"/>
          <w:sz w:val="20"/>
          <w:szCs w:val="20"/>
        </w:rPr>
        <w:t xml:space="preserve"> and </w:t>
      </w:r>
      <w:r w:rsidR="005B45D3" w:rsidRPr="003B31E8">
        <w:rPr>
          <w:rFonts w:asciiTheme="minorHAnsi" w:hAnsiTheme="minorHAnsi" w:cstheme="minorHAnsi"/>
          <w:color w:val="auto"/>
          <w:sz w:val="20"/>
          <w:szCs w:val="20"/>
        </w:rPr>
        <w:t>management systems</w:t>
      </w:r>
      <w:r w:rsidR="00945E37" w:rsidRPr="003B31E8">
        <w:rPr>
          <w:rFonts w:asciiTheme="minorHAnsi" w:hAnsiTheme="minorHAnsi" w:cstheme="minorHAnsi"/>
          <w:color w:val="auto"/>
          <w:sz w:val="20"/>
          <w:szCs w:val="20"/>
        </w:rPr>
        <w:t>)</w:t>
      </w:r>
    </w:p>
    <w:p w14:paraId="7BC12F99" w14:textId="728B5413" w:rsidR="00B34EB1" w:rsidRDefault="00615063" w:rsidP="00C0177F">
      <w:r>
        <w:t xml:space="preserve">To ensure that a bus operator is compliant with their general safety duties under the </w:t>
      </w:r>
      <w:r w:rsidR="003A2F6F">
        <w:t>Bus Safety Act</w:t>
      </w:r>
      <w:r>
        <w:t>, records relating to the following could be required:</w:t>
      </w:r>
    </w:p>
    <w:p w14:paraId="3AC8FDD7" w14:textId="51760193" w:rsidR="008E096D" w:rsidRPr="003B31E8" w:rsidRDefault="008E096D"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record of the name, address, driver licence number and driver accreditation of each person who drives a bus operated </w:t>
      </w:r>
      <w:r w:rsidR="005130A2" w:rsidRPr="003B31E8">
        <w:rPr>
          <w:rFonts w:asciiTheme="minorHAnsi" w:hAnsiTheme="minorHAnsi" w:cstheme="minorHAnsi"/>
          <w:color w:val="auto"/>
          <w:sz w:val="20"/>
          <w:szCs w:val="20"/>
        </w:rPr>
        <w:t>by the bus operator</w:t>
      </w:r>
      <w:r w:rsidR="00A67FB1" w:rsidRPr="003B31E8">
        <w:rPr>
          <w:rFonts w:asciiTheme="minorHAnsi" w:hAnsiTheme="minorHAnsi" w:cstheme="minorHAnsi"/>
          <w:color w:val="auto"/>
          <w:sz w:val="20"/>
          <w:szCs w:val="20"/>
        </w:rPr>
        <w:t xml:space="preserve"> – this information could be used to ensure that drivers are </w:t>
      </w:r>
      <w:r w:rsidR="00593B46" w:rsidRPr="003B31E8">
        <w:rPr>
          <w:rFonts w:asciiTheme="minorHAnsi" w:hAnsiTheme="minorHAnsi" w:cstheme="minorHAnsi"/>
          <w:color w:val="auto"/>
          <w:sz w:val="20"/>
          <w:szCs w:val="20"/>
        </w:rPr>
        <w:t>appropriately</w:t>
      </w:r>
      <w:r w:rsidR="00A67FB1" w:rsidRPr="003B31E8">
        <w:rPr>
          <w:rFonts w:asciiTheme="minorHAnsi" w:hAnsiTheme="minorHAnsi" w:cstheme="minorHAnsi"/>
          <w:color w:val="auto"/>
          <w:sz w:val="20"/>
          <w:szCs w:val="20"/>
        </w:rPr>
        <w:t xml:space="preserve"> qualified to provide safe bus services.</w:t>
      </w:r>
    </w:p>
    <w:p w14:paraId="36FC03E1" w14:textId="3BE9991A" w:rsidR="00C0177F" w:rsidRPr="003B31E8" w:rsidRDefault="008207F1"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documents produced as part</w:t>
      </w:r>
      <w:r w:rsidR="00C0177F" w:rsidRPr="003B31E8">
        <w:rPr>
          <w:rFonts w:asciiTheme="minorHAnsi" w:hAnsiTheme="minorHAnsi" w:cstheme="minorHAnsi"/>
          <w:color w:val="auto"/>
          <w:sz w:val="20"/>
          <w:szCs w:val="20"/>
        </w:rPr>
        <w:t xml:space="preserve"> of</w:t>
      </w:r>
      <w:r w:rsidRPr="003B31E8">
        <w:rPr>
          <w:rFonts w:asciiTheme="minorHAnsi" w:hAnsiTheme="minorHAnsi" w:cstheme="minorHAnsi"/>
          <w:color w:val="auto"/>
          <w:sz w:val="20"/>
          <w:szCs w:val="20"/>
        </w:rPr>
        <w:t xml:space="preserve"> a</w:t>
      </w:r>
      <w:r w:rsidR="00C30142" w:rsidRPr="003B31E8">
        <w:rPr>
          <w:rFonts w:asciiTheme="minorHAnsi" w:hAnsiTheme="minorHAnsi" w:cstheme="minorHAnsi"/>
          <w:color w:val="auto"/>
          <w:sz w:val="20"/>
          <w:szCs w:val="20"/>
        </w:rPr>
        <w:t>n</w:t>
      </w:r>
      <w:r w:rsidR="00C0177F" w:rsidRPr="003B31E8">
        <w:rPr>
          <w:rFonts w:asciiTheme="minorHAnsi" w:hAnsiTheme="minorHAnsi" w:cstheme="minorHAnsi"/>
          <w:color w:val="auto"/>
          <w:sz w:val="20"/>
          <w:szCs w:val="20"/>
        </w:rPr>
        <w:t xml:space="preserve"> </w:t>
      </w:r>
      <w:r w:rsidRPr="003B31E8">
        <w:rPr>
          <w:rFonts w:asciiTheme="minorHAnsi" w:hAnsiTheme="minorHAnsi" w:cstheme="minorHAnsi"/>
          <w:color w:val="auto"/>
          <w:sz w:val="20"/>
          <w:szCs w:val="20"/>
        </w:rPr>
        <w:t>MIS and MMS</w:t>
      </w:r>
      <w:r w:rsidR="005A2798" w:rsidRPr="003B31E8">
        <w:rPr>
          <w:rFonts w:asciiTheme="minorHAnsi" w:hAnsiTheme="minorHAnsi" w:cstheme="minorHAnsi"/>
          <w:color w:val="auto"/>
          <w:sz w:val="20"/>
          <w:szCs w:val="20"/>
        </w:rPr>
        <w:t>, including audits</w:t>
      </w:r>
      <w:r w:rsidR="002871F8" w:rsidRPr="003B31E8">
        <w:rPr>
          <w:rFonts w:asciiTheme="minorHAnsi" w:hAnsiTheme="minorHAnsi" w:cstheme="minorHAnsi"/>
          <w:color w:val="auto"/>
          <w:sz w:val="20"/>
          <w:szCs w:val="20"/>
        </w:rPr>
        <w:t xml:space="preserve"> – </w:t>
      </w:r>
      <w:r w:rsidR="00436478" w:rsidRPr="003B31E8">
        <w:rPr>
          <w:rFonts w:asciiTheme="minorHAnsi" w:hAnsiTheme="minorHAnsi" w:cstheme="minorHAnsi"/>
          <w:color w:val="auto"/>
          <w:sz w:val="20"/>
          <w:szCs w:val="20"/>
        </w:rPr>
        <w:t>t</w:t>
      </w:r>
      <w:r w:rsidR="002871F8" w:rsidRPr="003B31E8">
        <w:rPr>
          <w:rFonts w:asciiTheme="minorHAnsi" w:hAnsiTheme="minorHAnsi" w:cstheme="minorHAnsi"/>
          <w:color w:val="auto"/>
          <w:sz w:val="20"/>
          <w:szCs w:val="20"/>
        </w:rPr>
        <w:t>his information could be used to assess whether an operator</w:t>
      </w:r>
      <w:r w:rsidR="001B1229" w:rsidRPr="003B31E8">
        <w:rPr>
          <w:rFonts w:asciiTheme="minorHAnsi" w:hAnsiTheme="minorHAnsi" w:cstheme="minorHAnsi"/>
          <w:color w:val="auto"/>
          <w:sz w:val="20"/>
          <w:szCs w:val="20"/>
        </w:rPr>
        <w:t xml:space="preserve"> is complying with their safety</w:t>
      </w:r>
      <w:r w:rsidR="00DC3853" w:rsidRPr="003B31E8">
        <w:rPr>
          <w:rFonts w:asciiTheme="minorHAnsi" w:hAnsiTheme="minorHAnsi" w:cstheme="minorHAnsi"/>
          <w:color w:val="auto"/>
          <w:sz w:val="20"/>
          <w:szCs w:val="20"/>
        </w:rPr>
        <w:t xml:space="preserve"> duty</w:t>
      </w:r>
      <w:r w:rsidR="001B1229" w:rsidRPr="003B31E8">
        <w:rPr>
          <w:rFonts w:asciiTheme="minorHAnsi" w:hAnsiTheme="minorHAnsi" w:cstheme="minorHAnsi"/>
          <w:color w:val="auto"/>
          <w:sz w:val="20"/>
          <w:szCs w:val="20"/>
        </w:rPr>
        <w:t xml:space="preserve"> obligations </w:t>
      </w:r>
      <w:r w:rsidR="00E82ABD" w:rsidRPr="003B31E8">
        <w:rPr>
          <w:rFonts w:asciiTheme="minorHAnsi" w:hAnsiTheme="minorHAnsi" w:cstheme="minorHAnsi"/>
          <w:color w:val="auto"/>
          <w:sz w:val="20"/>
          <w:szCs w:val="20"/>
        </w:rPr>
        <w:t xml:space="preserve">and have the appropriate </w:t>
      </w:r>
      <w:r w:rsidR="00255A16" w:rsidRPr="003B31E8">
        <w:rPr>
          <w:rFonts w:asciiTheme="minorHAnsi" w:hAnsiTheme="minorHAnsi" w:cstheme="minorHAnsi"/>
          <w:color w:val="auto"/>
          <w:sz w:val="20"/>
          <w:szCs w:val="20"/>
        </w:rPr>
        <w:t xml:space="preserve">safety </w:t>
      </w:r>
      <w:r w:rsidR="00E82ABD" w:rsidRPr="003B31E8">
        <w:rPr>
          <w:rFonts w:asciiTheme="minorHAnsi" w:hAnsiTheme="minorHAnsi" w:cstheme="minorHAnsi"/>
          <w:color w:val="auto"/>
          <w:sz w:val="20"/>
          <w:szCs w:val="20"/>
        </w:rPr>
        <w:t>systems in p</w:t>
      </w:r>
      <w:r w:rsidR="00255A16" w:rsidRPr="003B31E8">
        <w:rPr>
          <w:rFonts w:asciiTheme="minorHAnsi" w:hAnsiTheme="minorHAnsi" w:cstheme="minorHAnsi"/>
          <w:color w:val="auto"/>
          <w:sz w:val="20"/>
          <w:szCs w:val="20"/>
        </w:rPr>
        <w:t>lace.</w:t>
      </w:r>
    </w:p>
    <w:p w14:paraId="17EB5D37" w14:textId="58E41E42" w:rsidR="00D362E3" w:rsidRDefault="00D362E3" w:rsidP="001A0237">
      <w:r>
        <w:t xml:space="preserve">In the case of </w:t>
      </w:r>
      <w:r w:rsidR="001A0237">
        <w:t>accreditation or registration conditions, the follow</w:t>
      </w:r>
      <w:r w:rsidR="007E5031">
        <w:t>ing</w:t>
      </w:r>
      <w:r w:rsidR="001A0237">
        <w:t xml:space="preserve"> records may be needed:</w:t>
      </w:r>
    </w:p>
    <w:p w14:paraId="043ED423" w14:textId="37E92D7A" w:rsidR="005C4469" w:rsidRPr="003B31E8" w:rsidRDefault="005C4469"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evidence of compliance with conditions</w:t>
      </w:r>
      <w:r w:rsidR="00A36C1D" w:rsidRPr="003B31E8">
        <w:rPr>
          <w:rFonts w:asciiTheme="minorHAnsi" w:hAnsiTheme="minorHAnsi" w:cstheme="minorHAnsi"/>
          <w:color w:val="auto"/>
          <w:sz w:val="20"/>
          <w:szCs w:val="20"/>
        </w:rPr>
        <w:t xml:space="preserve"> – </w:t>
      </w:r>
      <w:r w:rsidR="00B10A9C" w:rsidRPr="003B31E8">
        <w:rPr>
          <w:rFonts w:asciiTheme="minorHAnsi" w:hAnsiTheme="minorHAnsi" w:cstheme="minorHAnsi"/>
          <w:color w:val="auto"/>
          <w:sz w:val="20"/>
          <w:szCs w:val="20"/>
        </w:rPr>
        <w:t>i</w:t>
      </w:r>
      <w:r w:rsidR="00A36C1D" w:rsidRPr="003B31E8">
        <w:rPr>
          <w:rFonts w:asciiTheme="minorHAnsi" w:hAnsiTheme="minorHAnsi" w:cstheme="minorHAnsi"/>
          <w:color w:val="auto"/>
          <w:sz w:val="20"/>
          <w:szCs w:val="20"/>
        </w:rPr>
        <w:t xml:space="preserve">f there are any conditions imposed on individual bus operators, then a requirement to </w:t>
      </w:r>
      <w:r w:rsidR="009148B1" w:rsidRPr="003B31E8">
        <w:rPr>
          <w:rFonts w:asciiTheme="minorHAnsi" w:hAnsiTheme="minorHAnsi" w:cstheme="minorHAnsi"/>
          <w:color w:val="auto"/>
          <w:sz w:val="20"/>
          <w:szCs w:val="20"/>
        </w:rPr>
        <w:t>retain records of compliance could assist in determining whet</w:t>
      </w:r>
      <w:r w:rsidR="005E5345" w:rsidRPr="003B31E8">
        <w:rPr>
          <w:rFonts w:asciiTheme="minorHAnsi" w:hAnsiTheme="minorHAnsi" w:cstheme="minorHAnsi"/>
          <w:color w:val="auto"/>
          <w:sz w:val="20"/>
          <w:szCs w:val="20"/>
        </w:rPr>
        <w:t>her the operator has complied with their requirements.</w:t>
      </w:r>
    </w:p>
    <w:p w14:paraId="643135B3" w14:textId="46B8DB55" w:rsidR="00053D85" w:rsidRDefault="00D946B2" w:rsidP="00951B2A">
      <w:r>
        <w:t xml:space="preserve">In </w:t>
      </w:r>
      <w:r w:rsidR="00546F0C">
        <w:t xml:space="preserve">relation to </w:t>
      </w:r>
      <w:r w:rsidR="00E57633">
        <w:t>bus inspections:</w:t>
      </w:r>
    </w:p>
    <w:p w14:paraId="54F0A913" w14:textId="44FF9DDF" w:rsidR="006571F5" w:rsidRPr="003B31E8" w:rsidRDefault="006571F5"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record of registration number, vehicle identification number and seating capacity of each bus in the fleet of the operator</w:t>
      </w:r>
      <w:r w:rsidR="000A69BE" w:rsidRPr="003B31E8">
        <w:rPr>
          <w:rFonts w:asciiTheme="minorHAnsi" w:hAnsiTheme="minorHAnsi" w:cstheme="minorHAnsi"/>
          <w:color w:val="auto"/>
          <w:sz w:val="20"/>
          <w:szCs w:val="20"/>
        </w:rPr>
        <w:t xml:space="preserve"> – this information </w:t>
      </w:r>
      <w:r w:rsidR="00593B46" w:rsidRPr="003B31E8">
        <w:rPr>
          <w:rFonts w:asciiTheme="minorHAnsi" w:hAnsiTheme="minorHAnsi" w:cstheme="minorHAnsi"/>
          <w:color w:val="auto"/>
          <w:sz w:val="20"/>
          <w:szCs w:val="20"/>
        </w:rPr>
        <w:t>could be used to ensure that each bus in a bus operator</w:t>
      </w:r>
      <w:r w:rsidR="00FB61EB" w:rsidRPr="003B31E8">
        <w:rPr>
          <w:rFonts w:asciiTheme="minorHAnsi" w:hAnsiTheme="minorHAnsi" w:cstheme="minorHAnsi"/>
          <w:color w:val="auto"/>
          <w:sz w:val="20"/>
          <w:szCs w:val="20"/>
        </w:rPr>
        <w:t>’</w:t>
      </w:r>
      <w:r w:rsidR="00593B46" w:rsidRPr="003B31E8">
        <w:rPr>
          <w:rFonts w:asciiTheme="minorHAnsi" w:hAnsiTheme="minorHAnsi" w:cstheme="minorHAnsi"/>
          <w:color w:val="auto"/>
          <w:sz w:val="20"/>
          <w:szCs w:val="20"/>
        </w:rPr>
        <w:t xml:space="preserve">s fleet is undergoing a </w:t>
      </w:r>
      <w:r w:rsidR="00E37641" w:rsidRPr="003B31E8">
        <w:rPr>
          <w:rFonts w:asciiTheme="minorHAnsi" w:hAnsiTheme="minorHAnsi" w:cstheme="minorHAnsi"/>
          <w:color w:val="auto"/>
          <w:sz w:val="20"/>
          <w:szCs w:val="20"/>
        </w:rPr>
        <w:t>safety</w:t>
      </w:r>
      <w:r w:rsidR="00593B46" w:rsidRPr="003B31E8">
        <w:rPr>
          <w:rFonts w:asciiTheme="minorHAnsi" w:hAnsiTheme="minorHAnsi" w:cstheme="minorHAnsi"/>
          <w:color w:val="auto"/>
          <w:sz w:val="20"/>
          <w:szCs w:val="20"/>
        </w:rPr>
        <w:t xml:space="preserve"> inspection.</w:t>
      </w:r>
      <w:r w:rsidR="000A69BE" w:rsidRPr="003B31E8">
        <w:rPr>
          <w:rFonts w:asciiTheme="minorHAnsi" w:hAnsiTheme="minorHAnsi" w:cstheme="minorHAnsi"/>
          <w:color w:val="auto"/>
          <w:sz w:val="20"/>
          <w:szCs w:val="20"/>
        </w:rPr>
        <w:t xml:space="preserve"> </w:t>
      </w:r>
    </w:p>
    <w:p w14:paraId="22A10BD7" w14:textId="0C452D89" w:rsidR="005D7C76" w:rsidRPr="003B31E8" w:rsidRDefault="005D7C76"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evidence of annual inspections</w:t>
      </w:r>
      <w:r w:rsidR="003B66A7" w:rsidRPr="003B31E8">
        <w:rPr>
          <w:rFonts w:asciiTheme="minorHAnsi" w:hAnsiTheme="minorHAnsi" w:cstheme="minorHAnsi"/>
          <w:color w:val="auto"/>
          <w:sz w:val="20"/>
          <w:szCs w:val="20"/>
        </w:rPr>
        <w:t xml:space="preserve"> undertaken for each bus</w:t>
      </w:r>
      <w:r w:rsidR="00DC2EE2" w:rsidRPr="003B31E8">
        <w:rPr>
          <w:rFonts w:asciiTheme="minorHAnsi" w:hAnsiTheme="minorHAnsi" w:cstheme="minorHAnsi"/>
          <w:color w:val="auto"/>
          <w:sz w:val="20"/>
          <w:szCs w:val="20"/>
        </w:rPr>
        <w:t xml:space="preserve"> – </w:t>
      </w:r>
      <w:r w:rsidR="00212F67" w:rsidRPr="003B31E8">
        <w:rPr>
          <w:rFonts w:asciiTheme="minorHAnsi" w:hAnsiTheme="minorHAnsi" w:cstheme="minorHAnsi"/>
          <w:color w:val="auto"/>
          <w:sz w:val="20"/>
          <w:szCs w:val="20"/>
        </w:rPr>
        <w:t>t</w:t>
      </w:r>
      <w:r w:rsidR="00DC2EE2" w:rsidRPr="003B31E8">
        <w:rPr>
          <w:rFonts w:asciiTheme="minorHAnsi" w:hAnsiTheme="minorHAnsi" w:cstheme="minorHAnsi"/>
          <w:color w:val="auto"/>
          <w:sz w:val="20"/>
          <w:szCs w:val="20"/>
        </w:rPr>
        <w:t xml:space="preserve">his information is needed to ascertain compliance with bus inspection requirements. </w:t>
      </w:r>
      <w:r w:rsidR="003B66A7" w:rsidRPr="003B31E8">
        <w:rPr>
          <w:rFonts w:asciiTheme="minorHAnsi" w:hAnsiTheme="minorHAnsi" w:cstheme="minorHAnsi"/>
          <w:color w:val="auto"/>
          <w:sz w:val="20"/>
          <w:szCs w:val="20"/>
        </w:rPr>
        <w:t>However, D</w:t>
      </w:r>
      <w:r w:rsidR="0010585F" w:rsidRPr="003B31E8">
        <w:rPr>
          <w:rFonts w:asciiTheme="minorHAnsi" w:hAnsiTheme="minorHAnsi" w:cstheme="minorHAnsi"/>
          <w:color w:val="auto"/>
          <w:sz w:val="20"/>
          <w:szCs w:val="20"/>
        </w:rPr>
        <w:t>o</w:t>
      </w:r>
      <w:r w:rsidR="003B66A7" w:rsidRPr="003B31E8">
        <w:rPr>
          <w:rFonts w:asciiTheme="minorHAnsi" w:hAnsiTheme="minorHAnsi" w:cstheme="minorHAnsi"/>
          <w:color w:val="auto"/>
          <w:sz w:val="20"/>
          <w:szCs w:val="20"/>
        </w:rPr>
        <w:t>T notes that</w:t>
      </w:r>
      <w:r w:rsidR="00DB1067" w:rsidRPr="003B31E8">
        <w:rPr>
          <w:rFonts w:asciiTheme="minorHAnsi" w:hAnsiTheme="minorHAnsi" w:cstheme="minorHAnsi"/>
          <w:color w:val="auto"/>
          <w:sz w:val="20"/>
          <w:szCs w:val="20"/>
        </w:rPr>
        <w:t xml:space="preserve"> this could </w:t>
      </w:r>
      <w:r w:rsidR="00DB1067" w:rsidRPr="003B31E8">
        <w:rPr>
          <w:rFonts w:asciiTheme="minorHAnsi" w:hAnsiTheme="minorHAnsi" w:cstheme="minorHAnsi"/>
          <w:color w:val="auto"/>
          <w:sz w:val="20"/>
          <w:szCs w:val="20"/>
        </w:rPr>
        <w:lastRenderedPageBreak/>
        <w:t xml:space="preserve">also be achieved by </w:t>
      </w:r>
      <w:r w:rsidR="00701C20" w:rsidRPr="003B31E8">
        <w:rPr>
          <w:rFonts w:asciiTheme="minorHAnsi" w:hAnsiTheme="minorHAnsi" w:cstheme="minorHAnsi"/>
          <w:color w:val="auto"/>
          <w:sz w:val="20"/>
          <w:szCs w:val="20"/>
        </w:rPr>
        <w:t>requiring licensed bus testers</w:t>
      </w:r>
      <w:r w:rsidR="00FD14C8" w:rsidRPr="003B31E8">
        <w:rPr>
          <w:rFonts w:asciiTheme="minorHAnsi" w:hAnsiTheme="minorHAnsi" w:cstheme="minorHAnsi"/>
          <w:color w:val="auto"/>
          <w:sz w:val="20"/>
          <w:szCs w:val="20"/>
        </w:rPr>
        <w:t xml:space="preserve"> to notify the Safety Director of each inspection </w:t>
      </w:r>
      <w:r w:rsidR="002D3BAA" w:rsidRPr="003B31E8">
        <w:rPr>
          <w:rFonts w:asciiTheme="minorHAnsi" w:hAnsiTheme="minorHAnsi" w:cstheme="minorHAnsi"/>
          <w:color w:val="auto"/>
          <w:sz w:val="20"/>
          <w:szCs w:val="20"/>
        </w:rPr>
        <w:t>and the outcomes of each inspection</w:t>
      </w:r>
      <w:r w:rsidR="00444FF8" w:rsidRPr="003B31E8">
        <w:rPr>
          <w:rFonts w:asciiTheme="minorHAnsi" w:hAnsiTheme="minorHAnsi" w:cstheme="minorHAnsi"/>
          <w:color w:val="auto"/>
          <w:sz w:val="20"/>
          <w:szCs w:val="20"/>
        </w:rPr>
        <w:t xml:space="preserve"> (which is a current requirement</w:t>
      </w:r>
      <w:r w:rsidR="008C53E9" w:rsidRPr="003B31E8">
        <w:rPr>
          <w:rFonts w:asciiTheme="minorHAnsi" w:hAnsiTheme="minorHAnsi" w:cstheme="minorHAnsi"/>
          <w:color w:val="auto"/>
          <w:sz w:val="20"/>
          <w:szCs w:val="20"/>
        </w:rPr>
        <w:t>)</w:t>
      </w:r>
      <w:r w:rsidR="002D3BAA" w:rsidRPr="003B31E8">
        <w:rPr>
          <w:rFonts w:asciiTheme="minorHAnsi" w:hAnsiTheme="minorHAnsi" w:cstheme="minorHAnsi"/>
          <w:color w:val="auto"/>
          <w:sz w:val="20"/>
          <w:szCs w:val="20"/>
        </w:rPr>
        <w:t>.</w:t>
      </w:r>
    </w:p>
    <w:p w14:paraId="174FF78C" w14:textId="0BDA6D81" w:rsidR="005D7C76" w:rsidRPr="003B31E8" w:rsidRDefault="005D7C76"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evidence that a bus defect has been cleared</w:t>
      </w:r>
      <w:r w:rsidR="00684C49" w:rsidRPr="003B31E8">
        <w:rPr>
          <w:rFonts w:asciiTheme="minorHAnsi" w:hAnsiTheme="minorHAnsi" w:cstheme="minorHAnsi"/>
          <w:color w:val="auto"/>
          <w:sz w:val="20"/>
          <w:szCs w:val="20"/>
        </w:rPr>
        <w:t xml:space="preserve"> –</w:t>
      </w:r>
      <w:r w:rsidR="002D3BAA" w:rsidRPr="003B31E8">
        <w:rPr>
          <w:rFonts w:asciiTheme="minorHAnsi" w:hAnsiTheme="minorHAnsi" w:cstheme="minorHAnsi"/>
          <w:color w:val="auto"/>
          <w:sz w:val="20"/>
          <w:szCs w:val="20"/>
        </w:rPr>
        <w:t xml:space="preserve"> </w:t>
      </w:r>
      <w:r w:rsidR="0010585F" w:rsidRPr="003B31E8">
        <w:rPr>
          <w:rFonts w:asciiTheme="minorHAnsi" w:hAnsiTheme="minorHAnsi" w:cstheme="minorHAnsi"/>
          <w:color w:val="auto"/>
          <w:sz w:val="20"/>
          <w:szCs w:val="20"/>
        </w:rPr>
        <w:t>w</w:t>
      </w:r>
      <w:r w:rsidR="00DC581E" w:rsidRPr="003B31E8">
        <w:rPr>
          <w:rFonts w:asciiTheme="minorHAnsi" w:hAnsiTheme="minorHAnsi" w:cstheme="minorHAnsi"/>
          <w:color w:val="auto"/>
          <w:sz w:val="20"/>
          <w:szCs w:val="20"/>
        </w:rPr>
        <w:t xml:space="preserve">hile the Safety Director </w:t>
      </w:r>
      <w:r w:rsidR="00347CD5" w:rsidRPr="003B31E8">
        <w:rPr>
          <w:rFonts w:asciiTheme="minorHAnsi" w:hAnsiTheme="minorHAnsi" w:cstheme="minorHAnsi"/>
          <w:color w:val="auto"/>
          <w:sz w:val="20"/>
          <w:szCs w:val="20"/>
        </w:rPr>
        <w:t xml:space="preserve">may receive </w:t>
      </w:r>
      <w:r w:rsidR="000B31C3" w:rsidRPr="003B31E8">
        <w:rPr>
          <w:rFonts w:asciiTheme="minorHAnsi" w:hAnsiTheme="minorHAnsi" w:cstheme="minorHAnsi"/>
          <w:color w:val="auto"/>
          <w:sz w:val="20"/>
          <w:szCs w:val="20"/>
        </w:rPr>
        <w:t xml:space="preserve">information from a licensed bus tester or </w:t>
      </w:r>
      <w:r w:rsidR="00E1597A" w:rsidRPr="003B31E8">
        <w:rPr>
          <w:rFonts w:asciiTheme="minorHAnsi" w:hAnsiTheme="minorHAnsi" w:cstheme="minorHAnsi"/>
          <w:color w:val="auto"/>
          <w:sz w:val="20"/>
          <w:szCs w:val="20"/>
        </w:rPr>
        <w:t xml:space="preserve">records kept by the operator </w:t>
      </w:r>
      <w:r w:rsidR="008A1930" w:rsidRPr="003B31E8">
        <w:rPr>
          <w:rFonts w:asciiTheme="minorHAnsi" w:hAnsiTheme="minorHAnsi" w:cstheme="minorHAnsi"/>
          <w:color w:val="auto"/>
          <w:sz w:val="20"/>
          <w:szCs w:val="20"/>
        </w:rPr>
        <w:t>that a bus has undergone an inspection, in the event that a bus fails an inspection</w:t>
      </w:r>
      <w:r w:rsidR="000314BC" w:rsidRPr="003B31E8">
        <w:rPr>
          <w:rFonts w:asciiTheme="minorHAnsi" w:hAnsiTheme="minorHAnsi" w:cstheme="minorHAnsi"/>
          <w:color w:val="auto"/>
          <w:sz w:val="20"/>
          <w:szCs w:val="20"/>
        </w:rPr>
        <w:t>, it may be difficult for the Safety Director to ascertain how the bus operator</w:t>
      </w:r>
      <w:r w:rsidR="00A04C34" w:rsidRPr="003B31E8">
        <w:rPr>
          <w:rFonts w:asciiTheme="minorHAnsi" w:hAnsiTheme="minorHAnsi" w:cstheme="minorHAnsi"/>
          <w:color w:val="auto"/>
          <w:sz w:val="20"/>
          <w:szCs w:val="20"/>
        </w:rPr>
        <w:t xml:space="preserve"> rectified the </w:t>
      </w:r>
      <w:r w:rsidR="00555785" w:rsidRPr="003B31E8">
        <w:rPr>
          <w:rFonts w:asciiTheme="minorHAnsi" w:hAnsiTheme="minorHAnsi" w:cstheme="minorHAnsi"/>
          <w:color w:val="auto"/>
          <w:sz w:val="20"/>
          <w:szCs w:val="20"/>
        </w:rPr>
        <w:t>issues identified as part of the inspection.</w:t>
      </w:r>
    </w:p>
    <w:p w14:paraId="3665BD2B" w14:textId="77777777" w:rsidR="00615063" w:rsidRPr="001C2DC0" w:rsidRDefault="00615063" w:rsidP="0095677C">
      <w:pPr>
        <w:pStyle w:val="Heading5"/>
      </w:pPr>
      <w:bookmarkStart w:id="531" w:name="_Toc33711807"/>
      <w:bookmarkStart w:id="532" w:name="_Toc33711808"/>
      <w:bookmarkStart w:id="533" w:name="_Toc32909836"/>
      <w:bookmarkEnd w:id="531"/>
      <w:bookmarkEnd w:id="532"/>
      <w:r w:rsidRPr="001C2DC0">
        <w:t>Who should keep records?</w:t>
      </w:r>
      <w:bookmarkEnd w:id="533"/>
    </w:p>
    <w:p w14:paraId="2EF936E3" w14:textId="36E869E7" w:rsidR="00614031" w:rsidRDefault="00CE3804" w:rsidP="00814B95">
      <w:r>
        <w:t xml:space="preserve">Based on the accreditation and registration schemes, there are two broad options </w:t>
      </w:r>
      <w:r w:rsidR="006A7734">
        <w:t xml:space="preserve">relating to who </w:t>
      </w:r>
      <w:r w:rsidR="00601DD3">
        <w:t>should be required to keep prescribed records: accredited operators and registered operators.</w:t>
      </w:r>
    </w:p>
    <w:p w14:paraId="1E3981A5" w14:textId="3EAAC7A3" w:rsidR="007C276E" w:rsidRDefault="00614031" w:rsidP="0065160E">
      <w:r>
        <w:t xml:space="preserve">Under the </w:t>
      </w:r>
      <w:r w:rsidR="003D780D">
        <w:t>current Regulations</w:t>
      </w:r>
      <w:r>
        <w:t xml:space="preserve">, the status quo is that accredited operators are required to keep the records that are </w:t>
      </w:r>
      <w:r w:rsidR="00593918">
        <w:t>prescribed</w:t>
      </w:r>
      <w:r w:rsidR="00B34FF5">
        <w:t>, and registered operators</w:t>
      </w:r>
      <w:r w:rsidR="00335DBF">
        <w:t xml:space="preserve"> are not required to keep any records.</w:t>
      </w:r>
      <w:r w:rsidR="00DB52EF">
        <w:t xml:space="preserve"> However, there is merit in examining whether</w:t>
      </w:r>
      <w:r w:rsidR="00B10558">
        <w:t xml:space="preserve"> some or all </w:t>
      </w:r>
      <w:r w:rsidR="00F07EA8">
        <w:t>records should be kept by</w:t>
      </w:r>
      <w:r w:rsidR="00D42986">
        <w:t xml:space="preserve"> all operators or </w:t>
      </w:r>
      <w:r w:rsidR="00D20475">
        <w:t>a cohort of bus operators.</w:t>
      </w:r>
      <w:r w:rsidR="00F07EA8">
        <w:t xml:space="preserve"> </w:t>
      </w:r>
      <w:r w:rsidR="00472E9C">
        <w:t xml:space="preserve">The </w:t>
      </w:r>
      <w:r w:rsidR="00472E9C" w:rsidRPr="001833B3">
        <w:t>purpose</w:t>
      </w:r>
      <w:r w:rsidR="00472E9C">
        <w:t xml:space="preserve"> of accreditation under the </w:t>
      </w:r>
      <w:r w:rsidR="003A2F6F">
        <w:t>Bus Safety Act</w:t>
      </w:r>
      <w:r w:rsidR="00472E9C">
        <w:t xml:space="preserve"> is to ensure that a person who operates a large commercial bus service or a local bus service has the competence and capacity to manage the risks to safety associated with operating the commercial bus service or local bus service.</w:t>
      </w:r>
      <w:r w:rsidR="006C3145" w:rsidRPr="006C3145">
        <w:t xml:space="preserve"> </w:t>
      </w:r>
      <w:r w:rsidR="006C3145">
        <w:t xml:space="preserve">Accredited bus services are considered higher risk due the nature and size of their operations. Registered operators, on the other hand, may have a lower risk profile, as the services are generally non-for-profit and community-based operations or use smaller buses. </w:t>
      </w:r>
    </w:p>
    <w:p w14:paraId="54458B85" w14:textId="3F75F3AB" w:rsidR="0065160E" w:rsidRDefault="006C3145" w:rsidP="0065160E">
      <w:r>
        <w:t xml:space="preserve">The requirements imposed on accredited operators under the </w:t>
      </w:r>
      <w:r w:rsidR="003A2F6F">
        <w:t>Bus Safety Act</w:t>
      </w:r>
      <w:r>
        <w:t xml:space="preserve"> are designed to be more onerous than the requirements imposed on registered operators.</w:t>
      </w:r>
      <w:r w:rsidR="0065160E" w:rsidRPr="0065160E">
        <w:t xml:space="preserve"> </w:t>
      </w:r>
      <w:r w:rsidR="0065160E">
        <w:t>Given the greater responsibility and accountability expected of bus services operated by accredited operators, it follows that accredited operators need to be monitored more closely than registered operators in relation to certain matters</w:t>
      </w:r>
      <w:r w:rsidR="0015694B">
        <w:t xml:space="preserve"> by reference to the</w:t>
      </w:r>
      <w:r w:rsidR="000A568C">
        <w:t xml:space="preserve"> nature and extent of safety risks applicable to those services</w:t>
      </w:r>
      <w:r w:rsidR="0065160E">
        <w:t>. This could mean that</w:t>
      </w:r>
      <w:r w:rsidR="005B021E">
        <w:t xml:space="preserve"> more</w:t>
      </w:r>
      <w:r w:rsidR="0065160E">
        <w:t xml:space="preserve"> </w:t>
      </w:r>
      <w:r w:rsidR="005B021E">
        <w:t>e</w:t>
      </w:r>
      <w:r w:rsidR="0065160E">
        <w:t>vidence</w:t>
      </w:r>
      <w:r w:rsidR="005B021E">
        <w:t xml:space="preserve"> or records</w:t>
      </w:r>
      <w:r w:rsidR="0065160E">
        <w:t xml:space="preserve"> </w:t>
      </w:r>
      <w:r w:rsidR="005B021E">
        <w:t xml:space="preserve">may </w:t>
      </w:r>
      <w:r w:rsidR="00D9518E">
        <w:t xml:space="preserve">need to </w:t>
      </w:r>
      <w:r w:rsidR="0065160E">
        <w:t xml:space="preserve">be kept relating to their accreditation, including requirements proposed under new regulations. </w:t>
      </w:r>
      <w:r w:rsidR="00E94B0B">
        <w:t>For example, t</w:t>
      </w:r>
      <w:r w:rsidR="0065160E">
        <w:t>his</w:t>
      </w:r>
      <w:r w:rsidR="00E94B0B">
        <w:t xml:space="preserve"> could</w:t>
      </w:r>
      <w:r w:rsidR="0065160E">
        <w:t xml:space="preserve"> include documents relating to compliance with conditions of accreditation and audit of</w:t>
      </w:r>
      <w:r w:rsidR="004A789A">
        <w:t xml:space="preserve"> the MMS and MIS</w:t>
      </w:r>
      <w:r w:rsidR="0065160E">
        <w:t xml:space="preserve">. As registered operators are not subject to these requirements, there would be no corresponding records required to be kept. </w:t>
      </w:r>
    </w:p>
    <w:p w14:paraId="1A928D68" w14:textId="1802D78D" w:rsidR="00814B95" w:rsidRDefault="00814B95" w:rsidP="00814B95">
      <w:r w:rsidRPr="00E55DBB">
        <w:t xml:space="preserve">All operators are required to undergo </w:t>
      </w:r>
      <w:r w:rsidR="00933500">
        <w:t>periodic</w:t>
      </w:r>
      <w:r w:rsidRPr="00E55DBB">
        <w:t xml:space="preserve"> </w:t>
      </w:r>
      <w:r w:rsidR="00124C57">
        <w:t>bus</w:t>
      </w:r>
      <w:r w:rsidRPr="00E55DBB">
        <w:t xml:space="preserve"> safety inspection</w:t>
      </w:r>
      <w:r w:rsidR="00124C57">
        <w:t>s</w:t>
      </w:r>
      <w:r w:rsidR="00362196" w:rsidRPr="00E55DBB">
        <w:t xml:space="preserve"> to ensure that vehicles used to provide a bus service </w:t>
      </w:r>
      <w:r w:rsidR="00E6066D">
        <w:t>are</w:t>
      </w:r>
      <w:r w:rsidR="00362196" w:rsidRPr="00E55DBB">
        <w:t xml:space="preserve"> safe. Given the importance of a safe vehicle for providing a safe bus service, </w:t>
      </w:r>
      <w:r w:rsidR="006456C6">
        <w:t>a</w:t>
      </w:r>
      <w:r w:rsidR="006114A7">
        <w:t>n option</w:t>
      </w:r>
      <w:r w:rsidR="00E63A06">
        <w:t xml:space="preserve"> could be for </w:t>
      </w:r>
      <w:r w:rsidR="006114A7">
        <w:t>all</w:t>
      </w:r>
      <w:r w:rsidR="00362196" w:rsidRPr="00E55DBB">
        <w:t xml:space="preserve"> operators to provide </w:t>
      </w:r>
      <w:r w:rsidR="007810F4">
        <w:t xml:space="preserve">to the regulator </w:t>
      </w:r>
      <w:r w:rsidR="00362196" w:rsidRPr="00E55DBB">
        <w:t>evidence relating to inspections and evidence that any defects identified during bus safety inspections are cleared (i.e. any defects identified are rectified). This</w:t>
      </w:r>
      <w:r w:rsidR="009C1628">
        <w:t xml:space="preserve"> </w:t>
      </w:r>
      <w:r w:rsidR="00F11523">
        <w:t>will entail</w:t>
      </w:r>
      <w:r w:rsidR="00493F60">
        <w:t xml:space="preserve"> that</w:t>
      </w:r>
      <w:r w:rsidR="00362196" w:rsidRPr="00E55DBB">
        <w:t xml:space="preserve"> both accredited operators and r</w:t>
      </w:r>
      <w:r w:rsidRPr="00E55DBB">
        <w:t xml:space="preserve">egistered operators keep records relating the inspections of the </w:t>
      </w:r>
      <w:r w:rsidR="009A3030">
        <w:t>vehicle</w:t>
      </w:r>
      <w:r w:rsidR="0077235B">
        <w:t xml:space="preserve"> and</w:t>
      </w:r>
      <w:r w:rsidRPr="00E55DBB">
        <w:t xml:space="preserve"> evidence of </w:t>
      </w:r>
      <w:r w:rsidR="002F66B4">
        <w:t xml:space="preserve">vehicle </w:t>
      </w:r>
      <w:r w:rsidRPr="00E55DBB">
        <w:t>defect clearance</w:t>
      </w:r>
      <w:r w:rsidR="000F7FB9">
        <w:t>s</w:t>
      </w:r>
      <w:r w:rsidRPr="00E55DBB">
        <w:t xml:space="preserve">. </w:t>
      </w:r>
      <w:r w:rsidR="00AF0FAF">
        <w:t xml:space="preserve">Alternatively, </w:t>
      </w:r>
      <w:r w:rsidR="00FF550E">
        <w:t xml:space="preserve">or in addition to operators keeping records, is for </w:t>
      </w:r>
      <w:r w:rsidR="00A97004">
        <w:t>parties authorised to undertake bus inspections</w:t>
      </w:r>
      <w:r w:rsidR="00057ED7">
        <w:t xml:space="preserve"> to provide information directly to the regulator </w:t>
      </w:r>
      <w:r w:rsidR="00A97004">
        <w:t xml:space="preserve">on any bus inspections carried out by that party. </w:t>
      </w:r>
    </w:p>
    <w:p w14:paraId="5F1C58D6" w14:textId="4E5493FE" w:rsidR="00837D53" w:rsidRDefault="00571BA9" w:rsidP="00814B95">
      <w:r>
        <w:t>Other records that could be maintained by</w:t>
      </w:r>
      <w:r w:rsidR="00837D53">
        <w:t xml:space="preserve"> both accredited and registered operators </w:t>
      </w:r>
      <w:r>
        <w:t>include</w:t>
      </w:r>
      <w:r w:rsidR="00837D53">
        <w:t xml:space="preserve"> records of their </w:t>
      </w:r>
      <w:r w:rsidR="00083D44">
        <w:t>bus fleet</w:t>
      </w:r>
      <w:r w:rsidR="00F16E81">
        <w:t xml:space="preserve"> to assist with effective and </w:t>
      </w:r>
      <w:r w:rsidR="004962CA">
        <w:t>efficient</w:t>
      </w:r>
      <w:r w:rsidR="00F16E81">
        <w:t xml:space="preserve"> compliance monitoring of the vehicles used to provide a bus service. </w:t>
      </w:r>
    </w:p>
    <w:p w14:paraId="6EBC4670" w14:textId="77777777" w:rsidR="00615063" w:rsidRPr="001C2DC0" w:rsidRDefault="00615063" w:rsidP="0095677C">
      <w:pPr>
        <w:pStyle w:val="Heading5"/>
      </w:pPr>
      <w:bookmarkStart w:id="534" w:name="_Toc32909837"/>
      <w:r w:rsidRPr="001C2DC0">
        <w:t>Manner in which records should be kept</w:t>
      </w:r>
      <w:bookmarkEnd w:id="534"/>
    </w:p>
    <w:p w14:paraId="7DD8378B" w14:textId="7EBB75E1" w:rsidR="00087018" w:rsidRDefault="00615063" w:rsidP="00615063">
      <w:r>
        <w:t xml:space="preserve">Providing flexibility to the industry to determine the manner in which records are kept helps to minimise the compliance costs of keeping records. </w:t>
      </w:r>
      <w:r w:rsidR="00292792">
        <w:t xml:space="preserve">The trade-off is that </w:t>
      </w:r>
      <w:r w:rsidR="00FD30BA">
        <w:t xml:space="preserve">records held in </w:t>
      </w:r>
      <w:r w:rsidR="003133AF">
        <w:t xml:space="preserve">a format that is </w:t>
      </w:r>
      <w:r w:rsidR="00485E72">
        <w:t>in</w:t>
      </w:r>
      <w:r w:rsidR="003133AF">
        <w:t xml:space="preserve">accessible may </w:t>
      </w:r>
      <w:r w:rsidR="002C7D1E">
        <w:t>hinder compliance and investigative work</w:t>
      </w:r>
      <w:r>
        <w:t>.</w:t>
      </w:r>
      <w:r w:rsidR="007E52DE">
        <w:t xml:space="preserve"> For this reason, there is merit in </w:t>
      </w:r>
      <w:r w:rsidR="00B10E25">
        <w:t>prescribing the format that records should be kept.</w:t>
      </w:r>
      <w:r>
        <w:t xml:space="preserve"> To ensure effective compliance monitoring and enforcement, records </w:t>
      </w:r>
      <w:r w:rsidR="000A0427">
        <w:t>could</w:t>
      </w:r>
      <w:r w:rsidR="00C773BE">
        <w:t xml:space="preserve"> be required </w:t>
      </w:r>
      <w:r>
        <w:t>to be kept</w:t>
      </w:r>
      <w:r w:rsidR="00087018">
        <w:t>:</w:t>
      </w:r>
    </w:p>
    <w:p w14:paraId="65F629E9" w14:textId="103BC5BD" w:rsidR="0005725A" w:rsidRPr="003B31E8" w:rsidRDefault="00625624"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for </w:t>
      </w:r>
      <w:r w:rsidR="00BA783F" w:rsidRPr="003B31E8">
        <w:rPr>
          <w:rFonts w:asciiTheme="minorHAnsi" w:hAnsiTheme="minorHAnsi" w:cstheme="minorHAnsi"/>
          <w:color w:val="auto"/>
          <w:sz w:val="20"/>
          <w:szCs w:val="20"/>
        </w:rPr>
        <w:t>a minimum period of time (e.g.</w:t>
      </w:r>
      <w:r w:rsidR="007D37C5" w:rsidRPr="003B31E8">
        <w:rPr>
          <w:rFonts w:asciiTheme="minorHAnsi" w:hAnsiTheme="minorHAnsi" w:cstheme="minorHAnsi"/>
          <w:color w:val="auto"/>
          <w:sz w:val="20"/>
          <w:szCs w:val="20"/>
        </w:rPr>
        <w:t xml:space="preserve"> </w:t>
      </w:r>
      <w:r w:rsidR="0005725A" w:rsidRPr="003B31E8">
        <w:rPr>
          <w:rFonts w:asciiTheme="minorHAnsi" w:hAnsiTheme="minorHAnsi" w:cstheme="minorHAnsi"/>
          <w:color w:val="auto"/>
          <w:sz w:val="20"/>
          <w:szCs w:val="20"/>
        </w:rPr>
        <w:t xml:space="preserve">one year, </w:t>
      </w:r>
      <w:r w:rsidR="00615063" w:rsidRPr="003B31E8">
        <w:rPr>
          <w:rFonts w:asciiTheme="minorHAnsi" w:hAnsiTheme="minorHAnsi" w:cstheme="minorHAnsi"/>
          <w:color w:val="auto"/>
          <w:sz w:val="20"/>
          <w:szCs w:val="20"/>
        </w:rPr>
        <w:t>three years</w:t>
      </w:r>
      <w:r w:rsidR="0005725A" w:rsidRPr="003B31E8">
        <w:rPr>
          <w:rFonts w:asciiTheme="minorHAnsi" w:hAnsiTheme="minorHAnsi" w:cstheme="minorHAnsi"/>
          <w:color w:val="auto"/>
          <w:sz w:val="20"/>
          <w:szCs w:val="20"/>
        </w:rPr>
        <w:t>, or five years</w:t>
      </w:r>
      <w:r w:rsidR="00BA783F" w:rsidRPr="003B31E8">
        <w:rPr>
          <w:rFonts w:asciiTheme="minorHAnsi" w:hAnsiTheme="minorHAnsi" w:cstheme="minorHAnsi"/>
          <w:color w:val="auto"/>
          <w:sz w:val="20"/>
          <w:szCs w:val="20"/>
        </w:rPr>
        <w:t xml:space="preserve">) to </w:t>
      </w:r>
      <w:r w:rsidR="0097558B" w:rsidRPr="003B31E8">
        <w:rPr>
          <w:rFonts w:asciiTheme="minorHAnsi" w:hAnsiTheme="minorHAnsi" w:cstheme="minorHAnsi"/>
          <w:color w:val="auto"/>
          <w:sz w:val="20"/>
          <w:szCs w:val="20"/>
        </w:rPr>
        <w:t xml:space="preserve">allow the regulator to access older records which may be pertinent </w:t>
      </w:r>
      <w:r w:rsidR="00313C27" w:rsidRPr="003B31E8">
        <w:rPr>
          <w:rFonts w:asciiTheme="minorHAnsi" w:hAnsiTheme="minorHAnsi" w:cstheme="minorHAnsi"/>
          <w:color w:val="auto"/>
          <w:sz w:val="20"/>
          <w:szCs w:val="20"/>
        </w:rPr>
        <w:t xml:space="preserve">to </w:t>
      </w:r>
      <w:r w:rsidR="00446BAE" w:rsidRPr="003B31E8">
        <w:rPr>
          <w:rFonts w:asciiTheme="minorHAnsi" w:hAnsiTheme="minorHAnsi" w:cstheme="minorHAnsi"/>
          <w:color w:val="auto"/>
          <w:sz w:val="20"/>
          <w:szCs w:val="20"/>
        </w:rPr>
        <w:t>a specific purpose</w:t>
      </w:r>
      <w:r w:rsidR="0097558B" w:rsidRPr="003B31E8">
        <w:rPr>
          <w:rFonts w:asciiTheme="minorHAnsi" w:hAnsiTheme="minorHAnsi" w:cstheme="minorHAnsi"/>
          <w:color w:val="auto"/>
          <w:sz w:val="20"/>
          <w:szCs w:val="20"/>
        </w:rPr>
        <w:t>,</w:t>
      </w:r>
      <w:r w:rsidR="00C773BE" w:rsidRPr="003B31E8">
        <w:rPr>
          <w:rFonts w:asciiTheme="minorHAnsi" w:hAnsiTheme="minorHAnsi" w:cstheme="minorHAnsi"/>
          <w:color w:val="auto"/>
          <w:sz w:val="20"/>
          <w:szCs w:val="20"/>
        </w:rPr>
        <w:t xml:space="preserve"> and </w:t>
      </w:r>
    </w:p>
    <w:p w14:paraId="2B7FC290" w14:textId="69185808" w:rsidR="00615063" w:rsidRPr="003B31E8" w:rsidRDefault="00C773B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in the English language</w:t>
      </w:r>
      <w:r w:rsidR="00615063" w:rsidRPr="003B31E8">
        <w:rPr>
          <w:rFonts w:asciiTheme="minorHAnsi" w:hAnsiTheme="minorHAnsi" w:cstheme="minorHAnsi"/>
          <w:color w:val="auto"/>
          <w:sz w:val="20"/>
          <w:szCs w:val="20"/>
        </w:rPr>
        <w:t xml:space="preserve">. </w:t>
      </w:r>
    </w:p>
    <w:p w14:paraId="7F757077" w14:textId="4D61E9F8" w:rsidR="006546A5" w:rsidRPr="001C2DC0" w:rsidRDefault="006546A5" w:rsidP="0095677C">
      <w:pPr>
        <w:pStyle w:val="Heading5"/>
      </w:pPr>
      <w:r w:rsidRPr="001C2DC0">
        <w:lastRenderedPageBreak/>
        <w:t>Summary</w:t>
      </w:r>
    </w:p>
    <w:p w14:paraId="4C3998E8" w14:textId="14F215D4" w:rsidR="006546A5" w:rsidRDefault="00A75099" w:rsidP="00C449AC">
      <w:r>
        <w:t xml:space="preserve">Based on the above </w:t>
      </w:r>
      <w:r w:rsidR="007260AA">
        <w:t>considerations</w:t>
      </w:r>
      <w:r>
        <w:t xml:space="preserve">, </w:t>
      </w:r>
      <w:r w:rsidR="008E03AA">
        <w:t>Section</w:t>
      </w:r>
      <w:r w:rsidR="00A744D9">
        <w:t xml:space="preserve"> </w:t>
      </w:r>
      <w:r w:rsidR="002837DF">
        <w:fldChar w:fldCharType="begin"/>
      </w:r>
      <w:r w:rsidR="002837DF">
        <w:instrText xml:space="preserve"> REF _Ref42010214 \r \h </w:instrText>
      </w:r>
      <w:r w:rsidR="002837DF">
        <w:fldChar w:fldCharType="separate"/>
      </w:r>
      <w:r w:rsidR="00277F6E">
        <w:t>7.7</w:t>
      </w:r>
      <w:r w:rsidR="002837DF">
        <w:fldChar w:fldCharType="end"/>
      </w:r>
      <w:r w:rsidR="006546A5">
        <w:t xml:space="preserve"> </w:t>
      </w:r>
      <w:r w:rsidR="00A11658">
        <w:t xml:space="preserve">further </w:t>
      </w:r>
      <w:r w:rsidR="00DA7BAA">
        <w:t>assess</w:t>
      </w:r>
      <w:r w:rsidR="008E03AA">
        <w:t>es</w:t>
      </w:r>
      <w:r w:rsidR="00DA7BAA">
        <w:t xml:space="preserve"> the impacts of three options for record keeping:</w:t>
      </w:r>
    </w:p>
    <w:p w14:paraId="38934734" w14:textId="7B1D6C2D" w:rsidR="00DA7BAA" w:rsidRPr="003B31E8" w:rsidRDefault="00DA7BAA"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Option 1</w:t>
      </w:r>
      <w:r w:rsidR="00A9329E" w:rsidRPr="003B31E8">
        <w:rPr>
          <w:rFonts w:asciiTheme="minorHAnsi" w:hAnsiTheme="minorHAnsi" w:cstheme="minorHAnsi"/>
          <w:color w:val="auto"/>
          <w:sz w:val="20"/>
          <w:szCs w:val="20"/>
        </w:rPr>
        <w:t xml:space="preserve"> (status quo)</w:t>
      </w:r>
      <w:r w:rsidRPr="003B31E8">
        <w:rPr>
          <w:rFonts w:asciiTheme="minorHAnsi" w:hAnsiTheme="minorHAnsi" w:cstheme="minorHAnsi"/>
          <w:color w:val="auto"/>
          <w:sz w:val="20"/>
          <w:szCs w:val="20"/>
        </w:rPr>
        <w:t>:</w:t>
      </w:r>
      <w:r w:rsidR="00936F69" w:rsidRPr="003B31E8">
        <w:rPr>
          <w:rFonts w:asciiTheme="minorHAnsi" w:hAnsiTheme="minorHAnsi" w:cstheme="minorHAnsi"/>
          <w:color w:val="auto"/>
          <w:sz w:val="20"/>
          <w:szCs w:val="20"/>
        </w:rPr>
        <w:t xml:space="preserve"> </w:t>
      </w:r>
      <w:r w:rsidR="004C25BC" w:rsidRPr="003B31E8">
        <w:rPr>
          <w:rFonts w:asciiTheme="minorHAnsi" w:hAnsiTheme="minorHAnsi" w:cstheme="minorHAnsi"/>
          <w:color w:val="auto"/>
          <w:sz w:val="20"/>
          <w:szCs w:val="20"/>
        </w:rPr>
        <w:t>Only</w:t>
      </w:r>
      <w:r w:rsidR="00936F69" w:rsidRPr="003B31E8">
        <w:rPr>
          <w:rFonts w:asciiTheme="minorHAnsi" w:hAnsiTheme="minorHAnsi" w:cstheme="minorHAnsi"/>
          <w:color w:val="auto"/>
          <w:sz w:val="20"/>
          <w:szCs w:val="20"/>
        </w:rPr>
        <w:t xml:space="preserve"> accredited </w:t>
      </w:r>
      <w:r w:rsidR="0029726C" w:rsidRPr="003B31E8">
        <w:rPr>
          <w:rFonts w:asciiTheme="minorHAnsi" w:hAnsiTheme="minorHAnsi" w:cstheme="minorHAnsi"/>
          <w:color w:val="auto"/>
          <w:sz w:val="20"/>
          <w:szCs w:val="20"/>
        </w:rPr>
        <w:t xml:space="preserve">bus </w:t>
      </w:r>
      <w:r w:rsidR="009E709E" w:rsidRPr="003B31E8">
        <w:rPr>
          <w:rFonts w:asciiTheme="minorHAnsi" w:hAnsiTheme="minorHAnsi" w:cstheme="minorHAnsi"/>
          <w:color w:val="auto"/>
          <w:sz w:val="20"/>
          <w:szCs w:val="20"/>
        </w:rPr>
        <w:t>operators are required to keep a full set of records</w:t>
      </w:r>
    </w:p>
    <w:p w14:paraId="63D1A1E7" w14:textId="021F5D14" w:rsidR="009E709E" w:rsidRPr="003B31E8" w:rsidRDefault="009E709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Option 2: </w:t>
      </w:r>
      <w:r w:rsidR="0036030D" w:rsidRPr="003B31E8">
        <w:rPr>
          <w:rFonts w:asciiTheme="minorHAnsi" w:hAnsiTheme="minorHAnsi" w:cstheme="minorHAnsi"/>
          <w:color w:val="auto"/>
          <w:sz w:val="20"/>
          <w:szCs w:val="20"/>
        </w:rPr>
        <w:t xml:space="preserve">Accredited operators required to keep a full set of records and registered bus operators required to keep a limited set of records </w:t>
      </w:r>
    </w:p>
    <w:p w14:paraId="26B1463B" w14:textId="3582C55B" w:rsidR="009E709E" w:rsidRPr="003B31E8" w:rsidRDefault="009E709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Option 3: </w:t>
      </w:r>
      <w:r w:rsidR="0036030D" w:rsidRPr="003B31E8">
        <w:rPr>
          <w:rFonts w:asciiTheme="minorHAnsi" w:hAnsiTheme="minorHAnsi" w:cstheme="minorHAnsi"/>
          <w:color w:val="auto"/>
          <w:sz w:val="20"/>
          <w:szCs w:val="20"/>
        </w:rPr>
        <w:t>All bus operators are required to keep a full set of records</w:t>
      </w:r>
    </w:p>
    <w:p w14:paraId="0C7B1BE2" w14:textId="6D035A56" w:rsidR="009504B5" w:rsidRDefault="0054400E" w:rsidP="007E1141">
      <w:r>
        <w:t xml:space="preserve">A full set of records </w:t>
      </w:r>
      <w:r w:rsidR="00FB62BB">
        <w:t>would include</w:t>
      </w:r>
      <w:r>
        <w:t>:</w:t>
      </w:r>
    </w:p>
    <w:p w14:paraId="4FF0E787" w14:textId="00D23E11" w:rsidR="0054400E" w:rsidRPr="003B31E8" w:rsidRDefault="0054400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name, address</w:t>
      </w:r>
      <w:r w:rsidR="004A13C4" w:rsidRPr="003B31E8">
        <w:rPr>
          <w:rFonts w:asciiTheme="minorHAnsi" w:hAnsiTheme="minorHAnsi" w:cstheme="minorHAnsi"/>
          <w:color w:val="auto"/>
          <w:sz w:val="20"/>
          <w:szCs w:val="20"/>
        </w:rPr>
        <w:t>,</w:t>
      </w:r>
      <w:r w:rsidRPr="003B31E8">
        <w:rPr>
          <w:rFonts w:asciiTheme="minorHAnsi" w:hAnsiTheme="minorHAnsi" w:cstheme="minorHAnsi"/>
          <w:color w:val="auto"/>
          <w:sz w:val="20"/>
          <w:szCs w:val="20"/>
        </w:rPr>
        <w:t xml:space="preserve"> driver licence number and driver accreditation of each person who drives the bus operated by the operator</w:t>
      </w:r>
    </w:p>
    <w:p w14:paraId="67EF081F" w14:textId="17F16F8F" w:rsidR="0054400E" w:rsidRPr="003B31E8" w:rsidRDefault="0054400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record </w:t>
      </w:r>
      <w:r w:rsidR="00A20318" w:rsidRPr="003B31E8">
        <w:rPr>
          <w:rFonts w:asciiTheme="minorHAnsi" w:hAnsiTheme="minorHAnsi" w:cstheme="minorHAnsi"/>
          <w:color w:val="auto"/>
          <w:sz w:val="20"/>
          <w:szCs w:val="20"/>
        </w:rPr>
        <w:t>of each bus</w:t>
      </w:r>
      <w:r w:rsidR="00B8404A" w:rsidRPr="003B31E8">
        <w:rPr>
          <w:rFonts w:asciiTheme="minorHAnsi" w:hAnsiTheme="minorHAnsi" w:cstheme="minorHAnsi"/>
          <w:color w:val="auto"/>
          <w:sz w:val="20"/>
          <w:szCs w:val="20"/>
        </w:rPr>
        <w:t xml:space="preserve"> in the </w:t>
      </w:r>
      <w:r w:rsidR="008D26F3" w:rsidRPr="003B31E8">
        <w:rPr>
          <w:rFonts w:asciiTheme="minorHAnsi" w:hAnsiTheme="minorHAnsi" w:cstheme="minorHAnsi"/>
          <w:color w:val="auto"/>
          <w:sz w:val="20"/>
          <w:szCs w:val="20"/>
        </w:rPr>
        <w:t xml:space="preserve">operator’s </w:t>
      </w:r>
      <w:r w:rsidR="00B8404A" w:rsidRPr="003B31E8">
        <w:rPr>
          <w:rFonts w:asciiTheme="minorHAnsi" w:hAnsiTheme="minorHAnsi" w:cstheme="minorHAnsi"/>
          <w:color w:val="auto"/>
          <w:sz w:val="20"/>
          <w:szCs w:val="20"/>
        </w:rPr>
        <w:t>fleet</w:t>
      </w:r>
      <w:r w:rsidR="00A20318" w:rsidRPr="003B31E8">
        <w:rPr>
          <w:rFonts w:asciiTheme="minorHAnsi" w:hAnsiTheme="minorHAnsi" w:cstheme="minorHAnsi"/>
          <w:color w:val="auto"/>
          <w:sz w:val="20"/>
          <w:szCs w:val="20"/>
        </w:rPr>
        <w:t xml:space="preserve">, including </w:t>
      </w:r>
      <w:r w:rsidRPr="003B31E8">
        <w:rPr>
          <w:rFonts w:asciiTheme="minorHAnsi" w:hAnsiTheme="minorHAnsi" w:cstheme="minorHAnsi"/>
          <w:color w:val="auto"/>
          <w:sz w:val="20"/>
          <w:szCs w:val="20"/>
        </w:rPr>
        <w:t>vehicle registration number, vehicle identification number</w:t>
      </w:r>
      <w:r w:rsidR="00A20318" w:rsidRPr="003B31E8">
        <w:rPr>
          <w:rFonts w:asciiTheme="minorHAnsi" w:hAnsiTheme="minorHAnsi" w:cstheme="minorHAnsi"/>
          <w:color w:val="auto"/>
          <w:sz w:val="20"/>
          <w:szCs w:val="20"/>
        </w:rPr>
        <w:t xml:space="preserve"> (VIN)</w:t>
      </w:r>
      <w:r w:rsidRPr="003B31E8">
        <w:rPr>
          <w:rFonts w:asciiTheme="minorHAnsi" w:hAnsiTheme="minorHAnsi" w:cstheme="minorHAnsi"/>
          <w:color w:val="auto"/>
          <w:sz w:val="20"/>
          <w:szCs w:val="20"/>
        </w:rPr>
        <w:t>, and maximum carrying capacity of each bus</w:t>
      </w:r>
    </w:p>
    <w:p w14:paraId="5817848C" w14:textId="6371F786" w:rsidR="0054400E" w:rsidRPr="003B31E8" w:rsidRDefault="0054400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record of total number of buses in the</w:t>
      </w:r>
      <w:r w:rsidR="004B0EFE" w:rsidRPr="003B31E8">
        <w:rPr>
          <w:rFonts w:asciiTheme="minorHAnsi" w:hAnsiTheme="minorHAnsi" w:cstheme="minorHAnsi"/>
          <w:color w:val="auto"/>
          <w:sz w:val="20"/>
          <w:szCs w:val="20"/>
        </w:rPr>
        <w:t xml:space="preserve"> operator’</w:t>
      </w:r>
      <w:r w:rsidR="00FF7312" w:rsidRPr="003B31E8">
        <w:rPr>
          <w:rFonts w:asciiTheme="minorHAnsi" w:hAnsiTheme="minorHAnsi" w:cstheme="minorHAnsi"/>
          <w:color w:val="auto"/>
          <w:sz w:val="20"/>
          <w:szCs w:val="20"/>
        </w:rPr>
        <w:t>s</w:t>
      </w:r>
      <w:r w:rsidRPr="003B31E8">
        <w:rPr>
          <w:rFonts w:asciiTheme="minorHAnsi" w:hAnsiTheme="minorHAnsi" w:cstheme="minorHAnsi"/>
          <w:color w:val="auto"/>
          <w:sz w:val="20"/>
          <w:szCs w:val="20"/>
        </w:rPr>
        <w:t xml:space="preserve"> fleet</w:t>
      </w:r>
    </w:p>
    <w:p w14:paraId="1944CF4B" w14:textId="24CD1F69" w:rsidR="0054400E" w:rsidRPr="003B31E8" w:rsidRDefault="0054400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any document required to demonstrate compliance with conditions of accreditation</w:t>
      </w:r>
      <w:r w:rsidR="00EE0F8D" w:rsidRPr="003B31E8">
        <w:rPr>
          <w:rFonts w:asciiTheme="minorHAnsi" w:hAnsiTheme="minorHAnsi" w:cstheme="minorHAnsi"/>
          <w:color w:val="auto"/>
          <w:sz w:val="20"/>
          <w:szCs w:val="20"/>
        </w:rPr>
        <w:t xml:space="preserve"> or registration</w:t>
      </w:r>
    </w:p>
    <w:p w14:paraId="7FD14151" w14:textId="1CC78047" w:rsidR="0054400E" w:rsidRPr="003B31E8" w:rsidRDefault="0054400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any document produced as part of the MIS or MMS</w:t>
      </w:r>
      <w:r w:rsidR="00EE0F8D" w:rsidRPr="003B31E8">
        <w:rPr>
          <w:rFonts w:asciiTheme="minorHAnsi" w:hAnsiTheme="minorHAnsi" w:cstheme="minorHAnsi"/>
          <w:color w:val="auto"/>
          <w:sz w:val="20"/>
          <w:szCs w:val="20"/>
        </w:rPr>
        <w:t xml:space="preserve"> (or equivalent documentation relating to systems to ensure vehicle safety and safety of bus operations)</w:t>
      </w:r>
    </w:p>
    <w:p w14:paraId="19C3AECC" w14:textId="5B1A4AE6" w:rsidR="0054400E" w:rsidRPr="003B31E8" w:rsidRDefault="0054400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any document produced as part of </w:t>
      </w:r>
      <w:r w:rsidR="00150927" w:rsidRPr="003B31E8">
        <w:rPr>
          <w:rFonts w:asciiTheme="minorHAnsi" w:hAnsiTheme="minorHAnsi" w:cstheme="minorHAnsi"/>
          <w:color w:val="auto"/>
          <w:sz w:val="20"/>
          <w:szCs w:val="20"/>
        </w:rPr>
        <w:t xml:space="preserve">an </w:t>
      </w:r>
      <w:r w:rsidRPr="003B31E8">
        <w:rPr>
          <w:rFonts w:asciiTheme="minorHAnsi" w:hAnsiTheme="minorHAnsi" w:cstheme="minorHAnsi"/>
          <w:color w:val="auto"/>
          <w:sz w:val="20"/>
          <w:szCs w:val="20"/>
        </w:rPr>
        <w:t xml:space="preserve">annual </w:t>
      </w:r>
      <w:r w:rsidR="002F4C33" w:rsidRPr="003B31E8">
        <w:rPr>
          <w:rFonts w:asciiTheme="minorHAnsi" w:hAnsiTheme="minorHAnsi" w:cstheme="minorHAnsi"/>
          <w:color w:val="auto"/>
          <w:sz w:val="20"/>
          <w:szCs w:val="20"/>
        </w:rPr>
        <w:t>a</w:t>
      </w:r>
      <w:r w:rsidRPr="003B31E8">
        <w:rPr>
          <w:rFonts w:asciiTheme="minorHAnsi" w:hAnsiTheme="minorHAnsi" w:cstheme="minorHAnsi"/>
          <w:color w:val="auto"/>
          <w:sz w:val="20"/>
          <w:szCs w:val="20"/>
        </w:rPr>
        <w:t>udit of bus service operations</w:t>
      </w:r>
    </w:p>
    <w:p w14:paraId="03159105" w14:textId="120E8A5D" w:rsidR="0054400E" w:rsidRPr="003B31E8" w:rsidRDefault="0054400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evidence of </w:t>
      </w:r>
      <w:r w:rsidR="00150927" w:rsidRPr="003B31E8">
        <w:rPr>
          <w:rFonts w:asciiTheme="minorHAnsi" w:hAnsiTheme="minorHAnsi" w:cstheme="minorHAnsi"/>
          <w:color w:val="auto"/>
          <w:sz w:val="20"/>
          <w:szCs w:val="20"/>
        </w:rPr>
        <w:t xml:space="preserve">roadworthy </w:t>
      </w:r>
      <w:r w:rsidRPr="003B31E8">
        <w:rPr>
          <w:rFonts w:asciiTheme="minorHAnsi" w:hAnsiTheme="minorHAnsi" w:cstheme="minorHAnsi"/>
          <w:color w:val="auto"/>
          <w:sz w:val="20"/>
          <w:szCs w:val="20"/>
        </w:rPr>
        <w:t>inspections for each bus</w:t>
      </w:r>
    </w:p>
    <w:p w14:paraId="4AE68A7F" w14:textId="6A567BA1" w:rsidR="00DE5F58" w:rsidRPr="003B31E8" w:rsidRDefault="0054400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evidence of any action to rectify a bus defect identified </w:t>
      </w:r>
      <w:r w:rsidR="00B85398" w:rsidRPr="003B31E8">
        <w:rPr>
          <w:rFonts w:asciiTheme="minorHAnsi" w:hAnsiTheme="minorHAnsi" w:cstheme="minorHAnsi"/>
          <w:color w:val="auto"/>
          <w:sz w:val="20"/>
          <w:szCs w:val="20"/>
        </w:rPr>
        <w:t>during the</w:t>
      </w:r>
      <w:r w:rsidRPr="003B31E8">
        <w:rPr>
          <w:rFonts w:asciiTheme="minorHAnsi" w:hAnsiTheme="minorHAnsi" w:cstheme="minorHAnsi"/>
          <w:color w:val="auto"/>
          <w:sz w:val="20"/>
          <w:szCs w:val="20"/>
        </w:rPr>
        <w:t xml:space="preserve"> </w:t>
      </w:r>
      <w:r w:rsidR="00B85398" w:rsidRPr="003B31E8">
        <w:rPr>
          <w:rFonts w:asciiTheme="minorHAnsi" w:hAnsiTheme="minorHAnsi" w:cstheme="minorHAnsi"/>
          <w:color w:val="auto"/>
          <w:sz w:val="20"/>
          <w:szCs w:val="20"/>
        </w:rPr>
        <w:t xml:space="preserve">roadworthy </w:t>
      </w:r>
      <w:r w:rsidRPr="003B31E8">
        <w:rPr>
          <w:rFonts w:asciiTheme="minorHAnsi" w:hAnsiTheme="minorHAnsi" w:cstheme="minorHAnsi"/>
          <w:color w:val="auto"/>
          <w:sz w:val="20"/>
          <w:szCs w:val="20"/>
        </w:rPr>
        <w:t>inspection</w:t>
      </w:r>
    </w:p>
    <w:p w14:paraId="6D69162D" w14:textId="246207A3" w:rsidR="0054400E" w:rsidRPr="003B31E8" w:rsidRDefault="00DE5F58"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any other records required as a condition of accreditation or </w:t>
      </w:r>
      <w:r w:rsidR="00090BC5" w:rsidRPr="003B31E8">
        <w:rPr>
          <w:rFonts w:asciiTheme="minorHAnsi" w:hAnsiTheme="minorHAnsi" w:cstheme="minorHAnsi"/>
          <w:color w:val="auto"/>
          <w:sz w:val="20"/>
          <w:szCs w:val="20"/>
        </w:rPr>
        <w:t>registration</w:t>
      </w:r>
      <w:r w:rsidR="0054400E" w:rsidRPr="003B31E8">
        <w:rPr>
          <w:rFonts w:asciiTheme="minorHAnsi" w:hAnsiTheme="minorHAnsi" w:cstheme="minorHAnsi"/>
          <w:color w:val="auto"/>
          <w:sz w:val="20"/>
          <w:szCs w:val="20"/>
        </w:rPr>
        <w:t>.</w:t>
      </w:r>
    </w:p>
    <w:p w14:paraId="7384A060" w14:textId="47BCA447" w:rsidR="0054400E" w:rsidRDefault="002F4C33" w:rsidP="007E1141">
      <w:pPr>
        <w:rPr>
          <w:lang w:val="en-US"/>
        </w:rPr>
      </w:pPr>
      <w:r>
        <w:rPr>
          <w:lang w:val="en-US"/>
        </w:rPr>
        <w:t xml:space="preserve">A </w:t>
      </w:r>
      <w:r w:rsidR="00DE0A4B" w:rsidRPr="007E1141">
        <w:t>limited</w:t>
      </w:r>
      <w:r w:rsidR="00DE0A4B">
        <w:rPr>
          <w:lang w:val="en-US"/>
        </w:rPr>
        <w:t xml:space="preserve"> set of r</w:t>
      </w:r>
      <w:r w:rsidR="0054400E">
        <w:rPr>
          <w:lang w:val="en-US"/>
        </w:rPr>
        <w:t>ecords</w:t>
      </w:r>
      <w:r w:rsidR="00DE0A4B">
        <w:rPr>
          <w:lang w:val="en-US"/>
        </w:rPr>
        <w:t xml:space="preserve"> would</w:t>
      </w:r>
      <w:r w:rsidR="0054400E">
        <w:rPr>
          <w:lang w:val="en-US"/>
        </w:rPr>
        <w:t xml:space="preserve"> include:</w:t>
      </w:r>
    </w:p>
    <w:p w14:paraId="42098686" w14:textId="7EE798E8" w:rsidR="0054400E" w:rsidRPr="003B31E8" w:rsidRDefault="0054400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record of</w:t>
      </w:r>
      <w:r w:rsidR="00B8404A" w:rsidRPr="003B31E8">
        <w:rPr>
          <w:rFonts w:asciiTheme="minorHAnsi" w:hAnsiTheme="minorHAnsi" w:cstheme="minorHAnsi"/>
          <w:color w:val="auto"/>
          <w:sz w:val="20"/>
          <w:szCs w:val="20"/>
        </w:rPr>
        <w:t xml:space="preserve"> each bus in the fleet, including</w:t>
      </w:r>
      <w:r w:rsidRPr="003B31E8">
        <w:rPr>
          <w:rFonts w:asciiTheme="minorHAnsi" w:hAnsiTheme="minorHAnsi" w:cstheme="minorHAnsi"/>
          <w:color w:val="auto"/>
          <w:sz w:val="20"/>
          <w:szCs w:val="20"/>
        </w:rPr>
        <w:t xml:space="preserve"> vehicle registration number, vehicle identification number</w:t>
      </w:r>
      <w:r w:rsidR="00030462" w:rsidRPr="003B31E8">
        <w:rPr>
          <w:rFonts w:asciiTheme="minorHAnsi" w:hAnsiTheme="minorHAnsi" w:cstheme="minorHAnsi"/>
          <w:color w:val="auto"/>
          <w:sz w:val="20"/>
          <w:szCs w:val="20"/>
        </w:rPr>
        <w:t xml:space="preserve"> (VIN)</w:t>
      </w:r>
      <w:r w:rsidRPr="003B31E8">
        <w:rPr>
          <w:rFonts w:asciiTheme="minorHAnsi" w:hAnsiTheme="minorHAnsi" w:cstheme="minorHAnsi"/>
          <w:color w:val="auto"/>
          <w:sz w:val="20"/>
          <w:szCs w:val="20"/>
        </w:rPr>
        <w:t>, and maximum carrying capacity of each bus</w:t>
      </w:r>
    </w:p>
    <w:p w14:paraId="027AA211" w14:textId="34AD7FDE" w:rsidR="0054400E" w:rsidRPr="003B31E8" w:rsidRDefault="0054400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 xml:space="preserve">record of total number of buses in the </w:t>
      </w:r>
      <w:r w:rsidR="00B86293" w:rsidRPr="003B31E8">
        <w:rPr>
          <w:rFonts w:asciiTheme="minorHAnsi" w:hAnsiTheme="minorHAnsi" w:cstheme="minorHAnsi"/>
          <w:color w:val="auto"/>
          <w:sz w:val="20"/>
          <w:szCs w:val="20"/>
        </w:rPr>
        <w:t xml:space="preserve">operator’s </w:t>
      </w:r>
      <w:r w:rsidRPr="003B31E8">
        <w:rPr>
          <w:rFonts w:asciiTheme="minorHAnsi" w:hAnsiTheme="minorHAnsi" w:cstheme="minorHAnsi"/>
          <w:color w:val="auto"/>
          <w:sz w:val="20"/>
          <w:szCs w:val="20"/>
        </w:rPr>
        <w:t>fleet</w:t>
      </w:r>
    </w:p>
    <w:p w14:paraId="35A8226B" w14:textId="77777777" w:rsidR="0054400E" w:rsidRPr="003B31E8" w:rsidRDefault="0054400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evidence of inspections for each bus</w:t>
      </w:r>
    </w:p>
    <w:p w14:paraId="0E3D3E37" w14:textId="77777777" w:rsidR="0054400E" w:rsidRPr="003B31E8" w:rsidRDefault="0054400E" w:rsidP="003B31E8">
      <w:pPr>
        <w:pStyle w:val="ListParagraph"/>
        <w:numPr>
          <w:ilvl w:val="0"/>
          <w:numId w:val="12"/>
        </w:numPr>
        <w:rPr>
          <w:rFonts w:asciiTheme="minorHAnsi" w:hAnsiTheme="minorHAnsi" w:cstheme="minorHAnsi"/>
          <w:color w:val="auto"/>
          <w:sz w:val="20"/>
          <w:szCs w:val="20"/>
        </w:rPr>
      </w:pPr>
      <w:r w:rsidRPr="003B31E8">
        <w:rPr>
          <w:rFonts w:asciiTheme="minorHAnsi" w:hAnsiTheme="minorHAnsi" w:cstheme="minorHAnsi"/>
          <w:color w:val="auto"/>
          <w:sz w:val="20"/>
          <w:szCs w:val="20"/>
        </w:rPr>
        <w:t>evidence of any action to rectify a bus defects or issue identified by a licensed bus tester during the inspection.</w:t>
      </w:r>
    </w:p>
    <w:p w14:paraId="62E6DBA7" w14:textId="77777777" w:rsidR="00F573B9" w:rsidRPr="00F573B9" w:rsidRDefault="00F573B9" w:rsidP="00F573B9">
      <w:pPr>
        <w:pStyle w:val="Heading2"/>
      </w:pPr>
      <w:bookmarkStart w:id="535" w:name="_Toc32909838"/>
      <w:bookmarkStart w:id="536" w:name="_Ref42001737"/>
      <w:bookmarkStart w:id="537" w:name="_Toc45704367"/>
      <w:r w:rsidRPr="00F573B9">
        <w:t>Exemptions</w:t>
      </w:r>
      <w:bookmarkEnd w:id="535"/>
      <w:bookmarkEnd w:id="536"/>
      <w:bookmarkEnd w:id="537"/>
    </w:p>
    <w:p w14:paraId="4D8575A7" w14:textId="4269A6D0" w:rsidR="00F573B9" w:rsidRDefault="00F573B9" w:rsidP="00F573B9">
      <w:r>
        <w:t xml:space="preserve">Division 7A of Part 4 of the </w:t>
      </w:r>
      <w:r w:rsidR="003A2F6F">
        <w:t>Bus Safety Act</w:t>
      </w:r>
      <w:r>
        <w:t xml:space="preserve"> provides </w:t>
      </w:r>
      <w:r w:rsidR="000B7BD2">
        <w:t xml:space="preserve">that the Safety Director may </w:t>
      </w:r>
      <w:r w:rsidR="00687BA8">
        <w:t xml:space="preserve">exempt operators </w:t>
      </w:r>
      <w:r>
        <w:t xml:space="preserve">from </w:t>
      </w:r>
      <w:r w:rsidR="00687BA8">
        <w:t xml:space="preserve">certain </w:t>
      </w:r>
      <w:r w:rsidR="00006E02">
        <w:t xml:space="preserve">requirements of </w:t>
      </w:r>
      <w:r>
        <w:t>accreditation or registratio</w:t>
      </w:r>
      <w:r w:rsidR="00302CAA">
        <w:t>n</w:t>
      </w:r>
      <w:r w:rsidR="00006E02">
        <w:t>.</w:t>
      </w:r>
      <w:r>
        <w:t xml:space="preserve"> The purpose of exemptions is</w:t>
      </w:r>
      <w:r w:rsidR="0070080B">
        <w:t xml:space="preserve"> to reduce regulatory burden or provide for alternative means for complying with regulatory requirements </w:t>
      </w:r>
      <w:r w:rsidR="006E6521">
        <w:t xml:space="preserve">where </w:t>
      </w:r>
      <w:r>
        <w:t xml:space="preserve">there may be circumstances where accreditation or registration of a person imposes a significant regulatory burden that is excessively onerous or unreasonable in the circumstances relating to the bus service operated. </w:t>
      </w:r>
      <w:r w:rsidR="0039363C">
        <w:t>Exemptions are designed to reduce regulatory burden</w:t>
      </w:r>
      <w:r w:rsidR="00820F96">
        <w:t xml:space="preserve"> where there is a justified reason</w:t>
      </w:r>
      <w:r w:rsidR="0039363C">
        <w:t xml:space="preserve">. </w:t>
      </w:r>
      <w:r>
        <w:t xml:space="preserve">An exemption is unique to a particular operator’s bus service and may be required for varying reasons. </w:t>
      </w:r>
    </w:p>
    <w:p w14:paraId="4577FEFA" w14:textId="61332569" w:rsidR="00F573B9" w:rsidRDefault="00F573B9" w:rsidP="00F573B9">
      <w:r>
        <w:t xml:space="preserve">The </w:t>
      </w:r>
      <w:r w:rsidR="003A2F6F">
        <w:t>Bus Safety Act</w:t>
      </w:r>
      <w:r>
        <w:t xml:space="preserve"> provides for making of regulations related to exemptions for persons from the requirement for registration or accreditation:</w:t>
      </w:r>
    </w:p>
    <w:p w14:paraId="277DA9C5" w14:textId="2E3B2994" w:rsidR="00F573B9" w:rsidRDefault="00F573B9" w:rsidP="00EE58C0">
      <w:pPr>
        <w:pStyle w:val="ListBullet"/>
        <w:numPr>
          <w:ilvl w:val="0"/>
          <w:numId w:val="15"/>
        </w:numPr>
      </w:pPr>
      <w:r>
        <w:t>S</w:t>
      </w:r>
      <w:r w:rsidRPr="00BE5AFC">
        <w:t xml:space="preserve">ection </w:t>
      </w:r>
      <w:r w:rsidR="000D007E">
        <w:t xml:space="preserve">52B(2) and </w:t>
      </w:r>
      <w:r>
        <w:t>52B(2)(b)</w:t>
      </w:r>
      <w:r w:rsidR="00CC2F10">
        <w:t xml:space="preserve"> of the </w:t>
      </w:r>
      <w:r w:rsidR="003A2F6F">
        <w:t>Bus Safety Act</w:t>
      </w:r>
      <w:r>
        <w:t xml:space="preserve"> specifies an application for exemption must be made in a manner and form approved by the Safety Director and contain any prescribed information. </w:t>
      </w:r>
    </w:p>
    <w:p w14:paraId="1AE6A217" w14:textId="28991782" w:rsidR="00F573B9" w:rsidRDefault="00F573B9" w:rsidP="00EE58C0">
      <w:pPr>
        <w:pStyle w:val="ListBullet"/>
        <w:numPr>
          <w:ilvl w:val="0"/>
          <w:numId w:val="15"/>
        </w:numPr>
      </w:pPr>
      <w:r>
        <w:t xml:space="preserve">Section 52C(b) of the </w:t>
      </w:r>
      <w:r w:rsidR="003A2F6F">
        <w:t>Bus Safety Act</w:t>
      </w:r>
      <w:r>
        <w:t xml:space="preserve"> specifies the Safety Director must not grant an exemption unless satisfied that the application has demonstrated compliance with requirement prescribed in regulations</w:t>
      </w:r>
      <w:r w:rsidR="00BB11A3">
        <w:t xml:space="preserve"> (if any)</w:t>
      </w:r>
      <w:r>
        <w:t xml:space="preserve">. </w:t>
      </w:r>
    </w:p>
    <w:p w14:paraId="1CE516B0" w14:textId="1D8446B4" w:rsidR="00F573B9" w:rsidRDefault="00F573B9" w:rsidP="00EE58C0">
      <w:pPr>
        <w:pStyle w:val="ListBullet"/>
        <w:numPr>
          <w:ilvl w:val="0"/>
          <w:numId w:val="15"/>
        </w:numPr>
      </w:pPr>
      <w:r>
        <w:t xml:space="preserve">Section 52D(2) of the </w:t>
      </w:r>
      <w:r w:rsidR="003A2F6F">
        <w:t>Bus Safety Act</w:t>
      </w:r>
      <w:r>
        <w:t xml:space="preserve"> provides that an exemption is subject to any conditions or restrictions prescribed by the regulations that are applicable to the exemption. </w:t>
      </w:r>
    </w:p>
    <w:p w14:paraId="1BA4189C" w14:textId="7C664D5C" w:rsidR="00F573B9" w:rsidRDefault="00F573B9" w:rsidP="00EE58C0">
      <w:pPr>
        <w:pStyle w:val="ListBullet"/>
        <w:numPr>
          <w:ilvl w:val="0"/>
          <w:numId w:val="15"/>
        </w:numPr>
      </w:pPr>
      <w:r>
        <w:t xml:space="preserve">Section </w:t>
      </w:r>
      <w:r w:rsidR="00C77F90">
        <w:t xml:space="preserve">52(3) and </w:t>
      </w:r>
      <w:r>
        <w:t>52E(3)(b)</w:t>
      </w:r>
      <w:r w:rsidR="00217CAA">
        <w:t xml:space="preserve"> of the </w:t>
      </w:r>
      <w:r w:rsidR="003A2F6F">
        <w:t>Bus Safety Act</w:t>
      </w:r>
      <w:r>
        <w:t xml:space="preserve"> provides for</w:t>
      </w:r>
      <w:r w:rsidRPr="00DA2A85">
        <w:t xml:space="preserve"> </w:t>
      </w:r>
      <w:r>
        <w:t>an application for variation must be made in a manner and form approved by the Safety Director and contain any prescribed information.</w:t>
      </w:r>
    </w:p>
    <w:p w14:paraId="0150D4C5" w14:textId="0C2CA385" w:rsidR="00F573B9" w:rsidRDefault="00F573B9" w:rsidP="00F573B9">
      <w:r>
        <w:lastRenderedPageBreak/>
        <w:t xml:space="preserve">Regulations are required to specify the procedural or information requirements relevant to an application for exemption. </w:t>
      </w:r>
      <w:r w:rsidR="003212C6">
        <w:t>This includes:</w:t>
      </w:r>
    </w:p>
    <w:p w14:paraId="4AAA8DE0" w14:textId="1F33F824" w:rsidR="00DC3EFA" w:rsidRPr="0092496A" w:rsidRDefault="00BE0056" w:rsidP="0092496A">
      <w:pPr>
        <w:pStyle w:val="ListParagraph"/>
        <w:numPr>
          <w:ilvl w:val="0"/>
          <w:numId w:val="12"/>
        </w:numPr>
        <w:rPr>
          <w:rFonts w:asciiTheme="minorHAnsi" w:hAnsiTheme="minorHAnsi" w:cstheme="minorHAnsi"/>
          <w:color w:val="auto"/>
          <w:sz w:val="20"/>
          <w:szCs w:val="20"/>
        </w:rPr>
      </w:pPr>
      <w:bookmarkStart w:id="538" w:name="_Toc32909839"/>
      <w:r w:rsidRPr="0092496A">
        <w:rPr>
          <w:rFonts w:asciiTheme="minorHAnsi" w:hAnsiTheme="minorHAnsi" w:cstheme="minorHAnsi"/>
          <w:color w:val="auto"/>
          <w:sz w:val="20"/>
          <w:szCs w:val="20"/>
        </w:rPr>
        <w:t>W</w:t>
      </w:r>
      <w:r w:rsidR="00F573B9" w:rsidRPr="0092496A">
        <w:rPr>
          <w:rFonts w:asciiTheme="minorHAnsi" w:hAnsiTheme="minorHAnsi" w:cstheme="minorHAnsi"/>
          <w:color w:val="auto"/>
          <w:sz w:val="20"/>
          <w:szCs w:val="20"/>
        </w:rPr>
        <w:t>hat should accompany all applications and variations</w:t>
      </w:r>
      <w:bookmarkEnd w:id="538"/>
      <w:r w:rsidR="00F573B9" w:rsidRPr="0092496A">
        <w:rPr>
          <w:rFonts w:asciiTheme="minorHAnsi" w:hAnsiTheme="minorHAnsi" w:cstheme="minorHAnsi"/>
          <w:color w:val="auto"/>
          <w:sz w:val="20"/>
          <w:szCs w:val="20"/>
        </w:rPr>
        <w:t xml:space="preserve"> </w:t>
      </w:r>
      <w:r w:rsidR="00847F58" w:rsidRPr="0092496A">
        <w:rPr>
          <w:rFonts w:asciiTheme="minorHAnsi" w:hAnsiTheme="minorHAnsi" w:cstheme="minorHAnsi"/>
          <w:color w:val="auto"/>
          <w:sz w:val="20"/>
          <w:szCs w:val="20"/>
        </w:rPr>
        <w:t>for an exemption</w:t>
      </w:r>
      <w:r w:rsidR="002D58E2" w:rsidRPr="0092496A">
        <w:rPr>
          <w:rFonts w:asciiTheme="minorHAnsi" w:hAnsiTheme="minorHAnsi" w:cstheme="minorHAnsi"/>
          <w:color w:val="auto"/>
          <w:sz w:val="20"/>
          <w:szCs w:val="20"/>
        </w:rPr>
        <w:t xml:space="preserve"> – </w:t>
      </w:r>
      <w:r w:rsidR="005A5CDB" w:rsidRPr="0092496A">
        <w:rPr>
          <w:rFonts w:asciiTheme="minorHAnsi" w:hAnsiTheme="minorHAnsi" w:cstheme="minorHAnsi"/>
          <w:color w:val="auto"/>
          <w:sz w:val="20"/>
          <w:szCs w:val="20"/>
        </w:rPr>
        <w:t>i</w:t>
      </w:r>
      <w:r w:rsidR="00F573B9" w:rsidRPr="0092496A">
        <w:rPr>
          <w:rFonts w:asciiTheme="minorHAnsi" w:hAnsiTheme="minorHAnsi" w:cstheme="minorHAnsi"/>
          <w:color w:val="auto"/>
          <w:sz w:val="20"/>
          <w:szCs w:val="20"/>
        </w:rPr>
        <w:t xml:space="preserve">mportant information required to apply for exemptions should include information relating to the identity of </w:t>
      </w:r>
      <w:r w:rsidR="00281CB0" w:rsidRPr="0092496A">
        <w:rPr>
          <w:rFonts w:asciiTheme="minorHAnsi" w:hAnsiTheme="minorHAnsi" w:cstheme="minorHAnsi"/>
          <w:color w:val="auto"/>
          <w:sz w:val="20"/>
          <w:szCs w:val="20"/>
        </w:rPr>
        <w:t xml:space="preserve">the </w:t>
      </w:r>
      <w:r w:rsidR="00F573B9" w:rsidRPr="0092496A">
        <w:rPr>
          <w:rFonts w:asciiTheme="minorHAnsi" w:hAnsiTheme="minorHAnsi" w:cstheme="minorHAnsi"/>
          <w:color w:val="auto"/>
          <w:sz w:val="20"/>
          <w:szCs w:val="20"/>
        </w:rPr>
        <w:t xml:space="preserve">relevant applicant, such as if the applicant is a natural person, partnership, unincorporated body, company or body corporate. Information should also include details relating to the exemptions and any accreditation or registration details of the applicant, if applicable. </w:t>
      </w:r>
    </w:p>
    <w:p w14:paraId="02D8FB2A" w14:textId="726F8537" w:rsidR="00F573B9" w:rsidRPr="0092496A" w:rsidRDefault="003F4A50" w:rsidP="0092496A">
      <w:pPr>
        <w:pStyle w:val="ListParagraph"/>
        <w:numPr>
          <w:ilvl w:val="0"/>
          <w:numId w:val="12"/>
        </w:numPr>
        <w:rPr>
          <w:rFonts w:asciiTheme="minorHAnsi" w:hAnsiTheme="minorHAnsi" w:cstheme="minorHAnsi"/>
          <w:color w:val="auto"/>
          <w:sz w:val="20"/>
          <w:szCs w:val="20"/>
        </w:rPr>
      </w:pPr>
      <w:bookmarkStart w:id="539" w:name="_Toc32909840"/>
      <w:r w:rsidRPr="0092496A">
        <w:rPr>
          <w:rFonts w:asciiTheme="minorHAnsi" w:hAnsiTheme="minorHAnsi" w:cstheme="minorHAnsi"/>
          <w:color w:val="auto"/>
          <w:sz w:val="20"/>
          <w:szCs w:val="20"/>
        </w:rPr>
        <w:t>A</w:t>
      </w:r>
      <w:r w:rsidR="00F573B9" w:rsidRPr="0092496A">
        <w:rPr>
          <w:rFonts w:asciiTheme="minorHAnsi" w:hAnsiTheme="minorHAnsi" w:cstheme="minorHAnsi"/>
          <w:color w:val="auto"/>
          <w:sz w:val="20"/>
          <w:szCs w:val="20"/>
        </w:rPr>
        <w:t>ny requirements or conditions prescribed as part of the exemption</w:t>
      </w:r>
      <w:bookmarkEnd w:id="539"/>
      <w:r w:rsidR="004B4B83" w:rsidRPr="0092496A">
        <w:rPr>
          <w:rFonts w:asciiTheme="minorHAnsi" w:hAnsiTheme="minorHAnsi" w:cstheme="minorHAnsi"/>
          <w:color w:val="auto"/>
          <w:sz w:val="20"/>
          <w:szCs w:val="20"/>
        </w:rPr>
        <w:t xml:space="preserve"> – including </w:t>
      </w:r>
      <w:r w:rsidR="00670B11" w:rsidRPr="0092496A">
        <w:rPr>
          <w:rFonts w:asciiTheme="minorHAnsi" w:hAnsiTheme="minorHAnsi" w:cstheme="minorHAnsi"/>
          <w:color w:val="auto"/>
          <w:sz w:val="20"/>
          <w:szCs w:val="20"/>
        </w:rPr>
        <w:t xml:space="preserve">compliance with </w:t>
      </w:r>
      <w:r w:rsidR="00545268" w:rsidRPr="0092496A">
        <w:rPr>
          <w:rFonts w:asciiTheme="minorHAnsi" w:hAnsiTheme="minorHAnsi" w:cstheme="minorHAnsi"/>
          <w:color w:val="auto"/>
          <w:sz w:val="20"/>
          <w:szCs w:val="20"/>
        </w:rPr>
        <w:t xml:space="preserve">specified requirements (e.g. ensuring that drivers hold </w:t>
      </w:r>
      <w:r w:rsidR="000A541F" w:rsidRPr="0092496A">
        <w:rPr>
          <w:rFonts w:asciiTheme="minorHAnsi" w:hAnsiTheme="minorHAnsi" w:cstheme="minorHAnsi"/>
          <w:color w:val="auto"/>
          <w:sz w:val="20"/>
          <w:szCs w:val="20"/>
        </w:rPr>
        <w:t xml:space="preserve">appropriate licences, </w:t>
      </w:r>
      <w:r w:rsidR="00BA4B2C" w:rsidRPr="0092496A">
        <w:rPr>
          <w:rFonts w:asciiTheme="minorHAnsi" w:hAnsiTheme="minorHAnsi" w:cstheme="minorHAnsi"/>
          <w:color w:val="auto"/>
          <w:sz w:val="20"/>
          <w:szCs w:val="20"/>
        </w:rPr>
        <w:t xml:space="preserve">buses comply with applicable vehicle standards, </w:t>
      </w:r>
      <w:r w:rsidR="003C7AF3" w:rsidRPr="0092496A">
        <w:rPr>
          <w:rFonts w:asciiTheme="minorHAnsi" w:hAnsiTheme="minorHAnsi" w:cstheme="minorHAnsi"/>
          <w:color w:val="auto"/>
          <w:sz w:val="20"/>
          <w:szCs w:val="20"/>
        </w:rPr>
        <w:t>vehicle inspections requirements).</w:t>
      </w:r>
    </w:p>
    <w:p w14:paraId="45348EC5" w14:textId="42CA0C66" w:rsidR="00061AF4" w:rsidRDefault="00F573B9" w:rsidP="00F573B9">
      <w:r>
        <w:t xml:space="preserve">The purpose of the registration and accreditation scheme under the </w:t>
      </w:r>
      <w:r w:rsidR="003A2F6F">
        <w:t>Bus Safety Act</w:t>
      </w:r>
      <w:r>
        <w:t xml:space="preserve"> is to impose general safety duties on operators of bus services. DoT considers that any exemption should</w:t>
      </w:r>
      <w:r w:rsidR="00061AF4">
        <w:t>:</w:t>
      </w:r>
    </w:p>
    <w:p w14:paraId="1C9368DD" w14:textId="5C4A724E" w:rsidR="00C02146" w:rsidRPr="0092496A" w:rsidRDefault="00C02146" w:rsidP="0092496A">
      <w:pPr>
        <w:pStyle w:val="ListParagraph"/>
        <w:numPr>
          <w:ilvl w:val="0"/>
          <w:numId w:val="12"/>
        </w:numPr>
        <w:rPr>
          <w:rFonts w:asciiTheme="minorHAnsi" w:hAnsiTheme="minorHAnsi" w:cstheme="minorHAnsi"/>
          <w:color w:val="auto"/>
          <w:sz w:val="20"/>
          <w:szCs w:val="20"/>
        </w:rPr>
      </w:pPr>
      <w:r w:rsidRPr="0092496A">
        <w:rPr>
          <w:rFonts w:asciiTheme="minorHAnsi" w:hAnsiTheme="minorHAnsi" w:cstheme="minorHAnsi"/>
          <w:color w:val="auto"/>
          <w:sz w:val="20"/>
          <w:szCs w:val="20"/>
        </w:rPr>
        <w:t>n</w:t>
      </w:r>
      <w:r w:rsidR="00061AF4" w:rsidRPr="0092496A">
        <w:rPr>
          <w:rFonts w:asciiTheme="minorHAnsi" w:hAnsiTheme="minorHAnsi" w:cstheme="minorHAnsi"/>
          <w:color w:val="auto"/>
          <w:sz w:val="20"/>
          <w:szCs w:val="20"/>
        </w:rPr>
        <w:t xml:space="preserve">ot </w:t>
      </w:r>
      <w:r w:rsidR="00F573B9" w:rsidRPr="0092496A">
        <w:rPr>
          <w:rFonts w:asciiTheme="minorHAnsi" w:hAnsiTheme="minorHAnsi" w:cstheme="minorHAnsi"/>
          <w:color w:val="auto"/>
          <w:sz w:val="20"/>
          <w:szCs w:val="20"/>
        </w:rPr>
        <w:t>reduce the safe operation of bus services</w:t>
      </w:r>
      <w:r w:rsidR="00834184" w:rsidRPr="0092496A">
        <w:rPr>
          <w:rFonts w:asciiTheme="minorHAnsi" w:hAnsiTheme="minorHAnsi" w:cstheme="minorHAnsi"/>
          <w:color w:val="auto"/>
          <w:sz w:val="20"/>
          <w:szCs w:val="20"/>
        </w:rPr>
        <w:t xml:space="preserve"> as this wo</w:t>
      </w:r>
      <w:r w:rsidR="009D7DEB" w:rsidRPr="0092496A">
        <w:rPr>
          <w:rFonts w:asciiTheme="minorHAnsi" w:hAnsiTheme="minorHAnsi" w:cstheme="minorHAnsi"/>
          <w:color w:val="auto"/>
          <w:sz w:val="20"/>
          <w:szCs w:val="20"/>
        </w:rPr>
        <w:t xml:space="preserve">uld contradict the objectives of the </w:t>
      </w:r>
      <w:r w:rsidR="003A2F6F" w:rsidRPr="0092496A">
        <w:rPr>
          <w:rFonts w:asciiTheme="minorHAnsi" w:hAnsiTheme="minorHAnsi" w:cstheme="minorHAnsi"/>
          <w:color w:val="auto"/>
          <w:sz w:val="20"/>
          <w:szCs w:val="20"/>
        </w:rPr>
        <w:t>Bus Safety Act</w:t>
      </w:r>
    </w:p>
    <w:p w14:paraId="6E23E0F3" w14:textId="57D7FF1B" w:rsidR="00460AFA" w:rsidRPr="0092496A" w:rsidRDefault="00C02146" w:rsidP="0092496A">
      <w:pPr>
        <w:pStyle w:val="ListParagraph"/>
        <w:numPr>
          <w:ilvl w:val="0"/>
          <w:numId w:val="12"/>
        </w:numPr>
        <w:rPr>
          <w:rFonts w:asciiTheme="minorHAnsi" w:hAnsiTheme="minorHAnsi" w:cstheme="minorHAnsi"/>
          <w:color w:val="auto"/>
          <w:sz w:val="20"/>
          <w:szCs w:val="20"/>
        </w:rPr>
      </w:pPr>
      <w:r w:rsidRPr="0092496A">
        <w:rPr>
          <w:rFonts w:asciiTheme="minorHAnsi" w:hAnsiTheme="minorHAnsi" w:cstheme="minorHAnsi"/>
          <w:color w:val="auto"/>
          <w:sz w:val="20"/>
          <w:szCs w:val="20"/>
        </w:rPr>
        <w:t>the applicant must</w:t>
      </w:r>
      <w:r w:rsidR="00281CB0" w:rsidRPr="0092496A">
        <w:rPr>
          <w:rFonts w:asciiTheme="minorHAnsi" w:hAnsiTheme="minorHAnsi" w:cstheme="minorHAnsi"/>
          <w:color w:val="auto"/>
          <w:sz w:val="20"/>
          <w:szCs w:val="20"/>
        </w:rPr>
        <w:t xml:space="preserve"> still</w:t>
      </w:r>
      <w:r w:rsidRPr="0092496A">
        <w:rPr>
          <w:rFonts w:asciiTheme="minorHAnsi" w:hAnsiTheme="minorHAnsi" w:cstheme="minorHAnsi"/>
          <w:color w:val="auto"/>
          <w:sz w:val="20"/>
          <w:szCs w:val="20"/>
        </w:rPr>
        <w:t xml:space="preserve"> have sufficient</w:t>
      </w:r>
      <w:r w:rsidR="008229B2" w:rsidRPr="0092496A">
        <w:rPr>
          <w:rFonts w:asciiTheme="minorHAnsi" w:hAnsiTheme="minorHAnsi" w:cstheme="minorHAnsi"/>
          <w:color w:val="auto"/>
          <w:sz w:val="20"/>
          <w:szCs w:val="20"/>
        </w:rPr>
        <w:t xml:space="preserve"> competency and capacity to manage risks to bus safety</w:t>
      </w:r>
    </w:p>
    <w:p w14:paraId="6B2615F6" w14:textId="7D78A79E" w:rsidR="00D60B96" w:rsidRPr="0092496A" w:rsidRDefault="00460AFA" w:rsidP="0092496A">
      <w:pPr>
        <w:pStyle w:val="ListParagraph"/>
        <w:numPr>
          <w:ilvl w:val="0"/>
          <w:numId w:val="12"/>
        </w:numPr>
        <w:rPr>
          <w:rFonts w:asciiTheme="minorHAnsi" w:hAnsiTheme="minorHAnsi" w:cstheme="minorHAnsi"/>
          <w:color w:val="auto"/>
          <w:sz w:val="20"/>
          <w:szCs w:val="20"/>
        </w:rPr>
      </w:pPr>
      <w:r w:rsidRPr="0092496A">
        <w:rPr>
          <w:rFonts w:asciiTheme="minorHAnsi" w:hAnsiTheme="minorHAnsi" w:cstheme="minorHAnsi"/>
          <w:color w:val="auto"/>
          <w:sz w:val="20"/>
          <w:szCs w:val="20"/>
        </w:rPr>
        <w:t xml:space="preserve">the applicant has </w:t>
      </w:r>
      <w:r w:rsidR="008A2178" w:rsidRPr="0092496A">
        <w:rPr>
          <w:rFonts w:asciiTheme="minorHAnsi" w:hAnsiTheme="minorHAnsi" w:cstheme="minorHAnsi"/>
          <w:color w:val="auto"/>
          <w:sz w:val="20"/>
          <w:szCs w:val="20"/>
        </w:rPr>
        <w:t>enough</w:t>
      </w:r>
      <w:r w:rsidR="00F102AC" w:rsidRPr="0092496A">
        <w:rPr>
          <w:rFonts w:asciiTheme="minorHAnsi" w:hAnsiTheme="minorHAnsi" w:cstheme="minorHAnsi"/>
          <w:color w:val="auto"/>
          <w:sz w:val="20"/>
          <w:szCs w:val="20"/>
        </w:rPr>
        <w:t xml:space="preserve"> financial capacity </w:t>
      </w:r>
      <w:r w:rsidR="00F102AC" w:rsidRPr="0092496A" w:rsidDel="00E37641">
        <w:rPr>
          <w:rFonts w:asciiTheme="minorHAnsi" w:hAnsiTheme="minorHAnsi" w:cstheme="minorHAnsi"/>
          <w:color w:val="auto"/>
          <w:sz w:val="20"/>
          <w:szCs w:val="20"/>
        </w:rPr>
        <w:t>o</w:t>
      </w:r>
      <w:r w:rsidR="00F102AC" w:rsidRPr="0092496A">
        <w:rPr>
          <w:rFonts w:asciiTheme="minorHAnsi" w:hAnsiTheme="minorHAnsi" w:cstheme="minorHAnsi"/>
          <w:color w:val="auto"/>
          <w:sz w:val="20"/>
          <w:szCs w:val="20"/>
        </w:rPr>
        <w:t>r public risk insurance to cover any potential liabilities from accidents</w:t>
      </w:r>
    </w:p>
    <w:p w14:paraId="187751F7" w14:textId="61660417" w:rsidR="00850A59" w:rsidRPr="0092496A" w:rsidRDefault="00D60B96" w:rsidP="0092496A">
      <w:pPr>
        <w:pStyle w:val="ListParagraph"/>
        <w:numPr>
          <w:ilvl w:val="0"/>
          <w:numId w:val="12"/>
        </w:numPr>
        <w:rPr>
          <w:rFonts w:asciiTheme="minorHAnsi" w:hAnsiTheme="minorHAnsi" w:cstheme="minorHAnsi"/>
          <w:color w:val="auto"/>
          <w:sz w:val="20"/>
          <w:szCs w:val="20"/>
        </w:rPr>
      </w:pPr>
      <w:r w:rsidRPr="0092496A">
        <w:rPr>
          <w:rFonts w:asciiTheme="minorHAnsi" w:hAnsiTheme="minorHAnsi" w:cstheme="minorHAnsi"/>
          <w:color w:val="auto"/>
          <w:sz w:val="20"/>
          <w:szCs w:val="20"/>
        </w:rPr>
        <w:t>the applicant ensures that the bus driver holds an appropriate driver licence and driver accreditation under the T</w:t>
      </w:r>
      <w:r w:rsidR="00A55CAC" w:rsidRPr="0092496A">
        <w:rPr>
          <w:rFonts w:asciiTheme="minorHAnsi" w:hAnsiTheme="minorHAnsi" w:cstheme="minorHAnsi"/>
          <w:color w:val="auto"/>
          <w:sz w:val="20"/>
          <w:szCs w:val="20"/>
        </w:rPr>
        <w:t>ransport (</w:t>
      </w:r>
      <w:r w:rsidRPr="0092496A">
        <w:rPr>
          <w:rFonts w:asciiTheme="minorHAnsi" w:hAnsiTheme="minorHAnsi" w:cstheme="minorHAnsi"/>
          <w:color w:val="auto"/>
          <w:sz w:val="20"/>
          <w:szCs w:val="20"/>
        </w:rPr>
        <w:t>C</w:t>
      </w:r>
      <w:r w:rsidR="00A55CAC" w:rsidRPr="0092496A">
        <w:rPr>
          <w:rFonts w:asciiTheme="minorHAnsi" w:hAnsiTheme="minorHAnsi" w:cstheme="minorHAnsi"/>
          <w:color w:val="auto"/>
          <w:sz w:val="20"/>
          <w:szCs w:val="20"/>
        </w:rPr>
        <w:t xml:space="preserve">ompliance and </w:t>
      </w:r>
      <w:r w:rsidRPr="0092496A">
        <w:rPr>
          <w:rFonts w:asciiTheme="minorHAnsi" w:hAnsiTheme="minorHAnsi" w:cstheme="minorHAnsi"/>
          <w:color w:val="auto"/>
          <w:sz w:val="20"/>
          <w:szCs w:val="20"/>
        </w:rPr>
        <w:t>M</w:t>
      </w:r>
      <w:r w:rsidR="00A55CAC" w:rsidRPr="0092496A">
        <w:rPr>
          <w:rFonts w:asciiTheme="minorHAnsi" w:hAnsiTheme="minorHAnsi" w:cstheme="minorHAnsi"/>
          <w:color w:val="auto"/>
          <w:sz w:val="20"/>
          <w:szCs w:val="20"/>
        </w:rPr>
        <w:t xml:space="preserve">iscellaneous) </w:t>
      </w:r>
      <w:r w:rsidRPr="0092496A">
        <w:rPr>
          <w:rFonts w:asciiTheme="minorHAnsi" w:hAnsiTheme="minorHAnsi" w:cstheme="minorHAnsi"/>
          <w:color w:val="auto"/>
          <w:sz w:val="20"/>
          <w:szCs w:val="20"/>
        </w:rPr>
        <w:t>A</w:t>
      </w:r>
      <w:r w:rsidR="00A55CAC" w:rsidRPr="0092496A">
        <w:rPr>
          <w:rFonts w:asciiTheme="minorHAnsi" w:hAnsiTheme="minorHAnsi" w:cstheme="minorHAnsi"/>
          <w:color w:val="auto"/>
          <w:sz w:val="20"/>
          <w:szCs w:val="20"/>
        </w:rPr>
        <w:t>ct</w:t>
      </w:r>
    </w:p>
    <w:p w14:paraId="30B181E6" w14:textId="19073EE7" w:rsidR="005C13B6" w:rsidRPr="0092496A" w:rsidRDefault="005C13B6" w:rsidP="0092496A">
      <w:pPr>
        <w:pStyle w:val="ListParagraph"/>
        <w:numPr>
          <w:ilvl w:val="0"/>
          <w:numId w:val="12"/>
        </w:numPr>
        <w:rPr>
          <w:rFonts w:asciiTheme="minorHAnsi" w:hAnsiTheme="minorHAnsi" w:cstheme="minorHAnsi"/>
          <w:color w:val="auto"/>
          <w:sz w:val="20"/>
          <w:szCs w:val="20"/>
        </w:rPr>
      </w:pPr>
      <w:r w:rsidRPr="0092496A">
        <w:rPr>
          <w:rFonts w:asciiTheme="minorHAnsi" w:hAnsiTheme="minorHAnsi" w:cstheme="minorHAnsi"/>
          <w:color w:val="auto"/>
          <w:sz w:val="20"/>
          <w:szCs w:val="20"/>
        </w:rPr>
        <w:t xml:space="preserve">each bus complies with vehicle standards under the </w:t>
      </w:r>
      <w:r w:rsidR="004141A5" w:rsidRPr="0092496A">
        <w:rPr>
          <w:rFonts w:asciiTheme="minorHAnsi" w:hAnsiTheme="minorHAnsi" w:cstheme="minorHAnsi"/>
          <w:color w:val="auto"/>
          <w:sz w:val="20"/>
          <w:szCs w:val="20"/>
        </w:rPr>
        <w:t>Road Safety Act</w:t>
      </w:r>
    </w:p>
    <w:p w14:paraId="23EBBB96" w14:textId="7CF9FA78" w:rsidR="005C13B6" w:rsidRPr="0092496A" w:rsidRDefault="005C13B6" w:rsidP="0092496A">
      <w:pPr>
        <w:pStyle w:val="ListParagraph"/>
        <w:numPr>
          <w:ilvl w:val="0"/>
          <w:numId w:val="12"/>
        </w:numPr>
        <w:rPr>
          <w:rFonts w:asciiTheme="minorHAnsi" w:hAnsiTheme="minorHAnsi" w:cstheme="minorHAnsi"/>
          <w:color w:val="auto"/>
          <w:sz w:val="20"/>
          <w:szCs w:val="20"/>
        </w:rPr>
      </w:pPr>
      <w:r w:rsidRPr="0092496A">
        <w:rPr>
          <w:rFonts w:asciiTheme="minorHAnsi" w:hAnsiTheme="minorHAnsi" w:cstheme="minorHAnsi"/>
          <w:color w:val="auto"/>
          <w:sz w:val="20"/>
          <w:szCs w:val="20"/>
        </w:rPr>
        <w:t xml:space="preserve">comply with drug and alcohol polies under the </w:t>
      </w:r>
      <w:r w:rsidR="003A2F6F" w:rsidRPr="0092496A">
        <w:rPr>
          <w:rFonts w:asciiTheme="minorHAnsi" w:hAnsiTheme="minorHAnsi" w:cstheme="minorHAnsi"/>
          <w:color w:val="auto"/>
          <w:sz w:val="20"/>
          <w:szCs w:val="20"/>
        </w:rPr>
        <w:t>Bus Safety Act</w:t>
      </w:r>
    </w:p>
    <w:p w14:paraId="503056B5" w14:textId="4DFD1BCF" w:rsidR="0042045B" w:rsidRPr="0092496A" w:rsidRDefault="005C13B6" w:rsidP="0092496A">
      <w:pPr>
        <w:pStyle w:val="ListParagraph"/>
        <w:numPr>
          <w:ilvl w:val="0"/>
          <w:numId w:val="12"/>
        </w:numPr>
        <w:rPr>
          <w:rFonts w:asciiTheme="minorHAnsi" w:hAnsiTheme="minorHAnsi" w:cstheme="minorHAnsi"/>
          <w:color w:val="auto"/>
          <w:sz w:val="20"/>
          <w:szCs w:val="20"/>
        </w:rPr>
      </w:pPr>
      <w:r w:rsidRPr="0092496A">
        <w:rPr>
          <w:rFonts w:asciiTheme="minorHAnsi" w:hAnsiTheme="minorHAnsi" w:cstheme="minorHAnsi"/>
          <w:color w:val="auto"/>
          <w:sz w:val="20"/>
          <w:szCs w:val="20"/>
        </w:rPr>
        <w:t xml:space="preserve">comply with bus incident notification and investigations under the </w:t>
      </w:r>
      <w:r w:rsidR="00E37641" w:rsidRPr="0092496A">
        <w:rPr>
          <w:rFonts w:asciiTheme="minorHAnsi" w:hAnsiTheme="minorHAnsi" w:cstheme="minorHAnsi"/>
          <w:color w:val="auto"/>
          <w:sz w:val="20"/>
          <w:szCs w:val="20"/>
        </w:rPr>
        <w:t>regulations</w:t>
      </w:r>
      <w:r w:rsidR="009D7DEB" w:rsidRPr="0092496A">
        <w:rPr>
          <w:rFonts w:asciiTheme="minorHAnsi" w:hAnsiTheme="minorHAnsi" w:cstheme="minorHAnsi"/>
          <w:color w:val="auto"/>
          <w:sz w:val="20"/>
          <w:szCs w:val="20"/>
        </w:rPr>
        <w:t xml:space="preserve">. </w:t>
      </w:r>
    </w:p>
    <w:p w14:paraId="0220B6BC" w14:textId="6B1AE366" w:rsidR="00F1587E" w:rsidRPr="00BD049C" w:rsidRDefault="00F1587E" w:rsidP="00F1587E">
      <w:r>
        <w:t xml:space="preserve">Section </w:t>
      </w:r>
      <w:r w:rsidR="00A744D9">
        <w:fldChar w:fldCharType="begin"/>
      </w:r>
      <w:r w:rsidR="00A744D9">
        <w:instrText xml:space="preserve"> REF _Ref42010189 \r \h </w:instrText>
      </w:r>
      <w:r w:rsidR="00A744D9">
        <w:fldChar w:fldCharType="separate"/>
      </w:r>
      <w:r w:rsidR="00277F6E">
        <w:t>7.8</w:t>
      </w:r>
      <w:r w:rsidR="00A744D9">
        <w:fldChar w:fldCharType="end"/>
      </w:r>
      <w:r w:rsidR="00A744D9">
        <w:t xml:space="preserve"> </w:t>
      </w:r>
      <w:r w:rsidR="00051C1A">
        <w:t xml:space="preserve">further </w:t>
      </w:r>
      <w:r>
        <w:t>assess the impacts of exemptions.</w:t>
      </w:r>
    </w:p>
    <w:p w14:paraId="48C33BCA" w14:textId="37265489" w:rsidR="00E67CC6" w:rsidRPr="00F3710D" w:rsidRDefault="00E67CC6" w:rsidP="00AB4C8F">
      <w:pPr>
        <w:pStyle w:val="Heading2"/>
      </w:pPr>
      <w:bookmarkStart w:id="540" w:name="_Toc32909841"/>
      <w:bookmarkStart w:id="541" w:name="_Toc45704368"/>
      <w:r w:rsidRPr="00F3710D">
        <w:t>Fees</w:t>
      </w:r>
      <w:bookmarkEnd w:id="540"/>
      <w:bookmarkEnd w:id="541"/>
    </w:p>
    <w:p w14:paraId="678427DD" w14:textId="77777777" w:rsidR="001A58D8" w:rsidRDefault="001A58D8" w:rsidP="001A58D8">
      <w:pPr>
        <w:rPr>
          <w:rFonts w:cstheme="minorHAnsi"/>
          <w:szCs w:val="20"/>
          <w:lang w:eastAsia="en-AU"/>
        </w:rPr>
      </w:pPr>
      <w:bookmarkStart w:id="542" w:name="_Toc428306478"/>
      <w:bookmarkStart w:id="543" w:name="_Toc432695152"/>
      <w:bookmarkStart w:id="544" w:name="_Toc480460840"/>
      <w:bookmarkStart w:id="545" w:name="_Toc32909842"/>
      <w:r>
        <w:rPr>
          <w:rFonts w:cstheme="minorHAnsi"/>
          <w:szCs w:val="20"/>
          <w:lang w:eastAsia="en-AU"/>
        </w:rPr>
        <w:t>There are a range of considerations for designing fees to recover the costs of regulation. This includes which industry participants should be required to pay fees, how costs should be recovered, the structure of fees and the level of cost recovery. These considerations and the resulting fee options for assessment are further explained below.</w:t>
      </w:r>
    </w:p>
    <w:p w14:paraId="53FA3209" w14:textId="77777777" w:rsidR="001A58D8" w:rsidRPr="0034668A" w:rsidRDefault="001A58D8" w:rsidP="0095677C">
      <w:pPr>
        <w:pStyle w:val="Heading5"/>
        <w:rPr>
          <w:lang w:eastAsia="en-AU"/>
        </w:rPr>
      </w:pPr>
      <w:r w:rsidRPr="0034668A">
        <w:rPr>
          <w:lang w:eastAsia="en-AU"/>
        </w:rPr>
        <w:t>Which parties should</w:t>
      </w:r>
      <w:r>
        <w:rPr>
          <w:lang w:eastAsia="en-AU"/>
        </w:rPr>
        <w:t xml:space="preserve"> be required to pay</w:t>
      </w:r>
      <w:r w:rsidRPr="0034668A">
        <w:rPr>
          <w:lang w:eastAsia="en-AU"/>
        </w:rPr>
        <w:t xml:space="preserve"> fees?</w:t>
      </w:r>
    </w:p>
    <w:p w14:paraId="00ECF86A" w14:textId="77777777" w:rsidR="001A58D8" w:rsidRDefault="001A58D8" w:rsidP="001A58D8">
      <w:pPr>
        <w:rPr>
          <w:rFonts w:cstheme="minorHAnsi"/>
          <w:color w:val="auto"/>
          <w:szCs w:val="20"/>
        </w:rPr>
      </w:pPr>
      <w:r w:rsidRPr="0034668A">
        <w:rPr>
          <w:rFonts w:cstheme="minorHAnsi"/>
          <w:color w:val="auto"/>
          <w:szCs w:val="20"/>
        </w:rPr>
        <w:t>There are two types of bus operators, accredited bus operators and registered bus operators.</w:t>
      </w:r>
      <w:r>
        <w:rPr>
          <w:rFonts w:cstheme="minorHAnsi"/>
          <w:color w:val="auto"/>
          <w:szCs w:val="20"/>
        </w:rPr>
        <w:t xml:space="preserve"> Each bus operator is subject to different levels of regulatory activities undertaken by TSV. As mentioned previously in this RIS, accredited bus operators usually have larger and more complex operations and are generally considered higher risk. Therefore, these operators are subject to a greater number of regulatory interventions. This means that the time, effort and resources required by TSV to regulate this cohort of operators is greater. Registered operators, on the other hand, generally have less complex bus operations, such as providers of community or not-for-profit bus services. Their lower risk profile compared to their accredited counterparts means that they are subject to a lesser degree of regulatory interventions. In comparison to accredited operators, TSV may also spend less time monitoring compliance on individual registered operators.</w:t>
      </w:r>
    </w:p>
    <w:p w14:paraId="1E02AE96" w14:textId="77777777" w:rsidR="001A58D8" w:rsidRDefault="001A58D8" w:rsidP="001A58D8">
      <w:pPr>
        <w:rPr>
          <w:rFonts w:cstheme="minorHAnsi"/>
          <w:szCs w:val="20"/>
          <w:lang w:eastAsia="en-AU"/>
        </w:rPr>
      </w:pPr>
      <w:r>
        <w:rPr>
          <w:rFonts w:cstheme="minorHAnsi"/>
          <w:color w:val="auto"/>
          <w:szCs w:val="20"/>
        </w:rPr>
        <w:t xml:space="preserve">However, notwithstanding the different levels of regulatory activities required to regulate accredited and registered operators, DoT will assess options where both accredited operators and registered operators are subject to fees under the proposed regulations. </w:t>
      </w:r>
    </w:p>
    <w:p w14:paraId="67F06D2F" w14:textId="77777777" w:rsidR="001A58D8" w:rsidRPr="006C0652" w:rsidRDefault="001A58D8" w:rsidP="0095677C">
      <w:pPr>
        <w:pStyle w:val="Heading5"/>
        <w:rPr>
          <w:lang w:eastAsia="en-AU"/>
        </w:rPr>
      </w:pPr>
      <w:r w:rsidRPr="006C0652">
        <w:rPr>
          <w:lang w:eastAsia="en-AU"/>
        </w:rPr>
        <w:t>What fees should be set?</w:t>
      </w:r>
    </w:p>
    <w:p w14:paraId="0D998E5D" w14:textId="77777777" w:rsidR="001A58D8" w:rsidRDefault="001A58D8" w:rsidP="001A58D8">
      <w:pPr>
        <w:rPr>
          <w:rFonts w:cstheme="minorHAnsi"/>
          <w:color w:val="auto"/>
          <w:szCs w:val="20"/>
        </w:rPr>
      </w:pPr>
      <w:r>
        <w:rPr>
          <w:rFonts w:cstheme="minorHAnsi"/>
          <w:color w:val="auto"/>
          <w:szCs w:val="20"/>
        </w:rPr>
        <w:t>In designing fees for recovering costs, it is necessary to consider what activities or transactions are subject to fees. There are some activities under the proposed regulations which DoT considers as options for setting fees.</w:t>
      </w:r>
    </w:p>
    <w:p w14:paraId="56F73F54" w14:textId="77777777" w:rsidR="001A58D8" w:rsidRDefault="001A58D8" w:rsidP="001A58D8">
      <w:pPr>
        <w:rPr>
          <w:rFonts w:cstheme="minorHAnsi"/>
          <w:color w:val="auto"/>
          <w:szCs w:val="20"/>
        </w:rPr>
      </w:pPr>
      <w:r>
        <w:rPr>
          <w:rFonts w:cstheme="minorHAnsi"/>
          <w:color w:val="auto"/>
          <w:szCs w:val="20"/>
        </w:rPr>
        <w:lastRenderedPageBreak/>
        <w:t>An application for accreditation or registration is a regulatory activity where fees may be set. Applications are a transaction that must be completed by all prospective operators before TSV can grant the operator with permission to operate a bus service under the Bus Safety Act. The application process is an important part of TSV’s regulatory activity, as it assists TSV to establish the identity of the operator and, in the case of accredited operators, whether an operator is capable and has the capacity to operate a safe bus service. However, DoT notes that there are only regulation making powers under the Bus Safety Act to set fees for applications for accreditation.  There are no powers under this Act to set application fees for registration. Therefore, the only option for application fees is for it to apply to accredited operators.</w:t>
      </w:r>
    </w:p>
    <w:p w14:paraId="66456689" w14:textId="754BD564" w:rsidR="001A58D8" w:rsidRDefault="001A58D8" w:rsidP="001A58D8">
      <w:pPr>
        <w:rPr>
          <w:rFonts w:cstheme="minorHAnsi"/>
          <w:color w:val="auto"/>
          <w:szCs w:val="20"/>
        </w:rPr>
      </w:pPr>
      <w:r>
        <w:rPr>
          <w:rFonts w:cstheme="minorHAnsi"/>
          <w:color w:val="auto"/>
          <w:szCs w:val="20"/>
        </w:rPr>
        <w:t>There are a range of other activities undertaken by TSV, such as dealing with enquiries, communication or information provision to industry stakeholders, complaints handling, and granting exemptions, the costs of which could be recovered by setting specific fees for service</w:t>
      </w:r>
      <w:r>
        <w:t>. It may not be appropriate to apply fees for these services as it may discourage compliance or open communication with the regulator.</w:t>
      </w:r>
    </w:p>
    <w:p w14:paraId="0F7B7AA0" w14:textId="77777777" w:rsidR="001A58D8" w:rsidRDefault="001A58D8" w:rsidP="001A58D8">
      <w:pPr>
        <w:rPr>
          <w:rFonts w:cstheme="minorHAnsi"/>
          <w:color w:val="auto"/>
          <w:szCs w:val="20"/>
        </w:rPr>
      </w:pPr>
      <w:r>
        <w:rPr>
          <w:rFonts w:cstheme="minorHAnsi"/>
          <w:color w:val="auto"/>
          <w:szCs w:val="20"/>
        </w:rPr>
        <w:t xml:space="preserve">Another option is to consider recovery of costs for activities that TSV undertake which cannot be tied to a specific regulatory function or service. There are many other regulatory activities that TSV must undertake in their role in regulating the bus industry that benefit the industry as a whole (when compared to applications, for example). In this case it may be appropriate to recover costs generally through an annual fee. There are powers under the Bus Safety Act for annual fees to be applied to both accredited and registered operators. As TSV’s role involves activities to ensure the safety of bus services operated by all operators, there are costs borne by TSV is regulating both accredited and registered operators. It follows that options should be considered for setting annual fees for both types of operators. </w:t>
      </w:r>
    </w:p>
    <w:p w14:paraId="0F1C1256" w14:textId="1143BF85" w:rsidR="001A58D8" w:rsidRDefault="001A58D8" w:rsidP="001A58D8">
      <w:pPr>
        <w:rPr>
          <w:rFonts w:cstheme="minorHAnsi"/>
          <w:color w:val="auto"/>
          <w:szCs w:val="20"/>
        </w:rPr>
      </w:pPr>
      <w:r>
        <w:rPr>
          <w:rFonts w:cstheme="minorHAnsi"/>
          <w:color w:val="auto"/>
          <w:szCs w:val="20"/>
        </w:rPr>
        <w:t>Notwithstanding an annual fee to recover general costs of regulating the bus industry, there may be specific regulatory activities (other than applications) that may be transaction based, and therefore able to be tied with a specific fee for service so that costs for these services can be recovered. Some examples include compliance inspections or audits performed by transport safety officers. These are identifiable and distinct activities in which TSV incur costs to administer. DoT notes that compliance inspections and audits are dependent on the focus of TSV’s compliance monitoring and enforcement activities and their assessment of a bus operator’s actions and measures taken to address safety risks. That is, if TSV considers that the obligations under the Bus Safety Act are not met that operator may deserve further investigation.  This may increase the fees charged to that operator. Imposing a fee could act as an incentive for bus operators to ensure compliance with their safety obligations to avoid being subject to additional inspections or audits and the associated fee. On the other hand, setting a regulatory fee for such transaction may incentivise the regulator to conduct more compliance inspections and audits than is necessary in order to raise revenue. The nature of compliance inspections and audits could also change so that more inspections and audits could be conducted within existing resources. This could compromise the safety objectives of the Act and Regulations if inspections and audits were not conducted to a minimum standard. For this reason, DoT will not further consider fees for such transactions in this RIS but welcome the public’s views on the merits of such fees.</w:t>
      </w:r>
    </w:p>
    <w:p w14:paraId="42F82849" w14:textId="77777777" w:rsidR="001A58D8" w:rsidRPr="0054168B" w:rsidRDefault="001A58D8" w:rsidP="0095677C">
      <w:pPr>
        <w:pStyle w:val="Heading5"/>
        <w:rPr>
          <w:lang w:eastAsia="en-AU"/>
        </w:rPr>
      </w:pPr>
      <w:r w:rsidRPr="0054168B">
        <w:rPr>
          <w:lang w:eastAsia="en-AU"/>
        </w:rPr>
        <w:t>How should fees be structured?</w:t>
      </w:r>
    </w:p>
    <w:p w14:paraId="452E5774" w14:textId="77777777" w:rsidR="001A58D8" w:rsidRDefault="001A58D8" w:rsidP="001A58D8">
      <w:pPr>
        <w:rPr>
          <w:rFonts w:cstheme="minorHAnsi"/>
          <w:color w:val="auto"/>
          <w:szCs w:val="20"/>
        </w:rPr>
      </w:pPr>
      <w:r>
        <w:rPr>
          <w:rFonts w:cstheme="minorHAnsi"/>
          <w:noProof/>
          <w:color w:val="auto"/>
          <w:szCs w:val="20"/>
        </w:rPr>
        <mc:AlternateContent>
          <mc:Choice Requires="wpi">
            <w:drawing>
              <wp:anchor distT="0" distB="0" distL="114300" distR="114300" simplePos="0" relativeHeight="251659264" behindDoc="0" locked="0" layoutInCell="1" allowOverlap="1" wp14:anchorId="33E33A5F" wp14:editId="2F430D4E">
                <wp:simplePos x="0" y="0"/>
                <wp:positionH relativeFrom="column">
                  <wp:posOffset>4005580</wp:posOffset>
                </wp:positionH>
                <wp:positionV relativeFrom="paragraph">
                  <wp:posOffset>-9251315</wp:posOffset>
                </wp:positionV>
                <wp:extent cx="2880" cy="18000"/>
                <wp:effectExtent l="57150" t="38100" r="73660" b="58420"/>
                <wp:wrapNone/>
                <wp:docPr id="192" name="Ink 192"/>
                <wp:cNvGraphicFramePr/>
                <a:graphic xmlns:a="http://schemas.openxmlformats.org/drawingml/2006/main">
                  <a:graphicData uri="http://schemas.microsoft.com/office/word/2010/wordprocessingInk">
                    <w14:contentPart bwMode="auto" r:id="rId22">
                      <w14:nvContentPartPr>
                        <w14:cNvContentPartPr/>
                      </w14:nvContentPartPr>
                      <w14:xfrm>
                        <a:off x="0" y="0"/>
                        <a:ext cx="2540" cy="17780"/>
                      </w14:xfrm>
                    </w14:contentPart>
                  </a:graphicData>
                </a:graphic>
                <wp14:sizeRelH relativeFrom="margin">
                  <wp14:pctWidth>0</wp14:pctWidth>
                </wp14:sizeRelH>
                <wp14:sizeRelV relativeFrom="margin">
                  <wp14:pctHeight>0</wp14:pctHeight>
                </wp14:sizeRelV>
              </wp:anchor>
            </w:drawing>
          </mc:Choice>
          <mc:Fallback>
            <w:pict>
              <v:shapetype w14:anchorId="5E4FD6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2" o:spid="_x0000_s1026" type="#_x0000_t75" style="position:absolute;margin-left:314.15pt;margin-top:-729.9pt;width:2.7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">
                <v:imagedata r:id="rId27" o:title=""/>
              </v:shape>
            </w:pict>
          </mc:Fallback>
        </mc:AlternateContent>
      </w:r>
      <w:r>
        <w:rPr>
          <w:rFonts w:cstheme="minorHAnsi"/>
          <w:color w:val="auto"/>
          <w:szCs w:val="20"/>
        </w:rPr>
        <w:t xml:space="preserve">There are a range of options to structure regulatory fees. Under the Bus Safety Act, there is a power to set specific fees, maximum and/or minimum fees, or scale fees according to some pre-determined metric. </w:t>
      </w:r>
    </w:p>
    <w:p w14:paraId="1DDDDC4D" w14:textId="77777777" w:rsidR="001A58D8" w:rsidRPr="006F2891" w:rsidRDefault="001A58D8" w:rsidP="001A58D8">
      <w:pPr>
        <w:rPr>
          <w:rFonts w:cstheme="minorHAnsi"/>
          <w:color w:val="auto"/>
          <w:szCs w:val="20"/>
          <w:u w:val="single"/>
        </w:rPr>
      </w:pPr>
      <w:r w:rsidRPr="006F2891">
        <w:rPr>
          <w:rFonts w:cstheme="minorHAnsi"/>
          <w:color w:val="auto"/>
          <w:szCs w:val="20"/>
          <w:u w:val="single"/>
        </w:rPr>
        <w:t>Application fees</w:t>
      </w:r>
    </w:p>
    <w:p w14:paraId="635943AC" w14:textId="1DBE438E" w:rsidR="001A58D8" w:rsidRDefault="001A58D8" w:rsidP="001A58D8">
      <w:pPr>
        <w:rPr>
          <w:rFonts w:cstheme="minorHAnsi"/>
          <w:color w:val="auto"/>
          <w:szCs w:val="20"/>
        </w:rPr>
      </w:pPr>
      <w:r>
        <w:rPr>
          <w:rFonts w:cstheme="minorHAnsi"/>
          <w:color w:val="auto"/>
          <w:szCs w:val="20"/>
        </w:rPr>
        <w:t xml:space="preserve">Generally, as is currently the case, application fees can be set on a per application basis. However, there are other options that could be considered, such as the payment of a fee upon approval of an application. Applications fees are paid together with an application when it is made (rather than approved), as it incentivises applicants to provide a complete application and ensure that the applicant is eligible for the regulatory permission before applying and disincentivises vexatious applications. </w:t>
      </w:r>
    </w:p>
    <w:p w14:paraId="7286052F" w14:textId="77777777" w:rsidR="001A58D8" w:rsidRDefault="001A58D8" w:rsidP="001A58D8">
      <w:pPr>
        <w:rPr>
          <w:rFonts w:cstheme="minorHAnsi"/>
          <w:color w:val="auto"/>
          <w:szCs w:val="20"/>
        </w:rPr>
      </w:pPr>
      <w:r>
        <w:rPr>
          <w:rFonts w:cstheme="minorHAnsi"/>
          <w:color w:val="auto"/>
          <w:szCs w:val="20"/>
        </w:rPr>
        <w:t xml:space="preserve">Another option is to scale the application fees based on the size of the operator (e.g. the number of buses a bus operator operates). The rationale for scaling application fees based on the size of the </w:t>
      </w:r>
      <w:r>
        <w:rPr>
          <w:rFonts w:cstheme="minorHAnsi"/>
          <w:color w:val="auto"/>
          <w:szCs w:val="20"/>
        </w:rPr>
        <w:lastRenderedPageBreak/>
        <w:t>operator, is for regulatory fees to reflect the amount of time and resources that TSV puts into assessing an application. In this case, the proxy for time and effort is the size of the applicant. However, a limitation on this type of scaling is that the size of a bus operator may not necessarily be a good proxy for the amount of time and resources spent by TSV in assessing the operator’s application. For example, a larger operator may be more sophisticated and be knowledgeable on what is required to complete an application for accreditation and operate buses safely. Larger operators may have dedicated government liaison personnel that are trained in dealing with accreditation application matters. In this scenario, TSV may not need to spend as much time or resources in assessing the application or liaising with the operator to ensure that all documents required for the application are submitted. On other hand, smaller operators, while having less buses, may require more effort to be expended by TSV in assessing their application because these operators may have less experience of skills is applying for accreditation.</w:t>
      </w:r>
    </w:p>
    <w:p w14:paraId="1A81C4E7" w14:textId="77777777" w:rsidR="001A58D8" w:rsidRDefault="001A58D8" w:rsidP="001A58D8">
      <w:pPr>
        <w:rPr>
          <w:rFonts w:cstheme="minorHAnsi"/>
          <w:color w:val="auto"/>
          <w:szCs w:val="20"/>
        </w:rPr>
      </w:pPr>
      <w:r>
        <w:rPr>
          <w:rFonts w:cstheme="minorHAnsi"/>
          <w:color w:val="auto"/>
          <w:szCs w:val="20"/>
        </w:rPr>
        <w:t>There are other potential unintended consequences of scaling application fees. It may incentivise prospective operators to become accredited as a smaller operator and expand operations and a later stage. This would mean that TSV would assess their competency to operate based on different factors and circumstances.</w:t>
      </w:r>
    </w:p>
    <w:p w14:paraId="7F6B89E3" w14:textId="77777777" w:rsidR="001A58D8" w:rsidRDefault="001A58D8" w:rsidP="001A58D8">
      <w:pPr>
        <w:rPr>
          <w:rFonts w:cstheme="minorHAnsi"/>
          <w:color w:val="auto"/>
          <w:szCs w:val="20"/>
        </w:rPr>
      </w:pPr>
      <w:r>
        <w:rPr>
          <w:rFonts w:cstheme="minorHAnsi"/>
          <w:color w:val="auto"/>
          <w:szCs w:val="20"/>
        </w:rPr>
        <w:t>DoT considers that application fees should be set as a fixed fee which is paid on submission of the application.</w:t>
      </w:r>
    </w:p>
    <w:p w14:paraId="5B95BD9A" w14:textId="77777777" w:rsidR="001A58D8" w:rsidRPr="00CA226B" w:rsidRDefault="001A58D8" w:rsidP="001A58D8">
      <w:pPr>
        <w:rPr>
          <w:rFonts w:cstheme="minorHAnsi"/>
          <w:color w:val="auto"/>
          <w:szCs w:val="20"/>
          <w:u w:val="single"/>
        </w:rPr>
      </w:pPr>
      <w:r w:rsidRPr="00CA226B">
        <w:rPr>
          <w:rFonts w:cstheme="minorHAnsi"/>
          <w:color w:val="auto"/>
          <w:szCs w:val="20"/>
          <w:u w:val="single"/>
        </w:rPr>
        <w:t>Annual fees</w:t>
      </w:r>
    </w:p>
    <w:p w14:paraId="1A97ABC4" w14:textId="77777777" w:rsidR="001A58D8" w:rsidRDefault="001A58D8" w:rsidP="001A58D8">
      <w:pPr>
        <w:rPr>
          <w:rFonts w:cstheme="minorHAnsi"/>
          <w:color w:val="auto"/>
          <w:szCs w:val="20"/>
        </w:rPr>
      </w:pPr>
      <w:r>
        <w:rPr>
          <w:rFonts w:cstheme="minorHAnsi"/>
          <w:color w:val="auto"/>
          <w:szCs w:val="20"/>
        </w:rPr>
        <w:t xml:space="preserve">There are several options available for structuring annual fees. </w:t>
      </w:r>
    </w:p>
    <w:p w14:paraId="47A54A7B" w14:textId="77777777" w:rsidR="001A58D8" w:rsidRDefault="001A58D8" w:rsidP="001A58D8">
      <w:pPr>
        <w:rPr>
          <w:rFonts w:cstheme="minorHAnsi"/>
          <w:color w:val="auto"/>
          <w:szCs w:val="20"/>
        </w:rPr>
      </w:pPr>
      <w:r>
        <w:rPr>
          <w:rFonts w:cstheme="minorHAnsi"/>
          <w:color w:val="auto"/>
          <w:szCs w:val="20"/>
        </w:rPr>
        <w:t>Annual fees may be fixed so that each operator pays the same annual fee regardless of the size or type of services the bus operator provides. This fee structure could be inequitable, as it may not necessarily represent the resources and effort involved with regulating different bus operators. For example, larger operators will usually have more buses and therefore may require more bus compliance inspections. In this case, the higher number of compliance inspections will mean TSV incurs higher costs to regulate that operator, when compared with a smaller operator with only a few buses. A fixed fee per operator may not reflect an equitable cost to regulate the operator.</w:t>
      </w:r>
    </w:p>
    <w:p w14:paraId="2B272714" w14:textId="77777777" w:rsidR="001A58D8" w:rsidRDefault="001A58D8" w:rsidP="001A58D8">
      <w:pPr>
        <w:rPr>
          <w:rFonts w:cstheme="minorHAnsi"/>
          <w:color w:val="auto"/>
          <w:szCs w:val="20"/>
        </w:rPr>
      </w:pPr>
      <w:r>
        <w:rPr>
          <w:rFonts w:cstheme="minorHAnsi"/>
          <w:color w:val="auto"/>
          <w:szCs w:val="20"/>
        </w:rPr>
        <w:t xml:space="preserve">Another option is to scale based on the size of the bus operations. The size of a bus operator could be proxied based on a number of different factors. The simplest way to scale the annual fee is by charging a fee for each bus operated by the bus operator. This is what currently occurs under the current Regulations. In this type of fee structure, the more buses operated by a bus operator, the larger the annual fee that must be paid by that operator. As TSV holds information on the number of buses operated by each bus operator, the fee charged per operator will be straightforward for TSV to determine and administer. </w:t>
      </w:r>
    </w:p>
    <w:p w14:paraId="1812EE4E" w14:textId="08FAFB4F" w:rsidR="001A58D8" w:rsidRDefault="001A58D8" w:rsidP="001A58D8">
      <w:pPr>
        <w:rPr>
          <w:rFonts w:cstheme="minorHAnsi"/>
          <w:color w:val="auto"/>
          <w:szCs w:val="20"/>
        </w:rPr>
      </w:pPr>
      <w:r>
        <w:rPr>
          <w:rFonts w:cstheme="minorHAnsi"/>
          <w:color w:val="auto"/>
          <w:szCs w:val="20"/>
        </w:rPr>
        <w:t xml:space="preserve">There are other scaling options, including scaling annual fees based on the number of kilometres travelled by an operator’s bus fleet. This metric could be used as a proxy for the size of the operations and is a metric that takes into account the utilisation of the buses (i.e. how often and how far each bus is used to provide a bus service). It could be a more accurate reflection of the scale of regulatory activities by TSV required to monitor compliance with and enforce the regulations. For example, a bus operator controlling a larger number of buses that uses each bus for only short distances or infrequently may not require as many compliance inspections because there is a lower risk of the vehicle deteriorating due to use on the roads. On the other hand, operators with a smaller number of buses that uses the bus for long haul distances or very frequently, may require a larger number of compliance inspections as there may be greater wear and tear on the vehicle’s components from greater use. The limitation of using this type of scaling factor is that this type of data is not prescribed as a record required to be kept by bus operators and, therefore, is not currently collected by TSV. In order to enable such a fee structure, operators would need to keep records of the distance travelled by each bus, and one way of achieving this is to require this record to be kept as a requirement of the regulations. There may be compliance costs for the industry associated with recording and providing this data to TSV. However, DoT would not expect this cost to be significant as a large proportion of operators would already keep this information or could collect this information at low cost. DoT does not recommend scaling fees according distance travelled unless there is an associated change to record keeping requirements for operators. </w:t>
      </w:r>
    </w:p>
    <w:p w14:paraId="294CD71E" w14:textId="4E0DBA42" w:rsidR="001A58D8" w:rsidRDefault="001A58D8" w:rsidP="001A58D8">
      <w:pPr>
        <w:rPr>
          <w:rFonts w:cstheme="minorHAnsi"/>
          <w:color w:val="auto"/>
          <w:szCs w:val="20"/>
        </w:rPr>
      </w:pPr>
      <w:r>
        <w:rPr>
          <w:rFonts w:cstheme="minorHAnsi"/>
          <w:color w:val="auto"/>
          <w:szCs w:val="20"/>
        </w:rPr>
        <w:lastRenderedPageBreak/>
        <w:t>Another option for the structure of fees would be a combination of a fixed fee component (i.e. fee per operator) in combination with a scaling component (e.g. fee based on the number of buses or another pre-determined metric).</w:t>
      </w:r>
    </w:p>
    <w:p w14:paraId="03E556E5" w14:textId="77777777" w:rsidR="001A58D8" w:rsidRDefault="001A58D8" w:rsidP="001A58D8">
      <w:pPr>
        <w:rPr>
          <w:rFonts w:cstheme="minorHAnsi"/>
          <w:color w:val="auto"/>
          <w:szCs w:val="20"/>
        </w:rPr>
      </w:pPr>
      <w:r>
        <w:rPr>
          <w:rFonts w:cstheme="minorHAnsi"/>
          <w:color w:val="auto"/>
          <w:szCs w:val="20"/>
        </w:rPr>
        <w:t>In the case of annual fees, DoT will assess the impact of annual fees that are set:</w:t>
      </w:r>
    </w:p>
    <w:p w14:paraId="10433D20" w14:textId="77777777" w:rsidR="001A58D8" w:rsidRDefault="001A58D8" w:rsidP="00842F5A">
      <w:pPr>
        <w:pStyle w:val="ListParagraph"/>
        <w:numPr>
          <w:ilvl w:val="0"/>
          <w:numId w:val="38"/>
        </w:numPr>
        <w:rPr>
          <w:rFonts w:asciiTheme="minorHAnsi" w:hAnsiTheme="minorHAnsi" w:cstheme="minorHAnsi"/>
          <w:color w:val="auto"/>
          <w:sz w:val="20"/>
          <w:szCs w:val="20"/>
        </w:rPr>
      </w:pPr>
      <w:r w:rsidRPr="000B01B1">
        <w:rPr>
          <w:rFonts w:asciiTheme="minorHAnsi" w:hAnsiTheme="minorHAnsi" w:cstheme="minorHAnsi"/>
          <w:color w:val="auto"/>
          <w:sz w:val="20"/>
          <w:szCs w:val="20"/>
        </w:rPr>
        <w:t>On a fixed basis</w:t>
      </w:r>
    </w:p>
    <w:p w14:paraId="7E8CB55C" w14:textId="77777777" w:rsidR="001A58D8" w:rsidRDefault="001A58D8" w:rsidP="00842F5A">
      <w:pPr>
        <w:pStyle w:val="ListParagraph"/>
        <w:numPr>
          <w:ilvl w:val="0"/>
          <w:numId w:val="38"/>
        </w:numPr>
        <w:rPr>
          <w:rFonts w:asciiTheme="minorHAnsi" w:hAnsiTheme="minorHAnsi" w:cstheme="minorHAnsi"/>
          <w:color w:val="auto"/>
          <w:sz w:val="20"/>
          <w:szCs w:val="20"/>
        </w:rPr>
      </w:pPr>
      <w:r>
        <w:rPr>
          <w:rFonts w:asciiTheme="minorHAnsi" w:hAnsiTheme="minorHAnsi" w:cstheme="minorHAnsi"/>
          <w:color w:val="auto"/>
          <w:sz w:val="20"/>
          <w:szCs w:val="20"/>
        </w:rPr>
        <w:t>On a variable basis scaling with the number of buses operated</w:t>
      </w:r>
    </w:p>
    <w:p w14:paraId="3674F203" w14:textId="77777777" w:rsidR="001A58D8" w:rsidRPr="00CE2DE2" w:rsidRDefault="001A58D8" w:rsidP="0095677C">
      <w:pPr>
        <w:pStyle w:val="Heading5"/>
        <w:rPr>
          <w:lang w:eastAsia="en-AU"/>
        </w:rPr>
      </w:pPr>
      <w:r w:rsidRPr="00CE2DE2">
        <w:rPr>
          <w:lang w:eastAsia="en-AU"/>
        </w:rPr>
        <w:t>Level of cost recovery</w:t>
      </w:r>
    </w:p>
    <w:p w14:paraId="3F7527F2" w14:textId="77777777" w:rsidR="001A58D8" w:rsidRDefault="001A58D8" w:rsidP="001A58D8">
      <w:pPr>
        <w:rPr>
          <w:rFonts w:cstheme="minorHAnsi"/>
          <w:color w:val="auto"/>
          <w:szCs w:val="20"/>
        </w:rPr>
      </w:pPr>
      <w:r>
        <w:rPr>
          <w:rFonts w:cstheme="minorHAnsi"/>
          <w:color w:val="auto"/>
          <w:szCs w:val="20"/>
        </w:rPr>
        <w:t xml:space="preserve">In this RIS, DoT also considers options relating to the level of cost recovery for the regulatory fees. Generally, RISs are required to consider at least one option at full cost recovery. Therefore, DoT will consider an option that would seek to fully recover the costs of bus safety regulation. </w:t>
      </w:r>
    </w:p>
    <w:p w14:paraId="0C8A3400" w14:textId="77777777" w:rsidR="001A58D8" w:rsidRDefault="001A58D8" w:rsidP="001A58D8">
      <w:pPr>
        <w:rPr>
          <w:rFonts w:cstheme="minorHAnsi"/>
          <w:color w:val="auto"/>
          <w:szCs w:val="20"/>
        </w:rPr>
      </w:pPr>
      <w:r>
        <w:rPr>
          <w:rFonts w:cstheme="minorHAnsi"/>
          <w:color w:val="auto"/>
          <w:szCs w:val="20"/>
        </w:rPr>
        <w:t xml:space="preserve">Another option for consideration is to set fees at the current level of cost recovery – that is, to consider retaining the current level of cost recovery. Cost and revenue data provided by TSV suggests that the current cost recovery level is approximately 17 per cent. That is, based on the total </w:t>
      </w:r>
      <w:r w:rsidRPr="00C92F06">
        <w:rPr>
          <w:rFonts w:cstheme="minorHAnsi"/>
          <w:color w:val="auto"/>
          <w:szCs w:val="20"/>
        </w:rPr>
        <w:t xml:space="preserve">aggregate costs attributed to bus regulatory activities under the </w:t>
      </w:r>
      <w:r>
        <w:rPr>
          <w:rFonts w:cstheme="minorHAnsi"/>
          <w:color w:val="auto"/>
          <w:szCs w:val="20"/>
        </w:rPr>
        <w:t>current Regulations</w:t>
      </w:r>
      <w:r w:rsidRPr="00C92F06">
        <w:rPr>
          <w:rFonts w:cstheme="minorHAnsi"/>
          <w:color w:val="auto"/>
          <w:szCs w:val="20"/>
        </w:rPr>
        <w:t xml:space="preserve"> in 2018-2019</w:t>
      </w:r>
      <w:r>
        <w:rPr>
          <w:rFonts w:cstheme="minorHAnsi"/>
          <w:color w:val="auto"/>
          <w:szCs w:val="20"/>
        </w:rPr>
        <w:t xml:space="preserve">, about 17 per cent of that cost is recovered through fees under those Regulations. This level, however, is significantly lower than full cost recovery. This suggests that the current fee structure may not be achieving the efficiency and equitable objectives </w:t>
      </w:r>
      <w:r>
        <w:rPr>
          <w:rFonts w:cstheme="minorHAnsi"/>
          <w:szCs w:val="20"/>
          <w:lang w:eastAsia="en-AU"/>
        </w:rPr>
        <w:t>compared to</w:t>
      </w:r>
      <w:r w:rsidRPr="00C2185B">
        <w:rPr>
          <w:rFonts w:cstheme="minorHAnsi"/>
          <w:szCs w:val="20"/>
          <w:lang w:eastAsia="en-AU"/>
        </w:rPr>
        <w:t xml:space="preserve"> alternative fee</w:t>
      </w:r>
      <w:r>
        <w:rPr>
          <w:rFonts w:cstheme="minorHAnsi"/>
          <w:szCs w:val="20"/>
          <w:lang w:eastAsia="en-AU"/>
        </w:rPr>
        <w:t>s which are set to fully recover the costs of regulation</w:t>
      </w:r>
      <w:r w:rsidRPr="00C2185B">
        <w:rPr>
          <w:rFonts w:cstheme="minorHAnsi"/>
          <w:szCs w:val="20"/>
          <w:lang w:eastAsia="en-AU"/>
        </w:rPr>
        <w:t>.</w:t>
      </w:r>
    </w:p>
    <w:p w14:paraId="2CF9A99C" w14:textId="75BA42D4" w:rsidR="001A58D8" w:rsidRPr="009C47C1" w:rsidRDefault="001A58D8" w:rsidP="001A58D8">
      <w:pPr>
        <w:rPr>
          <w:rFonts w:cstheme="minorHAnsi"/>
          <w:color w:val="auto"/>
          <w:szCs w:val="20"/>
        </w:rPr>
      </w:pPr>
      <w:r>
        <w:rPr>
          <w:rFonts w:cstheme="minorHAnsi"/>
          <w:color w:val="auto"/>
          <w:szCs w:val="20"/>
        </w:rPr>
        <w:t>Other levels of cost recovery could be considered as a transitionary measure to full cost recovery. Fee levels could be increased over time to transition to full cost recovery. This approach would seek to achieve the efficiency and equity objectives of recovering costs over time. The benefit of this approach is that fee increases are gradual and bus operators are not immediately subject to a large increase in fees.</w:t>
      </w:r>
      <w:r w:rsidRPr="00C669C8">
        <w:rPr>
          <w:rFonts w:cstheme="minorHAnsi"/>
          <w:color w:val="auto"/>
          <w:szCs w:val="20"/>
        </w:rPr>
        <w:t xml:space="preserve"> </w:t>
      </w:r>
      <w:r>
        <w:rPr>
          <w:rFonts w:cstheme="minorHAnsi"/>
          <w:color w:val="auto"/>
          <w:szCs w:val="20"/>
        </w:rPr>
        <w:t>Should DoT recommend an increase in fees, these measures could be adopted as part of an implementation strategy to reduce the impact of the increase in fees on operators. However, it is reasonable for DoT to assess options for partial cost recovery at a level that is not necessarily at a level that is the status quo (i.e. 17 per cent).</w:t>
      </w:r>
    </w:p>
    <w:p w14:paraId="00EC95B3" w14:textId="77777777" w:rsidR="001A58D8" w:rsidRDefault="001A58D8" w:rsidP="0095677C">
      <w:pPr>
        <w:pStyle w:val="Heading5"/>
      </w:pPr>
      <w:r>
        <w:t>Summary</w:t>
      </w:r>
    </w:p>
    <w:p w14:paraId="0F37A735" w14:textId="3F6938F8" w:rsidR="001A58D8" w:rsidRDefault="001A58D8" w:rsidP="001A58D8">
      <w:r>
        <w:t>This section summarises the different options DoT will assess. These options are based on the discussion of available options identified in the previous section. Do</w:t>
      </w:r>
      <w:r w:rsidR="00BA0060">
        <w:t>T</w:t>
      </w:r>
      <w:r>
        <w:t xml:space="preserve"> notes that there are other combinations of options available that could be further assessed. The options presented here are intended to be representative. While there are many different possible combinations of options, DoT is only presenting a summary of the major options under consideration.</w:t>
      </w:r>
      <w:r w:rsidRPr="00486DC0">
        <w:t xml:space="preserve"> </w:t>
      </w:r>
    </w:p>
    <w:p w14:paraId="6516520D" w14:textId="77777777" w:rsidR="001A58D8" w:rsidRDefault="001A58D8" w:rsidP="001A58D8">
      <w:bookmarkStart w:id="546" w:name="_Hlk43474967"/>
      <w:r>
        <w:t xml:space="preserve">DoT will consider three options for recovering the costs of processing applications and the general regulation for bus safety: </w:t>
      </w:r>
    </w:p>
    <w:p w14:paraId="2456B21A" w14:textId="77777777" w:rsidR="001A58D8" w:rsidRPr="00A62EAF" w:rsidRDefault="001A58D8" w:rsidP="00842F5A">
      <w:pPr>
        <w:pStyle w:val="ListParagraph"/>
        <w:numPr>
          <w:ilvl w:val="0"/>
          <w:numId w:val="39"/>
        </w:numPr>
        <w:rPr>
          <w:rFonts w:asciiTheme="minorHAnsi" w:hAnsiTheme="minorHAnsi" w:cstheme="minorHAnsi"/>
          <w:color w:val="auto"/>
          <w:sz w:val="20"/>
          <w:szCs w:val="20"/>
        </w:rPr>
      </w:pPr>
      <w:r w:rsidRPr="00A62EAF">
        <w:rPr>
          <w:rFonts w:asciiTheme="minorHAnsi" w:hAnsiTheme="minorHAnsi" w:cstheme="minorHAnsi"/>
          <w:color w:val="auto"/>
          <w:sz w:val="20"/>
          <w:szCs w:val="20"/>
        </w:rPr>
        <w:t xml:space="preserve">Option 1 </w:t>
      </w:r>
      <w:r>
        <w:rPr>
          <w:rFonts w:asciiTheme="minorHAnsi" w:hAnsiTheme="minorHAnsi" w:cstheme="minorHAnsi"/>
          <w:color w:val="auto"/>
          <w:sz w:val="20"/>
          <w:szCs w:val="20"/>
        </w:rPr>
        <w:t>reflects the current structure and level of fees that are imposed. That is,</w:t>
      </w:r>
      <w:r w:rsidRPr="00A62EAF">
        <w:rPr>
          <w:rFonts w:asciiTheme="minorHAnsi" w:hAnsiTheme="minorHAnsi" w:cstheme="minorHAnsi"/>
          <w:color w:val="auto"/>
          <w:sz w:val="20"/>
          <w:szCs w:val="20"/>
        </w:rPr>
        <w:t xml:space="preserve"> an application fee</w:t>
      </w:r>
      <w:r>
        <w:rPr>
          <w:rFonts w:asciiTheme="minorHAnsi" w:hAnsiTheme="minorHAnsi" w:cstheme="minorHAnsi"/>
          <w:color w:val="auto"/>
          <w:sz w:val="20"/>
          <w:szCs w:val="20"/>
        </w:rPr>
        <w:t xml:space="preserve"> is</w:t>
      </w:r>
      <w:r w:rsidRPr="00A62EAF">
        <w:rPr>
          <w:rFonts w:asciiTheme="minorHAnsi" w:hAnsiTheme="minorHAnsi" w:cstheme="minorHAnsi"/>
          <w:color w:val="auto"/>
          <w:sz w:val="20"/>
          <w:szCs w:val="20"/>
        </w:rPr>
        <w:t xml:space="preserve"> applicable to accredited operators, with the fee</w:t>
      </w:r>
      <w:r>
        <w:rPr>
          <w:rFonts w:asciiTheme="minorHAnsi" w:hAnsiTheme="minorHAnsi" w:cstheme="minorHAnsi"/>
          <w:color w:val="auto"/>
          <w:sz w:val="20"/>
          <w:szCs w:val="20"/>
        </w:rPr>
        <w:t xml:space="preserve"> set</w:t>
      </w:r>
      <w:r w:rsidRPr="00A62EAF">
        <w:rPr>
          <w:rFonts w:asciiTheme="minorHAnsi" w:hAnsiTheme="minorHAnsi" w:cstheme="minorHAnsi"/>
          <w:color w:val="auto"/>
          <w:sz w:val="20"/>
          <w:szCs w:val="20"/>
        </w:rPr>
        <w:t xml:space="preserve"> on a per operator basis. This</w:t>
      </w:r>
      <w:r>
        <w:rPr>
          <w:rFonts w:asciiTheme="minorHAnsi" w:hAnsiTheme="minorHAnsi" w:cstheme="minorHAnsi"/>
          <w:color w:val="auto"/>
          <w:sz w:val="20"/>
          <w:szCs w:val="20"/>
        </w:rPr>
        <w:t xml:space="preserve"> would mean that</w:t>
      </w:r>
      <w:r w:rsidRPr="00A62EAF">
        <w:rPr>
          <w:rFonts w:asciiTheme="minorHAnsi" w:hAnsiTheme="minorHAnsi" w:cstheme="minorHAnsi"/>
          <w:color w:val="auto"/>
          <w:sz w:val="20"/>
          <w:szCs w:val="20"/>
        </w:rPr>
        <w:t xml:space="preserve"> fee</w:t>
      </w:r>
      <w:r>
        <w:rPr>
          <w:rFonts w:asciiTheme="minorHAnsi" w:hAnsiTheme="minorHAnsi" w:cstheme="minorHAnsi"/>
          <w:color w:val="auto"/>
          <w:sz w:val="20"/>
          <w:szCs w:val="20"/>
        </w:rPr>
        <w:t>s</w:t>
      </w:r>
      <w:r w:rsidRPr="00A62EAF">
        <w:rPr>
          <w:rFonts w:asciiTheme="minorHAnsi" w:hAnsiTheme="minorHAnsi" w:cstheme="minorHAnsi"/>
          <w:color w:val="auto"/>
          <w:sz w:val="20"/>
          <w:szCs w:val="20"/>
        </w:rPr>
        <w:t xml:space="preserve"> </w:t>
      </w:r>
      <w:r>
        <w:rPr>
          <w:rFonts w:asciiTheme="minorHAnsi" w:hAnsiTheme="minorHAnsi" w:cstheme="minorHAnsi"/>
          <w:color w:val="auto"/>
          <w:sz w:val="20"/>
          <w:szCs w:val="20"/>
        </w:rPr>
        <w:t>w</w:t>
      </w:r>
      <w:r w:rsidRPr="00A62EAF">
        <w:rPr>
          <w:rFonts w:asciiTheme="minorHAnsi" w:hAnsiTheme="minorHAnsi" w:cstheme="minorHAnsi"/>
          <w:color w:val="auto"/>
          <w:sz w:val="20"/>
          <w:szCs w:val="20"/>
        </w:rPr>
        <w:t xml:space="preserve">ould </w:t>
      </w:r>
      <w:r>
        <w:rPr>
          <w:rFonts w:asciiTheme="minorHAnsi" w:hAnsiTheme="minorHAnsi" w:cstheme="minorHAnsi"/>
          <w:color w:val="auto"/>
          <w:sz w:val="20"/>
          <w:szCs w:val="20"/>
        </w:rPr>
        <w:t>only partially</w:t>
      </w:r>
      <w:r w:rsidRPr="00A62EAF">
        <w:rPr>
          <w:rFonts w:asciiTheme="minorHAnsi" w:hAnsiTheme="minorHAnsi" w:cstheme="minorHAnsi"/>
          <w:color w:val="auto"/>
          <w:sz w:val="20"/>
          <w:szCs w:val="20"/>
        </w:rPr>
        <w:t xml:space="preserve"> recover</w:t>
      </w:r>
      <w:r>
        <w:rPr>
          <w:rFonts w:asciiTheme="minorHAnsi" w:hAnsiTheme="minorHAnsi" w:cstheme="minorHAnsi"/>
          <w:color w:val="auto"/>
          <w:sz w:val="20"/>
          <w:szCs w:val="20"/>
        </w:rPr>
        <w:t xml:space="preserve"> costs</w:t>
      </w:r>
      <w:r w:rsidRPr="00A62EAF">
        <w:rPr>
          <w:rFonts w:asciiTheme="minorHAnsi" w:hAnsiTheme="minorHAnsi" w:cstheme="minorHAnsi"/>
          <w:color w:val="auto"/>
          <w:sz w:val="20"/>
          <w:szCs w:val="20"/>
        </w:rPr>
        <w:t>.</w:t>
      </w:r>
    </w:p>
    <w:p w14:paraId="2CFB447F" w14:textId="77777777" w:rsidR="001A58D8" w:rsidRDefault="001A58D8" w:rsidP="00842F5A">
      <w:pPr>
        <w:pStyle w:val="ListParagraph"/>
        <w:numPr>
          <w:ilvl w:val="0"/>
          <w:numId w:val="39"/>
        </w:numPr>
        <w:rPr>
          <w:rFonts w:asciiTheme="minorHAnsi" w:hAnsiTheme="minorHAnsi" w:cstheme="minorHAnsi"/>
          <w:color w:val="auto"/>
          <w:sz w:val="20"/>
          <w:szCs w:val="20"/>
        </w:rPr>
      </w:pPr>
      <w:r w:rsidRPr="00A62EAF">
        <w:rPr>
          <w:rFonts w:asciiTheme="minorHAnsi" w:hAnsiTheme="minorHAnsi" w:cstheme="minorHAnsi"/>
          <w:color w:val="auto"/>
          <w:sz w:val="20"/>
          <w:szCs w:val="20"/>
        </w:rPr>
        <w:t xml:space="preserve">Option 2 </w:t>
      </w:r>
      <w:r>
        <w:rPr>
          <w:rFonts w:asciiTheme="minorHAnsi" w:hAnsiTheme="minorHAnsi" w:cstheme="minorHAnsi"/>
          <w:color w:val="auto"/>
          <w:sz w:val="20"/>
          <w:szCs w:val="20"/>
        </w:rPr>
        <w:t>would include the current structure and level of fees but also include a new fee to be levied annually on registered operators</w:t>
      </w:r>
      <w:r w:rsidRPr="00A62EAF">
        <w:rPr>
          <w:rFonts w:asciiTheme="minorHAnsi" w:hAnsiTheme="minorHAnsi" w:cstheme="minorHAnsi"/>
          <w:color w:val="auto"/>
          <w:sz w:val="20"/>
          <w:szCs w:val="20"/>
        </w:rPr>
        <w:t xml:space="preserve">. </w:t>
      </w:r>
      <w:r>
        <w:rPr>
          <w:rFonts w:asciiTheme="minorHAnsi" w:hAnsiTheme="minorHAnsi" w:cstheme="minorHAnsi"/>
          <w:color w:val="auto"/>
          <w:sz w:val="20"/>
          <w:szCs w:val="20"/>
        </w:rPr>
        <w:t xml:space="preserve">Fees would be set such that there is </w:t>
      </w:r>
      <w:r w:rsidRPr="00A62EAF">
        <w:rPr>
          <w:rFonts w:asciiTheme="minorHAnsi" w:hAnsiTheme="minorHAnsi" w:cstheme="minorHAnsi"/>
          <w:color w:val="auto"/>
          <w:sz w:val="20"/>
          <w:szCs w:val="20"/>
        </w:rPr>
        <w:t xml:space="preserve">partial cost recovery (fees less than the costs incurred by TSV in administering all applications for accreditation and registration). </w:t>
      </w:r>
    </w:p>
    <w:p w14:paraId="3E7F86B1" w14:textId="77777777" w:rsidR="001A58D8" w:rsidRPr="00A62EAF" w:rsidRDefault="001A58D8" w:rsidP="00842F5A">
      <w:pPr>
        <w:pStyle w:val="ListParagraph"/>
        <w:numPr>
          <w:ilvl w:val="0"/>
          <w:numId w:val="39"/>
        </w:numPr>
        <w:rPr>
          <w:rFonts w:asciiTheme="minorHAnsi" w:hAnsiTheme="minorHAnsi" w:cstheme="minorHAnsi"/>
          <w:color w:val="auto"/>
          <w:sz w:val="20"/>
          <w:szCs w:val="20"/>
        </w:rPr>
      </w:pPr>
      <w:r>
        <w:rPr>
          <w:rFonts w:asciiTheme="minorHAnsi" w:hAnsiTheme="minorHAnsi" w:cstheme="minorHAnsi"/>
          <w:color w:val="auto"/>
          <w:sz w:val="20"/>
          <w:szCs w:val="20"/>
        </w:rPr>
        <w:t>Option 3 would set fees such that there is full cost recovery both through the application fee and an annual fee that is imposed on both accredited and registered operators.</w:t>
      </w:r>
      <w:bookmarkEnd w:id="546"/>
    </w:p>
    <w:p w14:paraId="3D5F03E0" w14:textId="77777777" w:rsidR="001A58D8" w:rsidRDefault="001A58D8" w:rsidP="001A58D8">
      <w:r>
        <w:t>Whilst there are a range of other combinations of options that could be further assessed as part of an impact assessment, DoT has decided to further analyse these three options in order to reduce the number of combinations of options for assessment. DoT considers that these three options are representative options that:</w:t>
      </w:r>
    </w:p>
    <w:p w14:paraId="01247E79" w14:textId="40140354" w:rsidR="001A58D8" w:rsidRDefault="001A58D8" w:rsidP="00842F5A">
      <w:pPr>
        <w:pStyle w:val="ListParagraph"/>
        <w:numPr>
          <w:ilvl w:val="0"/>
          <w:numId w:val="38"/>
        </w:numPr>
        <w:rPr>
          <w:rFonts w:asciiTheme="minorHAnsi" w:hAnsiTheme="minorHAnsi" w:cstheme="minorHAnsi"/>
          <w:color w:val="auto"/>
          <w:sz w:val="20"/>
          <w:szCs w:val="20"/>
        </w:rPr>
      </w:pPr>
      <w:r>
        <w:rPr>
          <w:rFonts w:asciiTheme="minorHAnsi" w:hAnsiTheme="minorHAnsi" w:cstheme="minorHAnsi"/>
          <w:color w:val="auto"/>
          <w:sz w:val="20"/>
          <w:szCs w:val="20"/>
        </w:rPr>
        <w:t xml:space="preserve">Include a full cost recovery option (i.e. </w:t>
      </w:r>
      <w:r w:rsidR="0092496A">
        <w:rPr>
          <w:rFonts w:asciiTheme="minorHAnsi" w:hAnsiTheme="minorHAnsi" w:cstheme="minorHAnsi"/>
          <w:color w:val="auto"/>
          <w:sz w:val="20"/>
          <w:szCs w:val="20"/>
        </w:rPr>
        <w:t>O</w:t>
      </w:r>
      <w:r>
        <w:rPr>
          <w:rFonts w:asciiTheme="minorHAnsi" w:hAnsiTheme="minorHAnsi" w:cstheme="minorHAnsi"/>
          <w:color w:val="auto"/>
          <w:sz w:val="20"/>
          <w:szCs w:val="20"/>
        </w:rPr>
        <w:t>ption 3)</w:t>
      </w:r>
    </w:p>
    <w:p w14:paraId="7014901E" w14:textId="0F1046C6" w:rsidR="001A58D8" w:rsidRDefault="001A58D8" w:rsidP="00842F5A">
      <w:pPr>
        <w:pStyle w:val="ListParagraph"/>
        <w:numPr>
          <w:ilvl w:val="0"/>
          <w:numId w:val="38"/>
        </w:numPr>
        <w:rPr>
          <w:rFonts w:asciiTheme="minorHAnsi" w:hAnsiTheme="minorHAnsi" w:cstheme="minorHAnsi"/>
          <w:color w:val="auto"/>
          <w:sz w:val="20"/>
          <w:szCs w:val="20"/>
        </w:rPr>
      </w:pPr>
      <w:r>
        <w:rPr>
          <w:rFonts w:asciiTheme="minorHAnsi" w:hAnsiTheme="minorHAnsi" w:cstheme="minorHAnsi"/>
          <w:color w:val="auto"/>
          <w:sz w:val="20"/>
          <w:szCs w:val="20"/>
        </w:rPr>
        <w:t xml:space="preserve">Include options which seeks to recover a greater proportion of costs compared to the status quo (i.e. </w:t>
      </w:r>
      <w:r w:rsidR="0092496A">
        <w:rPr>
          <w:rFonts w:asciiTheme="minorHAnsi" w:hAnsiTheme="minorHAnsi" w:cstheme="minorHAnsi"/>
          <w:color w:val="auto"/>
          <w:sz w:val="20"/>
          <w:szCs w:val="20"/>
        </w:rPr>
        <w:t>O</w:t>
      </w:r>
      <w:r>
        <w:rPr>
          <w:rFonts w:asciiTheme="minorHAnsi" w:hAnsiTheme="minorHAnsi" w:cstheme="minorHAnsi"/>
          <w:color w:val="auto"/>
          <w:sz w:val="20"/>
          <w:szCs w:val="20"/>
        </w:rPr>
        <w:t>ptions 2 and 3), and</w:t>
      </w:r>
    </w:p>
    <w:p w14:paraId="5FE9B686" w14:textId="7E77D738" w:rsidR="001A58D8" w:rsidRPr="00BE2C1A" w:rsidRDefault="001A58D8" w:rsidP="00842F5A">
      <w:pPr>
        <w:pStyle w:val="ListParagraph"/>
        <w:numPr>
          <w:ilvl w:val="0"/>
          <w:numId w:val="38"/>
        </w:numPr>
        <w:rPr>
          <w:rFonts w:asciiTheme="minorHAnsi" w:hAnsiTheme="minorHAnsi" w:cstheme="minorHAnsi"/>
          <w:color w:val="auto"/>
          <w:sz w:val="20"/>
          <w:szCs w:val="20"/>
        </w:rPr>
      </w:pPr>
      <w:r w:rsidRPr="00987E46">
        <w:rPr>
          <w:rFonts w:asciiTheme="minorHAnsi" w:hAnsiTheme="minorHAnsi" w:cstheme="minorHAnsi"/>
          <w:color w:val="auto"/>
          <w:sz w:val="20"/>
          <w:szCs w:val="20"/>
        </w:rPr>
        <w:lastRenderedPageBreak/>
        <w:t>I</w:t>
      </w:r>
      <w:r w:rsidRPr="005B0639">
        <w:rPr>
          <w:rFonts w:asciiTheme="minorHAnsi" w:hAnsiTheme="minorHAnsi" w:cstheme="minorHAnsi"/>
          <w:color w:val="auto"/>
          <w:sz w:val="20"/>
          <w:szCs w:val="20"/>
        </w:rPr>
        <w:t>nc</w:t>
      </w:r>
      <w:r w:rsidRPr="00AD0E8A">
        <w:rPr>
          <w:rFonts w:asciiTheme="minorHAnsi" w:hAnsiTheme="minorHAnsi" w:cstheme="minorHAnsi"/>
          <w:color w:val="auto"/>
          <w:sz w:val="20"/>
          <w:szCs w:val="20"/>
        </w:rPr>
        <w:t>lude fees wh</w:t>
      </w:r>
      <w:r w:rsidRPr="00241907">
        <w:rPr>
          <w:rFonts w:asciiTheme="minorHAnsi" w:hAnsiTheme="minorHAnsi" w:cstheme="minorHAnsi"/>
          <w:color w:val="auto"/>
          <w:sz w:val="20"/>
          <w:szCs w:val="20"/>
        </w:rPr>
        <w:t>ich re</w:t>
      </w:r>
      <w:r w:rsidRPr="002D3B00">
        <w:rPr>
          <w:rFonts w:asciiTheme="minorHAnsi" w:hAnsiTheme="minorHAnsi" w:cstheme="minorHAnsi"/>
          <w:color w:val="auto"/>
          <w:sz w:val="20"/>
          <w:szCs w:val="20"/>
        </w:rPr>
        <w:t>cover costs from regi</w:t>
      </w:r>
      <w:r w:rsidRPr="006478DD">
        <w:rPr>
          <w:rFonts w:asciiTheme="minorHAnsi" w:hAnsiTheme="minorHAnsi" w:cstheme="minorHAnsi"/>
          <w:color w:val="auto"/>
          <w:sz w:val="20"/>
          <w:szCs w:val="20"/>
        </w:rPr>
        <w:t>st</w:t>
      </w:r>
      <w:r w:rsidRPr="00BE2C1A">
        <w:rPr>
          <w:rFonts w:asciiTheme="minorHAnsi" w:hAnsiTheme="minorHAnsi" w:cstheme="minorHAnsi"/>
          <w:color w:val="auto"/>
          <w:sz w:val="20"/>
          <w:szCs w:val="20"/>
        </w:rPr>
        <w:t>ered operators.</w:t>
      </w:r>
    </w:p>
    <w:p w14:paraId="240C2027" w14:textId="42BB4E72" w:rsidR="001A58D8" w:rsidRDefault="001A58D8" w:rsidP="001A58D8">
      <w:r>
        <w:t>DoT has considered a range of options in relation to structuring fees but will not further assess the impacts some of these options as part of the RIS. The reasons are as follows:</w:t>
      </w:r>
    </w:p>
    <w:p w14:paraId="003A3A1C" w14:textId="27324E9E" w:rsidR="001A58D8" w:rsidRDefault="001A58D8" w:rsidP="00842F5A">
      <w:pPr>
        <w:pStyle w:val="ListParagraph"/>
        <w:numPr>
          <w:ilvl w:val="0"/>
          <w:numId w:val="38"/>
        </w:numPr>
        <w:rPr>
          <w:rFonts w:asciiTheme="minorHAnsi" w:hAnsiTheme="minorHAnsi" w:cstheme="minorHAnsi"/>
          <w:color w:val="auto"/>
          <w:sz w:val="20"/>
          <w:szCs w:val="20"/>
        </w:rPr>
      </w:pPr>
      <w:r w:rsidRPr="007D1235">
        <w:rPr>
          <w:rFonts w:asciiTheme="minorHAnsi" w:hAnsiTheme="minorHAnsi" w:cstheme="minorHAnsi"/>
          <w:color w:val="auto"/>
          <w:sz w:val="20"/>
          <w:szCs w:val="20"/>
        </w:rPr>
        <w:t xml:space="preserve">Fees </w:t>
      </w:r>
      <w:r w:rsidRPr="00E35636">
        <w:rPr>
          <w:rFonts w:asciiTheme="minorHAnsi" w:hAnsiTheme="minorHAnsi" w:cstheme="minorHAnsi"/>
          <w:color w:val="auto"/>
          <w:sz w:val="20"/>
          <w:szCs w:val="20"/>
        </w:rPr>
        <w:t>for audits or inspections</w:t>
      </w:r>
      <w:r w:rsidRPr="00F664CA">
        <w:rPr>
          <w:rFonts w:asciiTheme="minorHAnsi" w:hAnsiTheme="minorHAnsi" w:cstheme="minorHAnsi"/>
          <w:color w:val="auto"/>
          <w:sz w:val="20"/>
          <w:szCs w:val="20"/>
        </w:rPr>
        <w:t xml:space="preserve"> –</w:t>
      </w:r>
      <w:r w:rsidRPr="00AD0E8A">
        <w:rPr>
          <w:rFonts w:asciiTheme="minorHAnsi" w:hAnsiTheme="minorHAnsi" w:cstheme="minorHAnsi"/>
          <w:color w:val="auto"/>
          <w:sz w:val="20"/>
          <w:szCs w:val="20"/>
        </w:rPr>
        <w:t xml:space="preserve"> </w:t>
      </w:r>
      <w:r w:rsidRPr="00241907">
        <w:rPr>
          <w:rFonts w:asciiTheme="minorHAnsi" w:hAnsiTheme="minorHAnsi" w:cstheme="minorHAnsi"/>
          <w:color w:val="auto"/>
          <w:sz w:val="20"/>
          <w:szCs w:val="20"/>
        </w:rPr>
        <w:t>fe</w:t>
      </w:r>
      <w:r w:rsidRPr="002D3B00">
        <w:rPr>
          <w:rFonts w:asciiTheme="minorHAnsi" w:hAnsiTheme="minorHAnsi" w:cstheme="minorHAnsi"/>
          <w:color w:val="auto"/>
          <w:sz w:val="20"/>
          <w:szCs w:val="20"/>
        </w:rPr>
        <w:t>e</w:t>
      </w:r>
      <w:r w:rsidRPr="006478DD">
        <w:rPr>
          <w:rFonts w:asciiTheme="minorHAnsi" w:hAnsiTheme="minorHAnsi" w:cstheme="minorHAnsi"/>
          <w:color w:val="auto"/>
          <w:sz w:val="20"/>
          <w:szCs w:val="20"/>
        </w:rPr>
        <w:t>s for aud</w:t>
      </w:r>
      <w:r w:rsidRPr="007D1235">
        <w:rPr>
          <w:rFonts w:asciiTheme="minorHAnsi" w:hAnsiTheme="minorHAnsi" w:cstheme="minorHAnsi"/>
          <w:color w:val="auto"/>
          <w:sz w:val="20"/>
          <w:szCs w:val="20"/>
        </w:rPr>
        <w:t xml:space="preserve">its and inspections require further consideration and analysis </w:t>
      </w:r>
      <w:r>
        <w:rPr>
          <w:rFonts w:asciiTheme="minorHAnsi" w:hAnsiTheme="minorHAnsi" w:cstheme="minorHAnsi"/>
          <w:color w:val="auto"/>
          <w:sz w:val="20"/>
          <w:szCs w:val="20"/>
        </w:rPr>
        <w:t xml:space="preserve">to ensure that </w:t>
      </w:r>
      <w:r w:rsidRPr="007D1235">
        <w:rPr>
          <w:rFonts w:asciiTheme="minorHAnsi" w:hAnsiTheme="minorHAnsi" w:cstheme="minorHAnsi"/>
          <w:color w:val="auto"/>
          <w:sz w:val="20"/>
          <w:szCs w:val="20"/>
        </w:rPr>
        <w:t xml:space="preserve">the potential incentives and negative effects of </w:t>
      </w:r>
      <w:r>
        <w:rPr>
          <w:rFonts w:asciiTheme="minorHAnsi" w:hAnsiTheme="minorHAnsi" w:cstheme="minorHAnsi"/>
          <w:color w:val="auto"/>
          <w:sz w:val="20"/>
          <w:szCs w:val="20"/>
        </w:rPr>
        <w:t xml:space="preserve">setting such fees do not outweigh the benefits of such a fee structure. </w:t>
      </w:r>
    </w:p>
    <w:p w14:paraId="54D3F1A7" w14:textId="77777777" w:rsidR="001A58D8" w:rsidRPr="007D1235" w:rsidRDefault="001A58D8" w:rsidP="00842F5A">
      <w:pPr>
        <w:pStyle w:val="ListParagraph"/>
        <w:numPr>
          <w:ilvl w:val="0"/>
          <w:numId w:val="38"/>
        </w:numPr>
        <w:rPr>
          <w:rFonts w:asciiTheme="minorHAnsi" w:hAnsiTheme="minorHAnsi" w:cstheme="minorHAnsi"/>
          <w:color w:val="auto"/>
          <w:sz w:val="20"/>
          <w:szCs w:val="20"/>
        </w:rPr>
      </w:pPr>
      <w:r>
        <w:rPr>
          <w:rFonts w:asciiTheme="minorHAnsi" w:hAnsiTheme="minorHAnsi" w:cstheme="minorHAnsi"/>
          <w:color w:val="auto"/>
          <w:sz w:val="20"/>
          <w:szCs w:val="20"/>
        </w:rPr>
        <w:t>Varying or scaling application fees</w:t>
      </w:r>
      <w:r w:rsidRPr="007D1235">
        <w:rPr>
          <w:rFonts w:asciiTheme="minorHAnsi" w:hAnsiTheme="minorHAnsi" w:cstheme="minorHAnsi"/>
          <w:color w:val="auto"/>
          <w:sz w:val="20"/>
          <w:szCs w:val="20"/>
        </w:rPr>
        <w:t xml:space="preserve"> </w:t>
      </w:r>
      <w:r>
        <w:rPr>
          <w:rFonts w:asciiTheme="minorHAnsi" w:hAnsiTheme="minorHAnsi" w:cstheme="minorHAnsi"/>
          <w:color w:val="auto"/>
          <w:sz w:val="20"/>
          <w:szCs w:val="20"/>
        </w:rPr>
        <w:t>according to different circumstances of the applicant – DoT considers that a fixed fee best achieves efficiency and equity objectives as the costs of processing application do not vary significantly across different applicants.</w:t>
      </w:r>
    </w:p>
    <w:p w14:paraId="61EA7753" w14:textId="7C35C476" w:rsidR="001A58D8" w:rsidRPr="007C0B6C" w:rsidRDefault="001A58D8" w:rsidP="00842F5A">
      <w:pPr>
        <w:pStyle w:val="ListParagraph"/>
        <w:numPr>
          <w:ilvl w:val="0"/>
          <w:numId w:val="38"/>
        </w:numPr>
        <w:rPr>
          <w:rFonts w:asciiTheme="minorHAnsi" w:hAnsiTheme="minorHAnsi" w:cstheme="minorHAnsi"/>
          <w:color w:val="auto"/>
          <w:sz w:val="20"/>
          <w:szCs w:val="20"/>
        </w:rPr>
      </w:pPr>
      <w:r>
        <w:rPr>
          <w:rFonts w:asciiTheme="minorHAnsi" w:hAnsiTheme="minorHAnsi" w:cstheme="minorHAnsi"/>
          <w:color w:val="auto"/>
          <w:sz w:val="20"/>
          <w:szCs w:val="20"/>
        </w:rPr>
        <w:t xml:space="preserve">Fees for bus operator registration applications – </w:t>
      </w:r>
      <w:r w:rsidRPr="007C0B6C">
        <w:rPr>
          <w:rFonts w:asciiTheme="minorHAnsi" w:hAnsiTheme="minorHAnsi" w:cstheme="minorHAnsi"/>
          <w:color w:val="auto"/>
          <w:sz w:val="20"/>
          <w:szCs w:val="20"/>
        </w:rPr>
        <w:t>there is no legal basis under the Bus Safety Act to set application fees for registration</w:t>
      </w:r>
      <w:r w:rsidR="00B1614D">
        <w:rPr>
          <w:rFonts w:asciiTheme="minorHAnsi" w:hAnsiTheme="minorHAnsi" w:cstheme="minorHAnsi"/>
          <w:color w:val="auto"/>
          <w:sz w:val="20"/>
          <w:szCs w:val="20"/>
        </w:rPr>
        <w:t>. T</w:t>
      </w:r>
      <w:r>
        <w:rPr>
          <w:rFonts w:asciiTheme="minorHAnsi" w:hAnsiTheme="minorHAnsi" w:cstheme="minorHAnsi"/>
          <w:color w:val="auto"/>
          <w:sz w:val="20"/>
          <w:szCs w:val="20"/>
        </w:rPr>
        <w:t>here would need to be an amendment to the Bus Safety Act to</w:t>
      </w:r>
      <w:r w:rsidRPr="007C0B6C">
        <w:rPr>
          <w:rFonts w:asciiTheme="minorHAnsi" w:hAnsiTheme="minorHAnsi" w:cstheme="minorHAnsi"/>
          <w:color w:val="auto"/>
          <w:sz w:val="20"/>
          <w:szCs w:val="20"/>
        </w:rPr>
        <w:t xml:space="preserve"> impos</w:t>
      </w:r>
      <w:r>
        <w:rPr>
          <w:rFonts w:asciiTheme="minorHAnsi" w:hAnsiTheme="minorHAnsi" w:cstheme="minorHAnsi"/>
          <w:color w:val="auto"/>
          <w:sz w:val="20"/>
          <w:szCs w:val="20"/>
        </w:rPr>
        <w:t>e</w:t>
      </w:r>
      <w:r w:rsidRPr="007C0B6C">
        <w:rPr>
          <w:rFonts w:asciiTheme="minorHAnsi" w:hAnsiTheme="minorHAnsi" w:cstheme="minorHAnsi"/>
          <w:color w:val="auto"/>
          <w:sz w:val="20"/>
          <w:szCs w:val="20"/>
        </w:rPr>
        <w:t xml:space="preserve"> a fee that is paid by applicants for operator registration on submission of that application. </w:t>
      </w:r>
    </w:p>
    <w:p w14:paraId="7AF08357" w14:textId="77777777" w:rsidR="001A58D8" w:rsidRDefault="001A58D8" w:rsidP="00842F5A">
      <w:pPr>
        <w:pStyle w:val="ListParagraph"/>
        <w:numPr>
          <w:ilvl w:val="0"/>
          <w:numId w:val="38"/>
        </w:numPr>
        <w:rPr>
          <w:rFonts w:asciiTheme="minorHAnsi" w:hAnsiTheme="minorHAnsi" w:cstheme="minorHAnsi"/>
          <w:color w:val="auto"/>
          <w:sz w:val="20"/>
          <w:szCs w:val="20"/>
        </w:rPr>
      </w:pPr>
      <w:r>
        <w:rPr>
          <w:rFonts w:asciiTheme="minorHAnsi" w:hAnsiTheme="minorHAnsi" w:cstheme="minorHAnsi"/>
          <w:color w:val="auto"/>
          <w:sz w:val="20"/>
          <w:szCs w:val="20"/>
        </w:rPr>
        <w:t xml:space="preserve">Scaling annual fees by distance travelled –TSV does not currently have the data to implement this fee structure. Additionally, there may be only minor efficiency benefits if this metric was used to scale regulatory fees instead of the number of buses. </w:t>
      </w:r>
    </w:p>
    <w:p w14:paraId="77EB98CA" w14:textId="77777777" w:rsidR="001A58D8" w:rsidRDefault="001A58D8" w:rsidP="00842F5A">
      <w:pPr>
        <w:pStyle w:val="ListParagraph"/>
        <w:numPr>
          <w:ilvl w:val="0"/>
          <w:numId w:val="38"/>
        </w:numPr>
        <w:rPr>
          <w:rFonts w:asciiTheme="minorHAnsi" w:hAnsiTheme="minorHAnsi" w:cstheme="minorHAnsi"/>
          <w:color w:val="auto"/>
          <w:sz w:val="20"/>
          <w:szCs w:val="20"/>
        </w:rPr>
      </w:pPr>
      <w:r>
        <w:rPr>
          <w:rFonts w:asciiTheme="minorHAnsi" w:hAnsiTheme="minorHAnsi" w:cstheme="minorHAnsi"/>
          <w:color w:val="auto"/>
          <w:sz w:val="20"/>
          <w:szCs w:val="20"/>
        </w:rPr>
        <w:t xml:space="preserve">Increasing fees over time to achieve full cost recovery over the long term – DoT has identified some factors that would indicate that a full review of fees should be undertaken at a later time. Should DoT recommend increasing cost recovery, then DoT will consider the best approach to implementing fee increases at that time. Increasing fees over time may be one such approach. </w:t>
      </w:r>
    </w:p>
    <w:p w14:paraId="245164B6" w14:textId="77777777" w:rsidR="001A58D8" w:rsidRDefault="001A58D8" w:rsidP="00842F5A">
      <w:pPr>
        <w:pStyle w:val="ListParagraph"/>
        <w:numPr>
          <w:ilvl w:val="0"/>
          <w:numId w:val="38"/>
        </w:numPr>
        <w:rPr>
          <w:rFonts w:asciiTheme="minorHAnsi" w:hAnsiTheme="minorHAnsi" w:cstheme="minorHAnsi"/>
          <w:color w:val="auto"/>
          <w:sz w:val="20"/>
          <w:szCs w:val="20"/>
        </w:rPr>
      </w:pPr>
      <w:r>
        <w:rPr>
          <w:rFonts w:asciiTheme="minorHAnsi" w:hAnsiTheme="minorHAnsi" w:cstheme="minorHAnsi"/>
          <w:color w:val="auto"/>
          <w:sz w:val="20"/>
          <w:szCs w:val="20"/>
        </w:rPr>
        <w:t>Scaling annual fees for registered operators – whilst scaling annual fees would likely promote the objective of equity, a fixed fee better reflects the drivers of TSV costs for registered operators. For the average registered operator, fixed fees are similar to the average fee that would be paid under a fee structure with a fixed and variable component.</w:t>
      </w:r>
    </w:p>
    <w:p w14:paraId="212371D2" w14:textId="3B7B31E8" w:rsidR="001A58D8" w:rsidRPr="00F138AE" w:rsidRDefault="001A58D8" w:rsidP="007620AA">
      <w:pPr>
        <w:pStyle w:val="Caption"/>
        <w:keepNext/>
        <w:spacing w:before="120" w:after="60"/>
        <w:rPr>
          <w:b/>
          <w:bCs/>
          <w:i w:val="0"/>
          <w:iCs w:val="0"/>
        </w:rPr>
      </w:pPr>
      <w:bookmarkStart w:id="547" w:name="_Toc44437372"/>
      <w:bookmarkStart w:id="548" w:name="_Toc44597443"/>
      <w:bookmarkStart w:id="549" w:name="_Toc44597507"/>
      <w:bookmarkStart w:id="550" w:name="_Toc44600077"/>
      <w:bookmarkStart w:id="551" w:name="_Toc44600532"/>
      <w:bookmarkStart w:id="552" w:name="_Toc44600699"/>
      <w:bookmarkStart w:id="553" w:name="_Toc44601196"/>
      <w:bookmarkStart w:id="554" w:name="_Toc44601249"/>
      <w:bookmarkStart w:id="555" w:name="_Toc44603397"/>
      <w:bookmarkStart w:id="556" w:name="_Toc45704445"/>
      <w:r w:rsidRPr="00F138AE">
        <w:rPr>
          <w:b/>
          <w:bCs/>
          <w:i w:val="0"/>
          <w:iCs w:val="0"/>
        </w:rPr>
        <w:t xml:space="preserve">Table </w:t>
      </w:r>
      <w:r w:rsidR="00D2483C">
        <w:rPr>
          <w:b/>
          <w:bCs/>
          <w:i w:val="0"/>
          <w:iCs w:val="0"/>
        </w:rPr>
        <w:fldChar w:fldCharType="begin"/>
      </w:r>
      <w:r w:rsidR="00D2483C">
        <w:rPr>
          <w:b/>
          <w:bCs/>
          <w:i w:val="0"/>
          <w:iCs w:val="0"/>
        </w:rPr>
        <w:instrText xml:space="preserve"> STYLEREF 1 \s </w:instrText>
      </w:r>
      <w:r w:rsidR="00D2483C">
        <w:rPr>
          <w:b/>
          <w:bCs/>
          <w:i w:val="0"/>
          <w:iCs w:val="0"/>
        </w:rPr>
        <w:fldChar w:fldCharType="separate"/>
      </w:r>
      <w:r w:rsidR="00277F6E">
        <w:rPr>
          <w:b/>
          <w:bCs/>
          <w:i w:val="0"/>
          <w:iCs w:val="0"/>
          <w:noProof/>
        </w:rPr>
        <w:t>6</w:t>
      </w:r>
      <w:r w:rsidR="00D2483C">
        <w:rPr>
          <w:b/>
          <w:bCs/>
          <w:i w:val="0"/>
          <w:iCs w:val="0"/>
        </w:rPr>
        <w:fldChar w:fldCharType="end"/>
      </w:r>
      <w:r w:rsidR="00D2483C">
        <w:rPr>
          <w:b/>
          <w:bCs/>
          <w:i w:val="0"/>
          <w:iCs w:val="0"/>
        </w:rPr>
        <w:noBreakHyphen/>
      </w:r>
      <w:r w:rsidR="00D2483C">
        <w:rPr>
          <w:b/>
          <w:bCs/>
          <w:i w:val="0"/>
          <w:iCs w:val="0"/>
        </w:rPr>
        <w:fldChar w:fldCharType="begin"/>
      </w:r>
      <w:r w:rsidR="00D2483C">
        <w:rPr>
          <w:b/>
          <w:bCs/>
          <w:i w:val="0"/>
          <w:iCs w:val="0"/>
        </w:rPr>
        <w:instrText xml:space="preserve"> SEQ Table \* ARABIC \s 1 </w:instrText>
      </w:r>
      <w:r w:rsidR="00D2483C">
        <w:rPr>
          <w:b/>
          <w:bCs/>
          <w:i w:val="0"/>
          <w:iCs w:val="0"/>
        </w:rPr>
        <w:fldChar w:fldCharType="separate"/>
      </w:r>
      <w:r w:rsidR="00277F6E">
        <w:rPr>
          <w:b/>
          <w:bCs/>
          <w:i w:val="0"/>
          <w:iCs w:val="0"/>
          <w:noProof/>
        </w:rPr>
        <w:t>1</w:t>
      </w:r>
      <w:r w:rsidR="00D2483C">
        <w:rPr>
          <w:b/>
          <w:bCs/>
          <w:i w:val="0"/>
          <w:iCs w:val="0"/>
        </w:rPr>
        <w:fldChar w:fldCharType="end"/>
      </w:r>
      <w:r w:rsidRPr="00F138AE">
        <w:rPr>
          <w:b/>
          <w:bCs/>
          <w:i w:val="0"/>
          <w:iCs w:val="0"/>
        </w:rPr>
        <w:t>: Summary of fee options for further assessment</w:t>
      </w:r>
      <w:bookmarkEnd w:id="547"/>
      <w:bookmarkEnd w:id="548"/>
      <w:bookmarkEnd w:id="549"/>
      <w:bookmarkEnd w:id="550"/>
      <w:bookmarkEnd w:id="551"/>
      <w:bookmarkEnd w:id="552"/>
      <w:bookmarkEnd w:id="553"/>
      <w:bookmarkEnd w:id="554"/>
      <w:bookmarkEnd w:id="555"/>
      <w:bookmarkEnd w:id="556"/>
    </w:p>
    <w:tbl>
      <w:tblPr>
        <w:tblStyle w:val="DOTtable0"/>
        <w:tblW w:w="9015" w:type="dxa"/>
        <w:tblLayout w:type="fixed"/>
        <w:tblLook w:val="04A0" w:firstRow="1" w:lastRow="0" w:firstColumn="1" w:lastColumn="0" w:noHBand="0" w:noVBand="1"/>
      </w:tblPr>
      <w:tblGrid>
        <w:gridCol w:w="1406"/>
        <w:gridCol w:w="7609"/>
      </w:tblGrid>
      <w:tr w:rsidR="001A58D8" w:rsidRPr="00722C18" w14:paraId="68FD734D" w14:textId="77777777" w:rsidTr="003172D1">
        <w:trPr>
          <w:cnfStyle w:val="100000000000" w:firstRow="1" w:lastRow="0" w:firstColumn="0" w:lastColumn="0" w:oddVBand="0" w:evenVBand="0" w:oddHBand="0" w:evenHBand="0" w:firstRowFirstColumn="0" w:firstRowLastColumn="0" w:lastRowFirstColumn="0" w:lastRowLastColumn="0"/>
          <w:cantSplit/>
          <w:trHeight w:val="288"/>
        </w:trPr>
        <w:tc>
          <w:tcPr>
            <w:tcW w:w="1413" w:type="dxa"/>
            <w:noWrap/>
            <w:hideMark/>
          </w:tcPr>
          <w:p w14:paraId="67D2461A" w14:textId="77777777" w:rsidR="001A58D8" w:rsidRPr="00722C18" w:rsidRDefault="001A58D8" w:rsidP="003172D1">
            <w:pPr>
              <w:keepNext/>
              <w:spacing w:before="60" w:after="60"/>
              <w:jc w:val="center"/>
              <w:rPr>
                <w:rFonts w:eastAsia="Times New Roman" w:cstheme="minorHAnsi"/>
                <w:b w:val="0"/>
                <w:bCs/>
                <w:color w:val="000000"/>
                <w:sz w:val="18"/>
                <w:lang w:eastAsia="en-AU"/>
              </w:rPr>
            </w:pPr>
            <w:r>
              <w:rPr>
                <w:bCs/>
                <w:sz w:val="18"/>
              </w:rPr>
              <w:t>Option</w:t>
            </w:r>
          </w:p>
        </w:tc>
        <w:tc>
          <w:tcPr>
            <w:tcW w:w="7654" w:type="dxa"/>
          </w:tcPr>
          <w:p w14:paraId="08D831DC" w14:textId="77777777" w:rsidR="001A58D8" w:rsidRPr="00722C18" w:rsidRDefault="001A58D8" w:rsidP="003172D1">
            <w:pPr>
              <w:keepNext/>
              <w:spacing w:before="60" w:after="60"/>
              <w:jc w:val="center"/>
              <w:rPr>
                <w:b w:val="0"/>
                <w:bCs/>
                <w:sz w:val="18"/>
              </w:rPr>
            </w:pPr>
            <w:r>
              <w:rPr>
                <w:bCs/>
                <w:sz w:val="18"/>
              </w:rPr>
              <w:t>Description</w:t>
            </w:r>
          </w:p>
        </w:tc>
      </w:tr>
      <w:tr w:rsidR="001A58D8" w:rsidRPr="00722C18" w14:paraId="47B89900" w14:textId="77777777" w:rsidTr="003172D1">
        <w:trPr>
          <w:cnfStyle w:val="000000100000" w:firstRow="0" w:lastRow="0" w:firstColumn="0" w:lastColumn="0" w:oddVBand="0" w:evenVBand="0" w:oddHBand="1" w:evenHBand="0" w:firstRowFirstColumn="0" w:firstRowLastColumn="0" w:lastRowFirstColumn="0" w:lastRowLastColumn="0"/>
          <w:cantSplit/>
          <w:trHeight w:val="689"/>
        </w:trPr>
        <w:tc>
          <w:tcPr>
            <w:tcW w:w="1413" w:type="dxa"/>
            <w:noWrap/>
            <w:hideMark/>
          </w:tcPr>
          <w:p w14:paraId="5E3D3B85" w14:textId="77777777" w:rsidR="001A58D8" w:rsidRDefault="001A58D8" w:rsidP="003172D1">
            <w:pPr>
              <w:keepNext/>
              <w:spacing w:before="60" w:after="60"/>
              <w:jc w:val="center"/>
              <w:rPr>
                <w:sz w:val="18"/>
              </w:rPr>
            </w:pPr>
            <w:r>
              <w:rPr>
                <w:sz w:val="18"/>
              </w:rPr>
              <w:t>Option 1</w:t>
            </w:r>
          </w:p>
          <w:p w14:paraId="6E214264" w14:textId="77777777" w:rsidR="001A58D8" w:rsidRPr="00722C18" w:rsidRDefault="001A58D8" w:rsidP="003172D1">
            <w:pPr>
              <w:keepNext/>
              <w:spacing w:before="60" w:after="60"/>
              <w:jc w:val="center"/>
              <w:rPr>
                <w:rFonts w:eastAsia="Times New Roman" w:cstheme="minorHAnsi"/>
                <w:color w:val="000000"/>
                <w:sz w:val="18"/>
                <w:lang w:eastAsia="en-AU"/>
              </w:rPr>
            </w:pPr>
            <w:r>
              <w:rPr>
                <w:sz w:val="18"/>
              </w:rPr>
              <w:t>(status quo)</w:t>
            </w:r>
          </w:p>
        </w:tc>
        <w:tc>
          <w:tcPr>
            <w:tcW w:w="7654" w:type="dxa"/>
          </w:tcPr>
          <w:p w14:paraId="0CFCF7CF" w14:textId="77777777" w:rsidR="001A58D8" w:rsidRPr="00D0130A" w:rsidRDefault="001A58D8" w:rsidP="003172D1">
            <w:pPr>
              <w:keepNext/>
              <w:spacing w:before="60" w:after="60"/>
              <w:jc w:val="center"/>
              <w:rPr>
                <w:b/>
                <w:bCs/>
                <w:sz w:val="18"/>
              </w:rPr>
            </w:pPr>
            <w:r w:rsidRPr="00D0130A">
              <w:rPr>
                <w:b/>
                <w:bCs/>
                <w:sz w:val="18"/>
              </w:rPr>
              <w:t>Current structure and level of fees</w:t>
            </w:r>
          </w:p>
          <w:p w14:paraId="5FBB6EE1" w14:textId="77777777" w:rsidR="001A58D8" w:rsidRPr="00F1349D" w:rsidRDefault="001A58D8" w:rsidP="003172D1">
            <w:pPr>
              <w:pStyle w:val="ListParagraph"/>
              <w:keepNext/>
              <w:numPr>
                <w:ilvl w:val="0"/>
                <w:numId w:val="40"/>
              </w:numPr>
              <w:spacing w:before="60" w:after="60"/>
              <w:jc w:val="center"/>
              <w:rPr>
                <w:rFonts w:asciiTheme="minorHAnsi" w:hAnsiTheme="minorHAnsi" w:cstheme="minorHAnsi"/>
                <w:sz w:val="18"/>
                <w:szCs w:val="18"/>
              </w:rPr>
            </w:pPr>
            <w:r w:rsidRPr="00F1349D">
              <w:rPr>
                <w:rFonts w:asciiTheme="minorHAnsi" w:hAnsiTheme="minorHAnsi" w:cstheme="minorHAnsi"/>
                <w:color w:val="auto"/>
                <w:sz w:val="18"/>
                <w:szCs w:val="18"/>
              </w:rPr>
              <w:t xml:space="preserve">Accredited operators pay an application fee on the submission of that application. </w:t>
            </w:r>
          </w:p>
          <w:p w14:paraId="34998DCC" w14:textId="77777777" w:rsidR="001A58D8" w:rsidRPr="00F1349D" w:rsidRDefault="001A58D8" w:rsidP="003172D1">
            <w:pPr>
              <w:pStyle w:val="ListParagraph"/>
              <w:keepNext/>
              <w:numPr>
                <w:ilvl w:val="0"/>
                <w:numId w:val="40"/>
              </w:numPr>
              <w:spacing w:before="60" w:after="60"/>
              <w:jc w:val="center"/>
              <w:rPr>
                <w:rFonts w:asciiTheme="minorHAnsi" w:hAnsiTheme="minorHAnsi" w:cstheme="minorHAnsi"/>
                <w:sz w:val="18"/>
                <w:szCs w:val="18"/>
              </w:rPr>
            </w:pPr>
            <w:r>
              <w:rPr>
                <w:rFonts w:asciiTheme="minorHAnsi" w:hAnsiTheme="minorHAnsi" w:cstheme="minorHAnsi"/>
                <w:color w:val="auto"/>
                <w:sz w:val="18"/>
                <w:szCs w:val="18"/>
              </w:rPr>
              <w:t>Accredited operators pay an annual fee with a fixed component and a variable component that scales according to the number of buses operated.</w:t>
            </w:r>
          </w:p>
          <w:p w14:paraId="01E19FB5" w14:textId="77777777" w:rsidR="001A58D8" w:rsidRPr="00F1349D" w:rsidRDefault="001A58D8" w:rsidP="003172D1">
            <w:pPr>
              <w:pStyle w:val="ListParagraph"/>
              <w:keepNext/>
              <w:numPr>
                <w:ilvl w:val="0"/>
                <w:numId w:val="40"/>
              </w:numPr>
              <w:spacing w:before="60" w:after="60"/>
              <w:jc w:val="center"/>
              <w:rPr>
                <w:rFonts w:asciiTheme="minorHAnsi" w:hAnsiTheme="minorHAnsi" w:cstheme="minorHAnsi"/>
                <w:sz w:val="18"/>
                <w:szCs w:val="18"/>
              </w:rPr>
            </w:pPr>
            <w:r w:rsidRPr="00F1349D">
              <w:rPr>
                <w:rFonts w:asciiTheme="minorHAnsi" w:hAnsiTheme="minorHAnsi" w:cstheme="minorHAnsi"/>
                <w:color w:val="auto"/>
                <w:sz w:val="18"/>
                <w:szCs w:val="18"/>
              </w:rPr>
              <w:t>Fee</w:t>
            </w:r>
            <w:r>
              <w:rPr>
                <w:rFonts w:asciiTheme="minorHAnsi" w:hAnsiTheme="minorHAnsi" w:cstheme="minorHAnsi"/>
                <w:color w:val="auto"/>
                <w:sz w:val="18"/>
                <w:szCs w:val="18"/>
              </w:rPr>
              <w:t>s</w:t>
            </w:r>
            <w:r w:rsidRPr="00F1349D">
              <w:rPr>
                <w:rFonts w:asciiTheme="minorHAnsi" w:hAnsiTheme="minorHAnsi" w:cstheme="minorHAnsi"/>
                <w:color w:val="auto"/>
                <w:sz w:val="18"/>
                <w:szCs w:val="18"/>
              </w:rPr>
              <w:t xml:space="preserve"> </w:t>
            </w:r>
            <w:r>
              <w:rPr>
                <w:rFonts w:asciiTheme="minorHAnsi" w:hAnsiTheme="minorHAnsi" w:cstheme="minorHAnsi"/>
                <w:color w:val="auto"/>
                <w:sz w:val="18"/>
                <w:szCs w:val="18"/>
              </w:rPr>
              <w:t>are</w:t>
            </w:r>
            <w:r w:rsidRPr="00F1349D">
              <w:rPr>
                <w:rFonts w:asciiTheme="minorHAnsi" w:hAnsiTheme="minorHAnsi" w:cstheme="minorHAnsi"/>
                <w:color w:val="auto"/>
                <w:sz w:val="18"/>
                <w:szCs w:val="18"/>
              </w:rPr>
              <w:t xml:space="preserve"> set</w:t>
            </w:r>
            <w:r>
              <w:rPr>
                <w:rFonts w:asciiTheme="minorHAnsi" w:hAnsiTheme="minorHAnsi" w:cstheme="minorHAnsi"/>
                <w:color w:val="auto"/>
                <w:sz w:val="18"/>
                <w:szCs w:val="18"/>
              </w:rPr>
              <w:t xml:space="preserve"> at current levels</w:t>
            </w:r>
            <w:r w:rsidRPr="00F1349D">
              <w:rPr>
                <w:rFonts w:asciiTheme="minorHAnsi" w:hAnsiTheme="minorHAnsi" w:cstheme="minorHAnsi"/>
                <w:color w:val="auto"/>
                <w:sz w:val="18"/>
                <w:szCs w:val="18"/>
              </w:rPr>
              <w:t xml:space="preserve"> on a </w:t>
            </w:r>
            <w:r>
              <w:rPr>
                <w:rFonts w:asciiTheme="minorHAnsi" w:hAnsiTheme="minorHAnsi" w:cstheme="minorHAnsi"/>
                <w:color w:val="auto"/>
                <w:sz w:val="18"/>
                <w:szCs w:val="18"/>
              </w:rPr>
              <w:t>partial</w:t>
            </w:r>
            <w:r w:rsidRPr="00F1349D">
              <w:rPr>
                <w:rFonts w:asciiTheme="minorHAnsi" w:hAnsiTheme="minorHAnsi" w:cstheme="minorHAnsi"/>
                <w:color w:val="auto"/>
                <w:sz w:val="18"/>
                <w:szCs w:val="18"/>
              </w:rPr>
              <w:t xml:space="preserve"> cost recovery basis</w:t>
            </w:r>
            <w:r>
              <w:rPr>
                <w:rFonts w:asciiTheme="minorHAnsi" w:hAnsiTheme="minorHAnsi" w:cstheme="minorHAnsi"/>
                <w:color w:val="auto"/>
                <w:sz w:val="18"/>
                <w:szCs w:val="18"/>
              </w:rPr>
              <w:t xml:space="preserve"> (17 per cent)</w:t>
            </w:r>
          </w:p>
        </w:tc>
      </w:tr>
      <w:tr w:rsidR="001A58D8" w:rsidRPr="00722C18" w14:paraId="46B5AD78" w14:textId="77777777" w:rsidTr="003172D1">
        <w:trPr>
          <w:cnfStyle w:val="000000010000" w:firstRow="0" w:lastRow="0" w:firstColumn="0" w:lastColumn="0" w:oddVBand="0" w:evenVBand="0" w:oddHBand="0" w:evenHBand="1" w:firstRowFirstColumn="0" w:firstRowLastColumn="0" w:lastRowFirstColumn="0" w:lastRowLastColumn="0"/>
          <w:cantSplit/>
          <w:trHeight w:val="689"/>
        </w:trPr>
        <w:tc>
          <w:tcPr>
            <w:tcW w:w="1413" w:type="dxa"/>
            <w:noWrap/>
            <w:hideMark/>
          </w:tcPr>
          <w:p w14:paraId="0FD28253" w14:textId="77777777" w:rsidR="001A58D8" w:rsidRDefault="001A58D8" w:rsidP="003172D1">
            <w:pPr>
              <w:keepNext/>
              <w:spacing w:before="60" w:after="60"/>
              <w:jc w:val="center"/>
              <w:rPr>
                <w:sz w:val="18"/>
              </w:rPr>
            </w:pPr>
            <w:r>
              <w:rPr>
                <w:sz w:val="18"/>
              </w:rPr>
              <w:t xml:space="preserve">Option 2 </w:t>
            </w:r>
          </w:p>
          <w:p w14:paraId="19DE7529" w14:textId="77777777" w:rsidR="001A58D8" w:rsidRPr="00722C18" w:rsidRDefault="001A58D8" w:rsidP="003172D1">
            <w:pPr>
              <w:keepNext/>
              <w:spacing w:before="60" w:after="60"/>
              <w:jc w:val="center"/>
              <w:rPr>
                <w:rFonts w:eastAsia="Times New Roman" w:cstheme="minorHAnsi"/>
                <w:color w:val="000000"/>
                <w:sz w:val="18"/>
                <w:lang w:eastAsia="en-AU"/>
              </w:rPr>
            </w:pPr>
          </w:p>
        </w:tc>
        <w:tc>
          <w:tcPr>
            <w:tcW w:w="7654" w:type="dxa"/>
          </w:tcPr>
          <w:p w14:paraId="0641528E" w14:textId="77777777" w:rsidR="001A58D8" w:rsidRPr="003A13AE" w:rsidRDefault="001A58D8" w:rsidP="003172D1">
            <w:pPr>
              <w:keepNext/>
              <w:spacing w:before="60" w:after="60"/>
              <w:jc w:val="center"/>
              <w:rPr>
                <w:b/>
                <w:bCs/>
                <w:sz w:val="18"/>
              </w:rPr>
            </w:pPr>
            <w:r w:rsidRPr="003A13AE">
              <w:rPr>
                <w:b/>
                <w:bCs/>
                <w:sz w:val="18"/>
              </w:rPr>
              <w:t xml:space="preserve">Current structure and level of fees </w:t>
            </w:r>
            <w:r>
              <w:rPr>
                <w:b/>
                <w:bCs/>
                <w:sz w:val="18"/>
              </w:rPr>
              <w:t>with the inclusion of an annual fee for registered operators</w:t>
            </w:r>
          </w:p>
          <w:p w14:paraId="1308CEF5" w14:textId="77777777" w:rsidR="001A58D8" w:rsidRPr="00F1349D" w:rsidRDefault="001A58D8" w:rsidP="003172D1">
            <w:pPr>
              <w:pStyle w:val="ListParagraph"/>
              <w:keepNext/>
              <w:numPr>
                <w:ilvl w:val="0"/>
                <w:numId w:val="40"/>
              </w:numPr>
              <w:spacing w:before="60" w:after="60"/>
              <w:jc w:val="center"/>
              <w:rPr>
                <w:rFonts w:asciiTheme="minorHAnsi" w:hAnsiTheme="minorHAnsi" w:cstheme="minorHAnsi"/>
                <w:sz w:val="18"/>
                <w:szCs w:val="18"/>
              </w:rPr>
            </w:pPr>
            <w:r w:rsidRPr="00F1349D">
              <w:rPr>
                <w:rFonts w:asciiTheme="minorHAnsi" w:hAnsiTheme="minorHAnsi" w:cstheme="minorHAnsi"/>
                <w:color w:val="auto"/>
                <w:sz w:val="18"/>
                <w:szCs w:val="18"/>
              </w:rPr>
              <w:t xml:space="preserve">Accredited operators pay an application fee on the submission of that application. </w:t>
            </w:r>
          </w:p>
          <w:p w14:paraId="53F8376A" w14:textId="77777777" w:rsidR="001A58D8" w:rsidRPr="00616F79" w:rsidRDefault="001A58D8" w:rsidP="003172D1">
            <w:pPr>
              <w:pStyle w:val="ListParagraph"/>
              <w:keepNext/>
              <w:numPr>
                <w:ilvl w:val="0"/>
                <w:numId w:val="40"/>
              </w:numPr>
              <w:spacing w:before="60" w:after="60"/>
              <w:jc w:val="center"/>
              <w:rPr>
                <w:rFonts w:asciiTheme="minorHAnsi" w:hAnsiTheme="minorHAnsi" w:cstheme="minorHAnsi"/>
                <w:sz w:val="18"/>
                <w:szCs w:val="18"/>
              </w:rPr>
            </w:pPr>
            <w:r>
              <w:rPr>
                <w:rFonts w:asciiTheme="minorHAnsi" w:hAnsiTheme="minorHAnsi" w:cstheme="minorHAnsi"/>
                <w:color w:val="auto"/>
                <w:sz w:val="18"/>
                <w:szCs w:val="18"/>
              </w:rPr>
              <w:t>Accredited operators pay an annual fee with a fixed component and a variable component that scales according to the number of buses operated.</w:t>
            </w:r>
          </w:p>
          <w:p w14:paraId="7472B000" w14:textId="7288A1F1" w:rsidR="001A58D8" w:rsidRPr="00F1349D" w:rsidRDefault="001A58D8" w:rsidP="003172D1">
            <w:pPr>
              <w:pStyle w:val="ListParagraph"/>
              <w:keepNext/>
              <w:numPr>
                <w:ilvl w:val="0"/>
                <w:numId w:val="40"/>
              </w:numPr>
              <w:spacing w:before="60" w:after="60"/>
              <w:jc w:val="center"/>
              <w:rPr>
                <w:rFonts w:asciiTheme="minorHAnsi" w:hAnsiTheme="minorHAnsi" w:cstheme="minorHAnsi"/>
                <w:sz w:val="18"/>
                <w:szCs w:val="18"/>
              </w:rPr>
            </w:pPr>
            <w:r>
              <w:rPr>
                <w:rFonts w:asciiTheme="minorHAnsi" w:hAnsiTheme="minorHAnsi" w:cstheme="minorHAnsi"/>
                <w:color w:val="auto"/>
                <w:sz w:val="18"/>
                <w:szCs w:val="18"/>
              </w:rPr>
              <w:t>Registered operators pay a fixed annual fee</w:t>
            </w:r>
          </w:p>
          <w:p w14:paraId="6ED6EFAD" w14:textId="77777777" w:rsidR="001A58D8" w:rsidRPr="00722C18" w:rsidRDefault="001A58D8" w:rsidP="003172D1">
            <w:pPr>
              <w:pStyle w:val="ListParagraph"/>
              <w:keepNext/>
              <w:numPr>
                <w:ilvl w:val="0"/>
                <w:numId w:val="40"/>
              </w:numPr>
              <w:spacing w:before="60" w:after="60"/>
              <w:jc w:val="center"/>
              <w:rPr>
                <w:sz w:val="18"/>
              </w:rPr>
            </w:pPr>
            <w:r w:rsidRPr="00F1349D">
              <w:rPr>
                <w:rFonts w:asciiTheme="minorHAnsi" w:hAnsiTheme="minorHAnsi" w:cstheme="minorHAnsi"/>
                <w:color w:val="auto"/>
                <w:sz w:val="18"/>
                <w:szCs w:val="18"/>
              </w:rPr>
              <w:t>Fee</w:t>
            </w:r>
            <w:r>
              <w:rPr>
                <w:rFonts w:asciiTheme="minorHAnsi" w:hAnsiTheme="minorHAnsi" w:cstheme="minorHAnsi"/>
                <w:color w:val="auto"/>
                <w:sz w:val="18"/>
                <w:szCs w:val="18"/>
              </w:rPr>
              <w:t>s</w:t>
            </w:r>
            <w:r w:rsidRPr="00F1349D">
              <w:rPr>
                <w:rFonts w:asciiTheme="minorHAnsi" w:hAnsiTheme="minorHAnsi" w:cstheme="minorHAnsi"/>
                <w:color w:val="auto"/>
                <w:sz w:val="18"/>
                <w:szCs w:val="18"/>
              </w:rPr>
              <w:t xml:space="preserve"> </w:t>
            </w:r>
            <w:r>
              <w:rPr>
                <w:rFonts w:asciiTheme="minorHAnsi" w:hAnsiTheme="minorHAnsi" w:cstheme="minorHAnsi"/>
                <w:color w:val="auto"/>
                <w:sz w:val="18"/>
                <w:szCs w:val="18"/>
              </w:rPr>
              <w:t>are</w:t>
            </w:r>
            <w:r w:rsidRPr="00F1349D">
              <w:rPr>
                <w:rFonts w:asciiTheme="minorHAnsi" w:hAnsiTheme="minorHAnsi" w:cstheme="minorHAnsi"/>
                <w:color w:val="auto"/>
                <w:sz w:val="18"/>
                <w:szCs w:val="18"/>
              </w:rPr>
              <w:t xml:space="preserve"> set on a </w:t>
            </w:r>
            <w:r>
              <w:rPr>
                <w:rFonts w:asciiTheme="minorHAnsi" w:hAnsiTheme="minorHAnsi" w:cstheme="minorHAnsi"/>
                <w:color w:val="auto"/>
                <w:sz w:val="18"/>
                <w:szCs w:val="18"/>
              </w:rPr>
              <w:t>partial</w:t>
            </w:r>
            <w:r w:rsidRPr="00F1349D">
              <w:rPr>
                <w:rFonts w:asciiTheme="minorHAnsi" w:hAnsiTheme="minorHAnsi" w:cstheme="minorHAnsi"/>
                <w:color w:val="auto"/>
                <w:sz w:val="18"/>
                <w:szCs w:val="18"/>
              </w:rPr>
              <w:t xml:space="preserve"> cost recovery basis</w:t>
            </w:r>
            <w:r>
              <w:rPr>
                <w:rFonts w:asciiTheme="minorHAnsi" w:hAnsiTheme="minorHAnsi" w:cstheme="minorHAnsi"/>
                <w:color w:val="auto"/>
                <w:sz w:val="18"/>
                <w:szCs w:val="18"/>
              </w:rPr>
              <w:t xml:space="preserve"> (34 per cent)</w:t>
            </w:r>
          </w:p>
        </w:tc>
      </w:tr>
      <w:tr w:rsidR="001A58D8" w:rsidRPr="00722C18" w14:paraId="1C822CB3" w14:textId="77777777" w:rsidTr="003172D1">
        <w:trPr>
          <w:cnfStyle w:val="000000100000" w:firstRow="0" w:lastRow="0" w:firstColumn="0" w:lastColumn="0" w:oddVBand="0" w:evenVBand="0" w:oddHBand="1" w:evenHBand="0" w:firstRowFirstColumn="0" w:firstRowLastColumn="0" w:lastRowFirstColumn="0" w:lastRowLastColumn="0"/>
          <w:cantSplit/>
          <w:trHeight w:val="689"/>
        </w:trPr>
        <w:tc>
          <w:tcPr>
            <w:tcW w:w="1413" w:type="dxa"/>
            <w:noWrap/>
          </w:tcPr>
          <w:p w14:paraId="42CCA48B" w14:textId="77777777" w:rsidR="001A58D8" w:rsidRDefault="001A58D8" w:rsidP="003172D1">
            <w:pPr>
              <w:keepNext/>
              <w:spacing w:before="60" w:after="60"/>
              <w:jc w:val="center"/>
              <w:rPr>
                <w:sz w:val="18"/>
              </w:rPr>
            </w:pPr>
            <w:r>
              <w:rPr>
                <w:sz w:val="18"/>
              </w:rPr>
              <w:t>Option 3</w:t>
            </w:r>
          </w:p>
        </w:tc>
        <w:tc>
          <w:tcPr>
            <w:tcW w:w="7654" w:type="dxa"/>
          </w:tcPr>
          <w:p w14:paraId="3FD13B11" w14:textId="77777777" w:rsidR="001A58D8" w:rsidRPr="00BF155F" w:rsidRDefault="001A58D8" w:rsidP="003172D1">
            <w:pPr>
              <w:keepNext/>
              <w:spacing w:before="60" w:after="60"/>
              <w:jc w:val="center"/>
              <w:rPr>
                <w:b/>
                <w:bCs/>
                <w:sz w:val="18"/>
              </w:rPr>
            </w:pPr>
            <w:r w:rsidRPr="00BF155F">
              <w:rPr>
                <w:b/>
                <w:bCs/>
                <w:sz w:val="18"/>
              </w:rPr>
              <w:t>Full cost recovery</w:t>
            </w:r>
          </w:p>
          <w:p w14:paraId="58D3DB75" w14:textId="77777777" w:rsidR="001A58D8" w:rsidRPr="00F1349D" w:rsidRDefault="001A58D8" w:rsidP="003172D1">
            <w:pPr>
              <w:pStyle w:val="ListParagraph"/>
              <w:keepNext/>
              <w:numPr>
                <w:ilvl w:val="0"/>
                <w:numId w:val="40"/>
              </w:numPr>
              <w:spacing w:before="60" w:after="60"/>
              <w:jc w:val="center"/>
              <w:rPr>
                <w:rFonts w:asciiTheme="minorHAnsi" w:hAnsiTheme="minorHAnsi" w:cstheme="minorHAnsi"/>
                <w:sz w:val="18"/>
                <w:szCs w:val="18"/>
              </w:rPr>
            </w:pPr>
            <w:r w:rsidRPr="00F1349D">
              <w:rPr>
                <w:rFonts w:asciiTheme="minorHAnsi" w:hAnsiTheme="minorHAnsi" w:cstheme="minorHAnsi"/>
                <w:color w:val="auto"/>
                <w:sz w:val="18"/>
                <w:szCs w:val="18"/>
              </w:rPr>
              <w:t xml:space="preserve">Accredited operators pay an application fee on the submission of that application. </w:t>
            </w:r>
          </w:p>
          <w:p w14:paraId="52970101" w14:textId="77777777" w:rsidR="001A58D8" w:rsidRPr="00616F79" w:rsidRDefault="001A58D8" w:rsidP="003172D1">
            <w:pPr>
              <w:pStyle w:val="ListParagraph"/>
              <w:keepNext/>
              <w:numPr>
                <w:ilvl w:val="0"/>
                <w:numId w:val="40"/>
              </w:numPr>
              <w:spacing w:before="60" w:after="60"/>
              <w:jc w:val="center"/>
              <w:rPr>
                <w:rFonts w:asciiTheme="minorHAnsi" w:hAnsiTheme="minorHAnsi" w:cstheme="minorHAnsi"/>
                <w:sz w:val="18"/>
                <w:szCs w:val="18"/>
              </w:rPr>
            </w:pPr>
            <w:r>
              <w:rPr>
                <w:rFonts w:asciiTheme="minorHAnsi" w:hAnsiTheme="minorHAnsi" w:cstheme="minorHAnsi"/>
                <w:color w:val="auto"/>
                <w:sz w:val="18"/>
                <w:szCs w:val="18"/>
              </w:rPr>
              <w:t>Accredited operators pay an annual fee with a fixed component and a variable component that scales according to the number of buses operated.</w:t>
            </w:r>
          </w:p>
          <w:p w14:paraId="060E539E" w14:textId="7EB98731" w:rsidR="001A58D8" w:rsidRPr="00F1349D" w:rsidRDefault="001A58D8" w:rsidP="003172D1">
            <w:pPr>
              <w:pStyle w:val="ListParagraph"/>
              <w:keepNext/>
              <w:numPr>
                <w:ilvl w:val="0"/>
                <w:numId w:val="40"/>
              </w:numPr>
              <w:spacing w:before="60" w:after="60"/>
              <w:jc w:val="center"/>
              <w:rPr>
                <w:rFonts w:asciiTheme="minorHAnsi" w:hAnsiTheme="minorHAnsi" w:cstheme="minorHAnsi"/>
                <w:sz w:val="18"/>
                <w:szCs w:val="18"/>
              </w:rPr>
            </w:pPr>
            <w:r>
              <w:rPr>
                <w:rFonts w:asciiTheme="minorHAnsi" w:hAnsiTheme="minorHAnsi" w:cstheme="minorHAnsi"/>
                <w:color w:val="auto"/>
                <w:sz w:val="18"/>
                <w:szCs w:val="18"/>
              </w:rPr>
              <w:t>Registered operators pay a fixed annual fee</w:t>
            </w:r>
          </w:p>
          <w:p w14:paraId="6EAA761D" w14:textId="77777777" w:rsidR="001A58D8" w:rsidRDefault="001A58D8" w:rsidP="003172D1">
            <w:pPr>
              <w:pStyle w:val="ListParagraph"/>
              <w:keepNext/>
              <w:numPr>
                <w:ilvl w:val="0"/>
                <w:numId w:val="40"/>
              </w:numPr>
              <w:spacing w:before="60" w:after="60"/>
              <w:jc w:val="center"/>
              <w:rPr>
                <w:sz w:val="18"/>
              </w:rPr>
            </w:pPr>
            <w:r w:rsidRPr="00F1349D">
              <w:rPr>
                <w:rFonts w:asciiTheme="minorHAnsi" w:hAnsiTheme="minorHAnsi" w:cstheme="minorHAnsi"/>
                <w:color w:val="auto"/>
                <w:sz w:val="18"/>
                <w:szCs w:val="18"/>
              </w:rPr>
              <w:t>Fee</w:t>
            </w:r>
            <w:r>
              <w:rPr>
                <w:rFonts w:asciiTheme="minorHAnsi" w:hAnsiTheme="minorHAnsi" w:cstheme="minorHAnsi"/>
                <w:color w:val="auto"/>
                <w:sz w:val="18"/>
                <w:szCs w:val="18"/>
              </w:rPr>
              <w:t>s</w:t>
            </w:r>
            <w:r w:rsidRPr="00F1349D">
              <w:rPr>
                <w:rFonts w:asciiTheme="minorHAnsi" w:hAnsiTheme="minorHAnsi" w:cstheme="minorHAnsi"/>
                <w:color w:val="auto"/>
                <w:sz w:val="18"/>
                <w:szCs w:val="18"/>
              </w:rPr>
              <w:t xml:space="preserve"> </w:t>
            </w:r>
            <w:r>
              <w:rPr>
                <w:rFonts w:asciiTheme="minorHAnsi" w:hAnsiTheme="minorHAnsi" w:cstheme="minorHAnsi"/>
                <w:color w:val="auto"/>
                <w:sz w:val="18"/>
                <w:szCs w:val="18"/>
              </w:rPr>
              <w:t>are</w:t>
            </w:r>
            <w:r w:rsidRPr="00F1349D">
              <w:rPr>
                <w:rFonts w:asciiTheme="minorHAnsi" w:hAnsiTheme="minorHAnsi" w:cstheme="minorHAnsi"/>
                <w:color w:val="auto"/>
                <w:sz w:val="18"/>
                <w:szCs w:val="18"/>
              </w:rPr>
              <w:t xml:space="preserve"> set on a </w:t>
            </w:r>
            <w:r>
              <w:rPr>
                <w:rFonts w:asciiTheme="minorHAnsi" w:hAnsiTheme="minorHAnsi" w:cstheme="minorHAnsi"/>
                <w:color w:val="auto"/>
                <w:sz w:val="18"/>
                <w:szCs w:val="18"/>
              </w:rPr>
              <w:t>full</w:t>
            </w:r>
            <w:r w:rsidRPr="00F1349D">
              <w:rPr>
                <w:rFonts w:asciiTheme="minorHAnsi" w:hAnsiTheme="minorHAnsi" w:cstheme="minorHAnsi"/>
                <w:color w:val="auto"/>
                <w:sz w:val="18"/>
                <w:szCs w:val="18"/>
              </w:rPr>
              <w:t xml:space="preserve"> cost recovery basis</w:t>
            </w:r>
          </w:p>
        </w:tc>
      </w:tr>
    </w:tbl>
    <w:p w14:paraId="48F993BD" w14:textId="77777777" w:rsidR="001A58D8" w:rsidRDefault="001A58D8" w:rsidP="001A58D8"/>
    <w:p w14:paraId="0E300D39" w14:textId="2FD6FE9D" w:rsidR="0015220B" w:rsidRPr="009C4CF3" w:rsidRDefault="0015220B" w:rsidP="0015220B">
      <w:pPr>
        <w:rPr>
          <w:rFonts w:cstheme="minorHAnsi"/>
          <w:szCs w:val="20"/>
          <w:lang w:eastAsia="en-AU"/>
        </w:rPr>
      </w:pPr>
    </w:p>
    <w:p w14:paraId="4ED6AE0B" w14:textId="46443FEF" w:rsidR="0042045B" w:rsidRDefault="0042045B">
      <w:pPr>
        <w:spacing w:before="0" w:after="0"/>
        <w:rPr>
          <w:rFonts w:asciiTheme="majorHAnsi" w:eastAsiaTheme="majorEastAsia" w:hAnsiTheme="majorHAnsi" w:cstheme="majorBidi"/>
          <w:color w:val="16A3A7"/>
          <w:sz w:val="40"/>
          <w:szCs w:val="32"/>
          <w:highlight w:val="yellow"/>
        </w:rPr>
      </w:pPr>
      <w:r>
        <w:rPr>
          <w:highlight w:val="yellow"/>
        </w:rPr>
        <w:br w:type="page"/>
      </w:r>
    </w:p>
    <w:p w14:paraId="7FDD3D76" w14:textId="5B03E7D3" w:rsidR="00807F73" w:rsidRDefault="00D61E24" w:rsidP="0066356C">
      <w:pPr>
        <w:pStyle w:val="Heading1"/>
      </w:pPr>
      <w:bookmarkStart w:id="557" w:name="_Toc33711814"/>
      <w:bookmarkStart w:id="558" w:name="_Toc33711815"/>
      <w:bookmarkStart w:id="559" w:name="_Toc33711816"/>
      <w:bookmarkStart w:id="560" w:name="_Toc33711817"/>
      <w:bookmarkStart w:id="561" w:name="_Toc33711818"/>
      <w:bookmarkStart w:id="562" w:name="_Toc33711819"/>
      <w:bookmarkStart w:id="563" w:name="_Toc33711820"/>
      <w:bookmarkStart w:id="564" w:name="_Toc33711821"/>
      <w:bookmarkStart w:id="565" w:name="_Toc33711822"/>
      <w:bookmarkStart w:id="566" w:name="_Toc33711823"/>
      <w:bookmarkStart w:id="567" w:name="_Toc33711824"/>
      <w:bookmarkStart w:id="568" w:name="_Toc33711825"/>
      <w:bookmarkStart w:id="569" w:name="_Toc33711826"/>
      <w:bookmarkStart w:id="570" w:name="_Toc33711827"/>
      <w:bookmarkStart w:id="571" w:name="_Toc45704369"/>
      <w:bookmarkEnd w:id="542"/>
      <w:bookmarkEnd w:id="543"/>
      <w:bookmarkEnd w:id="544"/>
      <w:bookmarkEnd w:id="545"/>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r>
        <w:lastRenderedPageBreak/>
        <w:t>I</w:t>
      </w:r>
      <w:r w:rsidR="0032260A">
        <w:t>mpa</w:t>
      </w:r>
      <w:r w:rsidR="00210E69">
        <w:t>ct</w:t>
      </w:r>
      <w:r w:rsidR="0032260A">
        <w:t xml:space="preserve"> Assessment</w:t>
      </w:r>
      <w:bookmarkEnd w:id="571"/>
    </w:p>
    <w:p w14:paraId="36F26EE6" w14:textId="0041F28B" w:rsidR="0066302C" w:rsidRDefault="00034539" w:rsidP="0066302C">
      <w:pPr>
        <w:pStyle w:val="Heading2"/>
      </w:pPr>
      <w:bookmarkStart w:id="572" w:name="_Toc45704370"/>
      <w:r>
        <w:t xml:space="preserve">Vehicle </w:t>
      </w:r>
      <w:r w:rsidR="00415226">
        <w:t>s</w:t>
      </w:r>
      <w:r>
        <w:t>afety</w:t>
      </w:r>
      <w:bookmarkEnd w:id="572"/>
    </w:p>
    <w:p w14:paraId="4C1FCA1E" w14:textId="503F5689" w:rsidR="003B4A50" w:rsidRDefault="00F041F9" w:rsidP="00007BC2">
      <w:pPr>
        <w:pStyle w:val="Heading3"/>
      </w:pPr>
      <w:bookmarkStart w:id="573" w:name="_Ref41850678"/>
      <w:bookmarkStart w:id="574" w:name="_Toc45704371"/>
      <w:r>
        <w:t>Bu</w:t>
      </w:r>
      <w:r w:rsidR="0015693E">
        <w:t>s</w:t>
      </w:r>
      <w:r>
        <w:t xml:space="preserve"> </w:t>
      </w:r>
      <w:r w:rsidR="00415226">
        <w:t>s</w:t>
      </w:r>
      <w:r>
        <w:t>tandards</w:t>
      </w:r>
      <w:bookmarkEnd w:id="573"/>
      <w:bookmarkEnd w:id="574"/>
    </w:p>
    <w:p w14:paraId="469BBF54" w14:textId="40C14C91" w:rsidR="003B4A50" w:rsidRDefault="003B4A50" w:rsidP="003B4A50">
      <w:r>
        <w:t xml:space="preserve">This section </w:t>
      </w:r>
      <w:r w:rsidR="005419F2">
        <w:t xml:space="preserve">considers the impacts of </w:t>
      </w:r>
      <w:r>
        <w:t>prescribing bus safety standards for vehicles</w:t>
      </w:r>
      <w:r w:rsidR="005B7FF8">
        <w:t xml:space="preserve"> based on consideration</w:t>
      </w:r>
      <w:r w:rsidR="00413372">
        <w:t>s</w:t>
      </w:r>
      <w:r w:rsidR="005B7FF8">
        <w:t xml:space="preserve"> discussed in Section </w:t>
      </w:r>
      <w:r w:rsidR="005B7FF8">
        <w:fldChar w:fldCharType="begin"/>
      </w:r>
      <w:r w:rsidR="005B7FF8">
        <w:instrText xml:space="preserve"> REF _Ref41981576 \r \h </w:instrText>
      </w:r>
      <w:r w:rsidR="005B7FF8">
        <w:fldChar w:fldCharType="separate"/>
      </w:r>
      <w:r w:rsidR="00277F6E">
        <w:t>6.1.1</w:t>
      </w:r>
      <w:r w:rsidR="005B7FF8">
        <w:fldChar w:fldCharType="end"/>
      </w:r>
      <w:r>
        <w:t xml:space="preserve">. </w:t>
      </w:r>
      <w:r w:rsidR="005B7FF8">
        <w:t>The proposed b</w:t>
      </w:r>
      <w:r>
        <w:t>us standards involve extending the ADRs to buses manufactured prior to 1988, as well as specifically setting standards for</w:t>
      </w:r>
      <w:r w:rsidR="005565BB">
        <w:t xml:space="preserve"> (status quo)</w:t>
      </w:r>
      <w:r>
        <w:t>:</w:t>
      </w:r>
    </w:p>
    <w:p w14:paraId="6007E51C" w14:textId="77777777" w:rsidR="003B4A50" w:rsidRPr="00941A49" w:rsidRDefault="003B4A50" w:rsidP="00941A49">
      <w:pPr>
        <w:pStyle w:val="ListParagraph"/>
        <w:numPr>
          <w:ilvl w:val="0"/>
          <w:numId w:val="38"/>
        </w:numPr>
        <w:rPr>
          <w:rFonts w:asciiTheme="minorHAnsi" w:hAnsiTheme="minorHAnsi" w:cstheme="minorHAnsi"/>
          <w:color w:val="auto"/>
          <w:sz w:val="20"/>
          <w:szCs w:val="20"/>
        </w:rPr>
      </w:pPr>
      <w:r w:rsidRPr="00941A49">
        <w:rPr>
          <w:rFonts w:asciiTheme="minorHAnsi" w:hAnsiTheme="minorHAnsi" w:cstheme="minorHAnsi"/>
          <w:color w:val="auto"/>
          <w:sz w:val="20"/>
          <w:szCs w:val="20"/>
        </w:rPr>
        <w:t>bus stability in single deck buses</w:t>
      </w:r>
    </w:p>
    <w:p w14:paraId="29ED5D15" w14:textId="77777777" w:rsidR="003B4A50" w:rsidRPr="00941A49" w:rsidRDefault="003B4A50" w:rsidP="00941A49">
      <w:pPr>
        <w:pStyle w:val="ListParagraph"/>
        <w:numPr>
          <w:ilvl w:val="0"/>
          <w:numId w:val="38"/>
        </w:numPr>
        <w:rPr>
          <w:rFonts w:asciiTheme="minorHAnsi" w:hAnsiTheme="minorHAnsi" w:cstheme="minorHAnsi"/>
          <w:color w:val="auto"/>
          <w:sz w:val="20"/>
          <w:szCs w:val="20"/>
        </w:rPr>
      </w:pPr>
      <w:r w:rsidRPr="00941A49">
        <w:rPr>
          <w:rFonts w:asciiTheme="minorHAnsi" w:hAnsiTheme="minorHAnsi" w:cstheme="minorHAnsi"/>
          <w:color w:val="auto"/>
          <w:sz w:val="20"/>
          <w:szCs w:val="20"/>
        </w:rPr>
        <w:t>the removal or prevention of condensation on a windscreen</w:t>
      </w:r>
    </w:p>
    <w:p w14:paraId="1218B66A" w14:textId="03997B0F" w:rsidR="003B4A50" w:rsidRPr="00941A49" w:rsidRDefault="003B4A50" w:rsidP="00941A49">
      <w:pPr>
        <w:pStyle w:val="ListParagraph"/>
        <w:numPr>
          <w:ilvl w:val="0"/>
          <w:numId w:val="38"/>
        </w:numPr>
        <w:rPr>
          <w:rFonts w:asciiTheme="minorHAnsi" w:hAnsiTheme="minorHAnsi" w:cstheme="minorHAnsi"/>
          <w:color w:val="auto"/>
          <w:sz w:val="20"/>
          <w:szCs w:val="20"/>
        </w:rPr>
      </w:pPr>
      <w:r w:rsidRPr="00941A49">
        <w:rPr>
          <w:rFonts w:asciiTheme="minorHAnsi" w:hAnsiTheme="minorHAnsi" w:cstheme="minorHAnsi"/>
          <w:color w:val="auto"/>
          <w:sz w:val="20"/>
          <w:szCs w:val="20"/>
        </w:rPr>
        <w:t xml:space="preserve">restrictions on exposed bars </w:t>
      </w:r>
    </w:p>
    <w:p w14:paraId="591AB46F" w14:textId="5BA8561D" w:rsidR="003B4A50" w:rsidRPr="00941A49" w:rsidRDefault="003B4A50" w:rsidP="00941A49">
      <w:pPr>
        <w:pStyle w:val="ListParagraph"/>
        <w:numPr>
          <w:ilvl w:val="0"/>
          <w:numId w:val="38"/>
        </w:numPr>
        <w:rPr>
          <w:rFonts w:asciiTheme="minorHAnsi" w:hAnsiTheme="minorHAnsi" w:cstheme="minorHAnsi"/>
          <w:color w:val="auto"/>
          <w:sz w:val="20"/>
          <w:szCs w:val="20"/>
        </w:rPr>
      </w:pPr>
      <w:r w:rsidRPr="00941A49">
        <w:rPr>
          <w:rFonts w:asciiTheme="minorHAnsi" w:hAnsiTheme="minorHAnsi" w:cstheme="minorHAnsi"/>
          <w:color w:val="auto"/>
          <w:sz w:val="20"/>
          <w:szCs w:val="20"/>
        </w:rPr>
        <w:t xml:space="preserve">equipment to provide a driver with a view of all passengers in or on the bus </w:t>
      </w:r>
    </w:p>
    <w:p w14:paraId="7088DB71" w14:textId="77777777" w:rsidR="003B4A50" w:rsidRPr="00941A49" w:rsidRDefault="003B4A50" w:rsidP="00941A49">
      <w:pPr>
        <w:pStyle w:val="ListParagraph"/>
        <w:numPr>
          <w:ilvl w:val="0"/>
          <w:numId w:val="38"/>
        </w:numPr>
        <w:rPr>
          <w:rFonts w:asciiTheme="minorHAnsi" w:hAnsiTheme="minorHAnsi" w:cstheme="minorHAnsi"/>
          <w:color w:val="auto"/>
          <w:sz w:val="20"/>
          <w:szCs w:val="20"/>
        </w:rPr>
      </w:pPr>
      <w:r w:rsidRPr="00941A49">
        <w:rPr>
          <w:rFonts w:asciiTheme="minorHAnsi" w:hAnsiTheme="minorHAnsi" w:cstheme="minorHAnsi"/>
          <w:color w:val="auto"/>
          <w:sz w:val="20"/>
          <w:szCs w:val="20"/>
        </w:rPr>
        <w:t>safe luggage racks</w:t>
      </w:r>
    </w:p>
    <w:p w14:paraId="4D576514" w14:textId="77777777" w:rsidR="003B4A50" w:rsidRPr="00941A49" w:rsidRDefault="003B4A50" w:rsidP="00941A49">
      <w:pPr>
        <w:pStyle w:val="ListParagraph"/>
        <w:numPr>
          <w:ilvl w:val="0"/>
          <w:numId w:val="38"/>
        </w:numPr>
        <w:rPr>
          <w:rFonts w:asciiTheme="minorHAnsi" w:hAnsiTheme="minorHAnsi" w:cstheme="minorHAnsi"/>
          <w:color w:val="auto"/>
          <w:sz w:val="20"/>
          <w:szCs w:val="20"/>
        </w:rPr>
      </w:pPr>
      <w:r w:rsidRPr="00941A49">
        <w:rPr>
          <w:rFonts w:asciiTheme="minorHAnsi" w:hAnsiTheme="minorHAnsi" w:cstheme="minorHAnsi"/>
          <w:color w:val="auto"/>
          <w:sz w:val="20"/>
          <w:szCs w:val="20"/>
        </w:rPr>
        <w:t>prescribed bulkhead behind the driver’s seat.</w:t>
      </w:r>
    </w:p>
    <w:p w14:paraId="2CCD80D1" w14:textId="77777777" w:rsidR="003B4A50" w:rsidRPr="001C2DC0" w:rsidRDefault="003B4A50" w:rsidP="0095677C">
      <w:pPr>
        <w:pStyle w:val="Heading5"/>
      </w:pPr>
      <w:r w:rsidRPr="001C2DC0">
        <w:t>Expected benefits</w:t>
      </w:r>
    </w:p>
    <w:p w14:paraId="62D38F84" w14:textId="77777777" w:rsidR="003B4A50" w:rsidRDefault="003B4A50" w:rsidP="003B4A50">
      <w:r>
        <w:t>T</w:t>
      </w:r>
      <w:r w:rsidRPr="00D1332F">
        <w:t xml:space="preserve">he main benefit of </w:t>
      </w:r>
      <w:r>
        <w:t xml:space="preserve">bus standards is to </w:t>
      </w:r>
      <w:r w:rsidRPr="00D1332F">
        <w:t>provide</w:t>
      </w:r>
      <w:r>
        <w:t xml:space="preserve"> a minimum level of quality to which buses are required to be maintained to.</w:t>
      </w:r>
      <w:r w:rsidRPr="00C5516C">
        <w:t xml:space="preserve"> </w:t>
      </w:r>
      <w:r>
        <w:t xml:space="preserve">This is expected to improve safety outcomes by mitigating threats to safety or eliminating hazards.  </w:t>
      </w:r>
    </w:p>
    <w:p w14:paraId="6935A0A1" w14:textId="672F3A52" w:rsidR="003B4A50" w:rsidRDefault="003B4A50" w:rsidP="003B4A50">
      <w:r>
        <w:t>The proposed standards address safety risks that may arise in the operation of buses. While the specific impact</w:t>
      </w:r>
      <w:r w:rsidR="0065361B">
        <w:t>s</w:t>
      </w:r>
      <w:r>
        <w:t xml:space="preserve"> of the standards are not known, D</w:t>
      </w:r>
      <w:r w:rsidR="00CA6955">
        <w:t>o</w:t>
      </w:r>
      <w:r>
        <w:t>T expects that the rate of fatalities and serious injuries to be lower with the bus standards in place.</w:t>
      </w:r>
    </w:p>
    <w:p w14:paraId="49602CFC" w14:textId="2DDE3AEC" w:rsidR="003B4A50" w:rsidRDefault="003B4A50" w:rsidP="003B4A50">
      <w:r>
        <w:t xml:space="preserve">The </w:t>
      </w:r>
      <w:r w:rsidR="0021615E">
        <w:t>proposed r</w:t>
      </w:r>
      <w:r>
        <w:t>egulations for bus standards also provide</w:t>
      </w:r>
      <w:r w:rsidRPr="00D1332F">
        <w:t xml:space="preserve"> a mechanism by which regulators can ensure that buses continue to meet the relevant standards.</w:t>
      </w:r>
      <w:r>
        <w:t xml:space="preserve"> By including the standards in regulations, it enables the safety regulator to conduct inspections of buses to ensure compliance.</w:t>
      </w:r>
    </w:p>
    <w:p w14:paraId="09AA99FD" w14:textId="2A0A55C4" w:rsidR="003B4A50" w:rsidRDefault="003B4A50" w:rsidP="003B4A50">
      <w:r>
        <w:t xml:space="preserve">The proposed regulations also extend the application of the ADRs to buses manufactured prior to 1988. For these buses, there will be benefits attributable to the proposed regulations, as the safety standards of the latest ADRs will extend its application to any bus manufactured prior to 1988 that wish to enter the industry. Without the proposed regulations, buses manufactured prior to 1988 will not need to be compliant </w:t>
      </w:r>
      <w:r w:rsidR="00777314">
        <w:t xml:space="preserve">with </w:t>
      </w:r>
      <w:r>
        <w:t>certain ADRs and therefore the safety benefits will not be realised.</w:t>
      </w:r>
    </w:p>
    <w:p w14:paraId="70E23B99" w14:textId="77777777" w:rsidR="003B4A50" w:rsidRDefault="003B4A50" w:rsidP="003B4A50">
      <w:r>
        <w:t>The benefits may not be as significant for buses manufactured after 1988, as these buses already need to be compliant with the ADRs. For example, the requirement to fit fire extinguishers</w:t>
      </w:r>
      <w:r w:rsidRPr="00D1332F">
        <w:t xml:space="preserve"> </w:t>
      </w:r>
      <w:r>
        <w:t xml:space="preserve">and safe luggage racks are consistent with existing ADRs. A bus manufactured after 1988 is already required to meet minimum safety standards, the benefits of these standards cannot be attributable to the proposed regulations. </w:t>
      </w:r>
    </w:p>
    <w:p w14:paraId="321561BB" w14:textId="6988F819" w:rsidR="003B4A50" w:rsidRPr="002C7EF9" w:rsidRDefault="003B4A50" w:rsidP="003B4A50">
      <w:r>
        <w:t xml:space="preserve">Overall, </w:t>
      </w:r>
      <w:r w:rsidR="000F001A">
        <w:t>the</w:t>
      </w:r>
      <w:r w:rsidR="006D2A79">
        <w:t xml:space="preserve"> bus standards </w:t>
      </w:r>
      <w:r w:rsidR="005F5037">
        <w:t>address</w:t>
      </w:r>
      <w:r w:rsidR="006D2A79">
        <w:t xml:space="preserve"> a range of miscellaneous issues relating to the design of the bus itself</w:t>
      </w:r>
      <w:r w:rsidR="000F001A">
        <w:t>. While each individual standard</w:t>
      </w:r>
      <w:r w:rsidR="00D50061">
        <w:t xml:space="preserve"> as a </w:t>
      </w:r>
      <w:r w:rsidR="00594C29">
        <w:t>standalone standard</w:t>
      </w:r>
      <w:r w:rsidR="000F001A">
        <w:t xml:space="preserve"> is not expected to </w:t>
      </w:r>
      <w:r w:rsidR="00036DF4">
        <w:t>contribute significant</w:t>
      </w:r>
      <w:r w:rsidR="00573935">
        <w:t>ly</w:t>
      </w:r>
      <w:r w:rsidR="00036DF4">
        <w:t xml:space="preserve"> to the objectives of the proposed regulations to minimise incidents, fatalities and serious injuries,</w:t>
      </w:r>
      <w:r w:rsidR="001F2EDB">
        <w:t xml:space="preserve"> there is </w:t>
      </w:r>
      <w:r w:rsidR="00557EDA">
        <w:t>expected</w:t>
      </w:r>
      <w:r w:rsidR="001F2EDB">
        <w:t xml:space="preserve"> to be at least a moderate level of improvement to overall safety of bus service</w:t>
      </w:r>
      <w:r w:rsidR="00484C2B">
        <w:t>s</w:t>
      </w:r>
      <w:r w:rsidR="001F2EDB">
        <w:t xml:space="preserve">. </w:t>
      </w:r>
      <w:r w:rsidR="00651BC6">
        <w:t>There will also be</w:t>
      </w:r>
      <w:r>
        <w:t xml:space="preserve"> benefits to bus safety, through more consistent and more effective enforcement,</w:t>
      </w:r>
      <w:r w:rsidR="00651BC6">
        <w:t xml:space="preserve"> </w:t>
      </w:r>
      <w:r w:rsidR="005105FA">
        <w:t>which</w:t>
      </w:r>
      <w:r w:rsidR="00BD2241">
        <w:t>,</w:t>
      </w:r>
      <w:r w:rsidR="005105FA">
        <w:t xml:space="preserve"> in turn</w:t>
      </w:r>
      <w:r w:rsidR="00BD2241">
        <w:t>,</w:t>
      </w:r>
      <w:r w:rsidR="005105FA">
        <w:t xml:space="preserve"> will assist with improve</w:t>
      </w:r>
      <w:r w:rsidR="00D52A0B">
        <w:t>d</w:t>
      </w:r>
      <w:r w:rsidR="005105FA">
        <w:t xml:space="preserve"> bus safety outcomes, </w:t>
      </w:r>
      <w:r w:rsidR="00651BC6">
        <w:t>although this</w:t>
      </w:r>
      <w:r>
        <w:t xml:space="preserve"> cannot be quantified.</w:t>
      </w:r>
    </w:p>
    <w:p w14:paraId="7953143A" w14:textId="77777777" w:rsidR="003B4A50" w:rsidRPr="001C2DC0" w:rsidRDefault="003B4A50" w:rsidP="0095677C">
      <w:pPr>
        <w:pStyle w:val="Heading5"/>
      </w:pPr>
      <w:r w:rsidRPr="001C2DC0">
        <w:t>Expected costs</w:t>
      </w:r>
    </w:p>
    <w:p w14:paraId="033BF859" w14:textId="77777777" w:rsidR="003B4A50" w:rsidRPr="00632EC4" w:rsidRDefault="003B4A50" w:rsidP="003B4A50">
      <w:pPr>
        <w:rPr>
          <w:u w:val="single"/>
        </w:rPr>
      </w:pPr>
      <w:r>
        <w:rPr>
          <w:u w:val="single"/>
        </w:rPr>
        <w:t>Currently operating</w:t>
      </w:r>
      <w:r w:rsidRPr="00632EC4">
        <w:rPr>
          <w:u w:val="single"/>
        </w:rPr>
        <w:t xml:space="preserve"> buses</w:t>
      </w:r>
    </w:p>
    <w:p w14:paraId="2EB32ACD" w14:textId="3A16B8B1" w:rsidR="003B4A50" w:rsidRDefault="003B4A50" w:rsidP="003B4A50">
      <w:r>
        <w:t>The proposed regulations are almost identical to those contained in the current regulations with respect to bus design and standards.</w:t>
      </w:r>
      <w:r w:rsidRPr="00D1332F">
        <w:t xml:space="preserve"> </w:t>
      </w:r>
      <w:r w:rsidRPr="002C7EF9">
        <w:t xml:space="preserve">Consequently, </w:t>
      </w:r>
      <w:r>
        <w:t>DoT assumes that all</w:t>
      </w:r>
      <w:r w:rsidRPr="002C7EF9">
        <w:t xml:space="preserve"> currently operating buses are compliant with these requirements</w:t>
      </w:r>
      <w:r>
        <w:t xml:space="preserve"> and that </w:t>
      </w:r>
      <w:r w:rsidRPr="002C7EF9">
        <w:t>no additional costs will be incurred in meeting the</w:t>
      </w:r>
      <w:r>
        <w:t xml:space="preserve"> standard</w:t>
      </w:r>
      <w:r w:rsidRPr="002C7EF9">
        <w:t>s.</w:t>
      </w:r>
      <w:r>
        <w:t xml:space="preserve"> Even against a base case of no regulations, some of the requirements still need to be met </w:t>
      </w:r>
      <w:r>
        <w:lastRenderedPageBreak/>
        <w:t xml:space="preserve">by buses by virtue of the current ADRs and Vehicle Regulations, including the requirement to fit fire extinguishers and to have safe luggage racks. </w:t>
      </w:r>
    </w:p>
    <w:p w14:paraId="2A7DC45B" w14:textId="77777777" w:rsidR="003B4A50" w:rsidRPr="00632EC4" w:rsidRDefault="003B4A50" w:rsidP="003B4A50">
      <w:pPr>
        <w:rPr>
          <w:u w:val="single"/>
        </w:rPr>
      </w:pPr>
      <w:r>
        <w:rPr>
          <w:u w:val="single"/>
        </w:rPr>
        <w:t>N</w:t>
      </w:r>
      <w:r w:rsidRPr="00632EC4">
        <w:rPr>
          <w:u w:val="single"/>
        </w:rPr>
        <w:t xml:space="preserve">ew </w:t>
      </w:r>
      <w:r>
        <w:rPr>
          <w:u w:val="single"/>
        </w:rPr>
        <w:t>bus entrants</w:t>
      </w:r>
    </w:p>
    <w:p w14:paraId="35E2A549" w14:textId="77777777" w:rsidR="003B4A50" w:rsidRDefault="003B4A50" w:rsidP="003B4A50">
      <w:r w:rsidRPr="002C7EF9">
        <w:t>Th</w:t>
      </w:r>
      <w:r>
        <w:t xml:space="preserve">e proposed regulations potentially give rise </w:t>
      </w:r>
      <w:r w:rsidRPr="002C7EF9">
        <w:t xml:space="preserve">to </w:t>
      </w:r>
      <w:r>
        <w:t>compliance</w:t>
      </w:r>
      <w:r w:rsidRPr="002C7EF9">
        <w:t xml:space="preserve"> costs </w:t>
      </w:r>
      <w:r>
        <w:t>for new buses added to a fleet</w:t>
      </w:r>
      <w:r w:rsidRPr="002C7EF9">
        <w:t xml:space="preserve">. </w:t>
      </w:r>
    </w:p>
    <w:p w14:paraId="52EBAD45" w14:textId="77777777" w:rsidR="003B4A50" w:rsidRDefault="003B4A50" w:rsidP="003B4A50">
      <w:r w:rsidRPr="002C7EF9">
        <w:t xml:space="preserve">However, </w:t>
      </w:r>
      <w:r>
        <w:t xml:space="preserve">some of these </w:t>
      </w:r>
      <w:r w:rsidRPr="002C7EF9">
        <w:t>requirements are also conta</w:t>
      </w:r>
      <w:r w:rsidRPr="00D1332F">
        <w:t>ined within the relevant vehicle standards</w:t>
      </w:r>
      <w:r>
        <w:t>. As mentioned previously, the requirement to fit fire extinguishers</w:t>
      </w:r>
      <w:r w:rsidRPr="00D1332F">
        <w:t xml:space="preserve"> </w:t>
      </w:r>
      <w:r>
        <w:t>and safe luggage racks are consistent with existing ADRs for example. Fo</w:t>
      </w:r>
      <w:r w:rsidRPr="00D1332F">
        <w:t xml:space="preserve">r this reason, all new buses </w:t>
      </w:r>
      <w:r>
        <w:t>should</w:t>
      </w:r>
      <w:r w:rsidRPr="00D1332F">
        <w:t xml:space="preserve"> already</w:t>
      </w:r>
      <w:r>
        <w:t xml:space="preserve"> be</w:t>
      </w:r>
      <w:r w:rsidRPr="00D1332F">
        <w:t xml:space="preserve"> equipped to the </w:t>
      </w:r>
      <w:r>
        <w:t>latest</w:t>
      </w:r>
      <w:r w:rsidRPr="00D1332F">
        <w:t xml:space="preserve"> standard. Consequently, </w:t>
      </w:r>
      <w:r>
        <w:t>DoT does</w:t>
      </w:r>
      <w:r w:rsidRPr="00D1332F">
        <w:t xml:space="preserve"> not </w:t>
      </w:r>
      <w:r>
        <w:t xml:space="preserve">expect </w:t>
      </w:r>
      <w:r w:rsidRPr="00D1332F">
        <w:t>that these requirements will impose any additional costs where new buses are added to the fleet.</w:t>
      </w:r>
    </w:p>
    <w:p w14:paraId="36632268" w14:textId="6D4FBE0A" w:rsidR="003B4A50" w:rsidRDefault="003B4A50" w:rsidP="003B4A50">
      <w:r>
        <w:t xml:space="preserve">The proposed regulations also seek to extend the ADRs to buses manufactured before 1988. As this requirement has been in the existing Regulations, all existing buses manufactured are likely to already </w:t>
      </w:r>
      <w:r w:rsidR="00BC6155">
        <w:t xml:space="preserve">be </w:t>
      </w:r>
      <w:r>
        <w:t xml:space="preserve">compliant with the proposed regulations. Accordingly, DoT does not expect the proposed standards which would apply the current ADRs to buses manufactured prior to 1988 to impose any costs on the industry. </w:t>
      </w:r>
    </w:p>
    <w:p w14:paraId="142BD0AB" w14:textId="06FFE49A" w:rsidR="003B4A50" w:rsidRDefault="003B4A50" w:rsidP="003B4A50">
      <w:r>
        <w:t xml:space="preserve">However, it is also necessary to consider whether any operators will decide to operate buses manufactured prior to 1988 but have not previously been used to provide a bus service (and therefore not previously subject to the latest ADRs). Such buses would not comply with the proposed standard and, therefore, costs would be incurred in modifying and fitting the bus to comply with the standard.  Data from VicRoads show as a proportion of the approximately </w:t>
      </w:r>
      <w:r w:rsidRPr="009F02CD">
        <w:t>19,616</w:t>
      </w:r>
      <w:r>
        <w:t xml:space="preserve"> buses on their registration and licensing records, about </w:t>
      </w:r>
      <w:r w:rsidRPr="009F02CD">
        <w:t>2 per cent</w:t>
      </w:r>
      <w:r>
        <w:t xml:space="preserve"> are buses </w:t>
      </w:r>
      <w:r w:rsidR="006324D9">
        <w:t>manufactured prior to</w:t>
      </w:r>
      <w:r>
        <w:t xml:space="preserve"> 1988. Using this same proportion on TSV data on the total number of buses as </w:t>
      </w:r>
      <w:r w:rsidR="0065361B">
        <w:t>of</w:t>
      </w:r>
      <w:r>
        <w:t xml:space="preserve"> 31 December 2019 (</w:t>
      </w:r>
      <w:r w:rsidRPr="009F02CD">
        <w:t>13,360 buses), 267 buses</w:t>
      </w:r>
      <w:r>
        <w:t xml:space="preserve"> currently operating are assumed to be manufactured prior to 1988. Since this is a small number, it is not likely that an operator would decide to use buses built prior to 1988 for the purpose of providing a transport service. </w:t>
      </w:r>
      <w:r w:rsidR="009258A3">
        <w:t xml:space="preserve">Nevertheless, the proposed standards may </w:t>
      </w:r>
      <w:r w:rsidR="00A74F0C">
        <w:t>provide a disincentive against operators switc</w:t>
      </w:r>
      <w:r w:rsidR="009258A3">
        <w:t>hing</w:t>
      </w:r>
      <w:r w:rsidR="00A74F0C">
        <w:t xml:space="preserve"> to old</w:t>
      </w:r>
      <w:r w:rsidR="006324D9">
        <w:t>er</w:t>
      </w:r>
      <w:r w:rsidR="00A74F0C">
        <w:t xml:space="preserve"> model</w:t>
      </w:r>
      <w:r w:rsidR="009258A3">
        <w:t xml:space="preserve"> buses</w:t>
      </w:r>
      <w:r w:rsidR="00A74F0C">
        <w:t xml:space="preserve"> or modifying e</w:t>
      </w:r>
      <w:r w:rsidR="009258A3">
        <w:t>x</w:t>
      </w:r>
      <w:r w:rsidR="00A74F0C">
        <w:t>isting</w:t>
      </w:r>
      <w:r w:rsidR="009258A3">
        <w:t>, compliant</w:t>
      </w:r>
      <w:r w:rsidR="00A74F0C">
        <w:t xml:space="preserve"> buses</w:t>
      </w:r>
      <w:r w:rsidR="009258A3">
        <w:t xml:space="preserve"> to remove features required</w:t>
      </w:r>
      <w:r w:rsidR="00A74F0C">
        <w:t xml:space="preserve">. </w:t>
      </w:r>
      <w:r w:rsidR="00112CA4">
        <w:t xml:space="preserve">Overall, </w:t>
      </w:r>
      <w:r>
        <w:t>DoT considers that the burden imposed by this regulation for old</w:t>
      </w:r>
      <w:r w:rsidR="006324D9">
        <w:t>er</w:t>
      </w:r>
      <w:r>
        <w:t xml:space="preserve"> buses will be negligible.</w:t>
      </w:r>
    </w:p>
    <w:p w14:paraId="6FF0DE46" w14:textId="21F1A072" w:rsidR="003B4A50" w:rsidRDefault="003B4A50" w:rsidP="003B4A50">
      <w:r>
        <w:t>There may be some additional costs for buses added to the fleet where the proposed regulations impose requirements above and beyond the requirements of the current ADRs. Examples in the proposed regulations include stability for single deck buses, restrictions on exposed ba</w:t>
      </w:r>
      <w:r w:rsidR="00B513F2">
        <w:t>rs</w:t>
      </w:r>
      <w:r>
        <w:t>, equipment (such as a mirror) to provide a driver with a view of all passengers in or on the bus, and prescribed bulkheads behind the driver. To the extent that new buses are not already manufactured to these specifications,</w:t>
      </w:r>
      <w:r w:rsidDel="00106DF4">
        <w:t xml:space="preserve"> </w:t>
      </w:r>
      <w:r>
        <w:t xml:space="preserve">there will be an additional burden imposed on the bus industry. </w:t>
      </w:r>
      <w:r w:rsidR="00DB2EB3">
        <w:t xml:space="preserve">However, DoT notes that </w:t>
      </w:r>
      <w:r w:rsidR="00ED4856">
        <w:t>a</w:t>
      </w:r>
      <w:r w:rsidR="00DB2EB3">
        <w:t xml:space="preserve"> decision to develop the Third Edition ADR</w:t>
      </w:r>
      <w:r w:rsidR="00884F17">
        <w:t>s</w:t>
      </w:r>
      <w:r w:rsidR="00DB2EB3">
        <w:t xml:space="preserve"> was made following endorsement of recommendation</w:t>
      </w:r>
      <w:r w:rsidR="00884F17">
        <w:t>s</w:t>
      </w:r>
      <w:r w:rsidR="00DB2EB3">
        <w:t xml:space="preserve"> by the Australian Transport Advisory Council (ATAC) for international harmonisation of vehicle safety standards</w:t>
      </w:r>
      <w:r w:rsidR="00884F17">
        <w:t xml:space="preserve">. The recommendation involved ensuring that </w:t>
      </w:r>
      <w:r w:rsidR="00DB2EB3" w:rsidRPr="00884F17">
        <w:t>attention</w:t>
      </w:r>
      <w:r w:rsidR="00884F17">
        <w:t xml:space="preserve"> is</w:t>
      </w:r>
      <w:r w:rsidR="00DB2EB3" w:rsidRPr="00884F17">
        <w:t xml:space="preserve"> given to the alignment of vehicle categories and particular ADRs with their international counterparts except where there is sufficient evidence to justify unique requirement</w:t>
      </w:r>
      <w:r w:rsidR="00DB2EB3">
        <w:t>. Given this mandate for ADRs to align with international standards</w:t>
      </w:r>
      <w:r w:rsidR="005A780B">
        <w:t xml:space="preserve">, it is expected </w:t>
      </w:r>
      <w:r w:rsidR="00F10BFD">
        <w:t>that ne</w:t>
      </w:r>
      <w:r w:rsidR="00CC2420">
        <w:t xml:space="preserve">wly manufactured buses will broadly align with </w:t>
      </w:r>
      <w:r w:rsidR="00F10BFD">
        <w:t xml:space="preserve">current ADRs. </w:t>
      </w:r>
      <w:r w:rsidR="00291F19">
        <w:t>There</w:t>
      </w:r>
      <w:r w:rsidR="00C01399">
        <w:t>fore</w:t>
      </w:r>
      <w:r>
        <w:t xml:space="preserve">, DoT does not expect the burden for these standards to be significant. </w:t>
      </w:r>
    </w:p>
    <w:p w14:paraId="068C1F71" w14:textId="7E8B62D5" w:rsidR="003B4A50" w:rsidRDefault="003B4A50" w:rsidP="003B4A50">
      <w:r>
        <w:t xml:space="preserve">It is acknowledged that </w:t>
      </w:r>
      <w:r w:rsidRPr="00D1332F">
        <w:t>some maintenance costs may be incurred in order to ensure that the relevant equipment continues to be maintained in operati</w:t>
      </w:r>
      <w:r>
        <w:t>ng condition. For example, fire extinguishers are expected to be maintained in operating condition.</w:t>
      </w:r>
      <w:r w:rsidRPr="00D1332F">
        <w:t xml:space="preserve"> </w:t>
      </w:r>
      <w:r w:rsidR="00815CB4">
        <w:t xml:space="preserve">This includes compliance with the </w:t>
      </w:r>
      <w:r w:rsidR="00FF2F0B" w:rsidRPr="00815CB4">
        <w:t>Australian Standard AS 1851 “</w:t>
      </w:r>
      <w:r w:rsidR="00815CB4">
        <w:t>Routine Service of Fire</w:t>
      </w:r>
      <w:r w:rsidR="00FF2F0B" w:rsidRPr="00815CB4">
        <w:t xml:space="preserve"> Protection Systems and Equipment” </w:t>
      </w:r>
      <w:r w:rsidR="00815CB4">
        <w:t xml:space="preserve">which </w:t>
      </w:r>
      <w:r w:rsidR="00FF2F0B" w:rsidRPr="00815CB4">
        <w:t xml:space="preserve">require </w:t>
      </w:r>
      <w:r w:rsidR="00FE1BCE">
        <w:t xml:space="preserve">that fire extinguishers </w:t>
      </w:r>
      <w:r w:rsidR="00FF2F0B" w:rsidRPr="00815CB4">
        <w:t>are inspected, tested and serviced every 6 months.</w:t>
      </w:r>
      <w:r w:rsidR="00815CB4">
        <w:t xml:space="preserve"> </w:t>
      </w:r>
      <w:r w:rsidR="00B66719">
        <w:t xml:space="preserve">Based on quotes received from two fire </w:t>
      </w:r>
      <w:r w:rsidR="00BB11FA">
        <w:t>extinguisher</w:t>
      </w:r>
      <w:r w:rsidR="00B66719">
        <w:t xml:space="preserve"> testing companies, a</w:t>
      </w:r>
      <w:r w:rsidR="00815CB4">
        <w:t xml:space="preserve">n inspection, test and service costs approximately $5 to $15 per fire </w:t>
      </w:r>
      <w:r w:rsidR="007463D1">
        <w:t>extinguisher</w:t>
      </w:r>
      <w:r w:rsidR="00815CB4">
        <w:t xml:space="preserve"> test every 6 months.</w:t>
      </w:r>
      <w:r w:rsidR="00C96A03">
        <w:t xml:space="preserve"> This cost, however, cannot be </w:t>
      </w:r>
      <w:r w:rsidR="007463D1">
        <w:t>attributable</w:t>
      </w:r>
      <w:r w:rsidR="00C96A03">
        <w:t xml:space="preserve"> to the regulations, as it is a requiremen</w:t>
      </w:r>
      <w:r w:rsidR="00B56DF4">
        <w:t xml:space="preserve">t </w:t>
      </w:r>
      <w:r w:rsidR="00C96A03">
        <w:t>under the Australian Standards.</w:t>
      </w:r>
    </w:p>
    <w:p w14:paraId="489ED6D7" w14:textId="0A7EB5F2" w:rsidR="003B4A50" w:rsidRPr="001C2DC0" w:rsidRDefault="003B4A50" w:rsidP="0095677C">
      <w:pPr>
        <w:pStyle w:val="Heading5"/>
      </w:pPr>
      <w:r w:rsidRPr="001C2DC0">
        <w:t>Summary</w:t>
      </w:r>
    </w:p>
    <w:p w14:paraId="10A4D711" w14:textId="0906029E" w:rsidR="003B4A50" w:rsidRPr="00796B39" w:rsidRDefault="003B4A50" w:rsidP="003B4A50">
      <w:pPr>
        <w:rPr>
          <w:color w:val="auto"/>
          <w:szCs w:val="20"/>
        </w:rPr>
      </w:pPr>
      <w:r w:rsidRPr="00796B39">
        <w:t>D</w:t>
      </w:r>
      <w:r w:rsidR="00CB2288">
        <w:t>o</w:t>
      </w:r>
      <w:r w:rsidRPr="00796B39">
        <w:t xml:space="preserve">T </w:t>
      </w:r>
      <w:r w:rsidRPr="00796B39">
        <w:rPr>
          <w:szCs w:val="20"/>
        </w:rPr>
        <w:t xml:space="preserve">expects </w:t>
      </w:r>
      <w:r w:rsidRPr="00796B39">
        <w:rPr>
          <w:color w:val="auto"/>
          <w:szCs w:val="20"/>
        </w:rPr>
        <w:t>the benefits to outweigh the costs because:</w:t>
      </w:r>
    </w:p>
    <w:p w14:paraId="1EDB5C4D" w14:textId="77777777" w:rsidR="003B4A50" w:rsidRDefault="003B4A50" w:rsidP="00842F5A">
      <w:pPr>
        <w:pStyle w:val="ListParagraph"/>
        <w:numPr>
          <w:ilvl w:val="0"/>
          <w:numId w:val="23"/>
        </w:numPr>
        <w:rPr>
          <w:rFonts w:asciiTheme="minorHAnsi" w:hAnsiTheme="minorHAnsi"/>
          <w:color w:val="auto"/>
          <w:sz w:val="20"/>
          <w:szCs w:val="20"/>
        </w:rPr>
      </w:pPr>
      <w:r>
        <w:rPr>
          <w:rFonts w:asciiTheme="minorHAnsi" w:hAnsiTheme="minorHAnsi"/>
          <w:color w:val="auto"/>
          <w:sz w:val="20"/>
          <w:szCs w:val="20"/>
        </w:rPr>
        <w:t>the compliance costs associated with complying with the standards are minor</w:t>
      </w:r>
    </w:p>
    <w:p w14:paraId="6070C77E" w14:textId="29511D5A" w:rsidR="003B4A50" w:rsidRPr="00796B39" w:rsidRDefault="002C5501" w:rsidP="00842F5A">
      <w:pPr>
        <w:pStyle w:val="ListParagraph"/>
        <w:numPr>
          <w:ilvl w:val="0"/>
          <w:numId w:val="23"/>
        </w:numPr>
        <w:rPr>
          <w:rFonts w:asciiTheme="minorHAnsi" w:hAnsiTheme="minorHAnsi"/>
          <w:color w:val="auto"/>
          <w:sz w:val="20"/>
          <w:szCs w:val="20"/>
        </w:rPr>
      </w:pPr>
      <w:r>
        <w:rPr>
          <w:rFonts w:asciiTheme="minorHAnsi" w:hAnsiTheme="minorHAnsi"/>
          <w:color w:val="auto"/>
          <w:sz w:val="20"/>
          <w:szCs w:val="20"/>
        </w:rPr>
        <w:t>t</w:t>
      </w:r>
      <w:r w:rsidR="003B4A50">
        <w:rPr>
          <w:rFonts w:asciiTheme="minorHAnsi" w:hAnsiTheme="minorHAnsi"/>
          <w:color w:val="auto"/>
          <w:sz w:val="20"/>
          <w:szCs w:val="20"/>
        </w:rPr>
        <w:t>he regulations address potential safety risks in buses that are not otherwise covered by the Vehicle Standards under the Road Safety Act or the Heavy Vehicle National Law.</w:t>
      </w:r>
    </w:p>
    <w:p w14:paraId="61A21E96" w14:textId="63213AAA" w:rsidR="003B4A50" w:rsidRDefault="003B4A50" w:rsidP="003B4A50">
      <w:r w:rsidRPr="00796B39">
        <w:rPr>
          <w:color w:val="auto"/>
          <w:szCs w:val="20"/>
        </w:rPr>
        <w:lastRenderedPageBreak/>
        <w:t>For these reasons, D</w:t>
      </w:r>
      <w:r w:rsidR="00CB2288">
        <w:rPr>
          <w:color w:val="auto"/>
          <w:szCs w:val="20"/>
        </w:rPr>
        <w:t>o</w:t>
      </w:r>
      <w:r w:rsidRPr="00796B39">
        <w:rPr>
          <w:color w:val="auto"/>
          <w:szCs w:val="20"/>
        </w:rPr>
        <w:t>T</w:t>
      </w:r>
      <w:r w:rsidRPr="00796B39">
        <w:rPr>
          <w:color w:val="auto"/>
        </w:rPr>
        <w:t xml:space="preserve"> proposes </w:t>
      </w:r>
      <w:r w:rsidRPr="00796B39">
        <w:t xml:space="preserve">that the regulations </w:t>
      </w:r>
      <w:r>
        <w:t>for bus</w:t>
      </w:r>
      <w:r w:rsidRPr="00796B39">
        <w:t xml:space="preserve"> standards be made.</w:t>
      </w:r>
    </w:p>
    <w:p w14:paraId="1B0EB02B" w14:textId="1823FBC7" w:rsidR="00CD4322" w:rsidRDefault="00CD4322" w:rsidP="00F041F9">
      <w:pPr>
        <w:pStyle w:val="Heading3"/>
      </w:pPr>
      <w:bookmarkStart w:id="575" w:name="_Ref41819368"/>
      <w:bookmarkStart w:id="576" w:name="_Toc45704372"/>
      <w:r>
        <w:t>Requirements for maintaining vehicle safety</w:t>
      </w:r>
      <w:bookmarkEnd w:id="576"/>
    </w:p>
    <w:p w14:paraId="4C6B2C9F" w14:textId="2B91FFCA" w:rsidR="003B4A50" w:rsidRDefault="001861FC" w:rsidP="0095677C">
      <w:pPr>
        <w:pStyle w:val="Heading4"/>
      </w:pPr>
      <w:bookmarkStart w:id="577" w:name="_Ref41905887"/>
      <w:r>
        <w:t>Safety systems for vehicle safety</w:t>
      </w:r>
      <w:bookmarkEnd w:id="575"/>
      <w:bookmarkEnd w:id="577"/>
    </w:p>
    <w:p w14:paraId="0E011770" w14:textId="584FC61B" w:rsidR="002E104A" w:rsidRPr="002E104A" w:rsidRDefault="0015693E" w:rsidP="0015693E">
      <w:pPr>
        <w:rPr>
          <w:rFonts w:cstheme="minorHAnsi"/>
          <w:color w:val="auto"/>
          <w:szCs w:val="20"/>
        </w:rPr>
      </w:pPr>
      <w:r>
        <w:t xml:space="preserve">This section </w:t>
      </w:r>
      <w:r w:rsidR="00CB4168">
        <w:t>considers the impacts</w:t>
      </w:r>
      <w:r w:rsidR="00D010B4">
        <w:t xml:space="preserve"> of</w:t>
      </w:r>
      <w:r>
        <w:t xml:space="preserve"> implementing safety systems in relation to the maintenance of buses</w:t>
      </w:r>
      <w:r w:rsidR="00D010B4">
        <w:t xml:space="preserve"> based on considerations discussed in Section</w:t>
      </w:r>
      <w:r w:rsidR="00D43E46">
        <w:t xml:space="preserve"> </w:t>
      </w:r>
      <w:r w:rsidR="00D43E46">
        <w:fldChar w:fldCharType="begin"/>
      </w:r>
      <w:r w:rsidR="00D43E46">
        <w:instrText xml:space="preserve"> REF _Ref43281791 \r \h </w:instrText>
      </w:r>
      <w:r w:rsidR="00D43E46">
        <w:fldChar w:fldCharType="separate"/>
      </w:r>
      <w:r w:rsidR="00277F6E">
        <w:t>6.1.2.1</w:t>
      </w:r>
      <w:r w:rsidR="00D43E46">
        <w:fldChar w:fldCharType="end"/>
      </w:r>
      <w:r>
        <w:t xml:space="preserve">. The </w:t>
      </w:r>
      <w:r w:rsidRPr="002E104A">
        <w:rPr>
          <w:rFonts w:cstheme="minorHAnsi"/>
          <w:color w:val="auto"/>
          <w:szCs w:val="20"/>
        </w:rPr>
        <w:t>assess</w:t>
      </w:r>
      <w:r w:rsidR="002E104A" w:rsidRPr="002E104A">
        <w:rPr>
          <w:rFonts w:cstheme="minorHAnsi"/>
          <w:color w:val="auto"/>
          <w:szCs w:val="20"/>
        </w:rPr>
        <w:t>ed options would require</w:t>
      </w:r>
      <w:r w:rsidR="00054BCA">
        <w:rPr>
          <w:rFonts w:cstheme="minorHAnsi"/>
          <w:color w:val="auto"/>
          <w:szCs w:val="20"/>
        </w:rPr>
        <w:t xml:space="preserve"> (status quo)</w:t>
      </w:r>
      <w:r w:rsidR="002E104A" w:rsidRPr="002E104A">
        <w:rPr>
          <w:rFonts w:cstheme="minorHAnsi"/>
          <w:color w:val="auto"/>
          <w:szCs w:val="20"/>
        </w:rPr>
        <w:t>:</w:t>
      </w:r>
    </w:p>
    <w:p w14:paraId="4E8DCF52" w14:textId="04713DA0" w:rsidR="002E104A" w:rsidRPr="002E104A" w:rsidRDefault="002E104A" w:rsidP="00842F5A">
      <w:pPr>
        <w:pStyle w:val="ListParagraph"/>
        <w:numPr>
          <w:ilvl w:val="0"/>
          <w:numId w:val="30"/>
        </w:numPr>
        <w:rPr>
          <w:rFonts w:asciiTheme="minorHAnsi" w:hAnsiTheme="minorHAnsi" w:cstheme="minorHAnsi"/>
          <w:color w:val="auto"/>
          <w:sz w:val="20"/>
          <w:szCs w:val="20"/>
        </w:rPr>
      </w:pPr>
      <w:r w:rsidRPr="002E104A">
        <w:rPr>
          <w:rFonts w:asciiTheme="minorHAnsi" w:hAnsiTheme="minorHAnsi" w:cstheme="minorHAnsi"/>
          <w:color w:val="auto"/>
          <w:sz w:val="20"/>
          <w:szCs w:val="20"/>
        </w:rPr>
        <w:t xml:space="preserve">accredited operators to implement </w:t>
      </w:r>
      <w:r w:rsidR="0015693E" w:rsidRPr="002E104A">
        <w:rPr>
          <w:rFonts w:asciiTheme="minorHAnsi" w:hAnsiTheme="minorHAnsi" w:cstheme="minorHAnsi"/>
          <w:color w:val="auto"/>
          <w:sz w:val="20"/>
          <w:szCs w:val="20"/>
        </w:rPr>
        <w:t xml:space="preserve">systems and processes to be in place to ensure vehicles are inspected and maintained and defects are reported and cleared. </w:t>
      </w:r>
    </w:p>
    <w:p w14:paraId="3DF3F327" w14:textId="6B619315" w:rsidR="004854FE" w:rsidRPr="004854FE" w:rsidRDefault="004854FE" w:rsidP="004854FE">
      <w:r w:rsidRPr="004854FE">
        <w:t>Note that the impacts associated with any records or documents produced as part of an M</w:t>
      </w:r>
      <w:r>
        <w:t>M</w:t>
      </w:r>
      <w:r w:rsidRPr="004854FE">
        <w:t xml:space="preserve">S is considered under the impacts of records in Section </w:t>
      </w:r>
      <w:r w:rsidRPr="004854FE">
        <w:fldChar w:fldCharType="begin"/>
      </w:r>
      <w:r w:rsidRPr="004854FE">
        <w:instrText xml:space="preserve"> REF _Ref42010214 \r \h  \* MERGEFORMAT </w:instrText>
      </w:r>
      <w:r w:rsidRPr="004854FE">
        <w:fldChar w:fldCharType="separate"/>
      </w:r>
      <w:r w:rsidR="00277F6E">
        <w:t>7.7</w:t>
      </w:r>
      <w:r w:rsidRPr="004854FE">
        <w:fldChar w:fldCharType="end"/>
      </w:r>
      <w:r w:rsidRPr="004854FE">
        <w:t>.</w:t>
      </w:r>
    </w:p>
    <w:p w14:paraId="3B829064" w14:textId="55F6A00A" w:rsidR="0015693E" w:rsidRPr="00C43E9A" w:rsidRDefault="0015693E" w:rsidP="0095677C">
      <w:pPr>
        <w:pStyle w:val="Heading5"/>
      </w:pPr>
      <w:r w:rsidRPr="00C43E9A">
        <w:t>Expected benefits</w:t>
      </w:r>
    </w:p>
    <w:p w14:paraId="1AEA1C34" w14:textId="267E995E" w:rsidR="0015693E" w:rsidRPr="006C6913" w:rsidRDefault="0015693E" w:rsidP="0015693E">
      <w:r>
        <w:t>T</w:t>
      </w:r>
      <w:r w:rsidRPr="006C6913">
        <w:t xml:space="preserve">he </w:t>
      </w:r>
      <w:r>
        <w:t xml:space="preserve">proposed regulations require accredited bus operators to establish and maintain a maintenance management system (MMS) in relation to maintaining vehicle safety. Essentially, accredited bus operators </w:t>
      </w:r>
      <w:r w:rsidRPr="006C6913">
        <w:t>will be required to actively</w:t>
      </w:r>
      <w:r>
        <w:t xml:space="preserve"> put systems in place to ensure that the vehicles used in their bus service is safe. </w:t>
      </w:r>
      <w:r w:rsidRPr="006C6913">
        <w:t>This should lead to</w:t>
      </w:r>
      <w:r>
        <w:t xml:space="preserve"> improvements in managing the safety of the buses in an accredited operator’s fleet by ensuring that any deficiencies in the safety of a vehicle </w:t>
      </w:r>
      <w:r w:rsidR="000616FB">
        <w:t>are</w:t>
      </w:r>
      <w:r>
        <w:t xml:space="preserve"> promptly identified and rectified. This will minimise the number of incidents resulting from mechanical </w:t>
      </w:r>
      <w:r w:rsidR="0065361B">
        <w:t>failures,</w:t>
      </w:r>
      <w:r>
        <w:t xml:space="preserve"> which will ultimately lead to a reduction in injuries (serious or otherwise) or fatalities.</w:t>
      </w:r>
    </w:p>
    <w:p w14:paraId="4B80B04A" w14:textId="36A2D944" w:rsidR="00610770" w:rsidRDefault="0015693E" w:rsidP="0015693E">
      <w:r w:rsidRPr="006C6913">
        <w:t xml:space="preserve">Since </w:t>
      </w:r>
      <w:r>
        <w:t>accredited bus operators</w:t>
      </w:r>
      <w:r w:rsidRPr="006C6913">
        <w:t xml:space="preserve"> already have a duty to ensure safety, </w:t>
      </w:r>
      <w:r>
        <w:t xml:space="preserve">so far as is reasonably practicable, the effects of implementing systems to ensure vehicles are appropriately maintained are </w:t>
      </w:r>
      <w:r w:rsidR="00F678B4">
        <w:t xml:space="preserve">implicit to </w:t>
      </w:r>
      <w:r>
        <w:t xml:space="preserve">the underlying safety duty. Therefore, </w:t>
      </w:r>
      <w:r w:rsidRPr="006C6913">
        <w:t>the expected</w:t>
      </w:r>
      <w:r>
        <w:t xml:space="preserve"> safety</w:t>
      </w:r>
      <w:r w:rsidRPr="006C6913">
        <w:t xml:space="preserve"> benefits </w:t>
      </w:r>
      <w:r>
        <w:t xml:space="preserve">will </w:t>
      </w:r>
      <w:r w:rsidRPr="006C6913">
        <w:t>be</w:t>
      </w:r>
      <w:r>
        <w:t xml:space="preserve"> linked to the actions undertaken to comply with the safety duty</w:t>
      </w:r>
      <w:r w:rsidR="00E86FA9">
        <w:t xml:space="preserve">, such as performing </w:t>
      </w:r>
      <w:r w:rsidR="00A105A0">
        <w:t>vehicle</w:t>
      </w:r>
      <w:r w:rsidR="00E86FA9">
        <w:t xml:space="preserve"> inspections</w:t>
      </w:r>
      <w:r w:rsidRPr="006C6913">
        <w:t xml:space="preserve">. </w:t>
      </w:r>
      <w:r>
        <w:t xml:space="preserve">It may be the case that accredited bus operators will already develop safety systems to ensure the safety of vehicles, in the absence of a specific requirement in regulations to develop an MMS. </w:t>
      </w:r>
    </w:p>
    <w:p w14:paraId="4FD5FA1B" w14:textId="510A5177" w:rsidR="00EF27DC" w:rsidRDefault="00EF27DC" w:rsidP="0015693E">
      <w:r>
        <w:t xml:space="preserve">In addition, </w:t>
      </w:r>
      <w:r w:rsidR="00F87637">
        <w:t>even in the absence of regulations</w:t>
      </w:r>
      <w:r w:rsidR="001B59B7">
        <w:t xml:space="preserve">, </w:t>
      </w:r>
      <w:r>
        <w:rPr>
          <w:rFonts w:cstheme="minorHAnsi"/>
          <w:color w:val="auto"/>
          <w:szCs w:val="20"/>
        </w:rPr>
        <w:t xml:space="preserve">an operator may already perform activities related to the maintenance of </w:t>
      </w:r>
      <w:r w:rsidR="002770D5">
        <w:rPr>
          <w:rFonts w:cstheme="minorHAnsi"/>
          <w:color w:val="auto"/>
          <w:szCs w:val="20"/>
        </w:rPr>
        <w:t xml:space="preserve">a </w:t>
      </w:r>
      <w:r>
        <w:rPr>
          <w:rFonts w:cstheme="minorHAnsi"/>
          <w:color w:val="auto"/>
          <w:szCs w:val="20"/>
        </w:rPr>
        <w:t xml:space="preserve">vehicle, </w:t>
      </w:r>
      <w:r w:rsidR="005A1710">
        <w:rPr>
          <w:rFonts w:cstheme="minorHAnsi"/>
          <w:color w:val="auto"/>
          <w:szCs w:val="20"/>
        </w:rPr>
        <w:t xml:space="preserve">particularly </w:t>
      </w:r>
      <w:r>
        <w:rPr>
          <w:rFonts w:cstheme="minorHAnsi"/>
          <w:color w:val="auto"/>
          <w:szCs w:val="20"/>
        </w:rPr>
        <w:t xml:space="preserve">in relation to those </w:t>
      </w:r>
      <w:r w:rsidR="00610770">
        <w:rPr>
          <w:rFonts w:cstheme="minorHAnsi"/>
          <w:color w:val="auto"/>
          <w:szCs w:val="20"/>
        </w:rPr>
        <w:t>maintenance activities spec</w:t>
      </w:r>
      <w:r>
        <w:rPr>
          <w:rFonts w:cstheme="minorHAnsi"/>
          <w:color w:val="auto"/>
          <w:szCs w:val="20"/>
        </w:rPr>
        <w:t xml:space="preserve">ified by the manufacturer or other sources deemed appropriate by the operator. Activities related to this requirement </w:t>
      </w:r>
      <w:r w:rsidR="00F87637">
        <w:rPr>
          <w:rFonts w:cstheme="minorHAnsi"/>
          <w:color w:val="auto"/>
          <w:szCs w:val="20"/>
        </w:rPr>
        <w:t>may be considered</w:t>
      </w:r>
      <w:r>
        <w:rPr>
          <w:rFonts w:cstheme="minorHAnsi"/>
          <w:color w:val="auto"/>
          <w:szCs w:val="20"/>
        </w:rPr>
        <w:t xml:space="preserve"> business as usual practice, </w:t>
      </w:r>
      <w:r w:rsidR="00F87637">
        <w:rPr>
          <w:rFonts w:cstheme="minorHAnsi"/>
          <w:color w:val="auto"/>
          <w:szCs w:val="20"/>
        </w:rPr>
        <w:t xml:space="preserve">so the benefits relating </w:t>
      </w:r>
      <w:r w:rsidR="00B7415A">
        <w:rPr>
          <w:rFonts w:cstheme="minorHAnsi"/>
          <w:color w:val="auto"/>
          <w:szCs w:val="20"/>
        </w:rPr>
        <w:t xml:space="preserve">to </w:t>
      </w:r>
      <w:r w:rsidR="00D154D2">
        <w:rPr>
          <w:rFonts w:cstheme="minorHAnsi"/>
          <w:color w:val="auto"/>
          <w:szCs w:val="20"/>
        </w:rPr>
        <w:t>requiring regular maintenance of vehicles may</w:t>
      </w:r>
      <w:r w:rsidR="00477DEA">
        <w:rPr>
          <w:rFonts w:cstheme="minorHAnsi"/>
          <w:color w:val="auto"/>
          <w:szCs w:val="20"/>
        </w:rPr>
        <w:t xml:space="preserve"> not</w:t>
      </w:r>
      <w:r w:rsidR="00C865A2">
        <w:rPr>
          <w:rFonts w:cstheme="minorHAnsi"/>
          <w:color w:val="auto"/>
          <w:szCs w:val="20"/>
        </w:rPr>
        <w:t xml:space="preserve"> necessarily be entirely attributable to the proposed regulations. While there may be some benefits to increasing maintenance of vehicle consistently across the whole bus fleet, the greater benefits </w:t>
      </w:r>
      <w:r w:rsidR="00D45023">
        <w:rPr>
          <w:rFonts w:cstheme="minorHAnsi"/>
          <w:color w:val="auto"/>
          <w:szCs w:val="20"/>
        </w:rPr>
        <w:t xml:space="preserve">likely </w:t>
      </w:r>
      <w:r w:rsidR="00C865A2">
        <w:rPr>
          <w:rFonts w:cstheme="minorHAnsi"/>
          <w:color w:val="auto"/>
          <w:szCs w:val="20"/>
        </w:rPr>
        <w:t xml:space="preserve">arise from providing a backstop to </w:t>
      </w:r>
      <w:r w:rsidR="00151A5F">
        <w:rPr>
          <w:rFonts w:cstheme="minorHAnsi"/>
          <w:color w:val="auto"/>
          <w:szCs w:val="20"/>
        </w:rPr>
        <w:t>marginally</w:t>
      </w:r>
      <w:r w:rsidR="00C865A2">
        <w:rPr>
          <w:rFonts w:cstheme="minorHAnsi"/>
          <w:color w:val="auto"/>
          <w:szCs w:val="20"/>
        </w:rPr>
        <w:t xml:space="preserve"> increase compliance with maintaining vehicles.</w:t>
      </w:r>
    </w:p>
    <w:p w14:paraId="2248C27F" w14:textId="5669FF08" w:rsidR="0015693E" w:rsidRDefault="0015693E" w:rsidP="0015693E">
      <w:r>
        <w:t xml:space="preserve">However, the purpose of the regulations is to ensure that the systems are implemented across all operators. DoT considers the </w:t>
      </w:r>
      <w:r w:rsidRPr="006C6913">
        <w:t xml:space="preserve">proposed regulation is designed to complement the </w:t>
      </w:r>
      <w:r w:rsidR="00B7415A">
        <w:t xml:space="preserve">general </w:t>
      </w:r>
      <w:r w:rsidRPr="006C6913">
        <w:t xml:space="preserve">safety duties scheme under the </w:t>
      </w:r>
      <w:r>
        <w:t xml:space="preserve">Bus Safety Act. The overall benefits directly attributed to the regulations will be difficult to ascertain. </w:t>
      </w:r>
    </w:p>
    <w:p w14:paraId="5C5A402D" w14:textId="0BB50399" w:rsidR="0015693E" w:rsidRDefault="0015693E" w:rsidP="0015693E">
      <w:r w:rsidRPr="006C6913">
        <w:t>The development and maintenance of</w:t>
      </w:r>
      <w:r>
        <w:t xml:space="preserve"> an MMS </w:t>
      </w:r>
      <w:r w:rsidRPr="006C6913">
        <w:t xml:space="preserve">will also aid the </w:t>
      </w:r>
      <w:r>
        <w:t>Safety Director</w:t>
      </w:r>
      <w:r w:rsidRPr="006C6913">
        <w:t xml:space="preserve"> in compliance monitoring and enforcement. The </w:t>
      </w:r>
      <w:r w:rsidR="00B7415A">
        <w:t xml:space="preserve">MMS </w:t>
      </w:r>
      <w:r w:rsidRPr="006C6913">
        <w:t xml:space="preserve">document will provide a point of reference to </w:t>
      </w:r>
      <w:r w:rsidR="00C755FE">
        <w:t>transport safety</w:t>
      </w:r>
      <w:r w:rsidR="00C755FE" w:rsidRPr="006C6913">
        <w:t xml:space="preserve"> </w:t>
      </w:r>
      <w:r w:rsidRPr="006C6913">
        <w:t xml:space="preserve">officers undertaking </w:t>
      </w:r>
      <w:r>
        <w:t>audit</w:t>
      </w:r>
      <w:r w:rsidRPr="006C6913">
        <w:t xml:space="preserve"> of duty holders when investigating compliance with the safety duties. The </w:t>
      </w:r>
      <w:r w:rsidR="000A47F7">
        <w:t>transport safety</w:t>
      </w:r>
      <w:r w:rsidR="000A47F7" w:rsidRPr="006C6913">
        <w:t xml:space="preserve"> </w:t>
      </w:r>
      <w:r w:rsidRPr="006C6913">
        <w:t>officers will be able to assess how the duty holder proposes to manage certain safety risks and whether the duty holder has implemented the proposed mitigations and controls.</w:t>
      </w:r>
      <w:r w:rsidR="00BD2241">
        <w:t xml:space="preserve"> This will also assist in improving safety outcomes.</w:t>
      </w:r>
    </w:p>
    <w:p w14:paraId="0D5CE77A" w14:textId="3F425D1C" w:rsidR="0015693E" w:rsidRDefault="00477CE6" w:rsidP="0015693E">
      <w:r>
        <w:t>T</w:t>
      </w:r>
      <w:r w:rsidR="0015693E">
        <w:t xml:space="preserve">here are clearly benefits to </w:t>
      </w:r>
      <w:r w:rsidR="006B6D9E">
        <w:t>requir</w:t>
      </w:r>
      <w:r w:rsidR="00827E20">
        <w:t>ing</w:t>
      </w:r>
      <w:r w:rsidR="006B6D9E">
        <w:t xml:space="preserve"> </w:t>
      </w:r>
      <w:r w:rsidR="0015693E">
        <w:t xml:space="preserve">a system </w:t>
      </w:r>
      <w:r w:rsidR="001A7ECB">
        <w:t>be put in</w:t>
      </w:r>
      <w:r w:rsidR="00E86FA9">
        <w:t xml:space="preserve"> place for the </w:t>
      </w:r>
      <w:r w:rsidR="008B7050">
        <w:t xml:space="preserve">inspection </w:t>
      </w:r>
      <w:r w:rsidR="0015693E">
        <w:t>vehicles</w:t>
      </w:r>
      <w:r w:rsidR="0063315B">
        <w:t xml:space="preserve"> and to </w:t>
      </w:r>
      <w:r w:rsidR="00BD385C">
        <w:t>identify</w:t>
      </w:r>
      <w:r w:rsidR="0063315B">
        <w:t xml:space="preserve"> vehicle safety issues before they become an issue</w:t>
      </w:r>
      <w:r w:rsidR="00BD385C">
        <w:t xml:space="preserve">. </w:t>
      </w:r>
      <w:r>
        <w:t xml:space="preserve">DoT expects that the safety benefits </w:t>
      </w:r>
      <w:r w:rsidR="00197A3F">
        <w:t xml:space="preserve">in reducing bus safety incidents, fatalities and serious </w:t>
      </w:r>
      <w:r w:rsidR="00C625CA">
        <w:t xml:space="preserve">injuries </w:t>
      </w:r>
      <w:r w:rsidR="00197A3F">
        <w:t>will be moderate to high</w:t>
      </w:r>
      <w:r w:rsidR="00CB39E5">
        <w:t>.</w:t>
      </w:r>
      <w:r w:rsidR="00EF27DC">
        <w:t xml:space="preserve"> </w:t>
      </w:r>
    </w:p>
    <w:p w14:paraId="5E954C8A" w14:textId="77777777" w:rsidR="00B57530" w:rsidRPr="001C2DC0" w:rsidRDefault="00B57530" w:rsidP="0095677C">
      <w:pPr>
        <w:pStyle w:val="Heading5"/>
      </w:pPr>
      <w:r w:rsidRPr="001C2DC0">
        <w:t>Expected costs</w:t>
      </w:r>
    </w:p>
    <w:p w14:paraId="20A628D8" w14:textId="7EA61711" w:rsidR="00B57530" w:rsidRDefault="00B57530" w:rsidP="00B57530">
      <w:r>
        <w:t>The main costs associated with this option are the administrative and compliance costs of establishing and implementing a</w:t>
      </w:r>
      <w:r w:rsidR="002415A2">
        <w:t xml:space="preserve">n </w:t>
      </w:r>
      <w:r>
        <w:t xml:space="preserve">MMS. </w:t>
      </w:r>
    </w:p>
    <w:p w14:paraId="2179B0BA" w14:textId="5F7F1872" w:rsidR="00B57530" w:rsidRPr="00193D20" w:rsidRDefault="00B57530" w:rsidP="00B57530">
      <w:r w:rsidRPr="00193D20">
        <w:lastRenderedPageBreak/>
        <w:t>The proposed regulation for the MMS is</w:t>
      </w:r>
      <w:r>
        <w:t xml:space="preserve"> an</w:t>
      </w:r>
      <w:r w:rsidRPr="00193D20">
        <w:t xml:space="preserve"> outcomes-based</w:t>
      </w:r>
      <w:r>
        <w:t xml:space="preserve"> regulation and requires the operator </w:t>
      </w:r>
      <w:r w:rsidR="00FF6F1C">
        <w:t xml:space="preserve">to </w:t>
      </w:r>
      <w:r>
        <w:t>implement a maintenance system so that buses are maintained in a fit, serviceable and safe condition.</w:t>
      </w:r>
      <w:r w:rsidRPr="00193D20">
        <w:t xml:space="preserve"> This provides flexibility for the operator</w:t>
      </w:r>
      <w:r>
        <w:t>s</w:t>
      </w:r>
      <w:r w:rsidRPr="00193D20">
        <w:t xml:space="preserve"> to set their systems based on their own bus operating model and fleet. This means there will be a range of costs incurred by each operator as each MMS will be different. </w:t>
      </w:r>
    </w:p>
    <w:p w14:paraId="547D8345" w14:textId="77777777" w:rsidR="00B57530" w:rsidRPr="00193D20" w:rsidRDefault="00B57530" w:rsidP="00B57530">
      <w:r w:rsidRPr="00193D20">
        <w:t xml:space="preserve">The current regulations provide for an MMS in accordance with requirements by the Safety Director, Currently, TSV require that </w:t>
      </w:r>
      <w:r>
        <w:t xml:space="preserve">an </w:t>
      </w:r>
      <w:r w:rsidRPr="00193D20">
        <w:t>MMS document the following:</w:t>
      </w:r>
    </w:p>
    <w:p w14:paraId="6E21D4A4" w14:textId="77777777" w:rsidR="00B57530" w:rsidRPr="00193D20" w:rsidRDefault="00B57530" w:rsidP="00842F5A">
      <w:pPr>
        <w:pStyle w:val="ListParagraph"/>
        <w:numPr>
          <w:ilvl w:val="0"/>
          <w:numId w:val="23"/>
        </w:numPr>
        <w:rPr>
          <w:rFonts w:asciiTheme="minorHAnsi" w:hAnsiTheme="minorHAnsi" w:cstheme="minorHAnsi"/>
          <w:color w:val="auto"/>
          <w:sz w:val="20"/>
          <w:szCs w:val="20"/>
        </w:rPr>
      </w:pPr>
      <w:r w:rsidRPr="00193D20">
        <w:rPr>
          <w:rFonts w:asciiTheme="minorHAnsi" w:hAnsiTheme="minorHAnsi" w:cstheme="minorHAnsi"/>
          <w:color w:val="auto"/>
          <w:sz w:val="20"/>
          <w:szCs w:val="20"/>
        </w:rPr>
        <w:t>clearly defining and documenting the accountabilities and authorities for persons involved in all the activities associated with the MMS</w:t>
      </w:r>
    </w:p>
    <w:p w14:paraId="22E78AF8" w14:textId="77777777" w:rsidR="00B57530" w:rsidRPr="00193D20" w:rsidRDefault="00B57530" w:rsidP="00842F5A">
      <w:pPr>
        <w:pStyle w:val="ListParagraph"/>
        <w:numPr>
          <w:ilvl w:val="0"/>
          <w:numId w:val="23"/>
        </w:numPr>
        <w:rPr>
          <w:rFonts w:asciiTheme="minorHAnsi" w:hAnsiTheme="minorHAnsi" w:cstheme="minorHAnsi"/>
          <w:color w:val="auto"/>
          <w:sz w:val="20"/>
          <w:szCs w:val="20"/>
        </w:rPr>
      </w:pPr>
      <w:r w:rsidRPr="00193D20">
        <w:rPr>
          <w:rFonts w:asciiTheme="minorHAnsi" w:hAnsiTheme="minorHAnsi" w:cstheme="minorHAnsi"/>
          <w:color w:val="auto"/>
          <w:sz w:val="20"/>
          <w:szCs w:val="20"/>
        </w:rPr>
        <w:t>each person who has a role under an MMS must be appropriately trained and have the required competence to perform that role</w:t>
      </w:r>
    </w:p>
    <w:p w14:paraId="27CB1B72" w14:textId="77777777" w:rsidR="00B57530" w:rsidRPr="00193D20" w:rsidRDefault="00B57530" w:rsidP="00842F5A">
      <w:pPr>
        <w:pStyle w:val="ListParagraph"/>
        <w:numPr>
          <w:ilvl w:val="0"/>
          <w:numId w:val="23"/>
        </w:numPr>
        <w:rPr>
          <w:rFonts w:asciiTheme="minorHAnsi" w:hAnsiTheme="minorHAnsi" w:cstheme="minorHAnsi"/>
          <w:color w:val="auto"/>
          <w:sz w:val="20"/>
          <w:szCs w:val="20"/>
        </w:rPr>
      </w:pPr>
      <w:r w:rsidRPr="00193D20">
        <w:rPr>
          <w:rFonts w:asciiTheme="minorHAnsi" w:hAnsiTheme="minorHAnsi" w:cstheme="minorHAnsi"/>
          <w:color w:val="auto"/>
          <w:sz w:val="20"/>
          <w:szCs w:val="20"/>
        </w:rPr>
        <w:t>prescribe maintenance activities as specified by the manufacturer or other sources deemed appropriate by the accredited operator</w:t>
      </w:r>
    </w:p>
    <w:p w14:paraId="35E8A59A" w14:textId="77777777" w:rsidR="00B57530" w:rsidRPr="00193D20" w:rsidRDefault="00B57530" w:rsidP="00842F5A">
      <w:pPr>
        <w:pStyle w:val="ListParagraph"/>
        <w:numPr>
          <w:ilvl w:val="0"/>
          <w:numId w:val="23"/>
        </w:numPr>
        <w:rPr>
          <w:rFonts w:asciiTheme="minorHAnsi" w:hAnsiTheme="minorHAnsi" w:cstheme="minorHAnsi"/>
          <w:color w:val="auto"/>
          <w:sz w:val="20"/>
          <w:szCs w:val="20"/>
        </w:rPr>
      </w:pPr>
      <w:r w:rsidRPr="00193D20">
        <w:rPr>
          <w:rFonts w:asciiTheme="minorHAnsi" w:hAnsiTheme="minorHAnsi" w:cstheme="minorHAnsi"/>
          <w:color w:val="auto"/>
          <w:sz w:val="20"/>
          <w:szCs w:val="20"/>
        </w:rPr>
        <w:t>prescribe an inspections regime for inspections</w:t>
      </w:r>
    </w:p>
    <w:p w14:paraId="3925DFD6" w14:textId="77777777" w:rsidR="00B57530" w:rsidRDefault="00B57530" w:rsidP="00842F5A">
      <w:pPr>
        <w:pStyle w:val="ListParagraph"/>
        <w:numPr>
          <w:ilvl w:val="0"/>
          <w:numId w:val="23"/>
        </w:numPr>
        <w:rPr>
          <w:rFonts w:asciiTheme="minorHAnsi" w:hAnsiTheme="minorHAnsi" w:cstheme="minorHAnsi"/>
          <w:color w:val="auto"/>
          <w:sz w:val="20"/>
          <w:szCs w:val="20"/>
        </w:rPr>
      </w:pPr>
      <w:r w:rsidRPr="00193D20">
        <w:rPr>
          <w:rFonts w:asciiTheme="minorHAnsi" w:hAnsiTheme="minorHAnsi" w:cstheme="minorHAnsi"/>
          <w:color w:val="auto"/>
          <w:sz w:val="20"/>
          <w:szCs w:val="20"/>
        </w:rPr>
        <w:t>establish processes to identify, record, report and address defects in buses.</w:t>
      </w:r>
    </w:p>
    <w:p w14:paraId="7D08D4E1" w14:textId="77777777" w:rsidR="00B57530" w:rsidRPr="005A5DE5" w:rsidRDefault="00B57530" w:rsidP="00B57530">
      <w:pPr>
        <w:rPr>
          <w:rFonts w:cstheme="minorHAnsi"/>
          <w:color w:val="auto"/>
          <w:szCs w:val="20"/>
        </w:rPr>
      </w:pPr>
      <w:r>
        <w:t>The option considered is applying this requirement to accredited operators.</w:t>
      </w:r>
    </w:p>
    <w:p w14:paraId="56DBA829" w14:textId="77777777" w:rsidR="00B57530" w:rsidRPr="00A15E75" w:rsidRDefault="00B57530" w:rsidP="00B57530">
      <w:pPr>
        <w:rPr>
          <w:u w:val="single"/>
        </w:rPr>
      </w:pPr>
      <w:r w:rsidRPr="00A15E75">
        <w:rPr>
          <w:u w:val="single"/>
        </w:rPr>
        <w:t>Administrative costs</w:t>
      </w:r>
    </w:p>
    <w:p w14:paraId="43CF0071" w14:textId="77777777" w:rsidR="00B57530" w:rsidRPr="00070024" w:rsidRDefault="00B57530" w:rsidP="00B57530">
      <w:r w:rsidRPr="00070024">
        <w:t xml:space="preserve">There will be administrative costs related to developing and maintaining an MMS. </w:t>
      </w:r>
    </w:p>
    <w:p w14:paraId="7750B6D4" w14:textId="77777777" w:rsidR="00B57530" w:rsidRPr="00194DAC" w:rsidRDefault="00B57530" w:rsidP="00B57530">
      <w:pPr>
        <w:rPr>
          <w:i/>
          <w:iCs/>
        </w:rPr>
      </w:pPr>
      <w:r w:rsidRPr="00194DAC">
        <w:rPr>
          <w:i/>
          <w:iCs/>
        </w:rPr>
        <w:t>Hourly labour costs</w:t>
      </w:r>
    </w:p>
    <w:p w14:paraId="6E82E3AA" w14:textId="77777777" w:rsidR="00B57530" w:rsidRDefault="00B57530" w:rsidP="00B57530">
      <w:pPr>
        <w:rPr>
          <w:i/>
          <w:iCs/>
        </w:rPr>
      </w:pPr>
      <w:r w:rsidRPr="001431BE">
        <w:t>The average total cost per bus operator of meeting the administrative aspects of the above</w:t>
      </w:r>
      <w:r w:rsidRPr="00D1332F">
        <w:t xml:space="preserve"> regulatory requirements can be calculated using average hourly wage rates and applying an appropriate multiplier in respect of </w:t>
      </w:r>
      <w:r>
        <w:t>on-costs</w:t>
      </w:r>
      <w:r w:rsidRPr="00D1332F">
        <w:t>.</w:t>
      </w:r>
      <w:r>
        <w:rPr>
          <w:rStyle w:val="FootnoteReference"/>
        </w:rPr>
        <w:footnoteReference w:id="13"/>
      </w:r>
      <w:r w:rsidRPr="00D1332F">
        <w:t xml:space="preserve"> </w:t>
      </w:r>
    </w:p>
    <w:p w14:paraId="2E64EC51" w14:textId="77777777" w:rsidR="00B57530" w:rsidRPr="008F6A46" w:rsidRDefault="00B57530" w:rsidP="00B57530">
      <w:pPr>
        <w:rPr>
          <w:i/>
          <w:iCs/>
        </w:rPr>
      </w:pPr>
      <w:r w:rsidRPr="008F6A46">
        <w:rPr>
          <w:i/>
          <w:iCs/>
        </w:rPr>
        <w:t xml:space="preserve">MMS </w:t>
      </w:r>
      <w:r>
        <w:rPr>
          <w:i/>
          <w:iCs/>
        </w:rPr>
        <w:t>d</w:t>
      </w:r>
      <w:r w:rsidRPr="008F6A46">
        <w:rPr>
          <w:i/>
          <w:iCs/>
        </w:rPr>
        <w:t>evelopment</w:t>
      </w:r>
    </w:p>
    <w:p w14:paraId="70CAA721" w14:textId="77777777" w:rsidR="00B57530" w:rsidRDefault="00B57530" w:rsidP="00B57530">
      <w:r>
        <w:t xml:space="preserve">It is assumed that the time taken to develop an MMS will take approximately </w:t>
      </w:r>
      <w:r w:rsidRPr="00686996">
        <w:t>10 hours</w:t>
      </w:r>
      <w:r>
        <w:t xml:space="preserve">. This includes time to develop systems to ensure all buses are to be maintained in a fit, serviceable and safe condition and, for the purposes of this analysis, DoT will assume that an MMS will include the documentation and processes required under the current TSV requirements for developing an MMS. </w:t>
      </w:r>
    </w:p>
    <w:p w14:paraId="297A96AC" w14:textId="3A57AAB9" w:rsidR="00B57530" w:rsidRDefault="00B57530" w:rsidP="00B57530">
      <w:r>
        <w:t xml:space="preserve">All current accredited bus operators are already required to have an MMS in place, so only </w:t>
      </w:r>
      <w:r w:rsidRPr="00C15064">
        <w:t xml:space="preserve">new accredited operators will need to </w:t>
      </w:r>
      <w:r>
        <w:t>develop</w:t>
      </w:r>
      <w:r w:rsidRPr="00C15064">
        <w:t xml:space="preserve"> an MMS. </w:t>
      </w:r>
      <w:r>
        <w:t>That is, all existing</w:t>
      </w:r>
      <w:r w:rsidRPr="00193D20">
        <w:t xml:space="preserve"> accredited bus operators </w:t>
      </w:r>
      <w:r>
        <w:t xml:space="preserve">will </w:t>
      </w:r>
      <w:r w:rsidRPr="00193D20">
        <w:t>continue</w:t>
      </w:r>
      <w:r>
        <w:t xml:space="preserve"> to use</w:t>
      </w:r>
      <w:r w:rsidRPr="00193D20">
        <w:t xml:space="preserve"> the </w:t>
      </w:r>
      <w:r>
        <w:t xml:space="preserve">maintenance </w:t>
      </w:r>
      <w:r w:rsidRPr="00193D20">
        <w:t>syste</w:t>
      </w:r>
      <w:r>
        <w:t>m</w:t>
      </w:r>
      <w:r w:rsidRPr="00193D20">
        <w:t xml:space="preserve"> they already have in place for the maintenance of their bus fleet</w:t>
      </w:r>
      <w:r>
        <w:t xml:space="preserve"> (as required under the existing regulations which prescribe</w:t>
      </w:r>
      <w:r w:rsidR="00D93C14">
        <w:t>s</w:t>
      </w:r>
      <w:r>
        <w:t xml:space="preserve"> MMS to be in accordance with requirements by the Safety Director). Therefore, DoT will assume that existing accredited operators do not incur the costs of developing a new </w:t>
      </w:r>
      <w:r w:rsidRPr="00C15064">
        <w:t xml:space="preserve">MMS. </w:t>
      </w:r>
      <w:r>
        <w:t xml:space="preserve">The proposed requirements relating to an MMS is less prescriptive than what is required under the existing Regulations. This change will allow for flexibility in how the safety system is developed for each operator. This supports the assumption that existing accredited </w:t>
      </w:r>
      <w:r w:rsidRPr="00D1332F">
        <w:t>operators</w:t>
      </w:r>
      <w:r>
        <w:t xml:space="preserve"> with an MMS developed under the existing Regulations will still be compliant with the proposed regulations, and so will not be required to develop a new MMS. </w:t>
      </w:r>
    </w:p>
    <w:p w14:paraId="5EF31DB9" w14:textId="77777777" w:rsidR="00B57530" w:rsidRDefault="00B57530" w:rsidP="00B57530">
      <w:r>
        <w:t xml:space="preserve">Based on TSV data from 2016 to 2019, there is an average of </w:t>
      </w:r>
      <w:r w:rsidRPr="00B23D3C">
        <w:t>40 new accreditations granted per year</w:t>
      </w:r>
      <w:r>
        <w:t xml:space="preserve">. This means that, for the purposes of this analysis, DoT will assume </w:t>
      </w:r>
      <w:r w:rsidRPr="001E0291">
        <w:t>40 accredited operators per year</w:t>
      </w:r>
      <w:r>
        <w:t xml:space="preserve"> will be required to develop an MMS. </w:t>
      </w:r>
    </w:p>
    <w:p w14:paraId="2FC828DC" w14:textId="77777777" w:rsidR="00B57530" w:rsidRPr="00EB0303" w:rsidRDefault="00B57530" w:rsidP="0095677C">
      <w:pPr>
        <w:keepNext/>
        <w:rPr>
          <w:i/>
          <w:iCs/>
        </w:rPr>
      </w:pPr>
      <w:r w:rsidRPr="00EB0303">
        <w:rPr>
          <w:i/>
          <w:iCs/>
        </w:rPr>
        <w:lastRenderedPageBreak/>
        <w:t xml:space="preserve">MMS maintenance </w:t>
      </w:r>
    </w:p>
    <w:p w14:paraId="2CD453EB" w14:textId="77777777" w:rsidR="00B57530" w:rsidRDefault="00B57530" w:rsidP="00B57530">
      <w:r>
        <w:t xml:space="preserve">All active accredited operators will be required to maintain an MMS, which include an annual audit of their MMS to identify any deficiencies in their systems. It is expected that maintaining an MMS will not be as onerous as developing an MMS and is assumed to take approximately </w:t>
      </w:r>
      <w:r w:rsidRPr="00C93421">
        <w:t>4 hours</w:t>
      </w:r>
      <w:r>
        <w:t>.</w:t>
      </w:r>
    </w:p>
    <w:p w14:paraId="68A42999" w14:textId="02A727A9" w:rsidR="00B57530" w:rsidRDefault="00B57530" w:rsidP="00B57530">
      <w:r>
        <w:t xml:space="preserve">There were </w:t>
      </w:r>
      <w:r w:rsidRPr="009A0CA5">
        <w:t>667</w:t>
      </w:r>
      <w:r>
        <w:t xml:space="preserve"> active accredited operators as </w:t>
      </w:r>
      <w:r w:rsidR="00935D96">
        <w:t>of</w:t>
      </w:r>
      <w:r>
        <w:t xml:space="preserve"> 31 December 2019. The assumed future annual growth rate for accredited operators is </w:t>
      </w:r>
      <w:r w:rsidRPr="00C93421">
        <w:t>1 per cent</w:t>
      </w:r>
      <w:r>
        <w:t>.</w:t>
      </w:r>
      <w:r>
        <w:rPr>
          <w:rStyle w:val="FootnoteReference"/>
          <w:sz w:val="18"/>
        </w:rPr>
        <w:footnoteReference w:id="14"/>
      </w:r>
      <w:r w:rsidR="00717985">
        <w:t xml:space="preserve"> </w:t>
      </w:r>
      <w:r w:rsidR="00126553" w:rsidRPr="00477CE6">
        <w:rPr>
          <w:rStyle w:val="FootnoteReference"/>
          <w:sz w:val="18"/>
        </w:rPr>
        <w:footnoteReference w:id="15"/>
      </w:r>
    </w:p>
    <w:p w14:paraId="7CDCBA81" w14:textId="0388FF24" w:rsidR="00B57530" w:rsidRPr="00CD753E" w:rsidRDefault="00B57530" w:rsidP="00B57530">
      <w:pPr>
        <w:rPr>
          <w:i/>
          <w:iCs/>
        </w:rPr>
      </w:pPr>
      <w:r>
        <w:rPr>
          <w:i/>
          <w:iCs/>
        </w:rPr>
        <w:t xml:space="preserve">Overall </w:t>
      </w:r>
      <w:r w:rsidRPr="00CD753E">
        <w:rPr>
          <w:i/>
          <w:iCs/>
        </w:rPr>
        <w:t xml:space="preserve">MMS </w:t>
      </w:r>
      <w:r>
        <w:rPr>
          <w:i/>
          <w:iCs/>
        </w:rPr>
        <w:t xml:space="preserve">administrative </w:t>
      </w:r>
      <w:r w:rsidRPr="00CD753E">
        <w:rPr>
          <w:i/>
          <w:iCs/>
        </w:rPr>
        <w:t>costs</w:t>
      </w:r>
    </w:p>
    <w:p w14:paraId="3AEBE498" w14:textId="2831DB2C" w:rsidR="00B57530" w:rsidRDefault="00B57530" w:rsidP="00B57530">
      <w:r w:rsidRPr="00E8032B">
        <w:fldChar w:fldCharType="begin"/>
      </w:r>
      <w:r>
        <w:instrText xml:space="preserve"> REF _Ref35353012 \h  \* MERGEFORMAT </w:instrText>
      </w:r>
      <w:r w:rsidRPr="00E8032B">
        <w:fldChar w:fldCharType="separate"/>
      </w:r>
      <w:r w:rsidR="00277F6E" w:rsidRPr="00277F6E">
        <w:t>Table 7</w:t>
      </w:r>
      <w:r w:rsidR="00277F6E" w:rsidRPr="00277F6E">
        <w:noBreakHyphen/>
        <w:t>1</w:t>
      </w:r>
      <w:r w:rsidRPr="00E8032B">
        <w:fldChar w:fldCharType="end"/>
      </w:r>
      <w:r>
        <w:t xml:space="preserve"> summarises </w:t>
      </w:r>
      <w:r w:rsidRPr="00771254">
        <w:t xml:space="preserve">the </w:t>
      </w:r>
      <w:r>
        <w:t>assumptions used for calculating the administrative costs of the MMS requirement.</w:t>
      </w:r>
    </w:p>
    <w:p w14:paraId="06AD6D45" w14:textId="579F5D3B" w:rsidR="00B57530" w:rsidRPr="006729E9" w:rsidRDefault="00B57530" w:rsidP="007620AA">
      <w:pPr>
        <w:pStyle w:val="Caption"/>
        <w:keepNext/>
        <w:spacing w:after="60"/>
        <w:rPr>
          <w:b/>
          <w:bCs/>
          <w:i w:val="0"/>
          <w:iCs w:val="0"/>
        </w:rPr>
      </w:pPr>
      <w:bookmarkStart w:id="578" w:name="_Ref35353012"/>
      <w:bookmarkStart w:id="579" w:name="_Toc44437373"/>
      <w:bookmarkStart w:id="580" w:name="_Toc44597444"/>
      <w:bookmarkStart w:id="581" w:name="_Toc44597508"/>
      <w:bookmarkStart w:id="582" w:name="_Toc44600078"/>
      <w:bookmarkStart w:id="583" w:name="_Toc44600533"/>
      <w:bookmarkStart w:id="584" w:name="_Toc44600700"/>
      <w:bookmarkStart w:id="585" w:name="_Toc44601197"/>
      <w:bookmarkStart w:id="586" w:name="_Toc44601250"/>
      <w:bookmarkStart w:id="587" w:name="_Toc44603398"/>
      <w:bookmarkStart w:id="588" w:name="_Toc45704446"/>
      <w:r w:rsidRPr="00C93421">
        <w:rPr>
          <w:b/>
          <w:bCs/>
          <w:i w:val="0"/>
          <w:iCs w:val="0"/>
        </w:rPr>
        <w:t xml:space="preserve">Table </w:t>
      </w:r>
      <w:r w:rsidR="00D2483C">
        <w:rPr>
          <w:b/>
          <w:bCs/>
          <w:i w:val="0"/>
          <w:iCs w:val="0"/>
        </w:rPr>
        <w:fldChar w:fldCharType="begin"/>
      </w:r>
      <w:r w:rsidR="00D2483C">
        <w:rPr>
          <w:b/>
          <w:bCs/>
          <w:i w:val="0"/>
          <w:iCs w:val="0"/>
        </w:rPr>
        <w:instrText xml:space="preserve"> STYLEREF 1 \s </w:instrText>
      </w:r>
      <w:r w:rsidR="00D2483C">
        <w:rPr>
          <w:b/>
          <w:bCs/>
          <w:i w:val="0"/>
          <w:iCs w:val="0"/>
        </w:rPr>
        <w:fldChar w:fldCharType="separate"/>
      </w:r>
      <w:r w:rsidR="00277F6E">
        <w:rPr>
          <w:b/>
          <w:bCs/>
          <w:i w:val="0"/>
          <w:iCs w:val="0"/>
          <w:noProof/>
        </w:rPr>
        <w:t>7</w:t>
      </w:r>
      <w:r w:rsidR="00D2483C">
        <w:rPr>
          <w:b/>
          <w:bCs/>
          <w:i w:val="0"/>
          <w:iCs w:val="0"/>
        </w:rPr>
        <w:fldChar w:fldCharType="end"/>
      </w:r>
      <w:r w:rsidR="00D2483C">
        <w:rPr>
          <w:b/>
          <w:bCs/>
          <w:i w:val="0"/>
          <w:iCs w:val="0"/>
        </w:rPr>
        <w:noBreakHyphen/>
      </w:r>
      <w:r w:rsidR="00D2483C">
        <w:rPr>
          <w:b/>
          <w:bCs/>
          <w:i w:val="0"/>
          <w:iCs w:val="0"/>
        </w:rPr>
        <w:fldChar w:fldCharType="begin"/>
      </w:r>
      <w:r w:rsidR="00D2483C">
        <w:rPr>
          <w:b/>
          <w:bCs/>
          <w:i w:val="0"/>
          <w:iCs w:val="0"/>
        </w:rPr>
        <w:instrText xml:space="preserve"> SEQ Table \* ARABIC \s 1 </w:instrText>
      </w:r>
      <w:r w:rsidR="00D2483C">
        <w:rPr>
          <w:b/>
          <w:bCs/>
          <w:i w:val="0"/>
          <w:iCs w:val="0"/>
        </w:rPr>
        <w:fldChar w:fldCharType="separate"/>
      </w:r>
      <w:r w:rsidR="00277F6E">
        <w:rPr>
          <w:b/>
          <w:bCs/>
          <w:i w:val="0"/>
          <w:iCs w:val="0"/>
          <w:noProof/>
        </w:rPr>
        <w:t>1</w:t>
      </w:r>
      <w:r w:rsidR="00D2483C">
        <w:rPr>
          <w:b/>
          <w:bCs/>
          <w:i w:val="0"/>
          <w:iCs w:val="0"/>
        </w:rPr>
        <w:fldChar w:fldCharType="end"/>
      </w:r>
      <w:bookmarkEnd w:id="578"/>
      <w:r w:rsidRPr="00C93421">
        <w:rPr>
          <w:b/>
          <w:bCs/>
          <w:i w:val="0"/>
          <w:iCs w:val="0"/>
        </w:rPr>
        <w:t>: MMS cost parameters for accredited operators</w:t>
      </w:r>
      <w:bookmarkEnd w:id="579"/>
      <w:bookmarkEnd w:id="580"/>
      <w:bookmarkEnd w:id="581"/>
      <w:bookmarkEnd w:id="582"/>
      <w:bookmarkEnd w:id="583"/>
      <w:bookmarkEnd w:id="584"/>
      <w:bookmarkEnd w:id="585"/>
      <w:bookmarkEnd w:id="586"/>
      <w:bookmarkEnd w:id="587"/>
      <w:bookmarkEnd w:id="588"/>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2254"/>
        <w:gridCol w:w="2254"/>
        <w:gridCol w:w="2254"/>
      </w:tblGrid>
      <w:tr w:rsidR="00B57530" w:rsidRPr="00117CB8" w14:paraId="638F299F" w14:textId="77777777" w:rsidTr="003172D1">
        <w:trPr>
          <w:cantSplit/>
          <w:trHeight w:val="288"/>
        </w:trPr>
        <w:tc>
          <w:tcPr>
            <w:tcW w:w="2253" w:type="dxa"/>
            <w:shd w:val="clear" w:color="auto" w:fill="D6ECED"/>
            <w:noWrap/>
            <w:vAlign w:val="center"/>
            <w:hideMark/>
          </w:tcPr>
          <w:p w14:paraId="46459F92" w14:textId="77777777" w:rsidR="00B57530" w:rsidRPr="00117CB8" w:rsidRDefault="00B57530" w:rsidP="003172D1">
            <w:pPr>
              <w:keepNext/>
              <w:spacing w:before="60" w:after="60"/>
              <w:jc w:val="center"/>
              <w:rPr>
                <w:rFonts w:eastAsia="Times New Roman" w:cstheme="minorHAnsi"/>
                <w:b/>
                <w:bCs/>
                <w:color w:val="000000"/>
                <w:sz w:val="18"/>
                <w:lang w:eastAsia="en-AU"/>
              </w:rPr>
            </w:pPr>
            <w:r w:rsidRPr="00117CB8">
              <w:rPr>
                <w:b/>
                <w:bCs/>
                <w:sz w:val="18"/>
              </w:rPr>
              <w:t>Activity</w:t>
            </w:r>
          </w:p>
        </w:tc>
        <w:tc>
          <w:tcPr>
            <w:tcW w:w="2254" w:type="dxa"/>
            <w:shd w:val="clear" w:color="auto" w:fill="D6ECED"/>
            <w:vAlign w:val="center"/>
          </w:tcPr>
          <w:p w14:paraId="78078405" w14:textId="77777777" w:rsidR="00B57530" w:rsidRPr="00117CB8" w:rsidRDefault="00B57530" w:rsidP="003172D1">
            <w:pPr>
              <w:keepNext/>
              <w:spacing w:before="60" w:after="60"/>
              <w:jc w:val="center"/>
              <w:rPr>
                <w:b/>
                <w:bCs/>
                <w:sz w:val="18"/>
              </w:rPr>
            </w:pPr>
            <w:r w:rsidRPr="00117CB8">
              <w:rPr>
                <w:b/>
                <w:bCs/>
                <w:sz w:val="18"/>
              </w:rPr>
              <w:t>Number of operators</w:t>
            </w:r>
          </w:p>
        </w:tc>
        <w:tc>
          <w:tcPr>
            <w:tcW w:w="2254" w:type="dxa"/>
            <w:shd w:val="clear" w:color="auto" w:fill="D6ECED"/>
            <w:vAlign w:val="center"/>
          </w:tcPr>
          <w:p w14:paraId="5360A7CE" w14:textId="77777777" w:rsidR="00B57530" w:rsidRPr="00117CB8" w:rsidRDefault="00B57530" w:rsidP="003172D1">
            <w:pPr>
              <w:keepNext/>
              <w:spacing w:before="60" w:after="60"/>
              <w:jc w:val="center"/>
              <w:rPr>
                <w:b/>
                <w:bCs/>
                <w:sz w:val="18"/>
              </w:rPr>
            </w:pPr>
            <w:r>
              <w:rPr>
                <w:b/>
                <w:bCs/>
                <w:sz w:val="18"/>
              </w:rPr>
              <w:t>Annual growth rate of operators</w:t>
            </w:r>
          </w:p>
        </w:tc>
        <w:tc>
          <w:tcPr>
            <w:tcW w:w="2254" w:type="dxa"/>
            <w:shd w:val="clear" w:color="auto" w:fill="D6ECED"/>
            <w:noWrap/>
            <w:vAlign w:val="center"/>
            <w:hideMark/>
          </w:tcPr>
          <w:p w14:paraId="3E126A92" w14:textId="77777777" w:rsidR="00B57530" w:rsidRPr="00117CB8" w:rsidRDefault="00B57530" w:rsidP="003172D1">
            <w:pPr>
              <w:keepNext/>
              <w:spacing w:before="60" w:after="60"/>
              <w:jc w:val="center"/>
              <w:rPr>
                <w:rFonts w:eastAsia="Times New Roman" w:cstheme="minorHAnsi"/>
                <w:b/>
                <w:bCs/>
                <w:color w:val="000000"/>
                <w:sz w:val="18"/>
                <w:lang w:eastAsia="en-AU"/>
              </w:rPr>
            </w:pPr>
            <w:r>
              <w:rPr>
                <w:b/>
                <w:bCs/>
                <w:sz w:val="18"/>
              </w:rPr>
              <w:t>Resource</w:t>
            </w:r>
            <w:r w:rsidRPr="00117CB8">
              <w:rPr>
                <w:b/>
                <w:bCs/>
                <w:sz w:val="18"/>
              </w:rPr>
              <w:t xml:space="preserve"> cost</w:t>
            </w:r>
          </w:p>
        </w:tc>
      </w:tr>
      <w:tr w:rsidR="00B57530" w:rsidRPr="00117CB8" w14:paraId="2356E286" w14:textId="77777777" w:rsidTr="003172D1">
        <w:trPr>
          <w:cantSplit/>
          <w:trHeight w:val="288"/>
        </w:trPr>
        <w:tc>
          <w:tcPr>
            <w:tcW w:w="2253" w:type="dxa"/>
            <w:shd w:val="clear" w:color="auto" w:fill="auto"/>
            <w:noWrap/>
            <w:hideMark/>
          </w:tcPr>
          <w:p w14:paraId="063C96A7" w14:textId="77777777" w:rsidR="00B57530" w:rsidRPr="00117CB8" w:rsidRDefault="00B57530" w:rsidP="003172D1">
            <w:pPr>
              <w:keepNext/>
              <w:spacing w:before="60" w:after="60"/>
              <w:jc w:val="center"/>
              <w:rPr>
                <w:rFonts w:eastAsia="Times New Roman" w:cstheme="minorHAnsi"/>
                <w:color w:val="000000"/>
                <w:sz w:val="18"/>
                <w:lang w:eastAsia="en-AU"/>
              </w:rPr>
            </w:pPr>
            <w:r w:rsidRPr="00117CB8">
              <w:rPr>
                <w:sz w:val="18"/>
              </w:rPr>
              <w:t>Develop MMS</w:t>
            </w:r>
          </w:p>
        </w:tc>
        <w:tc>
          <w:tcPr>
            <w:tcW w:w="2254" w:type="dxa"/>
          </w:tcPr>
          <w:p w14:paraId="5D6C28A2" w14:textId="77777777" w:rsidR="00B57530" w:rsidRPr="00117CB8" w:rsidRDefault="00B57530" w:rsidP="003172D1">
            <w:pPr>
              <w:keepNext/>
              <w:spacing w:before="60" w:after="60"/>
              <w:jc w:val="center"/>
              <w:rPr>
                <w:sz w:val="18"/>
              </w:rPr>
            </w:pPr>
            <w:r>
              <w:rPr>
                <w:sz w:val="18"/>
              </w:rPr>
              <w:t xml:space="preserve">Average of </w:t>
            </w:r>
            <w:r w:rsidRPr="00117CB8">
              <w:rPr>
                <w:sz w:val="18"/>
              </w:rPr>
              <w:t>4</w:t>
            </w:r>
            <w:r>
              <w:rPr>
                <w:sz w:val="18"/>
              </w:rPr>
              <w:t>0</w:t>
            </w:r>
            <w:r w:rsidRPr="00117CB8">
              <w:rPr>
                <w:sz w:val="18"/>
              </w:rPr>
              <w:t xml:space="preserve"> new applicants per year</w:t>
            </w:r>
          </w:p>
        </w:tc>
        <w:tc>
          <w:tcPr>
            <w:tcW w:w="2254" w:type="dxa"/>
          </w:tcPr>
          <w:p w14:paraId="195FAFE3" w14:textId="77777777" w:rsidR="00B57530" w:rsidRPr="00117CB8" w:rsidRDefault="00B57530" w:rsidP="003172D1">
            <w:pPr>
              <w:keepNext/>
              <w:spacing w:before="60" w:after="60"/>
              <w:jc w:val="center"/>
              <w:rPr>
                <w:sz w:val="18"/>
              </w:rPr>
            </w:pPr>
            <w:r>
              <w:rPr>
                <w:sz w:val="18"/>
              </w:rPr>
              <w:t>N/A</w:t>
            </w:r>
          </w:p>
        </w:tc>
        <w:tc>
          <w:tcPr>
            <w:tcW w:w="2254" w:type="dxa"/>
            <w:shd w:val="clear" w:color="auto" w:fill="auto"/>
            <w:noWrap/>
            <w:hideMark/>
          </w:tcPr>
          <w:p w14:paraId="06EB5390" w14:textId="77777777" w:rsidR="00B57530" w:rsidRPr="00117CB8" w:rsidRDefault="00B57530" w:rsidP="003172D1">
            <w:pPr>
              <w:keepNext/>
              <w:spacing w:before="60" w:after="60"/>
              <w:jc w:val="center"/>
              <w:rPr>
                <w:sz w:val="18"/>
              </w:rPr>
            </w:pPr>
            <w:r w:rsidRPr="00117CB8">
              <w:rPr>
                <w:sz w:val="18"/>
              </w:rPr>
              <w:t>10</w:t>
            </w:r>
            <w:r>
              <w:rPr>
                <w:sz w:val="18"/>
              </w:rPr>
              <w:t xml:space="preserve"> hours</w:t>
            </w:r>
            <w:r w:rsidRPr="00117CB8">
              <w:rPr>
                <w:sz w:val="18"/>
              </w:rPr>
              <w:t xml:space="preserve"> </w:t>
            </w:r>
          </w:p>
          <w:p w14:paraId="0CF1625B" w14:textId="77777777" w:rsidR="00B57530" w:rsidRPr="00117CB8" w:rsidRDefault="00B57530" w:rsidP="003172D1">
            <w:pPr>
              <w:keepNext/>
              <w:spacing w:before="60" w:after="60"/>
              <w:jc w:val="center"/>
              <w:rPr>
                <w:rFonts w:eastAsia="Times New Roman" w:cstheme="minorHAnsi"/>
                <w:color w:val="000000"/>
                <w:sz w:val="18"/>
                <w:lang w:eastAsia="en-AU"/>
              </w:rPr>
            </w:pPr>
            <w:r>
              <w:rPr>
                <w:sz w:val="18"/>
              </w:rPr>
              <w:t>(</w:t>
            </w:r>
            <w:r w:rsidRPr="00117CB8">
              <w:rPr>
                <w:sz w:val="18"/>
              </w:rPr>
              <w:t>$763.70</w:t>
            </w:r>
            <w:r>
              <w:rPr>
                <w:sz w:val="18"/>
              </w:rPr>
              <w:t>)</w:t>
            </w:r>
          </w:p>
        </w:tc>
      </w:tr>
      <w:tr w:rsidR="00B57530" w:rsidRPr="00117CB8" w14:paraId="7DC478BD" w14:textId="77777777" w:rsidTr="003172D1">
        <w:trPr>
          <w:cantSplit/>
          <w:trHeight w:val="288"/>
        </w:trPr>
        <w:tc>
          <w:tcPr>
            <w:tcW w:w="2253" w:type="dxa"/>
            <w:shd w:val="clear" w:color="auto" w:fill="auto"/>
            <w:noWrap/>
            <w:hideMark/>
          </w:tcPr>
          <w:p w14:paraId="573D01A0" w14:textId="77777777" w:rsidR="00B57530" w:rsidRPr="00117CB8" w:rsidRDefault="00B57530" w:rsidP="003172D1">
            <w:pPr>
              <w:keepNext/>
              <w:spacing w:before="60" w:after="60"/>
              <w:jc w:val="center"/>
              <w:rPr>
                <w:rFonts w:eastAsia="Times New Roman" w:cstheme="minorHAnsi"/>
                <w:color w:val="000000"/>
                <w:sz w:val="18"/>
                <w:lang w:eastAsia="en-AU"/>
              </w:rPr>
            </w:pPr>
            <w:r w:rsidRPr="00117CB8">
              <w:rPr>
                <w:sz w:val="18"/>
              </w:rPr>
              <w:t>Maintain MMS</w:t>
            </w:r>
          </w:p>
        </w:tc>
        <w:tc>
          <w:tcPr>
            <w:tcW w:w="2254" w:type="dxa"/>
          </w:tcPr>
          <w:p w14:paraId="5A7433E3" w14:textId="77777777" w:rsidR="00B57530" w:rsidRPr="00117CB8" w:rsidRDefault="00B57530" w:rsidP="003172D1">
            <w:pPr>
              <w:keepNext/>
              <w:spacing w:before="60" w:after="60"/>
              <w:jc w:val="center"/>
              <w:rPr>
                <w:sz w:val="18"/>
              </w:rPr>
            </w:pPr>
            <w:r>
              <w:rPr>
                <w:sz w:val="18"/>
              </w:rPr>
              <w:t>667 active operators</w:t>
            </w:r>
          </w:p>
        </w:tc>
        <w:tc>
          <w:tcPr>
            <w:tcW w:w="2254" w:type="dxa"/>
          </w:tcPr>
          <w:p w14:paraId="36F7605C" w14:textId="77777777" w:rsidR="00B57530" w:rsidRPr="00117CB8" w:rsidRDefault="00B57530" w:rsidP="003172D1">
            <w:pPr>
              <w:keepNext/>
              <w:spacing w:before="60" w:after="60"/>
              <w:jc w:val="center"/>
              <w:rPr>
                <w:sz w:val="18"/>
              </w:rPr>
            </w:pPr>
            <w:r>
              <w:rPr>
                <w:sz w:val="18"/>
              </w:rPr>
              <w:t>1%</w:t>
            </w:r>
          </w:p>
        </w:tc>
        <w:tc>
          <w:tcPr>
            <w:tcW w:w="2254" w:type="dxa"/>
            <w:shd w:val="clear" w:color="auto" w:fill="auto"/>
            <w:noWrap/>
            <w:hideMark/>
          </w:tcPr>
          <w:p w14:paraId="4B387B8B" w14:textId="77777777" w:rsidR="00B57530" w:rsidRPr="00117CB8" w:rsidRDefault="00B57530" w:rsidP="003172D1">
            <w:pPr>
              <w:keepNext/>
              <w:spacing w:before="60" w:after="60"/>
              <w:jc w:val="center"/>
              <w:rPr>
                <w:sz w:val="18"/>
              </w:rPr>
            </w:pPr>
            <w:r w:rsidRPr="00117CB8">
              <w:rPr>
                <w:sz w:val="18"/>
              </w:rPr>
              <w:t>4</w:t>
            </w:r>
            <w:r>
              <w:rPr>
                <w:sz w:val="18"/>
              </w:rPr>
              <w:t xml:space="preserve"> hours</w:t>
            </w:r>
            <w:r w:rsidRPr="00117CB8">
              <w:rPr>
                <w:sz w:val="18"/>
              </w:rPr>
              <w:t xml:space="preserve"> </w:t>
            </w:r>
          </w:p>
          <w:p w14:paraId="50E86055" w14:textId="77777777" w:rsidR="00B57530" w:rsidRPr="00117CB8" w:rsidRDefault="00B57530" w:rsidP="003172D1">
            <w:pPr>
              <w:keepNext/>
              <w:spacing w:before="60" w:after="60"/>
              <w:jc w:val="center"/>
              <w:rPr>
                <w:rFonts w:eastAsia="Times New Roman" w:cstheme="minorHAnsi"/>
                <w:color w:val="000000"/>
                <w:sz w:val="18"/>
                <w:lang w:eastAsia="en-AU"/>
              </w:rPr>
            </w:pPr>
            <w:r>
              <w:rPr>
                <w:sz w:val="18"/>
              </w:rPr>
              <w:t>(</w:t>
            </w:r>
            <w:r w:rsidRPr="00117CB8">
              <w:rPr>
                <w:sz w:val="18"/>
              </w:rPr>
              <w:t>$305.48</w:t>
            </w:r>
            <w:r>
              <w:rPr>
                <w:sz w:val="18"/>
              </w:rPr>
              <w:t>)</w:t>
            </w:r>
          </w:p>
        </w:tc>
      </w:tr>
    </w:tbl>
    <w:p w14:paraId="7558DF05" w14:textId="75D550DB" w:rsidR="00B57530" w:rsidRDefault="00B57530" w:rsidP="00B57530">
      <w:r>
        <w:fldChar w:fldCharType="begin"/>
      </w:r>
      <w:r>
        <w:instrText xml:space="preserve"> REF _Ref35511040 \h  \* MERGEFORMAT </w:instrText>
      </w:r>
      <w:r>
        <w:fldChar w:fldCharType="separate"/>
      </w:r>
      <w:r w:rsidR="00277F6E" w:rsidRPr="00277F6E">
        <w:t>Table 7</w:t>
      </w:r>
      <w:r w:rsidR="00277F6E" w:rsidRPr="00277F6E">
        <w:noBreakHyphen/>
        <w:t>2</w:t>
      </w:r>
      <w:r>
        <w:fldChar w:fldCharType="end"/>
      </w:r>
      <w:r>
        <w:t xml:space="preserve"> summarises DoT estimates of the administrative costs. Based on a real discount rate of 4 per cent, DoT estimates the 10-year net present value (NPV)</w:t>
      </w:r>
      <w:r w:rsidR="009D4F79">
        <w:rPr>
          <w:rStyle w:val="FootnoteReference"/>
        </w:rPr>
        <w:footnoteReference w:id="16"/>
      </w:r>
      <w:r>
        <w:t xml:space="preserve"> of the compliance costs for </w:t>
      </w:r>
      <w:r w:rsidR="00391393">
        <w:t xml:space="preserve">new </w:t>
      </w:r>
      <w:r>
        <w:t xml:space="preserve">accredited operators to develop an MMS is approximately </w:t>
      </w:r>
      <w:r w:rsidRPr="00C50212">
        <w:t>$0.25 million</w:t>
      </w:r>
      <w:r>
        <w:t xml:space="preserve">. The equivalent annual cost (EAC) is approximately </w:t>
      </w:r>
      <w:r w:rsidRPr="00C50212">
        <w:t>$0.03 million</w:t>
      </w:r>
      <w:r>
        <w:t>. DoT also estimates the</w:t>
      </w:r>
      <w:r w:rsidR="0067593D">
        <w:t xml:space="preserve"> 10-year</w:t>
      </w:r>
      <w:r>
        <w:t xml:space="preserve"> NPV of the costs for all accredited operators to maintain an MMS is approximately </w:t>
      </w:r>
      <w:r w:rsidRPr="00C50212">
        <w:t>$1.</w:t>
      </w:r>
      <w:r w:rsidR="00B90765">
        <w:t>81</w:t>
      </w:r>
      <w:r w:rsidRPr="00C50212">
        <w:t xml:space="preserve"> million</w:t>
      </w:r>
      <w:r>
        <w:t xml:space="preserve"> and the EAC is approximately </w:t>
      </w:r>
      <w:r w:rsidRPr="00C50212">
        <w:t>$0.2</w:t>
      </w:r>
      <w:r w:rsidR="00B90765">
        <w:t>2</w:t>
      </w:r>
      <w:r w:rsidRPr="00C50212">
        <w:t xml:space="preserve"> million</w:t>
      </w:r>
      <w:r>
        <w:t xml:space="preserve">. </w:t>
      </w:r>
    </w:p>
    <w:p w14:paraId="6D70C677" w14:textId="199A134D" w:rsidR="00B57530" w:rsidRDefault="00B57530" w:rsidP="007620AA">
      <w:pPr>
        <w:pStyle w:val="Caption"/>
        <w:keepNext/>
        <w:spacing w:after="60"/>
        <w:rPr>
          <w:b/>
          <w:bCs/>
          <w:i w:val="0"/>
          <w:iCs w:val="0"/>
        </w:rPr>
      </w:pPr>
      <w:bookmarkStart w:id="589" w:name="_Ref35511040"/>
      <w:bookmarkStart w:id="590" w:name="_Toc44437374"/>
      <w:bookmarkStart w:id="591" w:name="_Toc44597445"/>
      <w:bookmarkStart w:id="592" w:name="_Toc44597509"/>
      <w:bookmarkStart w:id="593" w:name="_Toc44600079"/>
      <w:bookmarkStart w:id="594" w:name="_Toc44600534"/>
      <w:bookmarkStart w:id="595" w:name="_Toc44600701"/>
      <w:bookmarkStart w:id="596" w:name="_Toc44601198"/>
      <w:bookmarkStart w:id="597" w:name="_Toc44601251"/>
      <w:bookmarkStart w:id="598" w:name="_Toc44603399"/>
      <w:bookmarkStart w:id="599" w:name="_Toc45704447"/>
      <w:r w:rsidRPr="00C50212">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2</w:t>
      </w:r>
      <w:r w:rsidR="00D2483C">
        <w:rPr>
          <w:b/>
          <w:i w:val="0"/>
        </w:rPr>
        <w:fldChar w:fldCharType="end"/>
      </w:r>
      <w:bookmarkEnd w:id="589"/>
      <w:r w:rsidRPr="00C50212">
        <w:rPr>
          <w:b/>
          <w:i w:val="0"/>
        </w:rPr>
        <w:t>: NPV and EAC for accredited operators to develop and maintain MMS</w:t>
      </w:r>
      <w:bookmarkEnd w:id="590"/>
      <w:bookmarkEnd w:id="591"/>
      <w:bookmarkEnd w:id="592"/>
      <w:bookmarkEnd w:id="593"/>
      <w:bookmarkEnd w:id="594"/>
      <w:bookmarkEnd w:id="595"/>
      <w:bookmarkEnd w:id="596"/>
      <w:bookmarkEnd w:id="597"/>
      <w:bookmarkEnd w:id="598"/>
      <w:bookmarkEnd w:id="599"/>
    </w:p>
    <w:tbl>
      <w:tblPr>
        <w:tblW w:w="6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0"/>
        <w:gridCol w:w="2230"/>
        <w:gridCol w:w="2231"/>
      </w:tblGrid>
      <w:tr w:rsidR="00B57530" w:rsidRPr="001D5182" w14:paraId="5573F5D9" w14:textId="77777777" w:rsidTr="003172D1">
        <w:trPr>
          <w:cantSplit/>
          <w:trHeight w:val="288"/>
        </w:trPr>
        <w:tc>
          <w:tcPr>
            <w:tcW w:w="2219" w:type="dxa"/>
            <w:shd w:val="clear" w:color="auto" w:fill="D6ECED"/>
            <w:noWrap/>
            <w:vAlign w:val="center"/>
            <w:hideMark/>
          </w:tcPr>
          <w:p w14:paraId="1A7AA29E" w14:textId="77777777" w:rsidR="00B57530" w:rsidRPr="001D5182" w:rsidRDefault="00B57530" w:rsidP="003172D1">
            <w:pPr>
              <w:keepNext/>
              <w:spacing w:before="60" w:after="60"/>
              <w:jc w:val="center"/>
              <w:rPr>
                <w:b/>
                <w:bCs/>
                <w:sz w:val="18"/>
              </w:rPr>
            </w:pPr>
            <w:r>
              <w:rPr>
                <w:b/>
                <w:bCs/>
                <w:sz w:val="18"/>
              </w:rPr>
              <w:t>Activity</w:t>
            </w:r>
          </w:p>
        </w:tc>
        <w:tc>
          <w:tcPr>
            <w:tcW w:w="2219" w:type="dxa"/>
            <w:shd w:val="clear" w:color="auto" w:fill="D6ECED"/>
            <w:noWrap/>
            <w:vAlign w:val="center"/>
            <w:hideMark/>
          </w:tcPr>
          <w:p w14:paraId="6DBD43B7" w14:textId="77777777" w:rsidR="00B57530" w:rsidRPr="00F341D4" w:rsidRDefault="00B57530" w:rsidP="003172D1">
            <w:pPr>
              <w:keepNext/>
              <w:spacing w:before="0" w:after="0"/>
              <w:jc w:val="center"/>
              <w:rPr>
                <w:b/>
                <w:bCs/>
                <w:sz w:val="18"/>
              </w:rPr>
            </w:pPr>
            <w:r w:rsidRPr="001D5182">
              <w:rPr>
                <w:b/>
                <w:bCs/>
                <w:sz w:val="18"/>
              </w:rPr>
              <w:t>NPV</w:t>
            </w:r>
          </w:p>
        </w:tc>
        <w:tc>
          <w:tcPr>
            <w:tcW w:w="2220" w:type="dxa"/>
            <w:shd w:val="clear" w:color="auto" w:fill="D6ECED"/>
            <w:vAlign w:val="center"/>
          </w:tcPr>
          <w:p w14:paraId="10DBA5CA" w14:textId="77777777" w:rsidR="00B57530" w:rsidRPr="00F341D4" w:rsidRDefault="00B57530" w:rsidP="003172D1">
            <w:pPr>
              <w:keepNext/>
              <w:spacing w:before="0" w:after="0"/>
              <w:jc w:val="center"/>
              <w:rPr>
                <w:b/>
                <w:bCs/>
                <w:sz w:val="18"/>
              </w:rPr>
            </w:pPr>
            <w:r w:rsidRPr="001D5182">
              <w:rPr>
                <w:b/>
                <w:bCs/>
                <w:sz w:val="18"/>
              </w:rPr>
              <w:t>EAC</w:t>
            </w:r>
          </w:p>
        </w:tc>
      </w:tr>
      <w:tr w:rsidR="00B57530" w:rsidRPr="001D5182" w14:paraId="75145A58" w14:textId="77777777" w:rsidTr="003172D1">
        <w:trPr>
          <w:cantSplit/>
          <w:trHeight w:val="294"/>
        </w:trPr>
        <w:tc>
          <w:tcPr>
            <w:tcW w:w="2219" w:type="dxa"/>
            <w:shd w:val="clear" w:color="auto" w:fill="auto"/>
            <w:noWrap/>
            <w:vAlign w:val="center"/>
            <w:hideMark/>
          </w:tcPr>
          <w:p w14:paraId="5CAB59E6" w14:textId="77777777" w:rsidR="00B57530" w:rsidRPr="002C7807" w:rsidRDefault="00B57530" w:rsidP="003172D1">
            <w:pPr>
              <w:keepNext/>
              <w:spacing w:before="60" w:after="60"/>
              <w:jc w:val="center"/>
              <w:rPr>
                <w:sz w:val="18"/>
              </w:rPr>
            </w:pPr>
            <w:r w:rsidRPr="002C7807">
              <w:rPr>
                <w:sz w:val="18"/>
              </w:rPr>
              <w:t>Develop MMS</w:t>
            </w:r>
          </w:p>
        </w:tc>
        <w:tc>
          <w:tcPr>
            <w:tcW w:w="2219" w:type="dxa"/>
            <w:shd w:val="clear" w:color="auto" w:fill="auto"/>
            <w:noWrap/>
            <w:vAlign w:val="center"/>
            <w:hideMark/>
          </w:tcPr>
          <w:p w14:paraId="34A4C51E" w14:textId="77777777" w:rsidR="00B57530" w:rsidRPr="001D5182" w:rsidRDefault="00B57530" w:rsidP="003172D1">
            <w:pPr>
              <w:keepNext/>
              <w:spacing w:before="60" w:after="60"/>
              <w:jc w:val="center"/>
              <w:rPr>
                <w:sz w:val="18"/>
              </w:rPr>
            </w:pPr>
            <w:r w:rsidRPr="00FF6C07">
              <w:rPr>
                <w:sz w:val="18"/>
              </w:rPr>
              <w:t>$</w:t>
            </w:r>
            <w:r>
              <w:rPr>
                <w:sz w:val="18"/>
              </w:rPr>
              <w:t>0.25m</w:t>
            </w:r>
          </w:p>
        </w:tc>
        <w:tc>
          <w:tcPr>
            <w:tcW w:w="2220" w:type="dxa"/>
            <w:vAlign w:val="center"/>
          </w:tcPr>
          <w:p w14:paraId="302ACD57" w14:textId="77777777" w:rsidR="00B57530" w:rsidRPr="00FF6C07" w:rsidRDefault="00B57530" w:rsidP="003172D1">
            <w:pPr>
              <w:keepNext/>
              <w:spacing w:before="60" w:after="60"/>
              <w:jc w:val="center"/>
              <w:rPr>
                <w:sz w:val="18"/>
              </w:rPr>
            </w:pPr>
            <w:r w:rsidRPr="00FF6C07">
              <w:rPr>
                <w:sz w:val="18"/>
              </w:rPr>
              <w:t>$</w:t>
            </w:r>
            <w:r>
              <w:rPr>
                <w:sz w:val="18"/>
              </w:rPr>
              <w:t>0.03m</w:t>
            </w:r>
          </w:p>
        </w:tc>
      </w:tr>
      <w:tr w:rsidR="00B57530" w:rsidRPr="001D5182" w14:paraId="015AEB5F" w14:textId="77777777" w:rsidTr="003172D1">
        <w:trPr>
          <w:cantSplit/>
          <w:trHeight w:val="288"/>
        </w:trPr>
        <w:tc>
          <w:tcPr>
            <w:tcW w:w="2219" w:type="dxa"/>
            <w:shd w:val="clear" w:color="auto" w:fill="auto"/>
            <w:noWrap/>
            <w:vAlign w:val="center"/>
            <w:hideMark/>
          </w:tcPr>
          <w:p w14:paraId="28DAD6B5" w14:textId="77777777" w:rsidR="00B57530" w:rsidRPr="002C7807" w:rsidRDefault="00B57530" w:rsidP="003172D1">
            <w:pPr>
              <w:keepNext/>
              <w:spacing w:before="60" w:after="60"/>
              <w:jc w:val="center"/>
              <w:rPr>
                <w:sz w:val="18"/>
              </w:rPr>
            </w:pPr>
            <w:r w:rsidRPr="002C7807">
              <w:rPr>
                <w:sz w:val="18"/>
              </w:rPr>
              <w:t>Maintain MMS</w:t>
            </w:r>
          </w:p>
        </w:tc>
        <w:tc>
          <w:tcPr>
            <w:tcW w:w="2219" w:type="dxa"/>
            <w:shd w:val="clear" w:color="auto" w:fill="auto"/>
            <w:noWrap/>
            <w:vAlign w:val="center"/>
            <w:hideMark/>
          </w:tcPr>
          <w:p w14:paraId="6E6BB797" w14:textId="454144D9" w:rsidR="00B57530" w:rsidRPr="001D5182" w:rsidRDefault="00B57530" w:rsidP="003172D1">
            <w:pPr>
              <w:keepNext/>
              <w:spacing w:before="60" w:after="60"/>
              <w:jc w:val="center"/>
              <w:rPr>
                <w:sz w:val="18"/>
              </w:rPr>
            </w:pPr>
            <w:r w:rsidRPr="00F341D4">
              <w:rPr>
                <w:sz w:val="18"/>
              </w:rPr>
              <w:t>$</w:t>
            </w:r>
            <w:r>
              <w:rPr>
                <w:sz w:val="18"/>
              </w:rPr>
              <w:t>1.</w:t>
            </w:r>
            <w:r w:rsidR="00B90765">
              <w:rPr>
                <w:sz w:val="18"/>
              </w:rPr>
              <w:t>81</w:t>
            </w:r>
            <w:r>
              <w:rPr>
                <w:sz w:val="18"/>
              </w:rPr>
              <w:t>m</w:t>
            </w:r>
          </w:p>
        </w:tc>
        <w:tc>
          <w:tcPr>
            <w:tcW w:w="2220" w:type="dxa"/>
            <w:vAlign w:val="center"/>
          </w:tcPr>
          <w:p w14:paraId="356F13E4" w14:textId="73FB1345" w:rsidR="00B57530" w:rsidRPr="00FF6C07" w:rsidRDefault="00B57530" w:rsidP="003172D1">
            <w:pPr>
              <w:keepNext/>
              <w:spacing w:before="60" w:after="60"/>
              <w:jc w:val="center"/>
              <w:rPr>
                <w:sz w:val="18"/>
              </w:rPr>
            </w:pPr>
            <w:r w:rsidRPr="00F341D4">
              <w:rPr>
                <w:sz w:val="18"/>
              </w:rPr>
              <w:t>$</w:t>
            </w:r>
            <w:r>
              <w:rPr>
                <w:sz w:val="18"/>
              </w:rPr>
              <w:t>0.2</w:t>
            </w:r>
            <w:r w:rsidR="00B90765">
              <w:rPr>
                <w:sz w:val="18"/>
              </w:rPr>
              <w:t>2</w:t>
            </w:r>
            <w:r>
              <w:rPr>
                <w:sz w:val="18"/>
              </w:rPr>
              <w:t>m</w:t>
            </w:r>
          </w:p>
        </w:tc>
      </w:tr>
      <w:tr w:rsidR="00320077" w:rsidRPr="001D5182" w14:paraId="1D563A88" w14:textId="77777777" w:rsidTr="003172D1">
        <w:trPr>
          <w:cantSplit/>
          <w:trHeight w:val="288"/>
        </w:trPr>
        <w:tc>
          <w:tcPr>
            <w:tcW w:w="2219" w:type="dxa"/>
            <w:shd w:val="clear" w:color="auto" w:fill="auto"/>
            <w:noWrap/>
            <w:vAlign w:val="center"/>
          </w:tcPr>
          <w:p w14:paraId="30417F90" w14:textId="549F824C" w:rsidR="00320077" w:rsidRPr="002C7807" w:rsidRDefault="00320077" w:rsidP="003172D1">
            <w:pPr>
              <w:keepNext/>
              <w:spacing w:before="60" w:after="60"/>
              <w:jc w:val="center"/>
              <w:rPr>
                <w:sz w:val="18"/>
              </w:rPr>
            </w:pPr>
            <w:r>
              <w:rPr>
                <w:sz w:val="18"/>
              </w:rPr>
              <w:t>Total</w:t>
            </w:r>
          </w:p>
        </w:tc>
        <w:tc>
          <w:tcPr>
            <w:tcW w:w="2219" w:type="dxa"/>
            <w:shd w:val="clear" w:color="auto" w:fill="auto"/>
            <w:noWrap/>
            <w:vAlign w:val="center"/>
          </w:tcPr>
          <w:p w14:paraId="5BC7974B" w14:textId="021F2120" w:rsidR="00320077" w:rsidRPr="00F341D4" w:rsidRDefault="00320077" w:rsidP="003172D1">
            <w:pPr>
              <w:keepNext/>
              <w:spacing w:before="60" w:after="60"/>
              <w:jc w:val="center"/>
              <w:rPr>
                <w:sz w:val="18"/>
              </w:rPr>
            </w:pPr>
            <w:r>
              <w:rPr>
                <w:sz w:val="18"/>
              </w:rPr>
              <w:t>$</w:t>
            </w:r>
            <w:r w:rsidR="00EA2E7A">
              <w:rPr>
                <w:sz w:val="18"/>
              </w:rPr>
              <w:t>2.06</w:t>
            </w:r>
            <w:r>
              <w:rPr>
                <w:sz w:val="18"/>
              </w:rPr>
              <w:t>m</w:t>
            </w:r>
          </w:p>
        </w:tc>
        <w:tc>
          <w:tcPr>
            <w:tcW w:w="2220" w:type="dxa"/>
            <w:vAlign w:val="center"/>
          </w:tcPr>
          <w:p w14:paraId="13040C3D" w14:textId="7F468131" w:rsidR="00320077" w:rsidRPr="00F341D4" w:rsidRDefault="00320077" w:rsidP="003172D1">
            <w:pPr>
              <w:keepNext/>
              <w:spacing w:before="60" w:after="60"/>
              <w:jc w:val="center"/>
              <w:rPr>
                <w:sz w:val="18"/>
              </w:rPr>
            </w:pPr>
            <w:r>
              <w:rPr>
                <w:sz w:val="18"/>
              </w:rPr>
              <w:t>$0.</w:t>
            </w:r>
            <w:r w:rsidR="00DC18ED">
              <w:rPr>
                <w:sz w:val="18"/>
              </w:rPr>
              <w:t>2</w:t>
            </w:r>
            <w:r w:rsidR="00B90765">
              <w:rPr>
                <w:sz w:val="18"/>
              </w:rPr>
              <w:t>5</w:t>
            </w:r>
            <w:r w:rsidR="00DC18ED">
              <w:rPr>
                <w:sz w:val="18"/>
              </w:rPr>
              <w:t>m</w:t>
            </w:r>
          </w:p>
        </w:tc>
      </w:tr>
    </w:tbl>
    <w:p w14:paraId="131B4886" w14:textId="6431F2B7" w:rsidR="009201D4" w:rsidRPr="00CC0AAC" w:rsidRDefault="009201D4" w:rsidP="009201D4">
      <w:pPr>
        <w:rPr>
          <w:u w:val="single"/>
        </w:rPr>
      </w:pPr>
      <w:r>
        <w:rPr>
          <w:u w:val="single"/>
        </w:rPr>
        <w:t>C</w:t>
      </w:r>
      <w:r w:rsidRPr="00CC0AAC">
        <w:rPr>
          <w:u w:val="single"/>
        </w:rPr>
        <w:t>ompliance costs</w:t>
      </w:r>
    </w:p>
    <w:p w14:paraId="18B9F16F" w14:textId="77777777" w:rsidR="009201D4" w:rsidRPr="006555EA" w:rsidRDefault="009201D4" w:rsidP="009201D4">
      <w:pPr>
        <w:rPr>
          <w:color w:val="auto"/>
        </w:rPr>
      </w:pPr>
      <w:r>
        <w:t>Th</w:t>
      </w:r>
      <w:r w:rsidRPr="006555EA">
        <w:rPr>
          <w:color w:val="auto"/>
        </w:rPr>
        <w:t xml:space="preserve">ere </w:t>
      </w:r>
      <w:r>
        <w:rPr>
          <w:color w:val="auto"/>
        </w:rPr>
        <w:t xml:space="preserve">are also compliance costs associated </w:t>
      </w:r>
      <w:r w:rsidRPr="006555EA">
        <w:rPr>
          <w:color w:val="auto"/>
        </w:rPr>
        <w:t xml:space="preserve">with implementing the activities </w:t>
      </w:r>
      <w:r>
        <w:rPr>
          <w:color w:val="auto"/>
        </w:rPr>
        <w:t>covered by requirements for an</w:t>
      </w:r>
      <w:r w:rsidRPr="006555EA">
        <w:rPr>
          <w:color w:val="auto"/>
        </w:rPr>
        <w:t xml:space="preserve"> MMS</w:t>
      </w:r>
      <w:r>
        <w:rPr>
          <w:color w:val="auto"/>
        </w:rPr>
        <w:t>. Specifically, this may include</w:t>
      </w:r>
      <w:r w:rsidRPr="006555EA">
        <w:rPr>
          <w:color w:val="auto"/>
        </w:rPr>
        <w:t>:</w:t>
      </w:r>
    </w:p>
    <w:p w14:paraId="306FDE01" w14:textId="77777777" w:rsidR="009201D4" w:rsidRPr="006555EA" w:rsidRDefault="009201D4" w:rsidP="00842F5A">
      <w:pPr>
        <w:pStyle w:val="ListParagraph"/>
        <w:numPr>
          <w:ilvl w:val="0"/>
          <w:numId w:val="24"/>
        </w:numPr>
        <w:rPr>
          <w:rFonts w:asciiTheme="minorHAnsi" w:hAnsiTheme="minorHAnsi" w:cstheme="minorHAnsi"/>
          <w:color w:val="auto"/>
          <w:sz w:val="20"/>
          <w:szCs w:val="20"/>
        </w:rPr>
      </w:pPr>
      <w:r w:rsidRPr="006555EA">
        <w:rPr>
          <w:rFonts w:asciiTheme="minorHAnsi" w:hAnsiTheme="minorHAnsi" w:cstheme="minorHAnsi"/>
          <w:color w:val="auto"/>
          <w:sz w:val="20"/>
          <w:szCs w:val="20"/>
        </w:rPr>
        <w:t>inspections</w:t>
      </w:r>
    </w:p>
    <w:p w14:paraId="4EA4AC6C" w14:textId="77777777" w:rsidR="009201D4" w:rsidRPr="006555EA" w:rsidRDefault="009201D4" w:rsidP="00842F5A">
      <w:pPr>
        <w:pStyle w:val="ListParagraph"/>
        <w:numPr>
          <w:ilvl w:val="0"/>
          <w:numId w:val="24"/>
        </w:numPr>
        <w:rPr>
          <w:rFonts w:asciiTheme="minorHAnsi" w:hAnsiTheme="minorHAnsi" w:cstheme="minorHAnsi"/>
          <w:color w:val="auto"/>
          <w:sz w:val="20"/>
          <w:szCs w:val="20"/>
        </w:rPr>
      </w:pPr>
      <w:r w:rsidRPr="006555EA">
        <w:rPr>
          <w:rFonts w:asciiTheme="minorHAnsi" w:hAnsiTheme="minorHAnsi" w:cstheme="minorHAnsi"/>
          <w:color w:val="auto"/>
          <w:sz w:val="20"/>
          <w:szCs w:val="20"/>
        </w:rPr>
        <w:t>maintenance</w:t>
      </w:r>
    </w:p>
    <w:p w14:paraId="1E777FD5" w14:textId="0F6FBFA3" w:rsidR="009201D4" w:rsidRPr="006555EA" w:rsidRDefault="009201D4" w:rsidP="00842F5A">
      <w:pPr>
        <w:pStyle w:val="ListParagraph"/>
        <w:numPr>
          <w:ilvl w:val="0"/>
          <w:numId w:val="24"/>
        </w:numPr>
        <w:rPr>
          <w:rFonts w:asciiTheme="minorHAnsi" w:hAnsiTheme="minorHAnsi" w:cstheme="minorHAnsi"/>
          <w:color w:val="auto"/>
          <w:sz w:val="20"/>
          <w:szCs w:val="20"/>
        </w:rPr>
      </w:pPr>
      <w:r w:rsidRPr="006555EA">
        <w:rPr>
          <w:rFonts w:asciiTheme="minorHAnsi" w:hAnsiTheme="minorHAnsi" w:cstheme="minorHAnsi"/>
          <w:color w:val="auto"/>
          <w:sz w:val="20"/>
          <w:szCs w:val="20"/>
        </w:rPr>
        <w:t>defect</w:t>
      </w:r>
      <w:r>
        <w:rPr>
          <w:rFonts w:asciiTheme="minorHAnsi" w:hAnsiTheme="minorHAnsi" w:cstheme="minorHAnsi"/>
          <w:color w:val="auto"/>
          <w:sz w:val="20"/>
          <w:szCs w:val="20"/>
        </w:rPr>
        <w:t xml:space="preserve"> reporting and clearance.</w:t>
      </w:r>
    </w:p>
    <w:p w14:paraId="696FC4A0" w14:textId="77777777" w:rsidR="009201D4" w:rsidRPr="00357058" w:rsidRDefault="009201D4" w:rsidP="009201D4">
      <w:pPr>
        <w:rPr>
          <w:rFonts w:cstheme="minorHAnsi"/>
          <w:i/>
          <w:iCs/>
          <w:color w:val="auto"/>
          <w:szCs w:val="20"/>
        </w:rPr>
      </w:pPr>
      <w:r w:rsidRPr="00357058">
        <w:rPr>
          <w:rFonts w:cstheme="minorHAnsi"/>
          <w:i/>
          <w:iCs/>
          <w:color w:val="auto"/>
          <w:szCs w:val="20"/>
        </w:rPr>
        <w:t>Inspections</w:t>
      </w:r>
    </w:p>
    <w:p w14:paraId="7FD71B71" w14:textId="77777777" w:rsidR="009201D4" w:rsidRDefault="009201D4" w:rsidP="009201D4">
      <w:pPr>
        <w:rPr>
          <w:rFonts w:cstheme="minorHAnsi"/>
          <w:color w:val="auto"/>
          <w:szCs w:val="20"/>
        </w:rPr>
      </w:pPr>
      <w:r>
        <w:rPr>
          <w:rFonts w:cstheme="minorHAnsi"/>
          <w:color w:val="auto"/>
          <w:szCs w:val="20"/>
        </w:rPr>
        <w:t>An inspections regime in an MMS may involve the following:</w:t>
      </w:r>
    </w:p>
    <w:p w14:paraId="7A44BEC6" w14:textId="77777777" w:rsidR="009201D4" w:rsidRPr="006555EA" w:rsidRDefault="009201D4" w:rsidP="00842F5A">
      <w:pPr>
        <w:pStyle w:val="ListParagraph"/>
        <w:numPr>
          <w:ilvl w:val="0"/>
          <w:numId w:val="24"/>
        </w:numPr>
        <w:rPr>
          <w:rFonts w:asciiTheme="minorHAnsi" w:hAnsiTheme="minorHAnsi" w:cstheme="minorHAnsi"/>
          <w:color w:val="auto"/>
          <w:sz w:val="20"/>
          <w:szCs w:val="20"/>
        </w:rPr>
      </w:pPr>
      <w:r>
        <w:rPr>
          <w:rFonts w:asciiTheme="minorHAnsi" w:hAnsiTheme="minorHAnsi" w:cstheme="minorHAnsi"/>
          <w:color w:val="auto"/>
          <w:sz w:val="20"/>
          <w:szCs w:val="20"/>
        </w:rPr>
        <w:t>p</w:t>
      </w:r>
      <w:r w:rsidRPr="006555EA">
        <w:rPr>
          <w:rFonts w:asciiTheme="minorHAnsi" w:hAnsiTheme="minorHAnsi" w:cstheme="minorHAnsi"/>
          <w:color w:val="auto"/>
          <w:sz w:val="20"/>
          <w:szCs w:val="20"/>
        </w:rPr>
        <w:t>re-trip inspections</w:t>
      </w:r>
    </w:p>
    <w:p w14:paraId="3A57B488" w14:textId="77777777" w:rsidR="009201D4" w:rsidRPr="006555EA" w:rsidRDefault="009201D4" w:rsidP="00842F5A">
      <w:pPr>
        <w:pStyle w:val="ListParagraph"/>
        <w:numPr>
          <w:ilvl w:val="0"/>
          <w:numId w:val="24"/>
        </w:numPr>
        <w:rPr>
          <w:rFonts w:asciiTheme="minorHAnsi" w:hAnsiTheme="minorHAnsi" w:cstheme="minorHAnsi"/>
          <w:color w:val="auto"/>
          <w:sz w:val="20"/>
          <w:szCs w:val="20"/>
        </w:rPr>
      </w:pPr>
      <w:r>
        <w:rPr>
          <w:rFonts w:asciiTheme="minorHAnsi" w:hAnsiTheme="minorHAnsi" w:cstheme="minorHAnsi"/>
          <w:color w:val="auto"/>
          <w:sz w:val="20"/>
          <w:szCs w:val="20"/>
        </w:rPr>
        <w:t>vehicle safety inspections</w:t>
      </w:r>
    </w:p>
    <w:p w14:paraId="51B58FF6" w14:textId="24EE7B1F" w:rsidR="009201D4" w:rsidRDefault="00C00690" w:rsidP="00842F5A">
      <w:pPr>
        <w:pStyle w:val="ListParagraph"/>
        <w:numPr>
          <w:ilvl w:val="0"/>
          <w:numId w:val="24"/>
        </w:numPr>
        <w:rPr>
          <w:rFonts w:asciiTheme="minorHAnsi" w:hAnsiTheme="minorHAnsi" w:cstheme="minorHAnsi"/>
          <w:color w:val="auto"/>
          <w:sz w:val="20"/>
          <w:szCs w:val="20"/>
        </w:rPr>
      </w:pPr>
      <w:r>
        <w:rPr>
          <w:rFonts w:asciiTheme="minorHAnsi" w:hAnsiTheme="minorHAnsi" w:cstheme="minorHAnsi"/>
          <w:color w:val="auto"/>
          <w:sz w:val="20"/>
          <w:szCs w:val="20"/>
        </w:rPr>
        <w:lastRenderedPageBreak/>
        <w:t>roadworthy</w:t>
      </w:r>
      <w:r w:rsidRPr="006555EA">
        <w:rPr>
          <w:rFonts w:asciiTheme="minorHAnsi" w:hAnsiTheme="minorHAnsi" w:cstheme="minorHAnsi"/>
          <w:color w:val="auto"/>
          <w:sz w:val="20"/>
          <w:szCs w:val="20"/>
        </w:rPr>
        <w:t xml:space="preserve"> </w:t>
      </w:r>
      <w:r w:rsidR="009201D4" w:rsidRPr="006555EA">
        <w:rPr>
          <w:rFonts w:asciiTheme="minorHAnsi" w:hAnsiTheme="minorHAnsi" w:cstheme="minorHAnsi"/>
          <w:color w:val="auto"/>
          <w:sz w:val="20"/>
          <w:szCs w:val="20"/>
        </w:rPr>
        <w:t>inspections</w:t>
      </w:r>
      <w:r w:rsidR="009201D4">
        <w:rPr>
          <w:rFonts w:asciiTheme="minorHAnsi" w:hAnsiTheme="minorHAnsi" w:cstheme="minorHAnsi"/>
          <w:color w:val="auto"/>
          <w:sz w:val="20"/>
          <w:szCs w:val="20"/>
        </w:rPr>
        <w:t>.</w:t>
      </w:r>
    </w:p>
    <w:p w14:paraId="3D609FF1" w14:textId="48AA9E10" w:rsidR="009201D4" w:rsidRDefault="009201D4" w:rsidP="009201D4">
      <w:pPr>
        <w:rPr>
          <w:rFonts w:cstheme="minorHAnsi"/>
          <w:color w:val="auto"/>
          <w:szCs w:val="20"/>
        </w:rPr>
      </w:pPr>
      <w:r>
        <w:rPr>
          <w:rFonts w:cstheme="minorHAnsi"/>
          <w:color w:val="auto"/>
          <w:szCs w:val="20"/>
        </w:rPr>
        <w:t>Accredited operators are already required to undertake a</w:t>
      </w:r>
      <w:r w:rsidRPr="00A55AEE">
        <w:rPr>
          <w:rFonts w:cstheme="minorHAnsi"/>
          <w:color w:val="auto"/>
          <w:szCs w:val="20"/>
        </w:rPr>
        <w:t xml:space="preserve">nnual </w:t>
      </w:r>
      <w:r w:rsidR="00880CC7">
        <w:rPr>
          <w:rFonts w:cstheme="minorHAnsi"/>
          <w:color w:val="auto"/>
          <w:szCs w:val="20"/>
        </w:rPr>
        <w:t>roadworthy</w:t>
      </w:r>
      <w:r w:rsidR="00764CE4">
        <w:rPr>
          <w:rFonts w:cstheme="minorHAnsi"/>
          <w:color w:val="auto"/>
          <w:szCs w:val="20"/>
        </w:rPr>
        <w:t xml:space="preserve"> </w:t>
      </w:r>
      <w:r w:rsidRPr="00A55AEE">
        <w:rPr>
          <w:rFonts w:cstheme="minorHAnsi"/>
          <w:color w:val="auto"/>
          <w:szCs w:val="20"/>
        </w:rPr>
        <w:t>inspections</w:t>
      </w:r>
      <w:r>
        <w:rPr>
          <w:rFonts w:cstheme="minorHAnsi"/>
          <w:color w:val="auto"/>
          <w:szCs w:val="20"/>
        </w:rPr>
        <w:t xml:space="preserve"> of their buses</w:t>
      </w:r>
      <w:r w:rsidRPr="00A55AEE">
        <w:rPr>
          <w:rFonts w:cstheme="minorHAnsi"/>
          <w:color w:val="auto"/>
          <w:szCs w:val="20"/>
        </w:rPr>
        <w:t xml:space="preserve"> under the B</w:t>
      </w:r>
      <w:r>
        <w:rPr>
          <w:rFonts w:cstheme="minorHAnsi"/>
          <w:color w:val="auto"/>
          <w:szCs w:val="20"/>
        </w:rPr>
        <w:t xml:space="preserve">us </w:t>
      </w:r>
      <w:r w:rsidRPr="00A55AEE">
        <w:rPr>
          <w:rFonts w:cstheme="minorHAnsi"/>
          <w:color w:val="auto"/>
          <w:szCs w:val="20"/>
        </w:rPr>
        <w:t>S</w:t>
      </w:r>
      <w:r>
        <w:rPr>
          <w:rFonts w:cstheme="minorHAnsi"/>
          <w:color w:val="auto"/>
          <w:szCs w:val="20"/>
        </w:rPr>
        <w:t xml:space="preserve">afety </w:t>
      </w:r>
      <w:r w:rsidRPr="00A55AEE">
        <w:rPr>
          <w:rFonts w:cstheme="minorHAnsi"/>
          <w:color w:val="auto"/>
          <w:szCs w:val="20"/>
        </w:rPr>
        <w:t>A</w:t>
      </w:r>
      <w:r>
        <w:rPr>
          <w:rFonts w:cstheme="minorHAnsi"/>
          <w:color w:val="auto"/>
          <w:szCs w:val="20"/>
        </w:rPr>
        <w:t>ct</w:t>
      </w:r>
      <w:r w:rsidRPr="00A55AEE">
        <w:rPr>
          <w:rFonts w:cstheme="minorHAnsi"/>
          <w:color w:val="auto"/>
          <w:szCs w:val="20"/>
        </w:rPr>
        <w:t xml:space="preserve">, so </w:t>
      </w:r>
      <w:r>
        <w:rPr>
          <w:rFonts w:cstheme="minorHAnsi"/>
          <w:color w:val="auto"/>
          <w:szCs w:val="20"/>
        </w:rPr>
        <w:t>DoT will exclude this</w:t>
      </w:r>
      <w:r w:rsidRPr="00A55AEE">
        <w:rPr>
          <w:rFonts w:cstheme="minorHAnsi"/>
          <w:color w:val="auto"/>
          <w:szCs w:val="20"/>
        </w:rPr>
        <w:t xml:space="preserve"> cost </w:t>
      </w:r>
      <w:r>
        <w:rPr>
          <w:rFonts w:cstheme="minorHAnsi"/>
          <w:color w:val="auto"/>
          <w:szCs w:val="20"/>
        </w:rPr>
        <w:t>a</w:t>
      </w:r>
      <w:r w:rsidRPr="00A55AEE">
        <w:rPr>
          <w:rFonts w:cstheme="minorHAnsi"/>
          <w:color w:val="auto"/>
          <w:szCs w:val="20"/>
        </w:rPr>
        <w:t>s</w:t>
      </w:r>
      <w:r>
        <w:rPr>
          <w:rFonts w:cstheme="minorHAnsi"/>
          <w:color w:val="auto"/>
          <w:szCs w:val="20"/>
        </w:rPr>
        <w:t xml:space="preserve"> it is</w:t>
      </w:r>
      <w:r w:rsidRPr="00A55AEE">
        <w:rPr>
          <w:rFonts w:cstheme="minorHAnsi"/>
          <w:color w:val="auto"/>
          <w:szCs w:val="20"/>
        </w:rPr>
        <w:t xml:space="preserve"> not attribut</w:t>
      </w:r>
      <w:r>
        <w:rPr>
          <w:rFonts w:cstheme="minorHAnsi"/>
          <w:color w:val="auto"/>
          <w:szCs w:val="20"/>
        </w:rPr>
        <w:t>able</w:t>
      </w:r>
      <w:r w:rsidRPr="00A55AEE">
        <w:rPr>
          <w:rFonts w:cstheme="minorHAnsi"/>
          <w:color w:val="auto"/>
          <w:szCs w:val="20"/>
        </w:rPr>
        <w:t xml:space="preserve"> to the proposed regulations</w:t>
      </w:r>
      <w:r w:rsidR="00224855">
        <w:rPr>
          <w:rFonts w:cstheme="minorHAnsi"/>
          <w:color w:val="auto"/>
          <w:szCs w:val="20"/>
        </w:rPr>
        <w:t>. DoT</w:t>
      </w:r>
      <w:r w:rsidRPr="00A55AEE">
        <w:rPr>
          <w:rFonts w:cstheme="minorHAnsi"/>
          <w:color w:val="auto"/>
          <w:szCs w:val="20"/>
        </w:rPr>
        <w:t xml:space="preserve"> will not further consider</w:t>
      </w:r>
      <w:r w:rsidR="00357240">
        <w:rPr>
          <w:rFonts w:cstheme="minorHAnsi"/>
          <w:color w:val="auto"/>
          <w:szCs w:val="20"/>
        </w:rPr>
        <w:t xml:space="preserve"> these inspections</w:t>
      </w:r>
      <w:r w:rsidRPr="00A55AEE">
        <w:rPr>
          <w:rFonts w:cstheme="minorHAnsi"/>
          <w:color w:val="auto"/>
          <w:szCs w:val="20"/>
        </w:rPr>
        <w:t xml:space="preserve"> as part of this RIS.</w:t>
      </w:r>
    </w:p>
    <w:p w14:paraId="3EE4B6A5" w14:textId="547EB157" w:rsidR="009201D4" w:rsidRDefault="009201D4" w:rsidP="009201D4">
      <w:pPr>
        <w:rPr>
          <w:rFonts w:cstheme="minorHAnsi"/>
          <w:color w:val="auto"/>
          <w:szCs w:val="20"/>
        </w:rPr>
      </w:pPr>
      <w:r>
        <w:rPr>
          <w:rFonts w:cstheme="minorHAnsi"/>
          <w:color w:val="auto"/>
          <w:szCs w:val="20"/>
        </w:rPr>
        <w:t xml:space="preserve">Pre-trip inspections are inspections carried out prior to the first passenger trip on each operating day. This is meant to be </w:t>
      </w:r>
      <w:r w:rsidR="00F438BD">
        <w:rPr>
          <w:rFonts w:cstheme="minorHAnsi"/>
          <w:color w:val="auto"/>
          <w:szCs w:val="20"/>
        </w:rPr>
        <w:t xml:space="preserve">a </w:t>
      </w:r>
      <w:r>
        <w:rPr>
          <w:rFonts w:cstheme="minorHAnsi"/>
          <w:color w:val="auto"/>
          <w:szCs w:val="20"/>
        </w:rPr>
        <w:t xml:space="preserve">quick inspection, usually done by the driver or another person before the shift starts to identify if there are any obvious faults to the vehicle. Therefore, DoT will assume that pre-trip inspections take on average </w:t>
      </w:r>
      <w:r w:rsidRPr="00F94572">
        <w:rPr>
          <w:rFonts w:cstheme="minorHAnsi"/>
          <w:color w:val="auto"/>
          <w:szCs w:val="20"/>
        </w:rPr>
        <w:t>10 minutes</w:t>
      </w:r>
      <w:r>
        <w:rPr>
          <w:rFonts w:cstheme="minorHAnsi"/>
          <w:color w:val="auto"/>
          <w:szCs w:val="20"/>
        </w:rPr>
        <w:t xml:space="preserve"> per inspection. </w:t>
      </w:r>
    </w:p>
    <w:p w14:paraId="673FA677" w14:textId="77777777" w:rsidR="009201D4" w:rsidRDefault="009201D4" w:rsidP="009201D4">
      <w:r>
        <w:t xml:space="preserve">Based on TSV data from 2016 to 2019, the assumed future annual growth rate for buses introduced into the fleet and operated by accredited operators is </w:t>
      </w:r>
      <w:r w:rsidRPr="004A0EB8">
        <w:t>1 per cent</w:t>
      </w:r>
      <w:r>
        <w:t>.</w:t>
      </w:r>
      <w:r>
        <w:rPr>
          <w:rStyle w:val="FootnoteReference"/>
          <w:sz w:val="18"/>
        </w:rPr>
        <w:footnoteReference w:id="17"/>
      </w:r>
      <w:r>
        <w:t xml:space="preserve"> </w:t>
      </w:r>
    </w:p>
    <w:p w14:paraId="0FE20ADC" w14:textId="4DB3530B" w:rsidR="009201D4" w:rsidRPr="00A55AEE" w:rsidRDefault="009201D4" w:rsidP="009201D4">
      <w:pPr>
        <w:rPr>
          <w:rFonts w:cstheme="minorHAnsi"/>
          <w:color w:val="auto"/>
          <w:szCs w:val="20"/>
        </w:rPr>
      </w:pPr>
      <w:r>
        <w:rPr>
          <w:rFonts w:cstheme="minorHAnsi"/>
          <w:color w:val="auto"/>
          <w:szCs w:val="20"/>
        </w:rPr>
        <w:fldChar w:fldCharType="begin"/>
      </w:r>
      <w:r>
        <w:rPr>
          <w:rFonts w:cstheme="minorHAnsi"/>
          <w:color w:val="auto"/>
          <w:szCs w:val="20"/>
        </w:rPr>
        <w:instrText xml:space="preserve"> REF _Ref35507875 \h  \* MERGEFORMAT </w:instrText>
      </w:r>
      <w:r>
        <w:rPr>
          <w:rFonts w:cstheme="minorHAnsi"/>
          <w:color w:val="auto"/>
          <w:szCs w:val="20"/>
        </w:rPr>
      </w:r>
      <w:r>
        <w:rPr>
          <w:rFonts w:cstheme="minorHAnsi"/>
          <w:color w:val="auto"/>
          <w:szCs w:val="20"/>
        </w:rPr>
        <w:fldChar w:fldCharType="separate"/>
      </w:r>
      <w:r w:rsidR="00277F6E" w:rsidRPr="00277F6E">
        <w:rPr>
          <w:rFonts w:cstheme="minorHAnsi"/>
          <w:color w:val="auto"/>
          <w:szCs w:val="20"/>
        </w:rPr>
        <w:t>Table 7</w:t>
      </w:r>
      <w:r w:rsidR="00277F6E" w:rsidRPr="00277F6E">
        <w:rPr>
          <w:rFonts w:cstheme="minorHAnsi"/>
          <w:color w:val="auto"/>
          <w:szCs w:val="20"/>
        </w:rPr>
        <w:noBreakHyphen/>
        <w:t>3</w:t>
      </w:r>
      <w:r>
        <w:rPr>
          <w:rFonts w:cstheme="minorHAnsi"/>
          <w:color w:val="auto"/>
          <w:szCs w:val="20"/>
        </w:rPr>
        <w:fldChar w:fldCharType="end"/>
      </w:r>
      <w:r>
        <w:rPr>
          <w:rFonts w:cstheme="minorHAnsi"/>
          <w:color w:val="auto"/>
          <w:szCs w:val="20"/>
        </w:rPr>
        <w:t xml:space="preserve"> </w:t>
      </w:r>
      <w:r w:rsidRPr="00A55AEE">
        <w:rPr>
          <w:rFonts w:cstheme="minorHAnsi"/>
          <w:color w:val="auto"/>
          <w:szCs w:val="20"/>
        </w:rPr>
        <w:t>outlines the assumptions made relating to</w:t>
      </w:r>
      <w:r>
        <w:rPr>
          <w:rFonts w:cstheme="minorHAnsi"/>
          <w:color w:val="auto"/>
          <w:szCs w:val="20"/>
        </w:rPr>
        <w:t xml:space="preserve"> the calculation of</w:t>
      </w:r>
      <w:r w:rsidRPr="00A55AEE">
        <w:rPr>
          <w:rFonts w:cstheme="minorHAnsi"/>
          <w:color w:val="auto"/>
          <w:szCs w:val="20"/>
        </w:rPr>
        <w:t xml:space="preserve"> costs relat</w:t>
      </w:r>
      <w:r>
        <w:rPr>
          <w:rFonts w:cstheme="minorHAnsi"/>
          <w:color w:val="auto"/>
          <w:szCs w:val="20"/>
        </w:rPr>
        <w:t>ing</w:t>
      </w:r>
      <w:r w:rsidRPr="00A55AEE">
        <w:rPr>
          <w:rFonts w:cstheme="minorHAnsi"/>
          <w:color w:val="auto"/>
          <w:szCs w:val="20"/>
        </w:rPr>
        <w:t xml:space="preserve"> to</w:t>
      </w:r>
      <w:r>
        <w:rPr>
          <w:rFonts w:cstheme="minorHAnsi"/>
          <w:color w:val="auto"/>
          <w:szCs w:val="20"/>
        </w:rPr>
        <w:t xml:space="preserve"> conducting</w:t>
      </w:r>
      <w:r w:rsidRPr="00A55AEE">
        <w:rPr>
          <w:rFonts w:cstheme="minorHAnsi"/>
          <w:color w:val="auto"/>
          <w:szCs w:val="20"/>
        </w:rPr>
        <w:t xml:space="preserve"> pre-trip inspections. </w:t>
      </w:r>
    </w:p>
    <w:p w14:paraId="6DC7556A" w14:textId="4B90ECEF" w:rsidR="009201D4" w:rsidRPr="006729E9" w:rsidRDefault="009201D4" w:rsidP="007620AA">
      <w:pPr>
        <w:pStyle w:val="Caption"/>
        <w:keepNext/>
        <w:spacing w:after="60"/>
        <w:rPr>
          <w:b/>
          <w:bCs/>
          <w:i w:val="0"/>
          <w:iCs w:val="0"/>
        </w:rPr>
      </w:pPr>
      <w:bookmarkStart w:id="600" w:name="_Ref35507875"/>
      <w:bookmarkStart w:id="601" w:name="_Toc44437375"/>
      <w:bookmarkStart w:id="602" w:name="_Toc44597446"/>
      <w:bookmarkStart w:id="603" w:name="_Toc44597510"/>
      <w:bookmarkStart w:id="604" w:name="_Toc44600080"/>
      <w:bookmarkStart w:id="605" w:name="_Toc44600535"/>
      <w:bookmarkStart w:id="606" w:name="_Toc44600702"/>
      <w:bookmarkStart w:id="607" w:name="_Toc44601199"/>
      <w:bookmarkStart w:id="608" w:name="_Toc44601252"/>
      <w:bookmarkStart w:id="609" w:name="_Toc44603400"/>
      <w:bookmarkStart w:id="610" w:name="_Toc45704448"/>
      <w:r w:rsidRPr="00C50212">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3</w:t>
      </w:r>
      <w:r w:rsidR="00D2483C">
        <w:rPr>
          <w:b/>
          <w:i w:val="0"/>
        </w:rPr>
        <w:fldChar w:fldCharType="end"/>
      </w:r>
      <w:bookmarkEnd w:id="600"/>
      <w:r w:rsidRPr="00C50212">
        <w:rPr>
          <w:b/>
          <w:i w:val="0"/>
        </w:rPr>
        <w:t xml:space="preserve">: MMS pre-trip </w:t>
      </w:r>
      <w:r w:rsidRPr="007620AA">
        <w:rPr>
          <w:b/>
          <w:bCs/>
          <w:i w:val="0"/>
          <w:iCs w:val="0"/>
        </w:rPr>
        <w:t>inspection</w:t>
      </w:r>
      <w:r w:rsidRPr="00C50212">
        <w:rPr>
          <w:b/>
          <w:i w:val="0"/>
        </w:rPr>
        <w:t xml:space="preserve"> cost parameters for buses operated by accredited operators</w:t>
      </w:r>
      <w:bookmarkEnd w:id="601"/>
      <w:bookmarkEnd w:id="602"/>
      <w:bookmarkEnd w:id="603"/>
      <w:bookmarkEnd w:id="604"/>
      <w:bookmarkEnd w:id="605"/>
      <w:bookmarkEnd w:id="606"/>
      <w:bookmarkEnd w:id="607"/>
      <w:bookmarkEnd w:id="608"/>
      <w:bookmarkEnd w:id="609"/>
      <w:bookmarkEnd w:id="610"/>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2254"/>
        <w:gridCol w:w="2254"/>
        <w:gridCol w:w="2254"/>
      </w:tblGrid>
      <w:tr w:rsidR="009201D4" w:rsidRPr="00616C9C" w14:paraId="2313CBA1" w14:textId="77777777" w:rsidTr="003172D1">
        <w:trPr>
          <w:cantSplit/>
          <w:trHeight w:val="288"/>
        </w:trPr>
        <w:tc>
          <w:tcPr>
            <w:tcW w:w="1841" w:type="dxa"/>
            <w:shd w:val="clear" w:color="auto" w:fill="D6ECED"/>
            <w:noWrap/>
            <w:vAlign w:val="center"/>
            <w:hideMark/>
          </w:tcPr>
          <w:p w14:paraId="1324A5E4" w14:textId="77777777" w:rsidR="009201D4" w:rsidRPr="004E166B" w:rsidRDefault="009201D4" w:rsidP="003172D1">
            <w:pPr>
              <w:keepNext/>
              <w:spacing w:before="60" w:after="60"/>
              <w:jc w:val="center"/>
              <w:rPr>
                <w:rFonts w:eastAsia="Times New Roman" w:cstheme="minorHAnsi"/>
                <w:b/>
                <w:bCs/>
                <w:color w:val="000000"/>
                <w:sz w:val="18"/>
                <w:lang w:eastAsia="en-AU"/>
              </w:rPr>
            </w:pPr>
            <w:r w:rsidRPr="004E166B">
              <w:rPr>
                <w:b/>
                <w:bCs/>
                <w:sz w:val="18"/>
              </w:rPr>
              <w:t>Activity</w:t>
            </w:r>
          </w:p>
        </w:tc>
        <w:tc>
          <w:tcPr>
            <w:tcW w:w="1842" w:type="dxa"/>
            <w:shd w:val="clear" w:color="auto" w:fill="D6ECED"/>
          </w:tcPr>
          <w:p w14:paraId="7FFCE255" w14:textId="3EF3421D" w:rsidR="009201D4" w:rsidRPr="004E166B" w:rsidRDefault="009201D4" w:rsidP="003172D1">
            <w:pPr>
              <w:keepNext/>
              <w:spacing w:before="60" w:after="60"/>
              <w:jc w:val="center"/>
              <w:rPr>
                <w:b/>
                <w:bCs/>
                <w:sz w:val="18"/>
              </w:rPr>
            </w:pPr>
            <w:r w:rsidRPr="004E166B">
              <w:rPr>
                <w:b/>
                <w:bCs/>
                <w:sz w:val="18"/>
              </w:rPr>
              <w:t>Number of</w:t>
            </w:r>
            <w:r>
              <w:rPr>
                <w:b/>
                <w:bCs/>
                <w:sz w:val="18"/>
              </w:rPr>
              <w:t xml:space="preserve"> </w:t>
            </w:r>
            <w:r w:rsidRPr="004E166B">
              <w:rPr>
                <w:b/>
                <w:bCs/>
                <w:sz w:val="18"/>
              </w:rPr>
              <w:t xml:space="preserve">buses </w:t>
            </w:r>
            <w:r>
              <w:rPr>
                <w:b/>
                <w:bCs/>
                <w:sz w:val="18"/>
              </w:rPr>
              <w:t xml:space="preserve">as </w:t>
            </w:r>
            <w:r w:rsidR="00320077">
              <w:rPr>
                <w:b/>
                <w:bCs/>
                <w:sz w:val="18"/>
              </w:rPr>
              <w:t>of</w:t>
            </w:r>
            <w:r>
              <w:rPr>
                <w:b/>
                <w:bCs/>
                <w:sz w:val="18"/>
              </w:rPr>
              <w:t xml:space="preserve"> 31 December 2019</w:t>
            </w:r>
          </w:p>
        </w:tc>
        <w:tc>
          <w:tcPr>
            <w:tcW w:w="1842" w:type="dxa"/>
            <w:shd w:val="clear" w:color="auto" w:fill="D6ECED"/>
          </w:tcPr>
          <w:p w14:paraId="2383D429" w14:textId="77777777" w:rsidR="009201D4" w:rsidRPr="004E166B" w:rsidRDefault="009201D4" w:rsidP="003172D1">
            <w:pPr>
              <w:keepNext/>
              <w:spacing w:before="60" w:after="60"/>
              <w:jc w:val="center"/>
              <w:rPr>
                <w:b/>
                <w:bCs/>
                <w:sz w:val="18"/>
              </w:rPr>
            </w:pPr>
            <w:r>
              <w:rPr>
                <w:b/>
                <w:bCs/>
                <w:sz w:val="18"/>
              </w:rPr>
              <w:t>Annual growth rate of buses</w:t>
            </w:r>
          </w:p>
        </w:tc>
        <w:tc>
          <w:tcPr>
            <w:tcW w:w="1842" w:type="dxa"/>
            <w:shd w:val="clear" w:color="auto" w:fill="D6ECED"/>
            <w:noWrap/>
            <w:vAlign w:val="center"/>
            <w:hideMark/>
          </w:tcPr>
          <w:p w14:paraId="136EF759" w14:textId="638AF91C" w:rsidR="009201D4" w:rsidRPr="004E166B" w:rsidRDefault="009201D4" w:rsidP="003172D1">
            <w:pPr>
              <w:keepNext/>
              <w:spacing w:before="60" w:after="60"/>
              <w:jc w:val="center"/>
              <w:rPr>
                <w:rFonts w:eastAsia="Times New Roman" w:cstheme="minorHAnsi"/>
                <w:b/>
                <w:bCs/>
                <w:color w:val="000000"/>
                <w:sz w:val="18"/>
                <w:lang w:eastAsia="en-AU"/>
              </w:rPr>
            </w:pPr>
            <w:r w:rsidRPr="004E166B">
              <w:rPr>
                <w:b/>
                <w:bCs/>
                <w:sz w:val="18"/>
              </w:rPr>
              <w:t>Labour cost</w:t>
            </w:r>
          </w:p>
        </w:tc>
      </w:tr>
      <w:tr w:rsidR="009201D4" w:rsidRPr="00616C9C" w14:paraId="11608B56" w14:textId="77777777" w:rsidTr="003172D1">
        <w:trPr>
          <w:cantSplit/>
          <w:trHeight w:val="40"/>
        </w:trPr>
        <w:tc>
          <w:tcPr>
            <w:tcW w:w="1841" w:type="dxa"/>
            <w:shd w:val="clear" w:color="auto" w:fill="auto"/>
            <w:noWrap/>
            <w:vAlign w:val="center"/>
            <w:hideMark/>
          </w:tcPr>
          <w:p w14:paraId="49779F1A" w14:textId="77777777" w:rsidR="009201D4" w:rsidRPr="004E166B" w:rsidRDefault="009201D4" w:rsidP="003172D1">
            <w:pPr>
              <w:keepNext/>
              <w:jc w:val="center"/>
              <w:rPr>
                <w:rFonts w:cstheme="minorHAnsi"/>
                <w:color w:val="auto"/>
                <w:sz w:val="18"/>
              </w:rPr>
            </w:pPr>
            <w:r w:rsidRPr="004E166B">
              <w:rPr>
                <w:rFonts w:cstheme="minorHAnsi"/>
                <w:color w:val="auto"/>
                <w:sz w:val="18"/>
              </w:rPr>
              <w:t>Pre-trip inspections</w:t>
            </w:r>
          </w:p>
          <w:p w14:paraId="0D1F8A74" w14:textId="77777777" w:rsidR="009201D4" w:rsidRPr="004E166B" w:rsidRDefault="009201D4" w:rsidP="003172D1">
            <w:pPr>
              <w:keepNext/>
              <w:spacing w:before="60" w:after="60"/>
              <w:jc w:val="center"/>
              <w:rPr>
                <w:rFonts w:eastAsia="Times New Roman" w:cstheme="minorHAnsi"/>
                <w:color w:val="000000"/>
                <w:sz w:val="18"/>
                <w:lang w:eastAsia="en-AU"/>
              </w:rPr>
            </w:pPr>
          </w:p>
        </w:tc>
        <w:tc>
          <w:tcPr>
            <w:tcW w:w="1842" w:type="dxa"/>
            <w:vAlign w:val="center"/>
          </w:tcPr>
          <w:p w14:paraId="0E0F4E19" w14:textId="77777777" w:rsidR="009201D4" w:rsidRPr="004E166B" w:rsidRDefault="009201D4" w:rsidP="003172D1">
            <w:pPr>
              <w:keepNext/>
              <w:spacing w:before="60" w:after="60"/>
              <w:jc w:val="center"/>
              <w:rPr>
                <w:sz w:val="18"/>
              </w:rPr>
            </w:pPr>
            <w:r w:rsidRPr="004E166B">
              <w:rPr>
                <w:sz w:val="18"/>
              </w:rPr>
              <w:t>7,302</w:t>
            </w:r>
          </w:p>
        </w:tc>
        <w:tc>
          <w:tcPr>
            <w:tcW w:w="1842" w:type="dxa"/>
            <w:vAlign w:val="center"/>
          </w:tcPr>
          <w:p w14:paraId="7C33D345" w14:textId="77777777" w:rsidR="009201D4" w:rsidRDefault="009201D4" w:rsidP="003172D1">
            <w:pPr>
              <w:keepNext/>
              <w:spacing w:before="60" w:after="60"/>
              <w:jc w:val="center"/>
              <w:rPr>
                <w:sz w:val="18"/>
              </w:rPr>
            </w:pPr>
            <w:r>
              <w:rPr>
                <w:sz w:val="18"/>
              </w:rPr>
              <w:t>1%</w:t>
            </w:r>
          </w:p>
        </w:tc>
        <w:tc>
          <w:tcPr>
            <w:tcW w:w="1842" w:type="dxa"/>
            <w:shd w:val="clear" w:color="auto" w:fill="auto"/>
            <w:noWrap/>
            <w:vAlign w:val="center"/>
          </w:tcPr>
          <w:p w14:paraId="7E3FC2F6" w14:textId="77777777" w:rsidR="00094419" w:rsidRDefault="009201D4" w:rsidP="003172D1">
            <w:pPr>
              <w:keepNext/>
              <w:spacing w:before="60" w:after="60"/>
              <w:jc w:val="center"/>
              <w:rPr>
                <w:sz w:val="18"/>
              </w:rPr>
            </w:pPr>
            <w:r>
              <w:rPr>
                <w:sz w:val="18"/>
              </w:rPr>
              <w:t>10</w:t>
            </w:r>
            <w:r w:rsidR="00094419">
              <w:rPr>
                <w:sz w:val="18"/>
              </w:rPr>
              <w:t xml:space="preserve"> minutes</w:t>
            </w:r>
          </w:p>
          <w:p w14:paraId="1C94BE98" w14:textId="6E564270" w:rsidR="009201D4" w:rsidRPr="004E166B" w:rsidRDefault="00094419" w:rsidP="003172D1">
            <w:pPr>
              <w:keepNext/>
              <w:spacing w:before="60" w:after="60"/>
              <w:jc w:val="center"/>
              <w:rPr>
                <w:rFonts w:eastAsia="Times New Roman" w:cstheme="minorHAnsi"/>
                <w:color w:val="000000"/>
                <w:sz w:val="18"/>
                <w:lang w:eastAsia="en-AU"/>
              </w:rPr>
            </w:pPr>
            <w:r>
              <w:rPr>
                <w:sz w:val="18"/>
              </w:rPr>
              <w:t>(</w:t>
            </w:r>
            <w:r w:rsidR="009201D4" w:rsidRPr="005B6578">
              <w:rPr>
                <w:sz w:val="18"/>
              </w:rPr>
              <w:t>$</w:t>
            </w:r>
            <w:r w:rsidR="009201D4">
              <w:rPr>
                <w:sz w:val="18"/>
              </w:rPr>
              <w:t>12.73</w:t>
            </w:r>
            <w:r>
              <w:rPr>
                <w:sz w:val="18"/>
              </w:rPr>
              <w:t>)</w:t>
            </w:r>
          </w:p>
        </w:tc>
      </w:tr>
    </w:tbl>
    <w:p w14:paraId="3FCE2BF9" w14:textId="33CAAB54" w:rsidR="009201D4" w:rsidRPr="00F34DD4" w:rsidRDefault="009201D4" w:rsidP="009201D4">
      <w:pPr>
        <w:rPr>
          <w:rFonts w:cstheme="minorHAnsi"/>
          <w:color w:val="auto"/>
          <w:szCs w:val="20"/>
        </w:rPr>
      </w:pPr>
      <w:r>
        <w:rPr>
          <w:rFonts w:cstheme="minorHAnsi"/>
          <w:color w:val="auto"/>
          <w:szCs w:val="20"/>
        </w:rPr>
        <w:t xml:space="preserve">An additional assumption that is needed is the likely </w:t>
      </w:r>
      <w:r w:rsidR="005E0B4E">
        <w:rPr>
          <w:rFonts w:cstheme="minorHAnsi"/>
          <w:color w:val="auto"/>
          <w:szCs w:val="20"/>
        </w:rPr>
        <w:t xml:space="preserve">the </w:t>
      </w:r>
      <w:r>
        <w:rPr>
          <w:rFonts w:cstheme="minorHAnsi"/>
          <w:color w:val="auto"/>
          <w:szCs w:val="20"/>
        </w:rPr>
        <w:t xml:space="preserve">frequency of use of </w:t>
      </w:r>
      <w:r w:rsidR="00BA4A78">
        <w:rPr>
          <w:rFonts w:cstheme="minorHAnsi"/>
          <w:color w:val="auto"/>
          <w:szCs w:val="20"/>
        </w:rPr>
        <w:t>a</w:t>
      </w:r>
      <w:r>
        <w:rPr>
          <w:rFonts w:cstheme="minorHAnsi"/>
          <w:color w:val="auto"/>
          <w:szCs w:val="20"/>
        </w:rPr>
        <w:t xml:space="preserve"> bus throughout the year.  </w:t>
      </w:r>
      <w:r w:rsidR="00BA4A78">
        <w:rPr>
          <w:rFonts w:cstheme="minorHAnsi"/>
          <w:color w:val="auto"/>
          <w:szCs w:val="20"/>
        </w:rPr>
        <w:t>A b</w:t>
      </w:r>
      <w:r>
        <w:rPr>
          <w:rFonts w:cstheme="minorHAnsi"/>
          <w:color w:val="auto"/>
          <w:szCs w:val="20"/>
        </w:rPr>
        <w:t>us might not be used every day of the year, and t</w:t>
      </w:r>
      <w:r w:rsidRPr="00F34DD4">
        <w:rPr>
          <w:rFonts w:cstheme="minorHAnsi"/>
          <w:color w:val="auto"/>
          <w:szCs w:val="20"/>
        </w:rPr>
        <w:t>here may be a range of days per year that any given bus may operate.</w:t>
      </w:r>
      <w:r>
        <w:rPr>
          <w:rFonts w:cstheme="minorHAnsi"/>
          <w:color w:val="auto"/>
          <w:szCs w:val="20"/>
        </w:rPr>
        <w:t xml:space="preserve"> The frequency of use will impact the number of pre-trip inspections undertaken. DoT will assume that vehicle usage </w:t>
      </w:r>
      <w:r w:rsidR="00F438BD">
        <w:rPr>
          <w:rFonts w:cstheme="minorHAnsi"/>
          <w:color w:val="auto"/>
          <w:szCs w:val="20"/>
        </w:rPr>
        <w:t>will</w:t>
      </w:r>
      <w:r>
        <w:rPr>
          <w:rFonts w:cstheme="minorHAnsi"/>
          <w:color w:val="auto"/>
          <w:szCs w:val="20"/>
        </w:rPr>
        <w:t xml:space="preserve"> fall within </w:t>
      </w:r>
      <w:r w:rsidRPr="00F34DD4">
        <w:rPr>
          <w:rFonts w:cstheme="minorHAnsi"/>
          <w:color w:val="auto"/>
          <w:szCs w:val="20"/>
        </w:rPr>
        <w:t>following</w:t>
      </w:r>
      <w:r>
        <w:rPr>
          <w:rFonts w:cstheme="minorHAnsi"/>
          <w:color w:val="auto"/>
          <w:szCs w:val="20"/>
        </w:rPr>
        <w:t xml:space="preserve"> ranges</w:t>
      </w:r>
      <w:r w:rsidRPr="00F34DD4">
        <w:rPr>
          <w:rFonts w:cstheme="minorHAnsi"/>
          <w:color w:val="auto"/>
          <w:szCs w:val="20"/>
        </w:rPr>
        <w:t>:</w:t>
      </w:r>
    </w:p>
    <w:p w14:paraId="6379BF1B" w14:textId="77777777" w:rsidR="009201D4" w:rsidRDefault="009201D4" w:rsidP="00842F5A">
      <w:pPr>
        <w:pStyle w:val="ListParagraph"/>
        <w:numPr>
          <w:ilvl w:val="0"/>
          <w:numId w:val="24"/>
        </w:numPr>
        <w:rPr>
          <w:rFonts w:asciiTheme="minorHAnsi" w:hAnsiTheme="minorHAnsi" w:cstheme="minorHAnsi"/>
          <w:color w:val="auto"/>
          <w:sz w:val="20"/>
          <w:szCs w:val="20"/>
        </w:rPr>
      </w:pPr>
      <w:r w:rsidRPr="00F34DD4">
        <w:rPr>
          <w:rFonts w:asciiTheme="minorHAnsi" w:hAnsiTheme="minorHAnsi" w:cstheme="minorHAnsi"/>
          <w:color w:val="auto"/>
          <w:sz w:val="20"/>
          <w:szCs w:val="20"/>
        </w:rPr>
        <w:t>low us</w:t>
      </w:r>
      <w:r>
        <w:rPr>
          <w:rFonts w:asciiTheme="minorHAnsi" w:hAnsiTheme="minorHAnsi" w:cstheme="minorHAnsi"/>
          <w:color w:val="auto"/>
          <w:sz w:val="20"/>
          <w:szCs w:val="20"/>
        </w:rPr>
        <w:t>e</w:t>
      </w:r>
      <w:r w:rsidRPr="00F34DD4">
        <w:rPr>
          <w:rFonts w:asciiTheme="minorHAnsi" w:hAnsiTheme="minorHAnsi" w:cstheme="minorHAnsi"/>
          <w:color w:val="auto"/>
          <w:sz w:val="20"/>
          <w:szCs w:val="20"/>
        </w:rPr>
        <w:t xml:space="preserve"> (e.g.</w:t>
      </w:r>
      <w:r>
        <w:rPr>
          <w:rFonts w:asciiTheme="minorHAnsi" w:hAnsiTheme="minorHAnsi" w:cstheme="minorHAnsi"/>
          <w:color w:val="auto"/>
          <w:sz w:val="20"/>
          <w:szCs w:val="20"/>
        </w:rPr>
        <w:t xml:space="preserve"> courtesy bus service</w:t>
      </w:r>
      <w:r w:rsidRPr="00F34DD4">
        <w:rPr>
          <w:rFonts w:asciiTheme="minorHAnsi" w:hAnsiTheme="minorHAnsi" w:cstheme="minorHAnsi"/>
          <w:color w:val="auto"/>
          <w:sz w:val="20"/>
          <w:szCs w:val="20"/>
        </w:rPr>
        <w:t xml:space="preserve">) may only operate </w:t>
      </w:r>
      <w:r w:rsidRPr="00C50212">
        <w:rPr>
          <w:rFonts w:asciiTheme="minorHAnsi" w:hAnsiTheme="minorHAnsi" w:cstheme="minorHAnsi"/>
          <w:color w:val="auto"/>
          <w:sz w:val="20"/>
          <w:szCs w:val="20"/>
        </w:rPr>
        <w:t>one to two days per week (or 52 to 104 days per year</w:t>
      </w:r>
      <w:r w:rsidRPr="00F34DD4">
        <w:rPr>
          <w:rFonts w:asciiTheme="minorHAnsi" w:hAnsiTheme="minorHAnsi" w:cstheme="minorHAnsi"/>
          <w:color w:val="auto"/>
          <w:sz w:val="20"/>
          <w:szCs w:val="20"/>
        </w:rPr>
        <w:t>).</w:t>
      </w:r>
    </w:p>
    <w:p w14:paraId="50A54BDE" w14:textId="77777777" w:rsidR="009201D4" w:rsidRDefault="009201D4" w:rsidP="00842F5A">
      <w:pPr>
        <w:pStyle w:val="ListParagraph"/>
        <w:numPr>
          <w:ilvl w:val="0"/>
          <w:numId w:val="24"/>
        </w:numPr>
        <w:rPr>
          <w:rFonts w:asciiTheme="minorHAnsi" w:hAnsiTheme="minorHAnsi" w:cstheme="minorHAnsi"/>
          <w:color w:val="auto"/>
          <w:sz w:val="20"/>
          <w:szCs w:val="20"/>
        </w:rPr>
      </w:pPr>
      <w:r>
        <w:rPr>
          <w:rFonts w:asciiTheme="minorHAnsi" w:hAnsiTheme="minorHAnsi" w:cstheme="minorHAnsi"/>
          <w:color w:val="auto"/>
          <w:sz w:val="20"/>
          <w:szCs w:val="20"/>
        </w:rPr>
        <w:t>medium use</w:t>
      </w:r>
      <w:r w:rsidRPr="00F34DD4">
        <w:rPr>
          <w:rFonts w:asciiTheme="minorHAnsi" w:hAnsiTheme="minorHAnsi" w:cstheme="minorHAnsi"/>
          <w:color w:val="auto"/>
          <w:sz w:val="20"/>
          <w:szCs w:val="20"/>
        </w:rPr>
        <w:t xml:space="preserve"> </w:t>
      </w:r>
      <w:r>
        <w:rPr>
          <w:rFonts w:asciiTheme="minorHAnsi" w:hAnsiTheme="minorHAnsi" w:cstheme="minorHAnsi"/>
          <w:color w:val="auto"/>
          <w:sz w:val="20"/>
          <w:szCs w:val="20"/>
        </w:rPr>
        <w:t xml:space="preserve">(e.g. tour and charter bus service) may operate </w:t>
      </w:r>
      <w:r w:rsidRPr="00C50212">
        <w:rPr>
          <w:rFonts w:asciiTheme="minorHAnsi" w:hAnsiTheme="minorHAnsi" w:cstheme="minorHAnsi"/>
          <w:color w:val="auto"/>
          <w:sz w:val="20"/>
          <w:szCs w:val="20"/>
        </w:rPr>
        <w:t>from two to five days per week (or 104 to 260 days per year)</w:t>
      </w:r>
    </w:p>
    <w:p w14:paraId="705C746A" w14:textId="77777777" w:rsidR="009201D4" w:rsidRDefault="009201D4" w:rsidP="00842F5A">
      <w:pPr>
        <w:pStyle w:val="ListParagraph"/>
        <w:numPr>
          <w:ilvl w:val="0"/>
          <w:numId w:val="24"/>
        </w:numPr>
        <w:rPr>
          <w:rFonts w:asciiTheme="minorHAnsi" w:hAnsiTheme="minorHAnsi" w:cstheme="minorHAnsi"/>
          <w:color w:val="auto"/>
          <w:sz w:val="20"/>
          <w:szCs w:val="20"/>
        </w:rPr>
      </w:pPr>
      <w:r>
        <w:rPr>
          <w:rFonts w:asciiTheme="minorHAnsi" w:hAnsiTheme="minorHAnsi" w:cstheme="minorHAnsi"/>
          <w:color w:val="auto"/>
          <w:sz w:val="20"/>
          <w:szCs w:val="20"/>
        </w:rPr>
        <w:t xml:space="preserve">heavy use </w:t>
      </w:r>
      <w:r w:rsidRPr="00F34DD4">
        <w:rPr>
          <w:rFonts w:asciiTheme="minorHAnsi" w:hAnsiTheme="minorHAnsi" w:cstheme="minorHAnsi"/>
          <w:color w:val="auto"/>
          <w:sz w:val="20"/>
          <w:szCs w:val="20"/>
        </w:rPr>
        <w:t xml:space="preserve">(e.g. </w:t>
      </w:r>
      <w:r>
        <w:rPr>
          <w:rFonts w:asciiTheme="minorHAnsi" w:hAnsiTheme="minorHAnsi" w:cstheme="minorHAnsi"/>
          <w:color w:val="auto"/>
          <w:sz w:val="20"/>
          <w:szCs w:val="20"/>
        </w:rPr>
        <w:t xml:space="preserve">commercial route bus service) </w:t>
      </w:r>
      <w:r w:rsidRPr="00F34DD4">
        <w:rPr>
          <w:rFonts w:asciiTheme="minorHAnsi" w:hAnsiTheme="minorHAnsi" w:cstheme="minorHAnsi"/>
          <w:color w:val="auto"/>
          <w:sz w:val="20"/>
          <w:szCs w:val="20"/>
        </w:rPr>
        <w:t xml:space="preserve">may only operate </w:t>
      </w:r>
      <w:r w:rsidRPr="00C50212">
        <w:rPr>
          <w:rFonts w:asciiTheme="minorHAnsi" w:hAnsiTheme="minorHAnsi" w:cstheme="minorHAnsi"/>
          <w:color w:val="auto"/>
          <w:sz w:val="20"/>
          <w:szCs w:val="20"/>
        </w:rPr>
        <w:t>from five to seven per week (or 260 to 360 days per year</w:t>
      </w:r>
      <w:r w:rsidRPr="00C50212">
        <w:rPr>
          <w:rStyle w:val="FootnoteReference"/>
          <w:rFonts w:asciiTheme="minorHAnsi" w:hAnsiTheme="minorHAnsi" w:cstheme="minorHAnsi"/>
          <w:color w:val="auto"/>
          <w:sz w:val="20"/>
          <w:szCs w:val="20"/>
        </w:rPr>
        <w:footnoteReference w:id="18"/>
      </w:r>
      <w:r w:rsidRPr="00F34DD4">
        <w:rPr>
          <w:rFonts w:asciiTheme="minorHAnsi" w:hAnsiTheme="minorHAnsi" w:cstheme="minorHAnsi"/>
          <w:color w:val="auto"/>
          <w:sz w:val="20"/>
          <w:szCs w:val="20"/>
        </w:rPr>
        <w:t>).</w:t>
      </w:r>
    </w:p>
    <w:p w14:paraId="25EAEE83" w14:textId="4A4F5403" w:rsidR="009201D4" w:rsidRDefault="009201D4" w:rsidP="009201D4">
      <w:pPr>
        <w:rPr>
          <w:rFonts w:cstheme="minorHAnsi"/>
          <w:color w:val="auto"/>
          <w:szCs w:val="20"/>
        </w:rPr>
      </w:pPr>
      <w:r w:rsidRPr="000D3574">
        <w:rPr>
          <w:rFonts w:cstheme="minorHAnsi"/>
          <w:color w:val="auto"/>
          <w:szCs w:val="20"/>
        </w:rPr>
        <w:t>These ranges tak</w:t>
      </w:r>
      <w:r w:rsidRPr="003945D6">
        <w:rPr>
          <w:rFonts w:cstheme="minorHAnsi"/>
          <w:color w:val="auto"/>
          <w:szCs w:val="20"/>
        </w:rPr>
        <w:t xml:space="preserve">e into account </w:t>
      </w:r>
      <w:r w:rsidR="00A041E4">
        <w:rPr>
          <w:rFonts w:cstheme="minorHAnsi"/>
          <w:color w:val="auto"/>
          <w:szCs w:val="20"/>
        </w:rPr>
        <w:t>that</w:t>
      </w:r>
      <w:r w:rsidRPr="003945D6">
        <w:rPr>
          <w:rFonts w:cstheme="minorHAnsi"/>
          <w:color w:val="auto"/>
          <w:szCs w:val="20"/>
        </w:rPr>
        <w:t xml:space="preserve"> the fleet of buses operated by accredited operators may not be </w:t>
      </w:r>
      <w:r w:rsidRPr="001A1870">
        <w:rPr>
          <w:rFonts w:cstheme="minorHAnsi"/>
          <w:color w:val="auto"/>
          <w:szCs w:val="20"/>
        </w:rPr>
        <w:t>used often (“low use”) to being used almost daily (“high use”).</w:t>
      </w:r>
      <w:r w:rsidRPr="003945D6">
        <w:rPr>
          <w:rFonts w:cstheme="minorHAnsi"/>
          <w:color w:val="auto"/>
          <w:szCs w:val="20"/>
        </w:rPr>
        <w:t xml:space="preserve"> </w:t>
      </w:r>
      <w:r w:rsidRPr="00144C19">
        <w:rPr>
          <w:rFonts w:cstheme="minorHAnsi"/>
          <w:color w:val="auto"/>
          <w:szCs w:val="20"/>
        </w:rPr>
        <w:t>Given that</w:t>
      </w:r>
      <w:r>
        <w:rPr>
          <w:rFonts w:cstheme="minorHAnsi"/>
          <w:color w:val="auto"/>
          <w:szCs w:val="20"/>
        </w:rPr>
        <w:t xml:space="preserve"> accredited bus operators operate commercial or local bus services, it is more likely that the number of pre-trip inspections will fall into the medium to heavy use category. Although there may be some operators who operate infrequently. DoT does not have commercial data to accurately estimate vehicle usage, which is why costs will be estimated based on broad categories.</w:t>
      </w:r>
    </w:p>
    <w:p w14:paraId="4B9AFF5F" w14:textId="77777777" w:rsidR="00277F6E" w:rsidRPr="00277F6E" w:rsidRDefault="009201D4" w:rsidP="003172D1">
      <w:pPr>
        <w:rPr>
          <w:rFonts w:cstheme="minorHAnsi"/>
          <w:color w:val="auto"/>
          <w:szCs w:val="20"/>
        </w:rPr>
      </w:pPr>
      <w:r>
        <w:rPr>
          <w:rFonts w:cstheme="minorHAnsi"/>
          <w:color w:val="auto"/>
          <w:szCs w:val="20"/>
        </w:rPr>
        <w:fldChar w:fldCharType="begin"/>
      </w:r>
      <w:r>
        <w:rPr>
          <w:rFonts w:cstheme="minorHAnsi"/>
          <w:color w:val="auto"/>
          <w:szCs w:val="20"/>
        </w:rPr>
        <w:instrText xml:space="preserve"> REF _Ref35508827 \h  \* MERGEFORMAT </w:instrText>
      </w:r>
      <w:r>
        <w:rPr>
          <w:rFonts w:cstheme="minorHAnsi"/>
          <w:color w:val="auto"/>
          <w:szCs w:val="20"/>
        </w:rPr>
      </w:r>
      <w:r>
        <w:rPr>
          <w:rFonts w:cstheme="minorHAnsi"/>
          <w:color w:val="auto"/>
          <w:szCs w:val="20"/>
        </w:rPr>
        <w:fldChar w:fldCharType="separate"/>
      </w:r>
    </w:p>
    <w:p w14:paraId="37C994DB" w14:textId="04C02828" w:rsidR="00C327F1" w:rsidRDefault="00277F6E" w:rsidP="003172D1">
      <w:pPr>
        <w:rPr>
          <w:b/>
          <w:i/>
        </w:rPr>
      </w:pPr>
      <w:r w:rsidRPr="00277F6E">
        <w:rPr>
          <w:rFonts w:cstheme="minorHAnsi"/>
          <w:color w:val="auto"/>
          <w:szCs w:val="20"/>
        </w:rPr>
        <w:t xml:space="preserve">Table </w:t>
      </w:r>
      <w:r>
        <w:rPr>
          <w:b/>
          <w:i/>
          <w:noProof/>
        </w:rPr>
        <w:t>7</w:t>
      </w:r>
      <w:r>
        <w:rPr>
          <w:b/>
        </w:rPr>
        <w:noBreakHyphen/>
      </w:r>
      <w:r>
        <w:rPr>
          <w:b/>
          <w:i/>
          <w:noProof/>
        </w:rPr>
        <w:t>4</w:t>
      </w:r>
      <w:r w:rsidR="009201D4">
        <w:rPr>
          <w:rFonts w:cstheme="minorHAnsi"/>
          <w:color w:val="auto"/>
          <w:szCs w:val="20"/>
        </w:rPr>
        <w:fldChar w:fldCharType="end"/>
      </w:r>
      <w:r w:rsidR="009201D4">
        <w:rPr>
          <w:rFonts w:cstheme="minorHAnsi"/>
          <w:color w:val="auto"/>
          <w:szCs w:val="20"/>
        </w:rPr>
        <w:t xml:space="preserve"> summarises the results of the calculations and presents the 10-year NPV and EAC values for all accredited operators under a range of different levels of bus utilisation, based on a real discount rate of 4 per cent.</w:t>
      </w:r>
      <w:r w:rsidR="00A105A0">
        <w:rPr>
          <w:rFonts w:cstheme="minorHAnsi"/>
          <w:color w:val="auto"/>
          <w:szCs w:val="20"/>
        </w:rPr>
        <w:t xml:space="preserve"> </w:t>
      </w:r>
      <w:r w:rsidR="00E83B8C">
        <w:rPr>
          <w:rFonts w:cstheme="minorHAnsi"/>
          <w:color w:val="auto"/>
          <w:szCs w:val="20"/>
        </w:rPr>
        <w:t>For illustrative purposes, t</w:t>
      </w:r>
      <w:r w:rsidR="00286DAF">
        <w:rPr>
          <w:rFonts w:cstheme="minorHAnsi"/>
          <w:color w:val="auto"/>
          <w:szCs w:val="20"/>
        </w:rPr>
        <w:t xml:space="preserve">he calculations assume the </w:t>
      </w:r>
      <w:r w:rsidR="00A105A0">
        <w:rPr>
          <w:rFonts w:cstheme="minorHAnsi"/>
          <w:color w:val="auto"/>
          <w:szCs w:val="20"/>
        </w:rPr>
        <w:t>full fleet of accredited bus operat</w:t>
      </w:r>
      <w:r w:rsidR="00286DAF">
        <w:rPr>
          <w:rFonts w:cstheme="minorHAnsi"/>
          <w:color w:val="auto"/>
          <w:szCs w:val="20"/>
        </w:rPr>
        <w:t xml:space="preserve">ors are operating under each of the usage criteria (i.e. </w:t>
      </w:r>
      <w:r w:rsidR="00C36E04">
        <w:rPr>
          <w:rFonts w:cstheme="minorHAnsi"/>
          <w:color w:val="auto"/>
          <w:szCs w:val="20"/>
        </w:rPr>
        <w:t xml:space="preserve">calculations based on </w:t>
      </w:r>
      <w:r w:rsidR="00286DAF">
        <w:rPr>
          <w:rFonts w:cstheme="minorHAnsi"/>
          <w:color w:val="auto"/>
          <w:szCs w:val="20"/>
        </w:rPr>
        <w:t>100 per cent of buses operated by accredited operators</w:t>
      </w:r>
      <w:r w:rsidR="00833044">
        <w:rPr>
          <w:rFonts w:cstheme="minorHAnsi"/>
          <w:color w:val="auto"/>
          <w:szCs w:val="20"/>
        </w:rPr>
        <w:t xml:space="preserve"> </w:t>
      </w:r>
      <w:r w:rsidR="00C36E04">
        <w:rPr>
          <w:rFonts w:cstheme="minorHAnsi"/>
          <w:color w:val="auto"/>
          <w:szCs w:val="20"/>
        </w:rPr>
        <w:t xml:space="preserve">within each of the </w:t>
      </w:r>
      <w:r w:rsidR="00833044">
        <w:rPr>
          <w:rFonts w:cstheme="minorHAnsi"/>
          <w:color w:val="auto"/>
          <w:szCs w:val="20"/>
        </w:rPr>
        <w:t xml:space="preserve">low use, medium use, and high use </w:t>
      </w:r>
      <w:r w:rsidR="00E83B8C">
        <w:rPr>
          <w:rFonts w:cstheme="minorHAnsi"/>
          <w:color w:val="auto"/>
          <w:szCs w:val="20"/>
        </w:rPr>
        <w:t>categor</w:t>
      </w:r>
      <w:r w:rsidR="00EC2D09">
        <w:rPr>
          <w:rFonts w:cstheme="minorHAnsi"/>
          <w:color w:val="auto"/>
          <w:szCs w:val="20"/>
        </w:rPr>
        <w:t>ies</w:t>
      </w:r>
      <w:r w:rsidR="00394820">
        <w:rPr>
          <w:rFonts w:cstheme="minorHAnsi"/>
          <w:color w:val="auto"/>
          <w:szCs w:val="20"/>
        </w:rPr>
        <w:t xml:space="preserve">). </w:t>
      </w:r>
      <w:r w:rsidR="00E83B8C">
        <w:rPr>
          <w:rFonts w:cstheme="minorHAnsi"/>
          <w:color w:val="auto"/>
          <w:szCs w:val="20"/>
        </w:rPr>
        <w:t>This provides an indication of the lowest feasible cost and highest feasible costs for</w:t>
      </w:r>
      <w:r w:rsidR="00C36E04">
        <w:rPr>
          <w:rFonts w:cstheme="minorHAnsi"/>
          <w:color w:val="auto"/>
          <w:szCs w:val="20"/>
        </w:rPr>
        <w:t xml:space="preserve"> </w:t>
      </w:r>
      <w:r w:rsidR="00E83B8C">
        <w:rPr>
          <w:rFonts w:cstheme="minorHAnsi"/>
          <w:color w:val="auto"/>
          <w:szCs w:val="20"/>
        </w:rPr>
        <w:t>accredited bus operators.</w:t>
      </w:r>
      <w:bookmarkStart w:id="611" w:name="_Ref35508827"/>
      <w:bookmarkStart w:id="612" w:name="_Toc44437376"/>
      <w:bookmarkStart w:id="613" w:name="_Toc44597447"/>
      <w:bookmarkStart w:id="614" w:name="_Toc44597511"/>
    </w:p>
    <w:p w14:paraId="0C439517" w14:textId="12A65D7C" w:rsidR="009201D4" w:rsidRPr="00C50212" w:rsidRDefault="009201D4" w:rsidP="007620AA">
      <w:pPr>
        <w:pStyle w:val="Caption"/>
        <w:keepNext/>
        <w:spacing w:after="60"/>
        <w:rPr>
          <w:b/>
          <w:i w:val="0"/>
        </w:rPr>
      </w:pPr>
      <w:bookmarkStart w:id="615" w:name="_Toc44600081"/>
      <w:bookmarkStart w:id="616" w:name="_Toc44600536"/>
      <w:bookmarkStart w:id="617" w:name="_Toc44600703"/>
      <w:bookmarkStart w:id="618" w:name="_Toc44601200"/>
      <w:bookmarkStart w:id="619" w:name="_Toc44601253"/>
      <w:bookmarkStart w:id="620" w:name="_Toc44603401"/>
      <w:bookmarkStart w:id="621" w:name="_Toc45704449"/>
      <w:r w:rsidRPr="00C50212">
        <w:rPr>
          <w:b/>
          <w:i w:val="0"/>
        </w:rPr>
        <w:lastRenderedPageBreak/>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4</w:t>
      </w:r>
      <w:r w:rsidR="00D2483C">
        <w:rPr>
          <w:b/>
          <w:i w:val="0"/>
        </w:rPr>
        <w:fldChar w:fldCharType="end"/>
      </w:r>
      <w:bookmarkEnd w:id="611"/>
      <w:r w:rsidRPr="00C50212">
        <w:rPr>
          <w:b/>
          <w:i w:val="0"/>
        </w:rPr>
        <w:t xml:space="preserve">: </w:t>
      </w:r>
      <w:r w:rsidRPr="007620AA">
        <w:rPr>
          <w:b/>
          <w:bCs/>
          <w:i w:val="0"/>
          <w:iCs w:val="0"/>
        </w:rPr>
        <w:t>NPV</w:t>
      </w:r>
      <w:r w:rsidRPr="00C50212">
        <w:rPr>
          <w:b/>
          <w:i w:val="0"/>
        </w:rPr>
        <w:t xml:space="preserve"> and EAC for MMS pre-trip inspections</w:t>
      </w:r>
      <w:bookmarkEnd w:id="612"/>
      <w:bookmarkEnd w:id="613"/>
      <w:bookmarkEnd w:id="614"/>
      <w:bookmarkEnd w:id="615"/>
      <w:bookmarkEnd w:id="616"/>
      <w:bookmarkEnd w:id="617"/>
      <w:bookmarkEnd w:id="618"/>
      <w:bookmarkEnd w:id="619"/>
      <w:bookmarkEnd w:id="620"/>
      <w:bookmarkEnd w:id="621"/>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2254"/>
        <w:gridCol w:w="2254"/>
        <w:gridCol w:w="2254"/>
      </w:tblGrid>
      <w:tr w:rsidR="009201D4" w:rsidRPr="00616C9C" w14:paraId="4982B653" w14:textId="77777777" w:rsidTr="003172D1">
        <w:trPr>
          <w:cantSplit/>
          <w:trHeight w:val="288"/>
        </w:trPr>
        <w:tc>
          <w:tcPr>
            <w:tcW w:w="1877" w:type="dxa"/>
            <w:shd w:val="clear" w:color="auto" w:fill="D6ECED"/>
            <w:noWrap/>
            <w:vAlign w:val="center"/>
            <w:hideMark/>
          </w:tcPr>
          <w:p w14:paraId="17BB5BAA" w14:textId="77777777" w:rsidR="009201D4" w:rsidRPr="00595D5A" w:rsidRDefault="009201D4" w:rsidP="003172D1">
            <w:pPr>
              <w:keepNext/>
              <w:jc w:val="center"/>
              <w:rPr>
                <w:rFonts w:eastAsia="Times New Roman" w:cstheme="minorHAnsi"/>
                <w:b/>
                <w:bCs/>
                <w:color w:val="000000"/>
                <w:sz w:val="18"/>
                <w:lang w:eastAsia="en-AU"/>
              </w:rPr>
            </w:pPr>
            <w:r w:rsidRPr="00595D5A">
              <w:rPr>
                <w:b/>
                <w:bCs/>
                <w:sz w:val="18"/>
              </w:rPr>
              <w:t>Usage</w:t>
            </w:r>
          </w:p>
        </w:tc>
        <w:tc>
          <w:tcPr>
            <w:tcW w:w="1877" w:type="dxa"/>
            <w:shd w:val="clear" w:color="auto" w:fill="D6ECED"/>
            <w:vAlign w:val="center"/>
          </w:tcPr>
          <w:p w14:paraId="09B8471A" w14:textId="77777777" w:rsidR="009201D4" w:rsidRPr="00595D5A" w:rsidRDefault="009201D4" w:rsidP="003172D1">
            <w:pPr>
              <w:keepNext/>
              <w:jc w:val="center"/>
              <w:rPr>
                <w:b/>
                <w:bCs/>
                <w:sz w:val="18"/>
              </w:rPr>
            </w:pPr>
            <w:r>
              <w:rPr>
                <w:b/>
                <w:bCs/>
                <w:sz w:val="18"/>
              </w:rPr>
              <w:t>Inspections per year per bus</w:t>
            </w:r>
          </w:p>
        </w:tc>
        <w:tc>
          <w:tcPr>
            <w:tcW w:w="1877" w:type="dxa"/>
            <w:shd w:val="clear" w:color="auto" w:fill="D6ECED"/>
            <w:vAlign w:val="center"/>
          </w:tcPr>
          <w:p w14:paraId="7D8C68B7" w14:textId="77777777" w:rsidR="009201D4" w:rsidRPr="00595D5A" w:rsidRDefault="009201D4" w:rsidP="003172D1">
            <w:pPr>
              <w:keepNext/>
              <w:jc w:val="center"/>
              <w:rPr>
                <w:b/>
                <w:bCs/>
                <w:sz w:val="18"/>
              </w:rPr>
            </w:pPr>
            <w:r w:rsidRPr="00595D5A">
              <w:rPr>
                <w:rFonts w:eastAsia="Times New Roman" w:cstheme="minorHAnsi"/>
                <w:b/>
                <w:bCs/>
                <w:color w:val="000000"/>
                <w:sz w:val="18"/>
                <w:lang w:eastAsia="en-AU"/>
              </w:rPr>
              <w:t>NPV</w:t>
            </w:r>
          </w:p>
        </w:tc>
        <w:tc>
          <w:tcPr>
            <w:tcW w:w="1877" w:type="dxa"/>
            <w:shd w:val="clear" w:color="auto" w:fill="D6ECED"/>
            <w:vAlign w:val="center"/>
          </w:tcPr>
          <w:p w14:paraId="0E9A1E22" w14:textId="77777777" w:rsidR="009201D4" w:rsidRPr="00595D5A" w:rsidRDefault="009201D4" w:rsidP="003172D1">
            <w:pPr>
              <w:keepNext/>
              <w:jc w:val="center"/>
              <w:rPr>
                <w:b/>
                <w:bCs/>
                <w:sz w:val="18"/>
              </w:rPr>
            </w:pPr>
            <w:r w:rsidRPr="00595D5A">
              <w:rPr>
                <w:rFonts w:cstheme="minorHAnsi"/>
                <w:b/>
                <w:bCs/>
                <w:color w:val="auto"/>
                <w:sz w:val="18"/>
              </w:rPr>
              <w:t>EAC</w:t>
            </w:r>
          </w:p>
        </w:tc>
      </w:tr>
      <w:tr w:rsidR="009201D4" w:rsidRPr="00616C9C" w14:paraId="1001F4A9" w14:textId="77777777" w:rsidTr="003172D1">
        <w:trPr>
          <w:cantSplit/>
          <w:trHeight w:val="288"/>
        </w:trPr>
        <w:tc>
          <w:tcPr>
            <w:tcW w:w="1877" w:type="dxa"/>
            <w:shd w:val="clear" w:color="auto" w:fill="auto"/>
            <w:noWrap/>
            <w:vAlign w:val="center"/>
          </w:tcPr>
          <w:p w14:paraId="36995BEE" w14:textId="77777777" w:rsidR="009201D4" w:rsidRPr="00583F0A" w:rsidRDefault="009201D4" w:rsidP="003172D1">
            <w:pPr>
              <w:keepNext/>
              <w:jc w:val="center"/>
              <w:rPr>
                <w:sz w:val="18"/>
              </w:rPr>
            </w:pPr>
            <w:r w:rsidRPr="00583F0A">
              <w:rPr>
                <w:sz w:val="18"/>
              </w:rPr>
              <w:t>Low use</w:t>
            </w:r>
          </w:p>
        </w:tc>
        <w:tc>
          <w:tcPr>
            <w:tcW w:w="1877" w:type="dxa"/>
            <w:shd w:val="clear" w:color="auto" w:fill="auto"/>
            <w:vAlign w:val="center"/>
          </w:tcPr>
          <w:p w14:paraId="346881C5" w14:textId="77777777" w:rsidR="009201D4" w:rsidRPr="006223B0" w:rsidRDefault="009201D4" w:rsidP="003172D1">
            <w:pPr>
              <w:keepNext/>
              <w:jc w:val="center"/>
              <w:rPr>
                <w:sz w:val="18"/>
              </w:rPr>
            </w:pPr>
            <w:r w:rsidRPr="006223B0">
              <w:rPr>
                <w:sz w:val="18"/>
              </w:rPr>
              <w:t>52</w:t>
            </w:r>
            <w:r>
              <w:rPr>
                <w:sz w:val="18"/>
              </w:rPr>
              <w:t xml:space="preserve"> – </w:t>
            </w:r>
            <w:r w:rsidRPr="006223B0">
              <w:rPr>
                <w:sz w:val="18"/>
              </w:rPr>
              <w:t>104</w:t>
            </w:r>
            <w:r>
              <w:rPr>
                <w:sz w:val="18"/>
              </w:rPr>
              <w:t xml:space="preserve"> days</w:t>
            </w:r>
          </w:p>
        </w:tc>
        <w:tc>
          <w:tcPr>
            <w:tcW w:w="1877" w:type="dxa"/>
            <w:shd w:val="clear" w:color="auto" w:fill="auto"/>
            <w:vAlign w:val="center"/>
          </w:tcPr>
          <w:p w14:paraId="284720E9" w14:textId="79F8AA15" w:rsidR="009201D4" w:rsidRPr="006223B0" w:rsidRDefault="009201D4" w:rsidP="003172D1">
            <w:pPr>
              <w:keepNext/>
              <w:jc w:val="center"/>
              <w:rPr>
                <w:sz w:val="18"/>
              </w:rPr>
            </w:pPr>
            <w:r>
              <w:rPr>
                <w:sz w:val="18"/>
              </w:rPr>
              <w:t>$</w:t>
            </w:r>
            <w:r w:rsidR="00EA2E7A">
              <w:rPr>
                <w:sz w:val="18"/>
              </w:rPr>
              <w:t>42.9</w:t>
            </w:r>
            <w:r>
              <w:rPr>
                <w:sz w:val="18"/>
              </w:rPr>
              <w:t>m – $</w:t>
            </w:r>
            <w:r w:rsidR="00EA2E7A">
              <w:rPr>
                <w:sz w:val="18"/>
              </w:rPr>
              <w:t>85.9</w:t>
            </w:r>
            <w:r>
              <w:rPr>
                <w:sz w:val="18"/>
              </w:rPr>
              <w:t>m</w:t>
            </w:r>
          </w:p>
        </w:tc>
        <w:tc>
          <w:tcPr>
            <w:tcW w:w="1877" w:type="dxa"/>
            <w:shd w:val="clear" w:color="auto" w:fill="auto"/>
            <w:vAlign w:val="center"/>
          </w:tcPr>
          <w:p w14:paraId="4BC642EA" w14:textId="07053429" w:rsidR="009201D4" w:rsidRPr="006223B0" w:rsidRDefault="009201D4" w:rsidP="003172D1">
            <w:pPr>
              <w:keepNext/>
              <w:jc w:val="center"/>
              <w:rPr>
                <w:sz w:val="18"/>
              </w:rPr>
            </w:pPr>
            <w:r>
              <w:rPr>
                <w:sz w:val="18"/>
              </w:rPr>
              <w:t>$5.</w:t>
            </w:r>
            <w:r w:rsidR="00170F6D">
              <w:rPr>
                <w:sz w:val="18"/>
              </w:rPr>
              <w:t>29</w:t>
            </w:r>
            <w:r>
              <w:rPr>
                <w:sz w:val="18"/>
              </w:rPr>
              <w:t>m – $10.</w:t>
            </w:r>
            <w:r w:rsidR="00BE6BA2">
              <w:rPr>
                <w:sz w:val="18"/>
              </w:rPr>
              <w:t>6</w:t>
            </w:r>
            <w:r>
              <w:rPr>
                <w:sz w:val="18"/>
              </w:rPr>
              <w:t>m</w:t>
            </w:r>
          </w:p>
        </w:tc>
      </w:tr>
      <w:tr w:rsidR="009201D4" w:rsidRPr="00616C9C" w14:paraId="63F35328" w14:textId="77777777" w:rsidTr="003172D1">
        <w:trPr>
          <w:cantSplit/>
          <w:trHeight w:val="40"/>
        </w:trPr>
        <w:tc>
          <w:tcPr>
            <w:tcW w:w="1877" w:type="dxa"/>
            <w:shd w:val="clear" w:color="auto" w:fill="auto"/>
            <w:noWrap/>
            <w:vAlign w:val="center"/>
          </w:tcPr>
          <w:p w14:paraId="3613AF38" w14:textId="77777777" w:rsidR="009201D4" w:rsidRPr="00583F0A" w:rsidRDefault="009201D4" w:rsidP="003172D1">
            <w:pPr>
              <w:keepNext/>
              <w:jc w:val="center"/>
              <w:rPr>
                <w:rFonts w:eastAsia="Times New Roman" w:cstheme="minorHAnsi"/>
                <w:color w:val="000000"/>
                <w:sz w:val="18"/>
                <w:lang w:eastAsia="en-AU"/>
              </w:rPr>
            </w:pPr>
            <w:r w:rsidRPr="00583F0A">
              <w:rPr>
                <w:rFonts w:cstheme="minorHAnsi"/>
                <w:color w:val="auto"/>
                <w:sz w:val="18"/>
              </w:rPr>
              <w:t>Medium use</w:t>
            </w:r>
          </w:p>
        </w:tc>
        <w:tc>
          <w:tcPr>
            <w:tcW w:w="1877" w:type="dxa"/>
            <w:vAlign w:val="center"/>
          </w:tcPr>
          <w:p w14:paraId="2C35B72F" w14:textId="77777777" w:rsidR="009201D4" w:rsidRPr="004E166B" w:rsidRDefault="009201D4" w:rsidP="003172D1">
            <w:pPr>
              <w:keepNext/>
              <w:jc w:val="center"/>
              <w:rPr>
                <w:sz w:val="18"/>
              </w:rPr>
            </w:pPr>
            <w:r>
              <w:rPr>
                <w:sz w:val="18"/>
              </w:rPr>
              <w:t>104 –260 days</w:t>
            </w:r>
          </w:p>
        </w:tc>
        <w:tc>
          <w:tcPr>
            <w:tcW w:w="1877" w:type="dxa"/>
            <w:vAlign w:val="center"/>
          </w:tcPr>
          <w:p w14:paraId="23C156A0" w14:textId="61C58DF8" w:rsidR="009201D4" w:rsidRPr="004E166B" w:rsidRDefault="009201D4" w:rsidP="003172D1">
            <w:pPr>
              <w:keepNext/>
              <w:jc w:val="center"/>
              <w:rPr>
                <w:sz w:val="18"/>
              </w:rPr>
            </w:pPr>
            <w:r>
              <w:rPr>
                <w:sz w:val="18"/>
              </w:rPr>
              <w:t>$</w:t>
            </w:r>
            <w:r w:rsidR="00EA2E7A">
              <w:rPr>
                <w:sz w:val="18"/>
              </w:rPr>
              <w:t>85.9</w:t>
            </w:r>
            <w:r>
              <w:rPr>
                <w:sz w:val="18"/>
              </w:rPr>
              <w:t>m – $</w:t>
            </w:r>
            <w:r w:rsidR="00EA2E7A">
              <w:rPr>
                <w:sz w:val="18"/>
              </w:rPr>
              <w:t>214.7</w:t>
            </w:r>
            <w:r>
              <w:rPr>
                <w:sz w:val="18"/>
              </w:rPr>
              <w:t>m</w:t>
            </w:r>
          </w:p>
        </w:tc>
        <w:tc>
          <w:tcPr>
            <w:tcW w:w="1877" w:type="dxa"/>
            <w:vAlign w:val="center"/>
          </w:tcPr>
          <w:p w14:paraId="4B24F5B7" w14:textId="3B75124E" w:rsidR="009201D4" w:rsidRPr="004E166B" w:rsidRDefault="009201D4" w:rsidP="003172D1">
            <w:pPr>
              <w:keepNext/>
              <w:jc w:val="center"/>
              <w:rPr>
                <w:sz w:val="18"/>
              </w:rPr>
            </w:pPr>
            <w:r>
              <w:rPr>
                <w:sz w:val="18"/>
              </w:rPr>
              <w:t>$10.</w:t>
            </w:r>
            <w:r w:rsidR="00BE6BA2">
              <w:rPr>
                <w:sz w:val="18"/>
              </w:rPr>
              <w:t>6</w:t>
            </w:r>
            <w:r>
              <w:rPr>
                <w:sz w:val="18"/>
              </w:rPr>
              <w:t>m – $</w:t>
            </w:r>
            <w:r w:rsidR="00EA2E7A">
              <w:rPr>
                <w:sz w:val="18"/>
              </w:rPr>
              <w:t>26.4</w:t>
            </w:r>
            <w:r>
              <w:rPr>
                <w:sz w:val="18"/>
              </w:rPr>
              <w:t>m</w:t>
            </w:r>
          </w:p>
        </w:tc>
      </w:tr>
      <w:tr w:rsidR="009201D4" w:rsidRPr="00616C9C" w14:paraId="08CE7F24" w14:textId="77777777" w:rsidTr="003172D1">
        <w:trPr>
          <w:cantSplit/>
          <w:trHeight w:val="58"/>
        </w:trPr>
        <w:tc>
          <w:tcPr>
            <w:tcW w:w="1877" w:type="dxa"/>
            <w:shd w:val="clear" w:color="auto" w:fill="auto"/>
            <w:noWrap/>
            <w:vAlign w:val="center"/>
          </w:tcPr>
          <w:p w14:paraId="08CA1208" w14:textId="77777777" w:rsidR="009201D4" w:rsidRPr="00583F0A" w:rsidRDefault="009201D4" w:rsidP="003172D1">
            <w:pPr>
              <w:keepNext/>
              <w:jc w:val="center"/>
              <w:rPr>
                <w:rFonts w:cstheme="minorHAnsi"/>
                <w:color w:val="auto"/>
                <w:sz w:val="18"/>
              </w:rPr>
            </w:pPr>
            <w:r w:rsidRPr="00583F0A">
              <w:rPr>
                <w:rFonts w:cstheme="minorHAnsi"/>
                <w:color w:val="auto"/>
                <w:sz w:val="18"/>
              </w:rPr>
              <w:t>High use</w:t>
            </w:r>
          </w:p>
        </w:tc>
        <w:tc>
          <w:tcPr>
            <w:tcW w:w="1877" w:type="dxa"/>
            <w:vAlign w:val="center"/>
          </w:tcPr>
          <w:p w14:paraId="4B2270FB" w14:textId="77777777" w:rsidR="009201D4" w:rsidRPr="004E166B" w:rsidRDefault="009201D4" w:rsidP="003172D1">
            <w:pPr>
              <w:keepNext/>
              <w:jc w:val="center"/>
              <w:rPr>
                <w:sz w:val="18"/>
              </w:rPr>
            </w:pPr>
            <w:r>
              <w:rPr>
                <w:sz w:val="18"/>
              </w:rPr>
              <w:t>260 – 360 days</w:t>
            </w:r>
          </w:p>
        </w:tc>
        <w:tc>
          <w:tcPr>
            <w:tcW w:w="1877" w:type="dxa"/>
            <w:vAlign w:val="center"/>
          </w:tcPr>
          <w:p w14:paraId="0355303E" w14:textId="20367079" w:rsidR="009201D4" w:rsidRDefault="009201D4" w:rsidP="003172D1">
            <w:pPr>
              <w:keepNext/>
              <w:jc w:val="center"/>
              <w:rPr>
                <w:sz w:val="18"/>
              </w:rPr>
            </w:pPr>
            <w:r>
              <w:rPr>
                <w:sz w:val="18"/>
              </w:rPr>
              <w:t>$</w:t>
            </w:r>
            <w:r w:rsidR="00EA2E7A">
              <w:rPr>
                <w:sz w:val="18"/>
              </w:rPr>
              <w:t>214.7</w:t>
            </w:r>
            <w:r>
              <w:rPr>
                <w:sz w:val="18"/>
              </w:rPr>
              <w:t>m – $</w:t>
            </w:r>
            <w:r w:rsidR="00EA2E7A">
              <w:rPr>
                <w:sz w:val="18"/>
              </w:rPr>
              <w:t>297.3</w:t>
            </w:r>
            <w:r>
              <w:rPr>
                <w:sz w:val="18"/>
              </w:rPr>
              <w:t>m</w:t>
            </w:r>
          </w:p>
        </w:tc>
        <w:tc>
          <w:tcPr>
            <w:tcW w:w="1877" w:type="dxa"/>
            <w:vAlign w:val="center"/>
          </w:tcPr>
          <w:p w14:paraId="762872F1" w14:textId="17EEDBE0" w:rsidR="009201D4" w:rsidRDefault="009201D4" w:rsidP="003172D1">
            <w:pPr>
              <w:keepNext/>
              <w:jc w:val="center"/>
              <w:rPr>
                <w:sz w:val="18"/>
              </w:rPr>
            </w:pPr>
            <w:r>
              <w:rPr>
                <w:sz w:val="18"/>
              </w:rPr>
              <w:t>$</w:t>
            </w:r>
            <w:r w:rsidR="00EA2E7A">
              <w:rPr>
                <w:sz w:val="18"/>
              </w:rPr>
              <w:t>26.4</w:t>
            </w:r>
            <w:r>
              <w:rPr>
                <w:sz w:val="18"/>
              </w:rPr>
              <w:t>m – $</w:t>
            </w:r>
            <w:r w:rsidR="00EA2E7A">
              <w:rPr>
                <w:sz w:val="18"/>
              </w:rPr>
              <w:t>36.7</w:t>
            </w:r>
            <w:r>
              <w:rPr>
                <w:sz w:val="18"/>
              </w:rPr>
              <w:t>m</w:t>
            </w:r>
          </w:p>
        </w:tc>
      </w:tr>
    </w:tbl>
    <w:p w14:paraId="74F04EBC" w14:textId="4175CD42" w:rsidR="009201D4" w:rsidRDefault="009201D4" w:rsidP="009201D4">
      <w:pPr>
        <w:rPr>
          <w:rFonts w:cstheme="minorHAnsi"/>
          <w:color w:val="auto"/>
          <w:szCs w:val="20"/>
        </w:rPr>
      </w:pPr>
      <w:r>
        <w:rPr>
          <w:rFonts w:cstheme="minorHAnsi"/>
          <w:color w:val="auto"/>
          <w:szCs w:val="20"/>
        </w:rPr>
        <w:t>Another component of the MMS is vehicle safety inspections. These are inspections by a mechanic engaged by the operator or outsourced to another mechanic. There are maximum recommended intervals for inspections specified by the vehicle manufacture</w:t>
      </w:r>
      <w:r w:rsidR="00251474">
        <w:rPr>
          <w:rFonts w:cstheme="minorHAnsi"/>
          <w:color w:val="auto"/>
          <w:szCs w:val="20"/>
        </w:rPr>
        <w:t>r</w:t>
      </w:r>
      <w:r>
        <w:rPr>
          <w:rFonts w:cstheme="minorHAnsi"/>
          <w:color w:val="auto"/>
          <w:szCs w:val="20"/>
        </w:rPr>
        <w:t xml:space="preserve"> or any other relevant source (if </w:t>
      </w:r>
      <w:r w:rsidR="001168E5">
        <w:rPr>
          <w:rFonts w:cstheme="minorHAnsi"/>
          <w:color w:val="auto"/>
          <w:szCs w:val="20"/>
        </w:rPr>
        <w:t xml:space="preserve">the </w:t>
      </w:r>
      <w:r>
        <w:rPr>
          <w:rFonts w:cstheme="minorHAnsi"/>
          <w:color w:val="auto"/>
          <w:szCs w:val="20"/>
        </w:rPr>
        <w:t xml:space="preserve">manufacturer does not </w:t>
      </w:r>
      <w:r w:rsidRPr="008F4CCB">
        <w:rPr>
          <w:rFonts w:cstheme="minorHAnsi"/>
          <w:color w:val="auto"/>
          <w:szCs w:val="20"/>
        </w:rPr>
        <w:t xml:space="preserve">specify inspection intervals or </w:t>
      </w:r>
      <w:r w:rsidR="007E2098">
        <w:rPr>
          <w:rFonts w:cstheme="minorHAnsi"/>
          <w:color w:val="auto"/>
          <w:szCs w:val="20"/>
        </w:rPr>
        <w:t>there is no</w:t>
      </w:r>
      <w:r w:rsidRPr="008F4CCB">
        <w:rPr>
          <w:rFonts w:cstheme="minorHAnsi"/>
          <w:color w:val="auto"/>
          <w:szCs w:val="20"/>
        </w:rPr>
        <w:t xml:space="preserve"> other relevant source, the inspections interval is either three months</w:t>
      </w:r>
      <w:r w:rsidR="00694376">
        <w:rPr>
          <w:rFonts w:cstheme="minorHAnsi"/>
          <w:color w:val="auto"/>
          <w:szCs w:val="20"/>
        </w:rPr>
        <w:t>,</w:t>
      </w:r>
      <w:r w:rsidRPr="008F4CCB">
        <w:rPr>
          <w:rFonts w:cstheme="minorHAnsi"/>
          <w:color w:val="auto"/>
          <w:szCs w:val="20"/>
        </w:rPr>
        <w:t xml:space="preserve"> or 20,000km for a bus less than five years old, or 10,000km for a bus that is five years old or more or has travelled more than 500,000km, whichever occurs first). It is assumed that this inspection will take about </w:t>
      </w:r>
      <w:r w:rsidR="00320077">
        <w:rPr>
          <w:rFonts w:cstheme="minorHAnsi"/>
          <w:color w:val="auto"/>
          <w:szCs w:val="20"/>
        </w:rPr>
        <w:t xml:space="preserve">1 hour </w:t>
      </w:r>
      <w:r w:rsidRPr="008F4CCB">
        <w:rPr>
          <w:rFonts w:cstheme="minorHAnsi"/>
          <w:color w:val="auto"/>
          <w:szCs w:val="20"/>
        </w:rPr>
        <w:t>per bus. For the purposes of this RIS, in the absence of information on every bus’s specified manufacturer inspection interval or distance travelled by each bus, it is assumed that the inspection interval for buses operated by accredited bus operators is once i</w:t>
      </w:r>
      <w:r w:rsidR="00E8091E">
        <w:rPr>
          <w:rFonts w:cstheme="minorHAnsi"/>
          <w:color w:val="auto"/>
          <w:szCs w:val="20"/>
        </w:rPr>
        <w:t>n</w:t>
      </w:r>
      <w:r w:rsidRPr="008F4CCB">
        <w:rPr>
          <w:rFonts w:cstheme="minorHAnsi"/>
          <w:color w:val="auto"/>
          <w:szCs w:val="20"/>
        </w:rPr>
        <w:t xml:space="preserve"> every three months or four inspectio</w:t>
      </w:r>
      <w:r>
        <w:rPr>
          <w:rFonts w:cstheme="minorHAnsi"/>
          <w:color w:val="auto"/>
          <w:szCs w:val="20"/>
        </w:rPr>
        <w:t>ns per bus per year</w:t>
      </w:r>
      <w:r w:rsidRPr="00095854">
        <w:rPr>
          <w:rFonts w:cstheme="minorHAnsi"/>
          <w:color w:val="auto"/>
          <w:szCs w:val="20"/>
        </w:rPr>
        <w:t>. Note that</w:t>
      </w:r>
      <w:r w:rsidRPr="004146C3">
        <w:rPr>
          <w:rFonts w:cstheme="minorHAnsi"/>
          <w:color w:val="auto"/>
          <w:szCs w:val="20"/>
        </w:rPr>
        <w:t xml:space="preserve"> the frequency of the vehicle </w:t>
      </w:r>
      <w:r w:rsidR="00F438BD">
        <w:rPr>
          <w:rFonts w:cstheme="minorHAnsi"/>
          <w:color w:val="auto"/>
          <w:szCs w:val="20"/>
        </w:rPr>
        <w:t xml:space="preserve">safety </w:t>
      </w:r>
      <w:r w:rsidRPr="004146C3">
        <w:rPr>
          <w:rFonts w:cstheme="minorHAnsi"/>
          <w:color w:val="auto"/>
          <w:szCs w:val="20"/>
        </w:rPr>
        <w:t>inspections regime may be higher in cases where a bus has travelled either 20,000km or 10,000km earlier</w:t>
      </w:r>
      <w:r>
        <w:rPr>
          <w:rFonts w:cstheme="minorHAnsi"/>
          <w:color w:val="auto"/>
          <w:szCs w:val="20"/>
        </w:rPr>
        <w:t xml:space="preserve"> in the circumstances listed above.</w:t>
      </w:r>
      <w:r w:rsidR="003C00A6">
        <w:rPr>
          <w:rFonts w:cstheme="minorHAnsi"/>
          <w:color w:val="auto"/>
          <w:szCs w:val="20"/>
        </w:rPr>
        <w:t xml:space="preserve"> DoT is seeking feedback on whether </w:t>
      </w:r>
      <w:r w:rsidR="00D577C3">
        <w:rPr>
          <w:rFonts w:cstheme="minorHAnsi"/>
          <w:color w:val="auto"/>
          <w:szCs w:val="20"/>
        </w:rPr>
        <w:t>the</w:t>
      </w:r>
      <w:r w:rsidR="003C00A6">
        <w:rPr>
          <w:rFonts w:cstheme="minorHAnsi"/>
          <w:color w:val="auto"/>
          <w:szCs w:val="20"/>
        </w:rPr>
        <w:t xml:space="preserve"> inspection interval</w:t>
      </w:r>
      <w:r w:rsidR="00D54BC2">
        <w:rPr>
          <w:rFonts w:cstheme="minorHAnsi"/>
          <w:color w:val="auto"/>
          <w:szCs w:val="20"/>
        </w:rPr>
        <w:t xml:space="preserve"> of every 3 months</w:t>
      </w:r>
      <w:r w:rsidR="003C00A6">
        <w:rPr>
          <w:rFonts w:cstheme="minorHAnsi"/>
          <w:color w:val="auto"/>
          <w:szCs w:val="20"/>
        </w:rPr>
        <w:t xml:space="preserve"> is appropriate.</w:t>
      </w:r>
    </w:p>
    <w:p w14:paraId="42096727" w14:textId="4AD6C0DA" w:rsidR="00320077" w:rsidRDefault="009201D4" w:rsidP="009201D4">
      <w:pPr>
        <w:rPr>
          <w:rFonts w:cstheme="minorHAnsi"/>
          <w:color w:val="auto"/>
          <w:szCs w:val="20"/>
        </w:rPr>
      </w:pPr>
      <w:r>
        <w:rPr>
          <w:rFonts w:cstheme="minorHAnsi"/>
          <w:color w:val="auto"/>
          <w:szCs w:val="20"/>
        </w:rPr>
        <w:fldChar w:fldCharType="begin"/>
      </w:r>
      <w:r>
        <w:rPr>
          <w:rFonts w:cstheme="minorHAnsi"/>
          <w:color w:val="auto"/>
          <w:szCs w:val="20"/>
        </w:rPr>
        <w:instrText xml:space="preserve"> REF _Ref35352994 \h  \* MERGEFORMAT </w:instrText>
      </w:r>
      <w:r>
        <w:rPr>
          <w:rFonts w:cstheme="minorHAnsi"/>
          <w:color w:val="auto"/>
          <w:szCs w:val="20"/>
        </w:rPr>
      </w:r>
      <w:r>
        <w:rPr>
          <w:rFonts w:cstheme="minorHAnsi"/>
          <w:color w:val="auto"/>
          <w:szCs w:val="20"/>
        </w:rPr>
        <w:fldChar w:fldCharType="separate"/>
      </w:r>
      <w:r w:rsidR="00277F6E" w:rsidRPr="00277F6E">
        <w:rPr>
          <w:rFonts w:cstheme="minorHAnsi"/>
          <w:color w:val="auto"/>
          <w:szCs w:val="20"/>
        </w:rPr>
        <w:t>Table 7</w:t>
      </w:r>
      <w:r w:rsidR="00277F6E" w:rsidRPr="00277F6E">
        <w:rPr>
          <w:rFonts w:cstheme="minorHAnsi"/>
          <w:color w:val="auto"/>
          <w:szCs w:val="20"/>
        </w:rPr>
        <w:noBreakHyphen/>
        <w:t>5</w:t>
      </w:r>
      <w:r>
        <w:rPr>
          <w:rFonts w:cstheme="minorHAnsi"/>
          <w:color w:val="auto"/>
          <w:szCs w:val="20"/>
        </w:rPr>
        <w:fldChar w:fldCharType="end"/>
      </w:r>
      <w:r>
        <w:rPr>
          <w:rFonts w:cstheme="minorHAnsi"/>
          <w:color w:val="auto"/>
          <w:szCs w:val="20"/>
        </w:rPr>
        <w:t xml:space="preserve"> outlines the assumptions made relating to inspection costs related to vehicle safety inspections. </w:t>
      </w:r>
    </w:p>
    <w:p w14:paraId="7DC70986" w14:textId="276D29A3" w:rsidR="009201D4" w:rsidRPr="006729E9" w:rsidRDefault="009201D4" w:rsidP="007620AA">
      <w:pPr>
        <w:pStyle w:val="Caption"/>
        <w:keepNext/>
        <w:spacing w:after="60"/>
        <w:rPr>
          <w:b/>
          <w:bCs/>
          <w:i w:val="0"/>
          <w:iCs w:val="0"/>
        </w:rPr>
      </w:pPr>
      <w:bookmarkStart w:id="622" w:name="_Ref35352994"/>
      <w:bookmarkStart w:id="623" w:name="_Toc44437377"/>
      <w:bookmarkStart w:id="624" w:name="_Toc44597448"/>
      <w:bookmarkStart w:id="625" w:name="_Toc44597512"/>
      <w:bookmarkStart w:id="626" w:name="_Toc44600082"/>
      <w:bookmarkStart w:id="627" w:name="_Toc44600537"/>
      <w:bookmarkStart w:id="628" w:name="_Toc44600704"/>
      <w:bookmarkStart w:id="629" w:name="_Toc44601201"/>
      <w:bookmarkStart w:id="630" w:name="_Toc44601254"/>
      <w:bookmarkStart w:id="631" w:name="_Toc44603402"/>
      <w:bookmarkStart w:id="632" w:name="_Toc45704450"/>
      <w:r w:rsidRPr="00C52DD1">
        <w:rPr>
          <w:b/>
          <w:bCs/>
          <w:i w:val="0"/>
          <w:iCs w:val="0"/>
        </w:rPr>
        <w:t xml:space="preserve">Table </w:t>
      </w:r>
      <w:r w:rsidR="00D2483C">
        <w:rPr>
          <w:b/>
          <w:bCs/>
          <w:i w:val="0"/>
          <w:iCs w:val="0"/>
        </w:rPr>
        <w:fldChar w:fldCharType="begin"/>
      </w:r>
      <w:r w:rsidR="00D2483C">
        <w:rPr>
          <w:b/>
          <w:bCs/>
          <w:i w:val="0"/>
          <w:iCs w:val="0"/>
        </w:rPr>
        <w:instrText xml:space="preserve"> STYLEREF 1 \s </w:instrText>
      </w:r>
      <w:r w:rsidR="00D2483C">
        <w:rPr>
          <w:b/>
          <w:bCs/>
          <w:i w:val="0"/>
          <w:iCs w:val="0"/>
        </w:rPr>
        <w:fldChar w:fldCharType="separate"/>
      </w:r>
      <w:r w:rsidR="00277F6E">
        <w:rPr>
          <w:b/>
          <w:bCs/>
          <w:i w:val="0"/>
          <w:iCs w:val="0"/>
          <w:noProof/>
        </w:rPr>
        <w:t>7</w:t>
      </w:r>
      <w:r w:rsidR="00D2483C">
        <w:rPr>
          <w:b/>
          <w:bCs/>
          <w:i w:val="0"/>
          <w:iCs w:val="0"/>
        </w:rPr>
        <w:fldChar w:fldCharType="end"/>
      </w:r>
      <w:r w:rsidR="00D2483C">
        <w:rPr>
          <w:b/>
          <w:bCs/>
          <w:i w:val="0"/>
          <w:iCs w:val="0"/>
        </w:rPr>
        <w:noBreakHyphen/>
      </w:r>
      <w:r w:rsidR="00D2483C">
        <w:rPr>
          <w:b/>
          <w:bCs/>
          <w:i w:val="0"/>
          <w:iCs w:val="0"/>
        </w:rPr>
        <w:fldChar w:fldCharType="begin"/>
      </w:r>
      <w:r w:rsidR="00D2483C">
        <w:rPr>
          <w:b/>
          <w:bCs/>
          <w:i w:val="0"/>
          <w:iCs w:val="0"/>
        </w:rPr>
        <w:instrText xml:space="preserve"> SEQ Table \* ARABIC \s 1 </w:instrText>
      </w:r>
      <w:r w:rsidR="00D2483C">
        <w:rPr>
          <w:b/>
          <w:bCs/>
          <w:i w:val="0"/>
          <w:iCs w:val="0"/>
        </w:rPr>
        <w:fldChar w:fldCharType="separate"/>
      </w:r>
      <w:r w:rsidR="00277F6E">
        <w:rPr>
          <w:b/>
          <w:bCs/>
          <w:i w:val="0"/>
          <w:iCs w:val="0"/>
          <w:noProof/>
        </w:rPr>
        <w:t>5</w:t>
      </w:r>
      <w:r w:rsidR="00D2483C">
        <w:rPr>
          <w:b/>
          <w:bCs/>
          <w:i w:val="0"/>
          <w:iCs w:val="0"/>
        </w:rPr>
        <w:fldChar w:fldCharType="end"/>
      </w:r>
      <w:bookmarkEnd w:id="622"/>
      <w:r w:rsidRPr="00C52DD1">
        <w:rPr>
          <w:b/>
          <w:bCs/>
          <w:i w:val="0"/>
          <w:iCs w:val="0"/>
        </w:rPr>
        <w:t xml:space="preserve">: MMS vehicle inspection cost </w:t>
      </w:r>
      <w:r w:rsidR="00A22778">
        <w:rPr>
          <w:b/>
          <w:bCs/>
          <w:i w:val="0"/>
          <w:iCs w:val="0"/>
        </w:rPr>
        <w:t>parameters</w:t>
      </w:r>
      <w:r w:rsidR="00A22778" w:rsidRPr="00C52DD1">
        <w:rPr>
          <w:b/>
          <w:bCs/>
          <w:i w:val="0"/>
          <w:iCs w:val="0"/>
        </w:rPr>
        <w:t xml:space="preserve"> </w:t>
      </w:r>
      <w:r w:rsidRPr="00C52DD1">
        <w:rPr>
          <w:b/>
          <w:bCs/>
          <w:i w:val="0"/>
          <w:iCs w:val="0"/>
        </w:rPr>
        <w:t>for buses operated by accredited operators</w:t>
      </w:r>
      <w:bookmarkEnd w:id="623"/>
      <w:bookmarkEnd w:id="624"/>
      <w:bookmarkEnd w:id="625"/>
      <w:bookmarkEnd w:id="626"/>
      <w:bookmarkEnd w:id="627"/>
      <w:bookmarkEnd w:id="628"/>
      <w:bookmarkEnd w:id="629"/>
      <w:bookmarkEnd w:id="630"/>
      <w:bookmarkEnd w:id="631"/>
      <w:bookmarkEnd w:id="632"/>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3"/>
        <w:gridCol w:w="1803"/>
        <w:gridCol w:w="1803"/>
        <w:gridCol w:w="1803"/>
        <w:gridCol w:w="1803"/>
      </w:tblGrid>
      <w:tr w:rsidR="009201D4" w:rsidRPr="00D955B0" w14:paraId="720F0F7B" w14:textId="77777777" w:rsidTr="003172D1">
        <w:trPr>
          <w:cantSplit/>
          <w:trHeight w:val="288"/>
        </w:trPr>
        <w:tc>
          <w:tcPr>
            <w:tcW w:w="1534" w:type="dxa"/>
            <w:shd w:val="clear" w:color="auto" w:fill="D6ECED"/>
            <w:noWrap/>
            <w:vAlign w:val="center"/>
            <w:hideMark/>
          </w:tcPr>
          <w:p w14:paraId="57C54906" w14:textId="77777777" w:rsidR="009201D4" w:rsidRPr="004E166B" w:rsidRDefault="009201D4" w:rsidP="003172D1">
            <w:pPr>
              <w:keepNext/>
              <w:spacing w:before="60" w:after="60"/>
              <w:jc w:val="center"/>
              <w:rPr>
                <w:rFonts w:eastAsia="Times New Roman" w:cstheme="minorHAnsi"/>
                <w:b/>
                <w:bCs/>
                <w:color w:val="000000"/>
                <w:sz w:val="18"/>
                <w:lang w:eastAsia="en-AU"/>
              </w:rPr>
            </w:pPr>
            <w:r w:rsidRPr="004E166B">
              <w:rPr>
                <w:b/>
                <w:bCs/>
                <w:sz w:val="18"/>
              </w:rPr>
              <w:t>Activity</w:t>
            </w:r>
          </w:p>
        </w:tc>
        <w:tc>
          <w:tcPr>
            <w:tcW w:w="1535" w:type="dxa"/>
            <w:shd w:val="clear" w:color="auto" w:fill="D6ECED"/>
            <w:vAlign w:val="center"/>
          </w:tcPr>
          <w:p w14:paraId="468F4206" w14:textId="4C10DE8A" w:rsidR="009201D4" w:rsidRPr="003435C3" w:rsidRDefault="009201D4" w:rsidP="003172D1">
            <w:pPr>
              <w:keepNext/>
              <w:spacing w:before="60" w:after="60"/>
              <w:jc w:val="center"/>
              <w:rPr>
                <w:b/>
                <w:sz w:val="18"/>
              </w:rPr>
            </w:pPr>
            <w:r w:rsidRPr="00C52DD1">
              <w:rPr>
                <w:b/>
                <w:bCs/>
                <w:sz w:val="18"/>
              </w:rPr>
              <w:t xml:space="preserve">Number of buses as </w:t>
            </w:r>
            <w:r w:rsidR="00320077" w:rsidRPr="00C52DD1">
              <w:rPr>
                <w:b/>
                <w:bCs/>
                <w:sz w:val="18"/>
              </w:rPr>
              <w:t>of</w:t>
            </w:r>
            <w:r w:rsidRPr="00C52DD1">
              <w:rPr>
                <w:b/>
                <w:bCs/>
                <w:sz w:val="18"/>
              </w:rPr>
              <w:t xml:space="preserve"> 31 December 2019</w:t>
            </w:r>
          </w:p>
        </w:tc>
        <w:tc>
          <w:tcPr>
            <w:tcW w:w="1535" w:type="dxa"/>
            <w:shd w:val="clear" w:color="auto" w:fill="D6ECED"/>
            <w:vAlign w:val="center"/>
          </w:tcPr>
          <w:p w14:paraId="00E4A7AA" w14:textId="77777777" w:rsidR="009201D4" w:rsidRPr="00D955B0" w:rsidRDefault="009201D4" w:rsidP="003172D1">
            <w:pPr>
              <w:keepNext/>
              <w:spacing w:before="60" w:after="60"/>
              <w:jc w:val="center"/>
              <w:rPr>
                <w:b/>
                <w:sz w:val="18"/>
              </w:rPr>
            </w:pPr>
            <w:r w:rsidRPr="003435C3">
              <w:rPr>
                <w:b/>
                <w:sz w:val="18"/>
              </w:rPr>
              <w:t>Annual growth rate of buses</w:t>
            </w:r>
          </w:p>
        </w:tc>
        <w:tc>
          <w:tcPr>
            <w:tcW w:w="1535" w:type="dxa"/>
            <w:shd w:val="clear" w:color="auto" w:fill="D6ECED"/>
            <w:vAlign w:val="center"/>
          </w:tcPr>
          <w:p w14:paraId="5F00E32C" w14:textId="77777777" w:rsidR="009201D4" w:rsidRPr="00D955B0" w:rsidRDefault="009201D4" w:rsidP="003172D1">
            <w:pPr>
              <w:keepNext/>
              <w:spacing w:before="60" w:after="60"/>
              <w:jc w:val="center"/>
              <w:rPr>
                <w:b/>
                <w:sz w:val="18"/>
              </w:rPr>
            </w:pPr>
            <w:r w:rsidRPr="00D955B0">
              <w:rPr>
                <w:b/>
                <w:sz w:val="18"/>
              </w:rPr>
              <w:t>Inspections per year per bus</w:t>
            </w:r>
          </w:p>
        </w:tc>
        <w:tc>
          <w:tcPr>
            <w:tcW w:w="1535" w:type="dxa"/>
            <w:shd w:val="clear" w:color="auto" w:fill="D6ECED"/>
            <w:noWrap/>
            <w:vAlign w:val="center"/>
            <w:hideMark/>
          </w:tcPr>
          <w:p w14:paraId="4017F497" w14:textId="77777777" w:rsidR="009201D4" w:rsidRPr="00D955B0" w:rsidRDefault="009201D4" w:rsidP="003172D1">
            <w:pPr>
              <w:keepNext/>
              <w:spacing w:before="60" w:after="60"/>
              <w:jc w:val="center"/>
              <w:rPr>
                <w:rFonts w:eastAsia="Times New Roman" w:cstheme="minorHAnsi"/>
                <w:b/>
                <w:color w:val="000000"/>
                <w:sz w:val="18"/>
                <w:lang w:eastAsia="en-AU"/>
              </w:rPr>
            </w:pPr>
            <w:r w:rsidRPr="00D955B0">
              <w:rPr>
                <w:b/>
                <w:sz w:val="18"/>
              </w:rPr>
              <w:t>Resource cost</w:t>
            </w:r>
          </w:p>
        </w:tc>
      </w:tr>
      <w:tr w:rsidR="009201D4" w:rsidRPr="00D955B0" w14:paraId="043763EF" w14:textId="77777777" w:rsidTr="003172D1">
        <w:trPr>
          <w:cantSplit/>
          <w:trHeight w:val="288"/>
        </w:trPr>
        <w:tc>
          <w:tcPr>
            <w:tcW w:w="1534" w:type="dxa"/>
            <w:shd w:val="clear" w:color="auto" w:fill="auto"/>
            <w:noWrap/>
            <w:vAlign w:val="center"/>
          </w:tcPr>
          <w:p w14:paraId="46D1DE97" w14:textId="77777777" w:rsidR="009201D4" w:rsidRPr="00D955B0" w:rsidRDefault="009201D4" w:rsidP="003172D1">
            <w:pPr>
              <w:keepNext/>
              <w:jc w:val="center"/>
              <w:rPr>
                <w:rFonts w:cstheme="minorHAnsi"/>
                <w:color w:val="auto"/>
                <w:sz w:val="18"/>
              </w:rPr>
            </w:pPr>
            <w:r w:rsidRPr="00D955B0">
              <w:rPr>
                <w:rFonts w:cstheme="minorHAnsi"/>
                <w:color w:val="auto"/>
                <w:sz w:val="18"/>
              </w:rPr>
              <w:t>Vehicle safety inspections</w:t>
            </w:r>
          </w:p>
        </w:tc>
        <w:tc>
          <w:tcPr>
            <w:tcW w:w="1535" w:type="dxa"/>
            <w:vAlign w:val="center"/>
          </w:tcPr>
          <w:p w14:paraId="7C5518E6" w14:textId="77777777" w:rsidR="009201D4" w:rsidRPr="00D955B0" w:rsidRDefault="009201D4" w:rsidP="003172D1">
            <w:pPr>
              <w:keepNext/>
              <w:spacing w:before="60" w:after="60"/>
              <w:jc w:val="center"/>
              <w:rPr>
                <w:sz w:val="18"/>
              </w:rPr>
            </w:pPr>
            <w:r w:rsidRPr="00D955B0">
              <w:rPr>
                <w:sz w:val="18"/>
              </w:rPr>
              <w:t>7,302</w:t>
            </w:r>
          </w:p>
        </w:tc>
        <w:tc>
          <w:tcPr>
            <w:tcW w:w="1535" w:type="dxa"/>
            <w:vAlign w:val="center"/>
          </w:tcPr>
          <w:p w14:paraId="67A92BC9" w14:textId="77777777" w:rsidR="009201D4" w:rsidRPr="00D955B0" w:rsidRDefault="009201D4" w:rsidP="003172D1">
            <w:pPr>
              <w:keepNext/>
              <w:spacing w:before="60" w:after="60"/>
              <w:jc w:val="center"/>
              <w:rPr>
                <w:sz w:val="18"/>
              </w:rPr>
            </w:pPr>
            <w:r w:rsidRPr="00D955B0">
              <w:rPr>
                <w:sz w:val="18"/>
              </w:rPr>
              <w:t>1%</w:t>
            </w:r>
          </w:p>
        </w:tc>
        <w:tc>
          <w:tcPr>
            <w:tcW w:w="1535" w:type="dxa"/>
            <w:shd w:val="clear" w:color="auto" w:fill="auto"/>
            <w:vAlign w:val="center"/>
          </w:tcPr>
          <w:p w14:paraId="60019E27" w14:textId="77777777" w:rsidR="009201D4" w:rsidRPr="00D955B0" w:rsidRDefault="009201D4" w:rsidP="003172D1">
            <w:pPr>
              <w:keepNext/>
              <w:spacing w:before="60" w:after="60"/>
              <w:jc w:val="center"/>
              <w:rPr>
                <w:sz w:val="18"/>
              </w:rPr>
            </w:pPr>
            <w:r w:rsidRPr="00D955B0">
              <w:rPr>
                <w:sz w:val="18"/>
              </w:rPr>
              <w:t>4</w:t>
            </w:r>
          </w:p>
        </w:tc>
        <w:tc>
          <w:tcPr>
            <w:tcW w:w="1535" w:type="dxa"/>
            <w:shd w:val="clear" w:color="auto" w:fill="auto"/>
            <w:noWrap/>
            <w:vAlign w:val="center"/>
          </w:tcPr>
          <w:p w14:paraId="391D19BB" w14:textId="0E4AB262" w:rsidR="009201D4" w:rsidRPr="00D955B0" w:rsidRDefault="009201D4" w:rsidP="003172D1">
            <w:pPr>
              <w:keepNext/>
              <w:spacing w:before="60" w:after="60"/>
              <w:jc w:val="center"/>
              <w:rPr>
                <w:sz w:val="18"/>
              </w:rPr>
            </w:pPr>
            <w:r w:rsidRPr="00D955B0">
              <w:rPr>
                <w:sz w:val="18"/>
              </w:rPr>
              <w:t xml:space="preserve">1 </w:t>
            </w:r>
            <w:r w:rsidR="00394169" w:rsidRPr="00D955B0">
              <w:rPr>
                <w:sz w:val="18"/>
              </w:rPr>
              <w:t>hour</w:t>
            </w:r>
          </w:p>
          <w:p w14:paraId="2C70F36D" w14:textId="5321B577" w:rsidR="009201D4" w:rsidRPr="00D955B0" w:rsidRDefault="00A914D1" w:rsidP="003172D1">
            <w:pPr>
              <w:keepNext/>
              <w:spacing w:before="60" w:after="60"/>
              <w:jc w:val="center"/>
              <w:rPr>
                <w:sz w:val="18"/>
              </w:rPr>
            </w:pPr>
            <w:r w:rsidRPr="00D955B0">
              <w:rPr>
                <w:sz w:val="18"/>
              </w:rPr>
              <w:t>(</w:t>
            </w:r>
            <w:r w:rsidR="009201D4" w:rsidRPr="00D955B0">
              <w:rPr>
                <w:sz w:val="18"/>
              </w:rPr>
              <w:t>$76.37</w:t>
            </w:r>
            <w:r w:rsidR="00394169" w:rsidRPr="00D955B0">
              <w:rPr>
                <w:sz w:val="18"/>
              </w:rPr>
              <w:t>)</w:t>
            </w:r>
          </w:p>
        </w:tc>
      </w:tr>
    </w:tbl>
    <w:p w14:paraId="5C01784D" w14:textId="4B51AE8F" w:rsidR="009201D4" w:rsidRDefault="009201D4" w:rsidP="009201D4">
      <w:r w:rsidRPr="00D955B0">
        <w:t xml:space="preserve">Based on a real discount rate of 4 per cent, </w:t>
      </w:r>
      <w:r>
        <w:fldChar w:fldCharType="begin"/>
      </w:r>
      <w:r w:rsidRPr="00D955B0">
        <w:instrText xml:space="preserve"> REF _Ref35941848 \h  \* MERGEFORMAT </w:instrText>
      </w:r>
      <w:r>
        <w:fldChar w:fldCharType="separate"/>
      </w:r>
      <w:r w:rsidR="00277F6E" w:rsidRPr="00277F6E">
        <w:t>Table 7</w:t>
      </w:r>
      <w:r w:rsidR="00277F6E" w:rsidRPr="00277F6E">
        <w:noBreakHyphen/>
        <w:t>6</w:t>
      </w:r>
      <w:r>
        <w:fldChar w:fldCharType="end"/>
      </w:r>
      <w:r>
        <w:t xml:space="preserve"> shows that the 10-year NPV and EAC for accredited operators to implement vehicle safety inspections is </w:t>
      </w:r>
      <w:r w:rsidRPr="00C52DD1">
        <w:t>$19.</w:t>
      </w:r>
      <w:r w:rsidR="00DF09C6">
        <w:t>8</w:t>
      </w:r>
      <w:r w:rsidRPr="00C52DD1">
        <w:t xml:space="preserve"> million</w:t>
      </w:r>
      <w:r>
        <w:t xml:space="preserve"> and </w:t>
      </w:r>
      <w:r w:rsidRPr="00C52DD1">
        <w:t>$2.</w:t>
      </w:r>
      <w:r w:rsidR="00DF09C6">
        <w:t>4</w:t>
      </w:r>
      <w:r w:rsidRPr="00C52DD1">
        <w:t xml:space="preserve"> million</w:t>
      </w:r>
      <w:r>
        <w:t xml:space="preserve">, respectively. </w:t>
      </w:r>
    </w:p>
    <w:p w14:paraId="3F710FD1" w14:textId="25DCFA39" w:rsidR="009201D4" w:rsidRPr="002E6534" w:rsidRDefault="009201D4" w:rsidP="007620AA">
      <w:pPr>
        <w:pStyle w:val="Caption"/>
        <w:keepNext/>
        <w:spacing w:after="60"/>
        <w:rPr>
          <w:b/>
          <w:bCs/>
          <w:i w:val="0"/>
          <w:iCs w:val="0"/>
        </w:rPr>
      </w:pPr>
      <w:bookmarkStart w:id="633" w:name="_Ref35941848"/>
      <w:bookmarkStart w:id="634" w:name="_Toc44437378"/>
      <w:bookmarkStart w:id="635" w:name="_Toc44597449"/>
      <w:bookmarkStart w:id="636" w:name="_Toc44597513"/>
      <w:bookmarkStart w:id="637" w:name="_Toc44600083"/>
      <w:bookmarkStart w:id="638" w:name="_Toc44600538"/>
      <w:bookmarkStart w:id="639" w:name="_Toc44600705"/>
      <w:bookmarkStart w:id="640" w:name="_Toc44601202"/>
      <w:bookmarkStart w:id="641" w:name="_Toc44601255"/>
      <w:bookmarkStart w:id="642" w:name="_Toc44603403"/>
      <w:bookmarkStart w:id="643" w:name="_Toc45704451"/>
      <w:r w:rsidRPr="00C52DD1">
        <w:rPr>
          <w:b/>
          <w:bCs/>
          <w:i w:val="0"/>
          <w:iCs w:val="0"/>
        </w:rPr>
        <w:t xml:space="preserve">Table </w:t>
      </w:r>
      <w:r w:rsidR="00D2483C">
        <w:rPr>
          <w:b/>
          <w:bCs/>
          <w:i w:val="0"/>
          <w:iCs w:val="0"/>
        </w:rPr>
        <w:fldChar w:fldCharType="begin"/>
      </w:r>
      <w:r w:rsidR="00D2483C">
        <w:rPr>
          <w:b/>
          <w:bCs/>
          <w:i w:val="0"/>
          <w:iCs w:val="0"/>
        </w:rPr>
        <w:instrText xml:space="preserve"> STYLEREF 1 \s </w:instrText>
      </w:r>
      <w:r w:rsidR="00D2483C">
        <w:rPr>
          <w:b/>
          <w:bCs/>
          <w:i w:val="0"/>
          <w:iCs w:val="0"/>
        </w:rPr>
        <w:fldChar w:fldCharType="separate"/>
      </w:r>
      <w:r w:rsidR="00277F6E">
        <w:rPr>
          <w:b/>
          <w:bCs/>
          <w:i w:val="0"/>
          <w:iCs w:val="0"/>
          <w:noProof/>
        </w:rPr>
        <w:t>7</w:t>
      </w:r>
      <w:r w:rsidR="00D2483C">
        <w:rPr>
          <w:b/>
          <w:bCs/>
          <w:i w:val="0"/>
          <w:iCs w:val="0"/>
        </w:rPr>
        <w:fldChar w:fldCharType="end"/>
      </w:r>
      <w:r w:rsidR="00D2483C">
        <w:rPr>
          <w:b/>
          <w:bCs/>
          <w:i w:val="0"/>
          <w:iCs w:val="0"/>
        </w:rPr>
        <w:noBreakHyphen/>
      </w:r>
      <w:r w:rsidR="00D2483C">
        <w:rPr>
          <w:b/>
          <w:bCs/>
          <w:i w:val="0"/>
          <w:iCs w:val="0"/>
        </w:rPr>
        <w:fldChar w:fldCharType="begin"/>
      </w:r>
      <w:r w:rsidR="00D2483C">
        <w:rPr>
          <w:b/>
          <w:bCs/>
          <w:i w:val="0"/>
          <w:iCs w:val="0"/>
        </w:rPr>
        <w:instrText xml:space="preserve"> SEQ Table \* ARABIC \s 1 </w:instrText>
      </w:r>
      <w:r w:rsidR="00D2483C">
        <w:rPr>
          <w:b/>
          <w:bCs/>
          <w:i w:val="0"/>
          <w:iCs w:val="0"/>
        </w:rPr>
        <w:fldChar w:fldCharType="separate"/>
      </w:r>
      <w:r w:rsidR="00277F6E">
        <w:rPr>
          <w:b/>
          <w:bCs/>
          <w:i w:val="0"/>
          <w:iCs w:val="0"/>
          <w:noProof/>
        </w:rPr>
        <w:t>6</w:t>
      </w:r>
      <w:r w:rsidR="00D2483C">
        <w:rPr>
          <w:b/>
          <w:bCs/>
          <w:i w:val="0"/>
          <w:iCs w:val="0"/>
        </w:rPr>
        <w:fldChar w:fldCharType="end"/>
      </w:r>
      <w:bookmarkEnd w:id="633"/>
      <w:r w:rsidRPr="00C52DD1">
        <w:rPr>
          <w:b/>
          <w:bCs/>
          <w:i w:val="0"/>
          <w:iCs w:val="0"/>
        </w:rPr>
        <w:t>: NPV and EAC for vehicle safety inspections</w:t>
      </w:r>
      <w:bookmarkEnd w:id="634"/>
      <w:bookmarkEnd w:id="635"/>
      <w:bookmarkEnd w:id="636"/>
      <w:bookmarkEnd w:id="637"/>
      <w:bookmarkEnd w:id="638"/>
      <w:bookmarkEnd w:id="639"/>
      <w:bookmarkEnd w:id="640"/>
      <w:bookmarkEnd w:id="641"/>
      <w:bookmarkEnd w:id="642"/>
      <w:bookmarkEnd w:id="643"/>
    </w:p>
    <w:tbl>
      <w:tblPr>
        <w:tblW w:w="6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0"/>
        <w:gridCol w:w="2231"/>
        <w:gridCol w:w="2230"/>
      </w:tblGrid>
      <w:tr w:rsidR="009201D4" w:rsidRPr="00117CB8" w14:paraId="2CA33309" w14:textId="77777777" w:rsidTr="003172D1">
        <w:trPr>
          <w:cantSplit/>
          <w:trHeight w:val="288"/>
        </w:trPr>
        <w:tc>
          <w:tcPr>
            <w:tcW w:w="1912" w:type="dxa"/>
            <w:shd w:val="clear" w:color="auto" w:fill="D6ECED"/>
            <w:noWrap/>
            <w:vAlign w:val="bottom"/>
            <w:hideMark/>
          </w:tcPr>
          <w:p w14:paraId="6F78A9B4" w14:textId="77777777" w:rsidR="009201D4" w:rsidRPr="003435C3" w:rsidRDefault="009201D4" w:rsidP="003172D1">
            <w:pPr>
              <w:keepNext/>
              <w:spacing w:before="60" w:after="60"/>
              <w:jc w:val="center"/>
              <w:rPr>
                <w:rFonts w:eastAsia="Times New Roman" w:cstheme="minorHAnsi"/>
                <w:b/>
                <w:color w:val="000000"/>
                <w:sz w:val="18"/>
                <w:lang w:eastAsia="en-AU"/>
              </w:rPr>
            </w:pPr>
            <w:r w:rsidRPr="00C52DD1">
              <w:rPr>
                <w:b/>
                <w:bCs/>
                <w:sz w:val="18"/>
              </w:rPr>
              <w:t>Activity</w:t>
            </w:r>
          </w:p>
        </w:tc>
        <w:tc>
          <w:tcPr>
            <w:tcW w:w="1913" w:type="dxa"/>
            <w:shd w:val="clear" w:color="auto" w:fill="D6ECED"/>
            <w:noWrap/>
            <w:hideMark/>
          </w:tcPr>
          <w:p w14:paraId="031343FF" w14:textId="77777777" w:rsidR="009201D4" w:rsidRPr="00D955B0" w:rsidRDefault="009201D4" w:rsidP="003172D1">
            <w:pPr>
              <w:keepNext/>
              <w:spacing w:before="60" w:after="60"/>
              <w:jc w:val="center"/>
              <w:rPr>
                <w:rFonts w:eastAsia="Times New Roman" w:cstheme="minorHAnsi"/>
                <w:b/>
                <w:color w:val="000000"/>
                <w:sz w:val="18"/>
                <w:lang w:eastAsia="en-AU"/>
              </w:rPr>
            </w:pPr>
            <w:r w:rsidRPr="003435C3">
              <w:rPr>
                <w:b/>
                <w:sz w:val="18"/>
              </w:rPr>
              <w:t>NPV</w:t>
            </w:r>
          </w:p>
        </w:tc>
        <w:tc>
          <w:tcPr>
            <w:tcW w:w="1912" w:type="dxa"/>
            <w:shd w:val="clear" w:color="auto" w:fill="D6ECED"/>
            <w:noWrap/>
            <w:hideMark/>
          </w:tcPr>
          <w:p w14:paraId="15244CCE" w14:textId="77777777" w:rsidR="009201D4" w:rsidRPr="00117CB8" w:rsidRDefault="009201D4" w:rsidP="003172D1">
            <w:pPr>
              <w:keepNext/>
              <w:spacing w:before="60" w:after="60"/>
              <w:jc w:val="center"/>
              <w:rPr>
                <w:rFonts w:eastAsia="Times New Roman" w:cstheme="minorHAnsi"/>
                <w:b/>
                <w:bCs/>
                <w:color w:val="000000"/>
                <w:sz w:val="18"/>
                <w:lang w:eastAsia="en-AU"/>
              </w:rPr>
            </w:pPr>
            <w:r w:rsidRPr="00D955B0">
              <w:rPr>
                <w:b/>
                <w:sz w:val="18"/>
              </w:rPr>
              <w:t>EAC</w:t>
            </w:r>
          </w:p>
        </w:tc>
      </w:tr>
      <w:tr w:rsidR="009201D4" w:rsidRPr="00117CB8" w14:paraId="41487C82" w14:textId="77777777" w:rsidTr="003172D1">
        <w:trPr>
          <w:cantSplit/>
          <w:trHeight w:val="288"/>
        </w:trPr>
        <w:tc>
          <w:tcPr>
            <w:tcW w:w="1912" w:type="dxa"/>
            <w:shd w:val="clear" w:color="auto" w:fill="auto"/>
            <w:noWrap/>
            <w:hideMark/>
          </w:tcPr>
          <w:p w14:paraId="0BE9B398" w14:textId="77777777" w:rsidR="009201D4" w:rsidRPr="00117CB8" w:rsidRDefault="009201D4" w:rsidP="003172D1">
            <w:pPr>
              <w:keepNext/>
              <w:spacing w:before="60" w:after="60"/>
              <w:jc w:val="center"/>
              <w:rPr>
                <w:rFonts w:eastAsia="Times New Roman" w:cstheme="minorHAnsi"/>
                <w:color w:val="000000"/>
                <w:sz w:val="18"/>
                <w:lang w:eastAsia="en-AU"/>
              </w:rPr>
            </w:pPr>
            <w:r>
              <w:rPr>
                <w:rFonts w:cstheme="minorHAnsi"/>
                <w:color w:val="auto"/>
                <w:sz w:val="18"/>
              </w:rPr>
              <w:t>Vehicle safety inspections</w:t>
            </w:r>
          </w:p>
        </w:tc>
        <w:tc>
          <w:tcPr>
            <w:tcW w:w="1913" w:type="dxa"/>
            <w:shd w:val="clear" w:color="auto" w:fill="auto"/>
            <w:noWrap/>
          </w:tcPr>
          <w:p w14:paraId="1F9B8119" w14:textId="168785B9" w:rsidR="009201D4" w:rsidRPr="00117CB8" w:rsidRDefault="009201D4" w:rsidP="003172D1">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$19.</w:t>
            </w:r>
            <w:r w:rsidR="00DF09C6">
              <w:rPr>
                <w:rFonts w:eastAsia="Times New Roman" w:cstheme="minorHAnsi"/>
                <w:color w:val="000000"/>
                <w:sz w:val="18"/>
                <w:lang w:eastAsia="en-AU"/>
              </w:rPr>
              <w:t>8</w:t>
            </w:r>
            <w:r>
              <w:rPr>
                <w:rFonts w:eastAsia="Times New Roman" w:cstheme="minorHAnsi"/>
                <w:color w:val="000000"/>
                <w:sz w:val="18"/>
                <w:lang w:eastAsia="en-AU"/>
              </w:rPr>
              <w:t>m</w:t>
            </w:r>
          </w:p>
        </w:tc>
        <w:tc>
          <w:tcPr>
            <w:tcW w:w="1912" w:type="dxa"/>
            <w:shd w:val="clear" w:color="auto" w:fill="auto"/>
            <w:noWrap/>
          </w:tcPr>
          <w:p w14:paraId="2BB45C5F" w14:textId="6821C5FF" w:rsidR="009201D4" w:rsidRPr="00117CB8" w:rsidRDefault="009201D4" w:rsidP="003172D1">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$2.</w:t>
            </w:r>
            <w:r w:rsidR="00DF09C6">
              <w:rPr>
                <w:rFonts w:eastAsia="Times New Roman" w:cstheme="minorHAnsi"/>
                <w:color w:val="000000"/>
                <w:sz w:val="18"/>
                <w:lang w:eastAsia="en-AU"/>
              </w:rPr>
              <w:t>4</w:t>
            </w:r>
            <w:r>
              <w:rPr>
                <w:rFonts w:eastAsia="Times New Roman" w:cstheme="minorHAnsi"/>
                <w:color w:val="000000"/>
                <w:sz w:val="18"/>
                <w:lang w:eastAsia="en-AU"/>
              </w:rPr>
              <w:t>m</w:t>
            </w:r>
          </w:p>
        </w:tc>
      </w:tr>
    </w:tbl>
    <w:p w14:paraId="14DD5275" w14:textId="1D1ECACD" w:rsidR="009201D4" w:rsidRDefault="009201D4" w:rsidP="009201D4">
      <w:pPr>
        <w:rPr>
          <w:rFonts w:cstheme="minorHAnsi"/>
          <w:color w:val="auto"/>
          <w:szCs w:val="20"/>
        </w:rPr>
      </w:pPr>
      <w:r>
        <w:rPr>
          <w:rFonts w:cstheme="minorHAnsi"/>
          <w:i/>
          <w:iCs/>
          <w:color w:val="auto"/>
          <w:szCs w:val="20"/>
        </w:rPr>
        <w:t>Maintenance</w:t>
      </w:r>
    </w:p>
    <w:p w14:paraId="09B11412" w14:textId="7C4A9B02" w:rsidR="009201D4" w:rsidRDefault="009201D4" w:rsidP="009201D4">
      <w:pPr>
        <w:rPr>
          <w:rFonts w:cstheme="minorHAnsi"/>
          <w:color w:val="auto"/>
          <w:szCs w:val="20"/>
        </w:rPr>
      </w:pPr>
      <w:r>
        <w:rPr>
          <w:rFonts w:cstheme="minorHAnsi"/>
          <w:color w:val="auto"/>
          <w:szCs w:val="20"/>
        </w:rPr>
        <w:t xml:space="preserve">In relation to maintenance, an operator is required to </w:t>
      </w:r>
      <w:r w:rsidR="00C7404B">
        <w:rPr>
          <w:rFonts w:cstheme="minorHAnsi"/>
          <w:color w:val="auto"/>
          <w:szCs w:val="20"/>
        </w:rPr>
        <w:t xml:space="preserve">perform </w:t>
      </w:r>
      <w:r>
        <w:rPr>
          <w:rFonts w:cstheme="minorHAnsi"/>
          <w:color w:val="auto"/>
          <w:szCs w:val="20"/>
        </w:rPr>
        <w:t>maintenance activities specified by the manufacturer or other sources deemed appropriate by the operator.</w:t>
      </w:r>
      <w:r w:rsidR="00A35C19">
        <w:rPr>
          <w:rFonts w:cstheme="minorHAnsi"/>
          <w:color w:val="auto"/>
          <w:szCs w:val="20"/>
        </w:rPr>
        <w:t xml:space="preserve"> As discussed earlier in this section,</w:t>
      </w:r>
      <w:r>
        <w:rPr>
          <w:rFonts w:cstheme="minorHAnsi"/>
          <w:color w:val="auto"/>
          <w:szCs w:val="20"/>
        </w:rPr>
        <w:t xml:space="preserve"> </w:t>
      </w:r>
      <w:r w:rsidR="00A35C19">
        <w:rPr>
          <w:rFonts w:cstheme="minorHAnsi"/>
          <w:color w:val="auto"/>
          <w:szCs w:val="20"/>
        </w:rPr>
        <w:t>a</w:t>
      </w:r>
      <w:r>
        <w:rPr>
          <w:rFonts w:cstheme="minorHAnsi"/>
          <w:color w:val="auto"/>
          <w:szCs w:val="20"/>
        </w:rPr>
        <w:t xml:space="preserve">ctivities related to this requirement </w:t>
      </w:r>
      <w:r w:rsidR="00A35C19">
        <w:rPr>
          <w:rFonts w:cstheme="minorHAnsi"/>
          <w:color w:val="auto"/>
          <w:szCs w:val="20"/>
        </w:rPr>
        <w:t>can be</w:t>
      </w:r>
      <w:r>
        <w:rPr>
          <w:rFonts w:cstheme="minorHAnsi"/>
          <w:color w:val="auto"/>
          <w:szCs w:val="20"/>
        </w:rPr>
        <w:t xml:space="preserve"> considered a business as usual practice, as it is expected that operators would be </w:t>
      </w:r>
      <w:r w:rsidR="00BF5920">
        <w:rPr>
          <w:rFonts w:cstheme="minorHAnsi"/>
          <w:color w:val="auto"/>
          <w:szCs w:val="20"/>
        </w:rPr>
        <w:t xml:space="preserve">undertaking </w:t>
      </w:r>
      <w:r>
        <w:rPr>
          <w:rFonts w:cstheme="minorHAnsi"/>
          <w:color w:val="auto"/>
          <w:szCs w:val="20"/>
        </w:rPr>
        <w:t xml:space="preserve">maintenance as specified by the manufacturer as a matter of course (e.g. to avoid warranty issues etc.). For this reason, the costs of a vehicle maintenance regime will not be considered a burden imposed by the regulations. </w:t>
      </w:r>
    </w:p>
    <w:p w14:paraId="695BA78A" w14:textId="77777777" w:rsidR="009201D4" w:rsidRPr="00357058" w:rsidRDefault="009201D4" w:rsidP="009201D4">
      <w:pPr>
        <w:rPr>
          <w:rFonts w:cstheme="minorHAnsi"/>
          <w:i/>
          <w:iCs/>
          <w:color w:val="auto"/>
          <w:szCs w:val="20"/>
        </w:rPr>
      </w:pPr>
      <w:r>
        <w:rPr>
          <w:rFonts w:cstheme="minorHAnsi"/>
          <w:i/>
          <w:iCs/>
          <w:color w:val="auto"/>
          <w:szCs w:val="20"/>
        </w:rPr>
        <w:t>Defect reporting and clearance</w:t>
      </w:r>
    </w:p>
    <w:p w14:paraId="7C375164" w14:textId="77777777" w:rsidR="009201D4" w:rsidRDefault="009201D4" w:rsidP="009201D4">
      <w:pPr>
        <w:rPr>
          <w:rFonts w:cstheme="minorHAnsi"/>
          <w:color w:val="auto"/>
          <w:szCs w:val="20"/>
        </w:rPr>
      </w:pPr>
      <w:r>
        <w:rPr>
          <w:rFonts w:cstheme="minorHAnsi"/>
          <w:color w:val="auto"/>
          <w:szCs w:val="20"/>
        </w:rPr>
        <w:t xml:space="preserve">The costs associated with the requirements relating to defect reporting and clearance of defects are already considered under sections of the RIS relating to records, incidents notification and vehicle standards. </w:t>
      </w:r>
    </w:p>
    <w:p w14:paraId="713A579F" w14:textId="77777777" w:rsidR="009201D4" w:rsidRPr="001C2DC0" w:rsidRDefault="009201D4" w:rsidP="0095677C">
      <w:pPr>
        <w:pStyle w:val="Heading5"/>
      </w:pPr>
      <w:r w:rsidRPr="001C2DC0">
        <w:lastRenderedPageBreak/>
        <w:t>Summary</w:t>
      </w:r>
    </w:p>
    <w:p w14:paraId="664056FC" w14:textId="1C2989ED" w:rsidR="009201D4" w:rsidRDefault="009201D4" w:rsidP="009201D4">
      <w:pPr>
        <w:rPr>
          <w:rFonts w:cstheme="minorHAnsi"/>
          <w:color w:val="auto"/>
          <w:szCs w:val="20"/>
        </w:rPr>
      </w:pPr>
      <w:r>
        <w:rPr>
          <w:rFonts w:cstheme="minorHAnsi"/>
          <w:color w:val="auto"/>
          <w:szCs w:val="20"/>
        </w:rPr>
        <w:t xml:space="preserve">The vehicle is a critical input into the safety of the bus service. If left not adequately maintained, </w:t>
      </w:r>
      <w:r w:rsidR="00320077">
        <w:rPr>
          <w:rFonts w:cstheme="minorHAnsi"/>
          <w:color w:val="auto"/>
          <w:szCs w:val="20"/>
        </w:rPr>
        <w:t>the vehicle</w:t>
      </w:r>
      <w:r w:rsidR="005764F8">
        <w:rPr>
          <w:rFonts w:cstheme="minorHAnsi"/>
          <w:color w:val="auto"/>
          <w:szCs w:val="20"/>
        </w:rPr>
        <w:t xml:space="preserve"> may</w:t>
      </w:r>
      <w:r w:rsidR="00320077">
        <w:rPr>
          <w:rFonts w:cstheme="minorHAnsi"/>
          <w:color w:val="auto"/>
          <w:szCs w:val="20"/>
        </w:rPr>
        <w:t xml:space="preserve"> contribute to a greater number of incidents</w:t>
      </w:r>
      <w:r w:rsidR="00DD4CE1">
        <w:rPr>
          <w:rFonts w:cstheme="minorHAnsi"/>
          <w:color w:val="auto"/>
          <w:szCs w:val="20"/>
        </w:rPr>
        <w:t xml:space="preserve"> or</w:t>
      </w:r>
      <w:r>
        <w:rPr>
          <w:rFonts w:cstheme="minorHAnsi"/>
          <w:color w:val="auto"/>
          <w:szCs w:val="20"/>
        </w:rPr>
        <w:t xml:space="preserve"> </w:t>
      </w:r>
      <w:r w:rsidR="00320077">
        <w:rPr>
          <w:rFonts w:cstheme="minorHAnsi"/>
          <w:color w:val="auto"/>
          <w:szCs w:val="20"/>
        </w:rPr>
        <w:t xml:space="preserve">may not </w:t>
      </w:r>
      <w:r w:rsidR="00F438BD">
        <w:rPr>
          <w:rFonts w:cstheme="minorHAnsi"/>
          <w:color w:val="auto"/>
          <w:szCs w:val="20"/>
        </w:rPr>
        <w:t xml:space="preserve">be able to </w:t>
      </w:r>
      <w:r w:rsidR="00320077">
        <w:rPr>
          <w:rFonts w:cstheme="minorHAnsi"/>
          <w:color w:val="auto"/>
          <w:szCs w:val="20"/>
        </w:rPr>
        <w:t>mitigate the</w:t>
      </w:r>
      <w:r>
        <w:rPr>
          <w:rFonts w:cstheme="minorHAnsi"/>
          <w:color w:val="auto"/>
          <w:szCs w:val="20"/>
        </w:rPr>
        <w:t xml:space="preserve"> consequences of an incident </w:t>
      </w:r>
      <w:r w:rsidR="00320077">
        <w:rPr>
          <w:rFonts w:cstheme="minorHAnsi"/>
          <w:color w:val="auto"/>
          <w:szCs w:val="20"/>
        </w:rPr>
        <w:t>as effectively</w:t>
      </w:r>
      <w:r>
        <w:rPr>
          <w:rFonts w:cstheme="minorHAnsi"/>
          <w:color w:val="auto"/>
          <w:szCs w:val="20"/>
        </w:rPr>
        <w:t>. This will lead to higher rate</w:t>
      </w:r>
      <w:r w:rsidR="009973E9">
        <w:rPr>
          <w:rFonts w:cstheme="minorHAnsi"/>
          <w:color w:val="auto"/>
          <w:szCs w:val="20"/>
        </w:rPr>
        <w:t>s</w:t>
      </w:r>
      <w:r>
        <w:rPr>
          <w:rFonts w:cstheme="minorHAnsi"/>
          <w:color w:val="auto"/>
          <w:szCs w:val="20"/>
        </w:rPr>
        <w:t xml:space="preserve"> of fatalities and injuries (serious or otherwise) compared to a scenario where vehicles are regularly maintained. The costs associated</w:t>
      </w:r>
      <w:r w:rsidR="00320077">
        <w:rPr>
          <w:rFonts w:cstheme="minorHAnsi"/>
          <w:color w:val="auto"/>
          <w:szCs w:val="20"/>
        </w:rPr>
        <w:t xml:space="preserve"> with</w:t>
      </w:r>
      <w:r>
        <w:rPr>
          <w:rFonts w:cstheme="minorHAnsi"/>
          <w:color w:val="auto"/>
          <w:szCs w:val="20"/>
        </w:rPr>
        <w:t xml:space="preserve"> a regulatory requirement to develop</w:t>
      </w:r>
      <w:r w:rsidR="00320077">
        <w:rPr>
          <w:rFonts w:cstheme="minorHAnsi"/>
          <w:color w:val="auto"/>
          <w:szCs w:val="20"/>
        </w:rPr>
        <w:t xml:space="preserve"> and maintain</w:t>
      </w:r>
      <w:r>
        <w:rPr>
          <w:rFonts w:cstheme="minorHAnsi"/>
          <w:color w:val="auto"/>
          <w:szCs w:val="20"/>
        </w:rPr>
        <w:t xml:space="preserve"> safety systems for vehicle maintenance are $</w:t>
      </w:r>
      <w:r w:rsidR="004D4411">
        <w:rPr>
          <w:rFonts w:cstheme="minorHAnsi"/>
          <w:color w:val="auto"/>
          <w:szCs w:val="20"/>
        </w:rPr>
        <w:t>2.06</w:t>
      </w:r>
      <w:r>
        <w:rPr>
          <w:rFonts w:cstheme="minorHAnsi"/>
          <w:color w:val="auto"/>
          <w:szCs w:val="20"/>
        </w:rPr>
        <w:t xml:space="preserve"> million and</w:t>
      </w:r>
      <w:r w:rsidR="00320077">
        <w:rPr>
          <w:rFonts w:cstheme="minorHAnsi"/>
          <w:color w:val="auto"/>
          <w:szCs w:val="20"/>
        </w:rPr>
        <w:t xml:space="preserve"> the costs to comply with those systems are</w:t>
      </w:r>
      <w:r>
        <w:rPr>
          <w:rFonts w:cstheme="minorHAnsi"/>
          <w:color w:val="auto"/>
          <w:szCs w:val="20"/>
        </w:rPr>
        <w:t xml:space="preserve"> $</w:t>
      </w:r>
      <w:r w:rsidR="004D4411">
        <w:rPr>
          <w:rFonts w:cstheme="minorHAnsi"/>
          <w:color w:val="auto"/>
          <w:szCs w:val="20"/>
        </w:rPr>
        <w:t>62.7</w:t>
      </w:r>
      <w:r>
        <w:rPr>
          <w:rFonts w:cstheme="minorHAnsi"/>
          <w:color w:val="auto"/>
          <w:szCs w:val="20"/>
        </w:rPr>
        <w:t xml:space="preserve"> million to $</w:t>
      </w:r>
      <w:r w:rsidR="004D4411">
        <w:rPr>
          <w:rFonts w:cstheme="minorHAnsi"/>
          <w:color w:val="auto"/>
          <w:szCs w:val="20"/>
        </w:rPr>
        <w:t>317.1</w:t>
      </w:r>
      <w:r>
        <w:rPr>
          <w:rFonts w:cstheme="minorHAnsi"/>
          <w:color w:val="auto"/>
          <w:szCs w:val="20"/>
        </w:rPr>
        <w:t xml:space="preserve"> million over the life of the regulations (i.e. a 10-year period). DoT notes that many operators would have incurred these costs regardless of the proposed regulation, as it is good practice to regularly maintain vehicles. Therefore, the costs estimated presented here reflect the upper bound of costs imposed on the industry.  </w:t>
      </w:r>
    </w:p>
    <w:p w14:paraId="4D55F4DC" w14:textId="4EA9AC99" w:rsidR="009201D4" w:rsidRPr="005228E4" w:rsidRDefault="009201D4" w:rsidP="009201D4">
      <w:pPr>
        <w:rPr>
          <w:rFonts w:cstheme="minorHAnsi"/>
          <w:color w:val="auto"/>
          <w:szCs w:val="20"/>
        </w:rPr>
      </w:pPr>
      <w:r>
        <w:rPr>
          <w:rFonts w:cstheme="minorHAnsi"/>
          <w:color w:val="auto"/>
          <w:szCs w:val="20"/>
        </w:rPr>
        <w:t xml:space="preserve">DoT does not have information of the possible level of benefits attributable to the proposed regulation. In part, this is due to the fact that the regulation is already in place. </w:t>
      </w:r>
      <w:r w:rsidR="00031955">
        <w:rPr>
          <w:rFonts w:cstheme="minorHAnsi"/>
          <w:color w:val="auto"/>
          <w:szCs w:val="20"/>
        </w:rPr>
        <w:t xml:space="preserve">This proposed regulation will be further considered in Section </w:t>
      </w:r>
      <w:r w:rsidR="00EA6B6F">
        <w:rPr>
          <w:rFonts w:cstheme="minorHAnsi"/>
          <w:color w:val="auto"/>
          <w:szCs w:val="20"/>
        </w:rPr>
        <w:fldChar w:fldCharType="begin"/>
      </w:r>
      <w:r w:rsidR="00EA6B6F">
        <w:rPr>
          <w:rFonts w:cstheme="minorHAnsi"/>
          <w:color w:val="auto"/>
          <w:szCs w:val="20"/>
        </w:rPr>
        <w:instrText xml:space="preserve"> REF _Ref39916800 \r \h </w:instrText>
      </w:r>
      <w:r w:rsidR="00EA6B6F">
        <w:rPr>
          <w:rFonts w:cstheme="minorHAnsi"/>
          <w:color w:val="auto"/>
          <w:szCs w:val="20"/>
        </w:rPr>
      </w:r>
      <w:r w:rsidR="00EA6B6F">
        <w:rPr>
          <w:rFonts w:cstheme="minorHAnsi"/>
          <w:color w:val="auto"/>
          <w:szCs w:val="20"/>
        </w:rPr>
        <w:fldChar w:fldCharType="separate"/>
      </w:r>
      <w:r w:rsidR="00277F6E">
        <w:rPr>
          <w:rFonts w:cstheme="minorHAnsi"/>
          <w:color w:val="auto"/>
          <w:szCs w:val="20"/>
        </w:rPr>
        <w:t>7.1.2.3</w:t>
      </w:r>
      <w:r w:rsidR="00EA6B6F">
        <w:rPr>
          <w:rFonts w:cstheme="minorHAnsi"/>
          <w:color w:val="auto"/>
          <w:szCs w:val="20"/>
        </w:rPr>
        <w:fldChar w:fldCharType="end"/>
      </w:r>
      <w:r w:rsidR="00031955">
        <w:rPr>
          <w:rFonts w:cstheme="minorHAnsi"/>
          <w:color w:val="auto"/>
          <w:szCs w:val="20"/>
        </w:rPr>
        <w:t xml:space="preserve"> using break-even analysis methodology</w:t>
      </w:r>
      <w:r>
        <w:rPr>
          <w:rFonts w:cstheme="minorHAnsi"/>
          <w:color w:val="auto"/>
          <w:szCs w:val="20"/>
        </w:rPr>
        <w:t>.</w:t>
      </w:r>
    </w:p>
    <w:p w14:paraId="594045F2" w14:textId="262C33E1" w:rsidR="00F041F9" w:rsidRDefault="00855C11" w:rsidP="0095677C">
      <w:pPr>
        <w:pStyle w:val="Heading4"/>
      </w:pPr>
      <w:bookmarkStart w:id="644" w:name="_Ref41819407"/>
      <w:bookmarkStart w:id="645" w:name="_Ref41905869"/>
      <w:r>
        <w:t>Roadworthy</w:t>
      </w:r>
      <w:r w:rsidR="007C0289">
        <w:t xml:space="preserve"> i</w:t>
      </w:r>
      <w:r w:rsidR="00AE2018">
        <w:t>nspections</w:t>
      </w:r>
      <w:bookmarkEnd w:id="644"/>
      <w:bookmarkEnd w:id="645"/>
    </w:p>
    <w:p w14:paraId="2B736D00" w14:textId="24331CE1" w:rsidR="00955D86" w:rsidRDefault="00955D86" w:rsidP="00955D86">
      <w:pPr>
        <w:rPr>
          <w:iCs/>
        </w:rPr>
      </w:pPr>
      <w:r>
        <w:rPr>
          <w:iCs/>
        </w:rPr>
        <w:t xml:space="preserve">This section </w:t>
      </w:r>
      <w:r w:rsidR="00CB03F2">
        <w:rPr>
          <w:iCs/>
        </w:rPr>
        <w:t>considers the impacts</w:t>
      </w:r>
      <w:r>
        <w:rPr>
          <w:iCs/>
        </w:rPr>
        <w:t xml:space="preserve"> of two options relating to the </w:t>
      </w:r>
      <w:r w:rsidR="00380151">
        <w:rPr>
          <w:iCs/>
        </w:rPr>
        <w:t xml:space="preserve">roadworthy </w:t>
      </w:r>
      <w:r>
        <w:rPr>
          <w:iCs/>
        </w:rPr>
        <w:t>inspection of each bus operated by an operator</w:t>
      </w:r>
      <w:r w:rsidR="00056A02">
        <w:rPr>
          <w:iCs/>
        </w:rPr>
        <w:t xml:space="preserve"> based on considerations described in Section </w:t>
      </w:r>
      <w:r w:rsidR="00056A02">
        <w:rPr>
          <w:iCs/>
        </w:rPr>
        <w:fldChar w:fldCharType="begin"/>
      </w:r>
      <w:r w:rsidR="00056A02">
        <w:rPr>
          <w:iCs/>
        </w:rPr>
        <w:instrText xml:space="preserve"> REF _Ref41982000 \r \h </w:instrText>
      </w:r>
      <w:r w:rsidR="00056A02">
        <w:rPr>
          <w:iCs/>
        </w:rPr>
      </w:r>
      <w:r w:rsidR="00056A02">
        <w:rPr>
          <w:iCs/>
        </w:rPr>
        <w:fldChar w:fldCharType="separate"/>
      </w:r>
      <w:r w:rsidR="00277F6E">
        <w:rPr>
          <w:iCs/>
        </w:rPr>
        <w:t>6.1.2.2</w:t>
      </w:r>
      <w:r w:rsidR="00056A02">
        <w:rPr>
          <w:iCs/>
        </w:rPr>
        <w:fldChar w:fldCharType="end"/>
      </w:r>
      <w:r>
        <w:rPr>
          <w:iCs/>
        </w:rPr>
        <w:t xml:space="preserve">. The options under consideration are: </w:t>
      </w:r>
    </w:p>
    <w:p w14:paraId="06296342" w14:textId="3D7E025E" w:rsidR="00955D86" w:rsidRPr="0042006A" w:rsidRDefault="00955D86" w:rsidP="00842F5A">
      <w:pPr>
        <w:pStyle w:val="ListParagraph"/>
        <w:numPr>
          <w:ilvl w:val="0"/>
          <w:numId w:val="25"/>
        </w:numPr>
        <w:rPr>
          <w:rFonts w:asciiTheme="minorHAnsi" w:hAnsiTheme="minorHAnsi" w:cstheme="minorHAnsi"/>
          <w:color w:val="auto"/>
          <w:sz w:val="20"/>
          <w:szCs w:val="20"/>
        </w:rPr>
      </w:pPr>
      <w:r w:rsidRPr="0042006A">
        <w:rPr>
          <w:rFonts w:asciiTheme="minorHAnsi" w:hAnsiTheme="minorHAnsi" w:cstheme="minorHAnsi"/>
          <w:color w:val="auto"/>
          <w:sz w:val="20"/>
          <w:szCs w:val="20"/>
        </w:rPr>
        <w:t>Option 1</w:t>
      </w:r>
      <w:r w:rsidR="007F65DD">
        <w:rPr>
          <w:rFonts w:asciiTheme="minorHAnsi" w:hAnsiTheme="minorHAnsi" w:cstheme="minorHAnsi"/>
          <w:color w:val="auto"/>
          <w:sz w:val="20"/>
          <w:szCs w:val="20"/>
        </w:rPr>
        <w:t xml:space="preserve"> (status quo)</w:t>
      </w:r>
      <w:r w:rsidRPr="0042006A">
        <w:rPr>
          <w:rFonts w:asciiTheme="minorHAnsi" w:hAnsiTheme="minorHAnsi" w:cstheme="minorHAnsi"/>
          <w:color w:val="auto"/>
          <w:sz w:val="20"/>
          <w:szCs w:val="20"/>
        </w:rPr>
        <w:t xml:space="preserve">: All buses subject to annual </w:t>
      </w:r>
      <w:r w:rsidR="00B872A0">
        <w:rPr>
          <w:rFonts w:asciiTheme="minorHAnsi" w:hAnsiTheme="minorHAnsi" w:cstheme="minorHAnsi"/>
          <w:color w:val="auto"/>
          <w:sz w:val="20"/>
          <w:szCs w:val="20"/>
        </w:rPr>
        <w:t xml:space="preserve">roadworthy </w:t>
      </w:r>
      <w:r w:rsidRPr="0042006A">
        <w:rPr>
          <w:rFonts w:asciiTheme="minorHAnsi" w:hAnsiTheme="minorHAnsi" w:cstheme="minorHAnsi"/>
          <w:color w:val="auto"/>
          <w:sz w:val="20"/>
          <w:szCs w:val="20"/>
        </w:rPr>
        <w:t>inspections (noting that annual inspections for buses operated by accredited operators is the base case).</w:t>
      </w:r>
    </w:p>
    <w:p w14:paraId="7CD18EAC" w14:textId="009D0498" w:rsidR="00955D86" w:rsidRPr="0042006A" w:rsidRDefault="00955D86" w:rsidP="00842F5A">
      <w:pPr>
        <w:pStyle w:val="ListParagraph"/>
        <w:numPr>
          <w:ilvl w:val="0"/>
          <w:numId w:val="25"/>
        </w:numPr>
        <w:rPr>
          <w:rFonts w:asciiTheme="minorHAnsi" w:hAnsiTheme="minorHAnsi" w:cstheme="minorHAnsi"/>
          <w:color w:val="auto"/>
          <w:sz w:val="20"/>
          <w:szCs w:val="20"/>
        </w:rPr>
      </w:pPr>
      <w:r w:rsidRPr="0042006A">
        <w:rPr>
          <w:rFonts w:asciiTheme="minorHAnsi" w:hAnsiTheme="minorHAnsi" w:cstheme="minorHAnsi"/>
          <w:color w:val="auto"/>
          <w:sz w:val="20"/>
          <w:szCs w:val="20"/>
        </w:rPr>
        <w:t xml:space="preserve">Option 2: All buses subject to annual </w:t>
      </w:r>
      <w:r w:rsidR="000F26D1">
        <w:rPr>
          <w:rFonts w:asciiTheme="minorHAnsi" w:hAnsiTheme="minorHAnsi" w:cstheme="minorHAnsi"/>
          <w:color w:val="auto"/>
          <w:sz w:val="20"/>
          <w:szCs w:val="20"/>
        </w:rPr>
        <w:t xml:space="preserve">roadworthy </w:t>
      </w:r>
      <w:r w:rsidRPr="0042006A">
        <w:rPr>
          <w:rFonts w:asciiTheme="minorHAnsi" w:hAnsiTheme="minorHAnsi" w:cstheme="minorHAnsi"/>
          <w:color w:val="auto"/>
          <w:sz w:val="20"/>
          <w:szCs w:val="20"/>
        </w:rPr>
        <w:t xml:space="preserve">inspections </w:t>
      </w:r>
      <w:r w:rsidR="003133C8">
        <w:rPr>
          <w:rFonts w:asciiTheme="minorHAnsi" w:hAnsiTheme="minorHAnsi" w:cstheme="minorHAnsi"/>
          <w:color w:val="auto"/>
          <w:sz w:val="20"/>
          <w:szCs w:val="20"/>
        </w:rPr>
        <w:t>and</w:t>
      </w:r>
      <w:r w:rsidRPr="0042006A">
        <w:rPr>
          <w:rFonts w:asciiTheme="minorHAnsi" w:hAnsiTheme="minorHAnsi" w:cstheme="minorHAnsi"/>
          <w:color w:val="auto"/>
          <w:sz w:val="20"/>
          <w:szCs w:val="20"/>
        </w:rPr>
        <w:t xml:space="preserve"> a power for the Safety Director to require </w:t>
      </w:r>
      <w:r w:rsidR="00A371F7">
        <w:rPr>
          <w:rFonts w:asciiTheme="minorHAnsi" w:hAnsiTheme="minorHAnsi" w:cstheme="minorHAnsi"/>
          <w:color w:val="auto"/>
          <w:sz w:val="20"/>
          <w:szCs w:val="20"/>
        </w:rPr>
        <w:t>any operator to conduct additional inspections if the Safety Director considers it appropriate to do so based on a risk assessment of that operator</w:t>
      </w:r>
      <w:r w:rsidRPr="0042006A">
        <w:rPr>
          <w:rFonts w:asciiTheme="minorHAnsi" w:hAnsiTheme="minorHAnsi" w:cstheme="minorHAnsi"/>
          <w:color w:val="auto"/>
          <w:sz w:val="20"/>
          <w:szCs w:val="20"/>
        </w:rPr>
        <w:t xml:space="preserve">. </w:t>
      </w:r>
    </w:p>
    <w:p w14:paraId="1661AB59" w14:textId="53B69776" w:rsidR="007372F2" w:rsidRDefault="007372F2" w:rsidP="00955D86">
      <w:pPr>
        <w:rPr>
          <w:iCs/>
        </w:rPr>
      </w:pPr>
      <w:r>
        <w:rPr>
          <w:iCs/>
        </w:rPr>
        <w:t>B</w:t>
      </w:r>
      <w:r w:rsidR="00955D86">
        <w:rPr>
          <w:iCs/>
        </w:rPr>
        <w:t>oth options</w:t>
      </w:r>
      <w:r>
        <w:rPr>
          <w:iCs/>
        </w:rPr>
        <w:t xml:space="preserve"> would require (status quo):</w:t>
      </w:r>
    </w:p>
    <w:p w14:paraId="601437D4" w14:textId="2DF66C0C" w:rsidR="00BD52AF" w:rsidRDefault="00955D86" w:rsidP="00842F5A">
      <w:pPr>
        <w:pStyle w:val="ListParagraph"/>
        <w:numPr>
          <w:ilvl w:val="0"/>
          <w:numId w:val="25"/>
        </w:numPr>
        <w:rPr>
          <w:rFonts w:asciiTheme="minorHAnsi" w:hAnsiTheme="minorHAnsi" w:cstheme="minorHAnsi"/>
          <w:iCs/>
          <w:color w:val="auto"/>
          <w:sz w:val="20"/>
          <w:szCs w:val="20"/>
        </w:rPr>
      </w:pPr>
      <w:r w:rsidRPr="0069196B">
        <w:rPr>
          <w:rFonts w:asciiTheme="minorHAnsi" w:hAnsiTheme="minorHAnsi" w:cstheme="minorHAnsi"/>
          <w:iCs/>
          <w:color w:val="auto"/>
          <w:sz w:val="20"/>
          <w:szCs w:val="20"/>
        </w:rPr>
        <w:t xml:space="preserve">buses </w:t>
      </w:r>
      <w:r w:rsidR="002B7920" w:rsidRPr="0069196B">
        <w:rPr>
          <w:rFonts w:asciiTheme="minorHAnsi" w:hAnsiTheme="minorHAnsi" w:cstheme="minorHAnsi"/>
          <w:iCs/>
          <w:color w:val="auto"/>
          <w:sz w:val="20"/>
          <w:szCs w:val="20"/>
        </w:rPr>
        <w:t xml:space="preserve">to </w:t>
      </w:r>
      <w:r w:rsidRPr="0069196B">
        <w:rPr>
          <w:rFonts w:asciiTheme="minorHAnsi" w:hAnsiTheme="minorHAnsi" w:cstheme="minorHAnsi"/>
          <w:iCs/>
          <w:color w:val="auto"/>
          <w:sz w:val="20"/>
          <w:szCs w:val="20"/>
        </w:rPr>
        <w:t>be inspected by a Licensed Bus Tester (LBT)</w:t>
      </w:r>
    </w:p>
    <w:p w14:paraId="0E5B696E" w14:textId="22C5F73D" w:rsidR="00955D86" w:rsidRPr="0069196B" w:rsidRDefault="00BD52AF" w:rsidP="00842F5A">
      <w:pPr>
        <w:pStyle w:val="ListParagraph"/>
        <w:numPr>
          <w:ilvl w:val="0"/>
          <w:numId w:val="25"/>
        </w:numPr>
        <w:rPr>
          <w:rFonts w:asciiTheme="minorHAnsi" w:hAnsiTheme="minorHAnsi" w:cstheme="minorHAnsi"/>
          <w:iCs/>
          <w:color w:val="auto"/>
          <w:sz w:val="20"/>
          <w:szCs w:val="20"/>
        </w:rPr>
      </w:pPr>
      <w:r>
        <w:rPr>
          <w:rFonts w:asciiTheme="minorHAnsi" w:hAnsiTheme="minorHAnsi" w:cstheme="minorHAnsi"/>
          <w:iCs/>
          <w:color w:val="auto"/>
          <w:sz w:val="20"/>
          <w:szCs w:val="20"/>
        </w:rPr>
        <w:t>buses to be inspected</w:t>
      </w:r>
      <w:r w:rsidR="00955D86" w:rsidRPr="0069196B">
        <w:rPr>
          <w:rFonts w:asciiTheme="minorHAnsi" w:hAnsiTheme="minorHAnsi" w:cstheme="minorHAnsi"/>
          <w:iCs/>
          <w:color w:val="auto"/>
          <w:sz w:val="20"/>
          <w:szCs w:val="20"/>
        </w:rPr>
        <w:t xml:space="preserve"> according to the vehicle </w:t>
      </w:r>
      <w:r w:rsidR="00955D86" w:rsidRPr="0069196B">
        <w:rPr>
          <w:rFonts w:asciiTheme="minorHAnsi" w:hAnsiTheme="minorHAnsi" w:cstheme="minorHAnsi"/>
          <w:color w:val="auto"/>
          <w:sz w:val="20"/>
          <w:szCs w:val="20"/>
        </w:rPr>
        <w:t>standards</w:t>
      </w:r>
      <w:r w:rsidR="00955D86" w:rsidRPr="0069196B">
        <w:rPr>
          <w:rFonts w:asciiTheme="minorHAnsi" w:hAnsiTheme="minorHAnsi" w:cstheme="minorHAnsi"/>
          <w:iCs/>
          <w:color w:val="auto"/>
          <w:sz w:val="20"/>
          <w:szCs w:val="20"/>
        </w:rPr>
        <w:t xml:space="preserve"> for buses in the Road Safety (Vehicles) Regulations (i</w:t>
      </w:r>
      <w:r w:rsidR="00164C91" w:rsidRPr="0069196B">
        <w:rPr>
          <w:rFonts w:asciiTheme="minorHAnsi" w:hAnsiTheme="minorHAnsi" w:cstheme="minorHAnsi"/>
          <w:iCs/>
          <w:color w:val="auto"/>
          <w:sz w:val="20"/>
          <w:szCs w:val="20"/>
        </w:rPr>
        <w:t>.</w:t>
      </w:r>
      <w:r w:rsidR="00955D86" w:rsidRPr="0069196B">
        <w:rPr>
          <w:rFonts w:asciiTheme="minorHAnsi" w:hAnsiTheme="minorHAnsi" w:cstheme="minorHAnsi"/>
          <w:iCs/>
          <w:color w:val="auto"/>
          <w:sz w:val="20"/>
          <w:szCs w:val="20"/>
        </w:rPr>
        <w:t>e</w:t>
      </w:r>
      <w:r w:rsidR="00164C91" w:rsidRPr="0069196B">
        <w:rPr>
          <w:rFonts w:asciiTheme="minorHAnsi" w:hAnsiTheme="minorHAnsi" w:cstheme="minorHAnsi"/>
          <w:iCs/>
          <w:color w:val="auto"/>
          <w:sz w:val="20"/>
          <w:szCs w:val="20"/>
        </w:rPr>
        <w:t>.</w:t>
      </w:r>
      <w:r w:rsidR="00955D86" w:rsidRPr="0069196B">
        <w:rPr>
          <w:rFonts w:asciiTheme="minorHAnsi" w:hAnsiTheme="minorHAnsi" w:cstheme="minorHAnsi"/>
          <w:iCs/>
          <w:color w:val="auto"/>
          <w:sz w:val="20"/>
          <w:szCs w:val="20"/>
        </w:rPr>
        <w:t xml:space="preserve"> equivalent to a roadworthy inspection) and any additional requirements under the Bus Safety Act.</w:t>
      </w:r>
    </w:p>
    <w:p w14:paraId="678F07D2" w14:textId="77777777" w:rsidR="00E029B1" w:rsidRPr="001C2DC0" w:rsidRDefault="00E029B1" w:rsidP="0095677C">
      <w:pPr>
        <w:pStyle w:val="Heading5"/>
      </w:pPr>
      <w:r w:rsidRPr="001C2DC0">
        <w:t>Expected benefits</w:t>
      </w:r>
    </w:p>
    <w:p w14:paraId="5DF7B968" w14:textId="06FF1322" w:rsidR="00DD1432" w:rsidRDefault="00E029B1" w:rsidP="00E029B1">
      <w:r w:rsidRPr="00D1332F">
        <w:t xml:space="preserve">The mechanical condition of the bus fleet is </w:t>
      </w:r>
      <w:r>
        <w:t xml:space="preserve">a significant contributor to bus safety. </w:t>
      </w:r>
      <w:r w:rsidRPr="00D1332F">
        <w:t xml:space="preserve">Regular inspections by a qualified, independent party are widely seen as an important and effective means of </w:t>
      </w:r>
      <w:r w:rsidR="00A073C3">
        <w:t>identifying</w:t>
      </w:r>
      <w:r w:rsidRPr="00D1332F">
        <w:t xml:space="preserve"> mechanical faults</w:t>
      </w:r>
      <w:r w:rsidR="00A073C3">
        <w:t xml:space="preserve">, defects and failures in a vehicle. </w:t>
      </w:r>
      <w:r w:rsidR="00DD1432">
        <w:t xml:space="preserve">Once identified and rectified, DoT expects there would be lower rates of fatalities and serious injuries </w:t>
      </w:r>
      <w:r w:rsidR="00F8371F">
        <w:t>with the proposed regulations.</w:t>
      </w:r>
    </w:p>
    <w:p w14:paraId="752BF135" w14:textId="13F04FC6" w:rsidR="00E029B1" w:rsidRDefault="00E029B1" w:rsidP="00E029B1">
      <w:r w:rsidRPr="002E6314">
        <w:t>From</w:t>
      </w:r>
      <w:r w:rsidRPr="0083550B">
        <w:t xml:space="preserve"> </w:t>
      </w:r>
      <w:r w:rsidR="00144C19" w:rsidRPr="0083550B">
        <w:rPr>
          <w:highlight w:val="yellow"/>
        </w:rPr>
        <w:fldChar w:fldCharType="begin"/>
      </w:r>
      <w:r w:rsidR="00144C19" w:rsidRPr="003E3C1E">
        <w:instrText xml:space="preserve"> REF _Ref24967234 \h </w:instrText>
      </w:r>
      <w:r w:rsidR="00144C19" w:rsidRPr="003E3C1E">
        <w:rPr>
          <w:highlight w:val="yellow"/>
        </w:rPr>
        <w:instrText xml:space="preserve"> \* MERGEFORMAT </w:instrText>
      </w:r>
      <w:r w:rsidR="00144C19" w:rsidRPr="0083550B">
        <w:rPr>
          <w:highlight w:val="yellow"/>
        </w:rPr>
      </w:r>
      <w:r w:rsidR="00144C19" w:rsidRPr="0083550B">
        <w:rPr>
          <w:highlight w:val="yellow"/>
        </w:rPr>
        <w:fldChar w:fldCharType="separate"/>
      </w:r>
      <w:r w:rsidR="00277F6E" w:rsidRPr="00277F6E">
        <w:t>Table 3</w:t>
      </w:r>
      <w:r w:rsidR="00277F6E" w:rsidRPr="00277F6E">
        <w:noBreakHyphen/>
        <w:t>2</w:t>
      </w:r>
      <w:r w:rsidR="00144C19" w:rsidRPr="0083550B">
        <w:rPr>
          <w:highlight w:val="yellow"/>
        </w:rPr>
        <w:fldChar w:fldCharType="end"/>
      </w:r>
      <w:r>
        <w:t xml:space="preserve"> it can be seen incidents relating to the condition of a vehicle (i.e. mechanical failures and fires) make up only a small proportion of all bus safety incidents (just under seven per cent of total incidents), this may suggest </w:t>
      </w:r>
      <w:r w:rsidR="00DD1432">
        <w:t>that the current regime of inspection</w:t>
      </w:r>
      <w:r w:rsidR="00053032">
        <w:t>s</w:t>
      </w:r>
      <w:r w:rsidR="00DD1432">
        <w:t xml:space="preserve"> is somewhat </w:t>
      </w:r>
      <w:r>
        <w:t>e</w:t>
      </w:r>
      <w:r w:rsidRPr="00D1332F">
        <w:t>ffective in ensuring that high standards are achieved with regard to this particular aspect of bus safety.</w:t>
      </w:r>
    </w:p>
    <w:p w14:paraId="7E841A2A" w14:textId="1FAAA599" w:rsidR="00E029B1" w:rsidRPr="003F564B" w:rsidRDefault="00E029B1" w:rsidP="00E029B1">
      <w:pPr>
        <w:rPr>
          <w:iCs/>
        </w:rPr>
      </w:pPr>
      <w:r>
        <w:t xml:space="preserve">The benefits of </w:t>
      </w:r>
      <w:r w:rsidR="007625B9">
        <w:t xml:space="preserve">roadworthy vehicle </w:t>
      </w:r>
      <w:r>
        <w:t xml:space="preserve">inspections are the avoided costs of mechanical failures. It is important to note that the number of mechanical </w:t>
      </w:r>
      <w:r w:rsidR="00067EB3">
        <w:t xml:space="preserve">failure </w:t>
      </w:r>
      <w:r>
        <w:t>incidents currently observed still occurs even with the inspections (and MMS) regime in place. This means that without a</w:t>
      </w:r>
      <w:r w:rsidR="00900E77">
        <w:t xml:space="preserve"> roadworthy</w:t>
      </w:r>
      <w:r>
        <w:t xml:space="preserve"> inspections regime the </w:t>
      </w:r>
      <w:r w:rsidR="00067EB3">
        <w:t xml:space="preserve">number of </w:t>
      </w:r>
      <w:r>
        <w:t>incidents may be higher.</w:t>
      </w:r>
      <w:r w:rsidR="00BD2241">
        <w:t xml:space="preserve"> Given these considerations, DoT expects the impact </w:t>
      </w:r>
      <w:r w:rsidR="0099369D">
        <w:t xml:space="preserve">of roadworthy </w:t>
      </w:r>
      <w:r w:rsidR="001F29AA">
        <w:t>inspections</w:t>
      </w:r>
      <w:r w:rsidR="0099369D">
        <w:t xml:space="preserve"> </w:t>
      </w:r>
      <w:r w:rsidR="00BD2241">
        <w:t xml:space="preserve">on reducing bus safety incidents relating to mechanical failures, as well as minimising the incidence of fatalities or serious injuries, is moderate to high. </w:t>
      </w:r>
    </w:p>
    <w:p w14:paraId="7DAE378A" w14:textId="77777777" w:rsidR="00DB1ACA" w:rsidRPr="001C2DC0" w:rsidRDefault="00DB1ACA" w:rsidP="0095677C">
      <w:pPr>
        <w:pStyle w:val="Heading5"/>
      </w:pPr>
      <w:r w:rsidRPr="001C2DC0">
        <w:t>Expected costs</w:t>
      </w:r>
    </w:p>
    <w:p w14:paraId="76A32EE1" w14:textId="7E748CA6" w:rsidR="003C6053" w:rsidRPr="00633E6B" w:rsidRDefault="003C6053" w:rsidP="003C6053">
      <w:pPr>
        <w:rPr>
          <w:i/>
          <w:iCs/>
          <w:u w:val="single"/>
        </w:rPr>
      </w:pPr>
      <w:r w:rsidRPr="00633E6B">
        <w:rPr>
          <w:i/>
          <w:iCs/>
          <w:u w:val="single"/>
        </w:rPr>
        <w:t>Option 1</w:t>
      </w:r>
      <w:r w:rsidR="005D6135">
        <w:rPr>
          <w:i/>
          <w:iCs/>
          <w:u w:val="single"/>
        </w:rPr>
        <w:t xml:space="preserve"> (</w:t>
      </w:r>
      <w:r w:rsidR="00AD6F13">
        <w:rPr>
          <w:i/>
          <w:iCs/>
          <w:u w:val="single"/>
        </w:rPr>
        <w:t>s</w:t>
      </w:r>
      <w:r w:rsidR="005D6135">
        <w:rPr>
          <w:i/>
          <w:iCs/>
          <w:u w:val="single"/>
        </w:rPr>
        <w:t>tatus quo)</w:t>
      </w:r>
    </w:p>
    <w:p w14:paraId="6D4A6B2A" w14:textId="709F93AB" w:rsidR="003C6053" w:rsidRDefault="003C6053" w:rsidP="003C6053">
      <w:r w:rsidRPr="000777D0">
        <w:t>Option 1 effectively imposes a requirement on registered operators to have their buses</w:t>
      </w:r>
      <w:r w:rsidR="00C624E1">
        <w:t xml:space="preserve"> undergo a roadworthy</w:t>
      </w:r>
      <w:r w:rsidRPr="000777D0">
        <w:t xml:space="preserve"> inspect</w:t>
      </w:r>
      <w:r w:rsidR="00C624E1">
        <w:t>ion</w:t>
      </w:r>
      <w:r w:rsidRPr="000777D0">
        <w:t xml:space="preserve"> on an annual basis. </w:t>
      </w:r>
      <w:r w:rsidRPr="000946A0">
        <w:t xml:space="preserve">The base case is no </w:t>
      </w:r>
      <w:r w:rsidR="00B8177C">
        <w:t xml:space="preserve">roadworthy </w:t>
      </w:r>
      <w:r w:rsidRPr="000946A0">
        <w:t xml:space="preserve">inspection </w:t>
      </w:r>
      <w:r w:rsidR="00EF4507">
        <w:t>required</w:t>
      </w:r>
      <w:r w:rsidRPr="000946A0">
        <w:t xml:space="preserve"> to be undertaken for this cohort of bus</w:t>
      </w:r>
      <w:r>
        <w:t xml:space="preserve"> operators. </w:t>
      </w:r>
    </w:p>
    <w:p w14:paraId="5AFE2D28" w14:textId="648354EE" w:rsidR="003C6053" w:rsidRDefault="003C6053" w:rsidP="003C6053">
      <w:r>
        <w:lastRenderedPageBreak/>
        <w:t xml:space="preserve">As of 31 December 2019, there are </w:t>
      </w:r>
      <w:r w:rsidRPr="00F91F06">
        <w:t>6,058</w:t>
      </w:r>
      <w:r>
        <w:t xml:space="preserve"> active buses operated by registered operators. </w:t>
      </w:r>
      <w:r w:rsidR="00500531">
        <w:t>Under this option, t</w:t>
      </w:r>
      <w:r>
        <w:t xml:space="preserve">hese buses and any new buses introduced into a registered operator’s fleet of buses would need to </w:t>
      </w:r>
      <w:r w:rsidR="00500531">
        <w:t>undergo a roadworthy</w:t>
      </w:r>
      <w:r w:rsidR="00021CA5">
        <w:t xml:space="preserve"> </w:t>
      </w:r>
      <w:r w:rsidR="00500531">
        <w:t xml:space="preserve">inspection </w:t>
      </w:r>
      <w:r>
        <w:t xml:space="preserve">by a </w:t>
      </w:r>
      <w:r w:rsidR="007467ED">
        <w:t>licensed bus tester</w:t>
      </w:r>
      <w:r>
        <w:t xml:space="preserve">. Based on TSV data from 2016 to 2019, the average annual growth rate for new vehicles operated by registered operators is </w:t>
      </w:r>
      <w:r w:rsidRPr="00265772">
        <w:t>6 per cent</w:t>
      </w:r>
      <w:r>
        <w:t xml:space="preserve">. </w:t>
      </w:r>
    </w:p>
    <w:p w14:paraId="64173DF5" w14:textId="47A0567A" w:rsidR="003C6053" w:rsidRDefault="00EC1AB4" w:rsidP="00EA2774">
      <w:r>
        <w:t xml:space="preserve">DoT does not expect there to be significant opportunity cost of time for buses operated by registered </w:t>
      </w:r>
      <w:r w:rsidRPr="00EA2774">
        <w:t xml:space="preserve">operators </w:t>
      </w:r>
      <w:r w:rsidR="00034475">
        <w:t>when the vehicle is t</w:t>
      </w:r>
      <w:r>
        <w:t xml:space="preserve">aken out of the fleet to undergo a roadworthy inspection by an LBT. While most operators aim to </w:t>
      </w:r>
      <w:r w:rsidRPr="00EA2774">
        <w:t>maximise vehicle utilisation</w:t>
      </w:r>
      <w:r>
        <w:t>, the level of utilisation is highly dependent on the demand for the bus service.</w:t>
      </w:r>
      <w:r w:rsidRPr="00EA2774">
        <w:t xml:space="preserve"> </w:t>
      </w:r>
      <w:r>
        <w:t xml:space="preserve">Annual inspection requirements provide </w:t>
      </w:r>
      <w:r w:rsidR="00565511">
        <w:t>registered</w:t>
      </w:r>
      <w:r w:rsidR="00643BE9">
        <w:t xml:space="preserve"> operators </w:t>
      </w:r>
      <w:r>
        <w:t xml:space="preserve">a two-week window around </w:t>
      </w:r>
      <w:r w:rsidRPr="00EA2774">
        <w:t xml:space="preserve">the anniversary date </w:t>
      </w:r>
      <w:r>
        <w:t>in which to take their bus to undergo a roadworthy inspection (i.e. a roadworthy inspection cannot occur earlier than 7 days or later than 7 days after the fixed internal inspection date). This affords the registered operator flexibility within this two-week time period to have their bus inspected. T</w:t>
      </w:r>
      <w:r w:rsidRPr="00EA2774">
        <w:t>his reduce</w:t>
      </w:r>
      <w:r>
        <w:t>s</w:t>
      </w:r>
      <w:r w:rsidRPr="00EA2774">
        <w:t xml:space="preserve"> or minimises the impact of taking the vehicle out of operation to have the vehicle serviced</w:t>
      </w:r>
      <w:r>
        <w:t xml:space="preserve">, as there is an opportunity </w:t>
      </w:r>
      <w:r w:rsidR="00034475">
        <w:t>for the operator to</w:t>
      </w:r>
      <w:r>
        <w:t xml:space="preserve"> time the roadworthy inspection to coincide with </w:t>
      </w:r>
      <w:r w:rsidR="00034475">
        <w:t xml:space="preserve">a time when the vehicle </w:t>
      </w:r>
      <w:r w:rsidR="00323B3F">
        <w:t>would not be utilised anyway</w:t>
      </w:r>
      <w:r w:rsidRPr="00EA2774">
        <w:t xml:space="preserve">. </w:t>
      </w:r>
      <w:r w:rsidR="006A6DDB">
        <w:t>In addition, a</w:t>
      </w:r>
      <w:r>
        <w:t>s registered operators include community transport operators and not-profit service</w:t>
      </w:r>
      <w:r w:rsidR="00595F78">
        <w:t xml:space="preserve"> providers</w:t>
      </w:r>
      <w:r>
        <w:t xml:space="preserve">, </w:t>
      </w:r>
      <w:r w:rsidR="006A6DDB">
        <w:t xml:space="preserve">DoT does not expect there </w:t>
      </w:r>
      <w:r>
        <w:t xml:space="preserve">to be significant forgone revenue when a vehicle is taken out of the fleet to be inspected. </w:t>
      </w:r>
      <w:r w:rsidRPr="00EA2774">
        <w:t xml:space="preserve">Therefore, </w:t>
      </w:r>
      <w:r>
        <w:t xml:space="preserve">for the purposes of this RIS, </w:t>
      </w:r>
      <w:r w:rsidRPr="00EA2774">
        <w:t xml:space="preserve">the opportunity cost </w:t>
      </w:r>
      <w:r>
        <w:t xml:space="preserve">is </w:t>
      </w:r>
      <w:r w:rsidRPr="00EA2774">
        <w:t>not expected to be high</w:t>
      </w:r>
      <w:r w:rsidR="003D0B66">
        <w:t>.</w:t>
      </w:r>
      <w:r w:rsidR="003C6053">
        <w:t xml:space="preserve"> </w:t>
      </w:r>
    </w:p>
    <w:p w14:paraId="6AB0C574" w14:textId="17BE1B75" w:rsidR="003C6053" w:rsidRDefault="003C6053" w:rsidP="003C6053">
      <w:r>
        <w:t xml:space="preserve">Based on an analysis of market rates, DoT estimates the inspection fee by a licensed bus tester is </w:t>
      </w:r>
      <w:r w:rsidRPr="003E3C1E">
        <w:t>$300</w:t>
      </w:r>
      <w:r>
        <w:t xml:space="preserve"> per inspection. The assumptions used in the calculation of costs parameters are shown in </w:t>
      </w:r>
      <w:r w:rsidR="00D25E5A" w:rsidRPr="00E67108">
        <w:fldChar w:fldCharType="begin"/>
      </w:r>
      <w:r w:rsidR="00D25E5A" w:rsidRPr="00E67108">
        <w:instrText xml:space="preserve"> REF _Ref40089581 \h </w:instrText>
      </w:r>
      <w:r w:rsidR="00E67108" w:rsidRPr="00E67108">
        <w:instrText xml:space="preserve"> \* MERGEFORMAT </w:instrText>
      </w:r>
      <w:r w:rsidR="00D25E5A" w:rsidRPr="00E67108">
        <w:fldChar w:fldCharType="separate"/>
      </w:r>
      <w:r w:rsidR="00277F6E" w:rsidRPr="00277F6E">
        <w:t xml:space="preserve">Table </w:t>
      </w:r>
      <w:r w:rsidR="00277F6E" w:rsidRPr="00277F6E">
        <w:rPr>
          <w:noProof/>
        </w:rPr>
        <w:t>7</w:t>
      </w:r>
      <w:r w:rsidR="00277F6E" w:rsidRPr="00277F6E">
        <w:rPr>
          <w:noProof/>
        </w:rPr>
        <w:noBreakHyphen/>
        <w:t>7</w:t>
      </w:r>
      <w:r w:rsidR="00D25E5A" w:rsidRPr="00E67108">
        <w:fldChar w:fldCharType="end"/>
      </w:r>
      <w:r w:rsidRPr="003E3C1E">
        <w:t>.</w:t>
      </w:r>
    </w:p>
    <w:p w14:paraId="1A93F119" w14:textId="02B41EAA" w:rsidR="003C6053" w:rsidRPr="003C6EEF" w:rsidRDefault="003C6053" w:rsidP="007620AA">
      <w:pPr>
        <w:pStyle w:val="Caption"/>
        <w:keepNext/>
        <w:spacing w:after="60"/>
        <w:rPr>
          <w:b/>
          <w:bCs/>
          <w:i w:val="0"/>
          <w:iCs w:val="0"/>
        </w:rPr>
      </w:pPr>
      <w:bookmarkStart w:id="646" w:name="_Ref40089581"/>
      <w:bookmarkStart w:id="647" w:name="_Toc44437379"/>
      <w:bookmarkStart w:id="648" w:name="_Toc44597450"/>
      <w:bookmarkStart w:id="649" w:name="_Toc44597514"/>
      <w:bookmarkStart w:id="650" w:name="_Toc44600084"/>
      <w:bookmarkStart w:id="651" w:name="_Toc44600539"/>
      <w:bookmarkStart w:id="652" w:name="_Toc44600706"/>
      <w:bookmarkStart w:id="653" w:name="_Toc44601203"/>
      <w:bookmarkStart w:id="654" w:name="_Toc44601256"/>
      <w:bookmarkStart w:id="655" w:name="_Toc44603404"/>
      <w:bookmarkStart w:id="656" w:name="_Toc45704452"/>
      <w:r w:rsidRPr="003E3C1E">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7</w:t>
      </w:r>
      <w:r w:rsidR="00D2483C">
        <w:rPr>
          <w:b/>
          <w:i w:val="0"/>
        </w:rPr>
        <w:fldChar w:fldCharType="end"/>
      </w:r>
      <w:bookmarkEnd w:id="646"/>
      <w:r w:rsidRPr="003E3C1E">
        <w:rPr>
          <w:b/>
          <w:i w:val="0"/>
        </w:rPr>
        <w:t xml:space="preserve">: </w:t>
      </w:r>
      <w:r w:rsidRPr="007620AA">
        <w:rPr>
          <w:b/>
          <w:bCs/>
          <w:i w:val="0"/>
          <w:iCs w:val="0"/>
        </w:rPr>
        <w:t>Inspection</w:t>
      </w:r>
      <w:r w:rsidRPr="003E3C1E">
        <w:rPr>
          <w:b/>
          <w:i w:val="0"/>
        </w:rPr>
        <w:t xml:space="preserve"> cost parameters for buses operated by registered operators</w:t>
      </w:r>
      <w:bookmarkEnd w:id="647"/>
      <w:bookmarkEnd w:id="648"/>
      <w:bookmarkEnd w:id="649"/>
      <w:bookmarkEnd w:id="650"/>
      <w:bookmarkEnd w:id="651"/>
      <w:bookmarkEnd w:id="652"/>
      <w:bookmarkEnd w:id="653"/>
      <w:bookmarkEnd w:id="654"/>
      <w:bookmarkEnd w:id="655"/>
      <w:bookmarkEnd w:id="656"/>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53"/>
        <w:gridCol w:w="2254"/>
        <w:gridCol w:w="2254"/>
        <w:gridCol w:w="2254"/>
      </w:tblGrid>
      <w:tr w:rsidR="00EA2774" w:rsidRPr="005B6578" w14:paraId="1A46C735" w14:textId="77777777" w:rsidTr="008D6034">
        <w:trPr>
          <w:cantSplit/>
        </w:trPr>
        <w:tc>
          <w:tcPr>
            <w:tcW w:w="1841" w:type="dxa"/>
            <w:shd w:val="clear" w:color="auto" w:fill="D6ECED"/>
          </w:tcPr>
          <w:p w14:paraId="38950C85" w14:textId="77777777" w:rsidR="00EA2774" w:rsidRPr="005B6578" w:rsidRDefault="00EA2774" w:rsidP="008D6034">
            <w:pPr>
              <w:keepNext/>
              <w:spacing w:before="60" w:after="60"/>
              <w:jc w:val="center"/>
              <w:rPr>
                <w:b/>
                <w:bCs/>
                <w:sz w:val="18"/>
              </w:rPr>
            </w:pPr>
            <w:r w:rsidRPr="005B6578">
              <w:rPr>
                <w:b/>
                <w:bCs/>
                <w:sz w:val="18"/>
              </w:rPr>
              <w:t>Operator type</w:t>
            </w:r>
          </w:p>
        </w:tc>
        <w:tc>
          <w:tcPr>
            <w:tcW w:w="1842" w:type="dxa"/>
            <w:shd w:val="clear" w:color="auto" w:fill="D6ECED"/>
          </w:tcPr>
          <w:p w14:paraId="490E2C3F" w14:textId="77777777" w:rsidR="00EA2774" w:rsidRPr="005B6578" w:rsidRDefault="00EA2774" w:rsidP="008D6034">
            <w:pPr>
              <w:keepNext/>
              <w:spacing w:before="60" w:after="60"/>
              <w:jc w:val="center"/>
              <w:rPr>
                <w:b/>
                <w:bCs/>
                <w:sz w:val="18"/>
              </w:rPr>
            </w:pPr>
            <w:r w:rsidRPr="005B6578">
              <w:rPr>
                <w:b/>
                <w:bCs/>
                <w:sz w:val="18"/>
              </w:rPr>
              <w:t xml:space="preserve">Number of buses as at 31 December 2019 </w:t>
            </w:r>
          </w:p>
        </w:tc>
        <w:tc>
          <w:tcPr>
            <w:tcW w:w="1842" w:type="dxa"/>
            <w:shd w:val="clear" w:color="auto" w:fill="D6ECED"/>
          </w:tcPr>
          <w:p w14:paraId="3FC4563C" w14:textId="77777777" w:rsidR="00EA2774" w:rsidRPr="005B6578" w:rsidRDefault="00EA2774" w:rsidP="008D6034">
            <w:pPr>
              <w:keepNext/>
              <w:spacing w:before="60" w:after="60"/>
              <w:jc w:val="center"/>
              <w:rPr>
                <w:b/>
                <w:bCs/>
                <w:sz w:val="18"/>
              </w:rPr>
            </w:pPr>
            <w:r w:rsidRPr="005B6578">
              <w:rPr>
                <w:b/>
                <w:bCs/>
                <w:sz w:val="18"/>
              </w:rPr>
              <w:t xml:space="preserve">Annual growth rate of </w:t>
            </w:r>
            <w:r>
              <w:rPr>
                <w:b/>
                <w:bCs/>
                <w:sz w:val="18"/>
              </w:rPr>
              <w:t xml:space="preserve">registered </w:t>
            </w:r>
            <w:r w:rsidRPr="005B6578">
              <w:rPr>
                <w:b/>
                <w:bCs/>
                <w:sz w:val="18"/>
              </w:rPr>
              <w:t>buses</w:t>
            </w:r>
          </w:p>
        </w:tc>
        <w:tc>
          <w:tcPr>
            <w:tcW w:w="1842" w:type="dxa"/>
            <w:shd w:val="clear" w:color="auto" w:fill="D6ECED"/>
          </w:tcPr>
          <w:p w14:paraId="60DD0647" w14:textId="77777777" w:rsidR="00EA2774" w:rsidRPr="005B6578" w:rsidRDefault="00EA2774" w:rsidP="008D6034">
            <w:pPr>
              <w:keepNext/>
              <w:spacing w:before="60" w:after="60"/>
              <w:jc w:val="center"/>
              <w:rPr>
                <w:b/>
                <w:bCs/>
                <w:sz w:val="18"/>
              </w:rPr>
            </w:pPr>
            <w:r>
              <w:rPr>
                <w:b/>
                <w:bCs/>
                <w:sz w:val="18"/>
              </w:rPr>
              <w:t>Other</w:t>
            </w:r>
            <w:r w:rsidRPr="005B6578">
              <w:rPr>
                <w:b/>
                <w:bCs/>
                <w:sz w:val="18"/>
              </w:rPr>
              <w:t xml:space="preserve"> cost</w:t>
            </w:r>
            <w:r>
              <w:rPr>
                <w:b/>
                <w:bCs/>
                <w:sz w:val="18"/>
              </w:rPr>
              <w:t>s</w:t>
            </w:r>
          </w:p>
        </w:tc>
      </w:tr>
      <w:tr w:rsidR="00EA2774" w:rsidRPr="005B6578" w14:paraId="7A419336" w14:textId="77777777" w:rsidTr="008D6034">
        <w:trPr>
          <w:cantSplit/>
        </w:trPr>
        <w:tc>
          <w:tcPr>
            <w:tcW w:w="1841" w:type="dxa"/>
            <w:vAlign w:val="center"/>
          </w:tcPr>
          <w:p w14:paraId="285507EF" w14:textId="77777777" w:rsidR="00EA2774" w:rsidRPr="005B6578" w:rsidRDefault="00EA2774" w:rsidP="008D6034">
            <w:pPr>
              <w:keepNext/>
              <w:spacing w:before="60" w:after="60"/>
              <w:jc w:val="center"/>
              <w:rPr>
                <w:sz w:val="18"/>
              </w:rPr>
            </w:pPr>
            <w:r>
              <w:rPr>
                <w:sz w:val="18"/>
              </w:rPr>
              <w:t>R</w:t>
            </w:r>
            <w:r w:rsidRPr="005B6578">
              <w:rPr>
                <w:sz w:val="18"/>
              </w:rPr>
              <w:t>egistered</w:t>
            </w:r>
          </w:p>
        </w:tc>
        <w:tc>
          <w:tcPr>
            <w:tcW w:w="1842" w:type="dxa"/>
            <w:vAlign w:val="center"/>
          </w:tcPr>
          <w:p w14:paraId="611E20D5" w14:textId="77777777" w:rsidR="00EA2774" w:rsidRPr="005B6578" w:rsidRDefault="00EA2774" w:rsidP="008D6034">
            <w:pPr>
              <w:keepNext/>
              <w:spacing w:before="60" w:after="60"/>
              <w:jc w:val="center"/>
              <w:rPr>
                <w:sz w:val="18"/>
              </w:rPr>
            </w:pPr>
            <w:r w:rsidRPr="005B6578">
              <w:rPr>
                <w:sz w:val="18"/>
              </w:rPr>
              <w:t>6,058</w:t>
            </w:r>
          </w:p>
        </w:tc>
        <w:tc>
          <w:tcPr>
            <w:tcW w:w="1842" w:type="dxa"/>
            <w:vAlign w:val="center"/>
          </w:tcPr>
          <w:p w14:paraId="5BDE7062" w14:textId="77777777" w:rsidR="00EA2774" w:rsidRPr="005B6578" w:rsidRDefault="00EA2774" w:rsidP="008D6034">
            <w:pPr>
              <w:keepNext/>
              <w:spacing w:before="60" w:after="60"/>
              <w:jc w:val="center"/>
              <w:rPr>
                <w:sz w:val="18"/>
              </w:rPr>
            </w:pPr>
            <w:r>
              <w:rPr>
                <w:sz w:val="18"/>
              </w:rPr>
              <w:t>6</w:t>
            </w:r>
            <w:r w:rsidRPr="005B6578">
              <w:rPr>
                <w:sz w:val="18"/>
              </w:rPr>
              <w:t>%</w:t>
            </w:r>
          </w:p>
        </w:tc>
        <w:tc>
          <w:tcPr>
            <w:tcW w:w="1842" w:type="dxa"/>
            <w:vAlign w:val="center"/>
          </w:tcPr>
          <w:p w14:paraId="592BA40E" w14:textId="77777777" w:rsidR="00EA2774" w:rsidRPr="005B6578" w:rsidRDefault="00EA2774" w:rsidP="008D6034">
            <w:pPr>
              <w:keepNext/>
              <w:spacing w:before="60" w:after="60"/>
              <w:jc w:val="center"/>
              <w:rPr>
                <w:sz w:val="18"/>
              </w:rPr>
            </w:pPr>
            <w:r w:rsidRPr="005B6578">
              <w:rPr>
                <w:sz w:val="18"/>
              </w:rPr>
              <w:t>$</w:t>
            </w:r>
            <w:r>
              <w:rPr>
                <w:sz w:val="18"/>
              </w:rPr>
              <w:t>300</w:t>
            </w:r>
          </w:p>
        </w:tc>
      </w:tr>
    </w:tbl>
    <w:p w14:paraId="24D34C2D" w14:textId="4F290FD0" w:rsidR="003C6053" w:rsidRPr="00A82456" w:rsidRDefault="003C6053" w:rsidP="003C6053">
      <w:r w:rsidRPr="00A82456">
        <w:t xml:space="preserve">Based on these assumptions, DoT estimates that that </w:t>
      </w:r>
      <w:r w:rsidR="00231FC1">
        <w:t>O</w:t>
      </w:r>
      <w:r w:rsidRPr="00A82456">
        <w:t xml:space="preserve">ption 1, which would require annual </w:t>
      </w:r>
      <w:r w:rsidR="0096141F">
        <w:t xml:space="preserve">roadworthy </w:t>
      </w:r>
      <w:r w:rsidRPr="00A82456">
        <w:t>inspections of buses operated by registered operators, would cost $</w:t>
      </w:r>
      <w:r w:rsidR="00F64898">
        <w:t>21</w:t>
      </w:r>
      <w:r w:rsidRPr="00A82456">
        <w:t xml:space="preserve"> million in </w:t>
      </w:r>
      <w:r w:rsidR="00336645">
        <w:t>NPV</w:t>
      </w:r>
      <w:r w:rsidRPr="00A82456">
        <w:t xml:space="preserve"> terms </w:t>
      </w:r>
      <w:r w:rsidR="0067593D">
        <w:t xml:space="preserve">(over 10 years) </w:t>
      </w:r>
      <w:r w:rsidRPr="00A82456">
        <w:t>and $</w:t>
      </w:r>
      <w:r w:rsidR="00F64898">
        <w:t>2.6</w:t>
      </w:r>
      <w:r w:rsidRPr="00A82456">
        <w:t xml:space="preserve"> million in EAC.</w:t>
      </w:r>
    </w:p>
    <w:p w14:paraId="591E2739" w14:textId="51574061" w:rsidR="003C6053" w:rsidRPr="005F6F92" w:rsidRDefault="003C6053" w:rsidP="007620AA">
      <w:pPr>
        <w:pStyle w:val="Caption"/>
        <w:keepNext/>
        <w:spacing w:after="60"/>
        <w:rPr>
          <w:b/>
          <w:i w:val="0"/>
        </w:rPr>
      </w:pPr>
      <w:bookmarkStart w:id="657" w:name="_Toc44437380"/>
      <w:bookmarkStart w:id="658" w:name="_Toc44597451"/>
      <w:bookmarkStart w:id="659" w:name="_Toc44597515"/>
      <w:bookmarkStart w:id="660" w:name="_Toc44600085"/>
      <w:bookmarkStart w:id="661" w:name="_Toc44600540"/>
      <w:bookmarkStart w:id="662" w:name="_Toc44600707"/>
      <w:bookmarkStart w:id="663" w:name="_Toc44601204"/>
      <w:bookmarkStart w:id="664" w:name="_Toc44601257"/>
      <w:bookmarkStart w:id="665" w:name="_Toc44603405"/>
      <w:bookmarkStart w:id="666" w:name="_Toc45704453"/>
      <w:r w:rsidRPr="005F6F92">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8</w:t>
      </w:r>
      <w:r w:rsidR="00D2483C">
        <w:rPr>
          <w:b/>
          <w:i w:val="0"/>
        </w:rPr>
        <w:fldChar w:fldCharType="end"/>
      </w:r>
      <w:r w:rsidRPr="005F6F92">
        <w:rPr>
          <w:b/>
          <w:i w:val="0"/>
        </w:rPr>
        <w:t xml:space="preserve">: NPV and </w:t>
      </w:r>
      <w:r w:rsidRPr="007620AA">
        <w:rPr>
          <w:b/>
          <w:bCs/>
          <w:i w:val="0"/>
          <w:iCs w:val="0"/>
        </w:rPr>
        <w:t>EAC</w:t>
      </w:r>
      <w:r w:rsidRPr="005F6F92">
        <w:rPr>
          <w:b/>
          <w:i w:val="0"/>
        </w:rPr>
        <w:t xml:space="preserve"> for annual inspections </w:t>
      </w:r>
      <w:r w:rsidR="00B00CF5">
        <w:rPr>
          <w:b/>
          <w:i w:val="0"/>
        </w:rPr>
        <w:t>for buses operated</w:t>
      </w:r>
      <w:r w:rsidR="00B00CF5" w:rsidRPr="005F6F92">
        <w:rPr>
          <w:b/>
          <w:i w:val="0"/>
        </w:rPr>
        <w:t xml:space="preserve"> </w:t>
      </w:r>
      <w:r w:rsidRPr="005F6F92">
        <w:rPr>
          <w:b/>
          <w:i w:val="0"/>
        </w:rPr>
        <w:t>by registered buses operators</w:t>
      </w:r>
      <w:bookmarkEnd w:id="657"/>
      <w:bookmarkEnd w:id="658"/>
      <w:bookmarkEnd w:id="659"/>
      <w:bookmarkEnd w:id="660"/>
      <w:bookmarkEnd w:id="661"/>
      <w:bookmarkEnd w:id="662"/>
      <w:bookmarkEnd w:id="663"/>
      <w:bookmarkEnd w:id="664"/>
      <w:bookmarkEnd w:id="665"/>
      <w:bookmarkEnd w:id="666"/>
    </w:p>
    <w:tbl>
      <w:tblPr>
        <w:tblW w:w="6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7"/>
        <w:gridCol w:w="2052"/>
        <w:gridCol w:w="2052"/>
      </w:tblGrid>
      <w:tr w:rsidR="003C6053" w:rsidRPr="00F341D4" w14:paraId="2C4AAF20" w14:textId="77777777" w:rsidTr="008D6034">
        <w:trPr>
          <w:cantSplit/>
          <w:trHeight w:val="288"/>
        </w:trPr>
        <w:tc>
          <w:tcPr>
            <w:tcW w:w="2263" w:type="dxa"/>
            <w:shd w:val="clear" w:color="auto" w:fill="D6ECED"/>
            <w:noWrap/>
            <w:vAlign w:val="center"/>
            <w:hideMark/>
          </w:tcPr>
          <w:p w14:paraId="74D39D7B" w14:textId="77777777" w:rsidR="003C6053" w:rsidRPr="001D5182" w:rsidRDefault="003C6053" w:rsidP="008D6034">
            <w:pPr>
              <w:keepNext/>
              <w:spacing w:before="60" w:after="60"/>
              <w:jc w:val="center"/>
              <w:rPr>
                <w:b/>
                <w:bCs/>
                <w:sz w:val="18"/>
              </w:rPr>
            </w:pPr>
            <w:r w:rsidRPr="005B6578">
              <w:rPr>
                <w:b/>
                <w:bCs/>
                <w:sz w:val="18"/>
              </w:rPr>
              <w:t>Inspection</w:t>
            </w:r>
            <w:r>
              <w:rPr>
                <w:b/>
                <w:bCs/>
                <w:sz w:val="18"/>
              </w:rPr>
              <w:t xml:space="preserve"> frequency</w:t>
            </w:r>
          </w:p>
        </w:tc>
        <w:tc>
          <w:tcPr>
            <w:tcW w:w="1795" w:type="dxa"/>
            <w:shd w:val="clear" w:color="auto" w:fill="D6ECED"/>
            <w:noWrap/>
            <w:vAlign w:val="center"/>
            <w:hideMark/>
          </w:tcPr>
          <w:p w14:paraId="754D6779" w14:textId="5047A373" w:rsidR="003C6053" w:rsidRPr="00F341D4" w:rsidRDefault="003C6053" w:rsidP="008D6034">
            <w:pPr>
              <w:keepNext/>
              <w:spacing w:before="0" w:after="0"/>
              <w:jc w:val="center"/>
              <w:rPr>
                <w:b/>
                <w:bCs/>
                <w:sz w:val="18"/>
              </w:rPr>
            </w:pPr>
            <w:r w:rsidRPr="001D5182">
              <w:rPr>
                <w:b/>
                <w:bCs/>
                <w:sz w:val="18"/>
              </w:rPr>
              <w:t>NPV</w:t>
            </w:r>
          </w:p>
        </w:tc>
        <w:tc>
          <w:tcPr>
            <w:tcW w:w="1795" w:type="dxa"/>
            <w:shd w:val="clear" w:color="auto" w:fill="D6ECED"/>
            <w:vAlign w:val="center"/>
          </w:tcPr>
          <w:p w14:paraId="35878D76" w14:textId="77777777" w:rsidR="003C6053" w:rsidRPr="00F341D4" w:rsidRDefault="003C6053" w:rsidP="008D6034">
            <w:pPr>
              <w:keepNext/>
              <w:spacing w:before="0" w:after="0"/>
              <w:jc w:val="center"/>
              <w:rPr>
                <w:b/>
                <w:bCs/>
                <w:sz w:val="18"/>
              </w:rPr>
            </w:pPr>
            <w:r w:rsidRPr="001D5182">
              <w:rPr>
                <w:b/>
                <w:bCs/>
                <w:sz w:val="18"/>
              </w:rPr>
              <w:t>EAC</w:t>
            </w:r>
          </w:p>
        </w:tc>
      </w:tr>
      <w:tr w:rsidR="003C6053" w:rsidRPr="00FF6C07" w14:paraId="7A9BA2F4" w14:textId="77777777" w:rsidTr="008D6034">
        <w:trPr>
          <w:cantSplit/>
          <w:trHeight w:val="294"/>
        </w:trPr>
        <w:tc>
          <w:tcPr>
            <w:tcW w:w="2263" w:type="dxa"/>
            <w:shd w:val="clear" w:color="auto" w:fill="auto"/>
            <w:noWrap/>
            <w:vAlign w:val="center"/>
            <w:hideMark/>
          </w:tcPr>
          <w:p w14:paraId="482D2E80" w14:textId="77777777" w:rsidR="003C6053" w:rsidRPr="00A64165" w:rsidRDefault="003C6053" w:rsidP="008D6034">
            <w:pPr>
              <w:keepNext/>
              <w:spacing w:before="60" w:after="60"/>
              <w:jc w:val="center"/>
              <w:rPr>
                <w:sz w:val="18"/>
              </w:rPr>
            </w:pPr>
            <w:r w:rsidRPr="00A64165">
              <w:rPr>
                <w:sz w:val="18"/>
              </w:rPr>
              <w:t>Annual</w:t>
            </w:r>
          </w:p>
        </w:tc>
        <w:tc>
          <w:tcPr>
            <w:tcW w:w="1795" w:type="dxa"/>
            <w:shd w:val="clear" w:color="auto" w:fill="auto"/>
            <w:noWrap/>
            <w:vAlign w:val="center"/>
            <w:hideMark/>
          </w:tcPr>
          <w:p w14:paraId="085DB01B" w14:textId="1BADB31E" w:rsidR="003C6053" w:rsidRPr="001D5182" w:rsidRDefault="006F584F" w:rsidP="008D6034">
            <w:pPr>
              <w:keepNext/>
              <w:spacing w:before="60" w:after="60"/>
              <w:jc w:val="center"/>
              <w:rPr>
                <w:sz w:val="18"/>
              </w:rPr>
            </w:pPr>
            <w:r>
              <w:rPr>
                <w:sz w:val="18"/>
              </w:rPr>
              <w:t>$</w:t>
            </w:r>
            <w:r w:rsidR="0054707F">
              <w:rPr>
                <w:sz w:val="18"/>
              </w:rPr>
              <w:t>2</w:t>
            </w:r>
            <w:r w:rsidR="004D4411">
              <w:rPr>
                <w:sz w:val="18"/>
              </w:rPr>
              <w:t>1</w:t>
            </w:r>
            <w:r w:rsidR="002573AC">
              <w:rPr>
                <w:sz w:val="18"/>
              </w:rPr>
              <w:t>m</w:t>
            </w:r>
          </w:p>
        </w:tc>
        <w:tc>
          <w:tcPr>
            <w:tcW w:w="1795" w:type="dxa"/>
            <w:vAlign w:val="center"/>
          </w:tcPr>
          <w:p w14:paraId="0D39B9DA" w14:textId="762B40BF" w:rsidR="003C6053" w:rsidRPr="00FF6C07" w:rsidRDefault="0054707F" w:rsidP="008D6034">
            <w:pPr>
              <w:keepNext/>
              <w:spacing w:before="60" w:after="60"/>
              <w:jc w:val="center"/>
              <w:rPr>
                <w:sz w:val="18"/>
              </w:rPr>
            </w:pPr>
            <w:r>
              <w:rPr>
                <w:sz w:val="18"/>
              </w:rPr>
              <w:t>$2.</w:t>
            </w:r>
            <w:r w:rsidR="004D4411">
              <w:rPr>
                <w:sz w:val="18"/>
              </w:rPr>
              <w:t>6</w:t>
            </w:r>
            <w:r w:rsidR="002573AC">
              <w:rPr>
                <w:sz w:val="18"/>
              </w:rPr>
              <w:t>m</w:t>
            </w:r>
          </w:p>
        </w:tc>
      </w:tr>
    </w:tbl>
    <w:p w14:paraId="697DF269" w14:textId="77777777" w:rsidR="001477C4" w:rsidRPr="00D62B75" w:rsidRDefault="001477C4" w:rsidP="001477C4">
      <w:pPr>
        <w:rPr>
          <w:i/>
          <w:iCs/>
          <w:u w:val="single"/>
        </w:rPr>
      </w:pPr>
      <w:r w:rsidRPr="00D62B75">
        <w:rPr>
          <w:i/>
          <w:iCs/>
          <w:u w:val="single"/>
        </w:rPr>
        <w:t>Option 2</w:t>
      </w:r>
    </w:p>
    <w:p w14:paraId="1FC9A7D9" w14:textId="09554D11" w:rsidR="001477C4" w:rsidRPr="00A82456" w:rsidRDefault="001477C4" w:rsidP="001477C4">
      <w:r w:rsidRPr="00A82456">
        <w:t xml:space="preserve">Under </w:t>
      </w:r>
      <w:r w:rsidR="00E67108">
        <w:t>O</w:t>
      </w:r>
      <w:r w:rsidRPr="00A82456">
        <w:t xml:space="preserve">ption 2, TSV would have discretion to require more frequent </w:t>
      </w:r>
      <w:r w:rsidR="005B723B">
        <w:t xml:space="preserve">roadworthy </w:t>
      </w:r>
      <w:r w:rsidRPr="00A82456">
        <w:t xml:space="preserve">inspections if this is warranted based on an assessment of the risk profile of that operator. This would apply to both accredited bus operators and registered bus operators and would mean that an operator would be required to have a bus inspected at the frequency as directed. For example, this could mean biannually or quarterly. Since DoT has not conducted a full risk analysis of the bus operators and their fleet, the full impact of this option is unknown. The compliance costs attributable to this option, over and above that of </w:t>
      </w:r>
      <w:r w:rsidR="00E67108">
        <w:t>O</w:t>
      </w:r>
      <w:r w:rsidRPr="00A82456">
        <w:t xml:space="preserve">ption 1, will depend on: </w:t>
      </w:r>
    </w:p>
    <w:p w14:paraId="1638F36C" w14:textId="77777777" w:rsidR="001477C4" w:rsidRDefault="001477C4" w:rsidP="00842F5A">
      <w:pPr>
        <w:pStyle w:val="ListParagraph"/>
        <w:numPr>
          <w:ilvl w:val="0"/>
          <w:numId w:val="25"/>
        </w:numPr>
        <w:rPr>
          <w:rFonts w:asciiTheme="minorHAnsi" w:hAnsiTheme="minorHAnsi" w:cstheme="minorHAnsi"/>
          <w:color w:val="auto"/>
          <w:sz w:val="20"/>
          <w:szCs w:val="20"/>
        </w:rPr>
      </w:pPr>
      <w:r w:rsidRPr="000E64CA">
        <w:rPr>
          <w:rFonts w:asciiTheme="minorHAnsi" w:hAnsiTheme="minorHAnsi" w:cstheme="minorHAnsi"/>
          <w:color w:val="auto"/>
          <w:sz w:val="20"/>
          <w:szCs w:val="20"/>
        </w:rPr>
        <w:t xml:space="preserve">the number of operators required to have their vehicles </w:t>
      </w:r>
      <w:r>
        <w:rPr>
          <w:rFonts w:asciiTheme="minorHAnsi" w:hAnsiTheme="minorHAnsi" w:cstheme="minorHAnsi"/>
          <w:color w:val="auto"/>
          <w:sz w:val="20"/>
          <w:szCs w:val="20"/>
        </w:rPr>
        <w:t>inspected more frequently</w:t>
      </w:r>
    </w:p>
    <w:p w14:paraId="21DF2391" w14:textId="77777777" w:rsidR="001477C4" w:rsidRDefault="001477C4" w:rsidP="00842F5A">
      <w:pPr>
        <w:pStyle w:val="ListParagraph"/>
        <w:numPr>
          <w:ilvl w:val="0"/>
          <w:numId w:val="25"/>
        </w:numPr>
        <w:rPr>
          <w:rFonts w:asciiTheme="minorHAnsi" w:hAnsiTheme="minorHAnsi" w:cstheme="minorHAnsi"/>
          <w:color w:val="auto"/>
          <w:sz w:val="20"/>
          <w:szCs w:val="20"/>
        </w:rPr>
      </w:pPr>
      <w:r>
        <w:rPr>
          <w:rFonts w:asciiTheme="minorHAnsi" w:hAnsiTheme="minorHAnsi" w:cstheme="minorHAnsi"/>
          <w:color w:val="auto"/>
          <w:sz w:val="20"/>
          <w:szCs w:val="20"/>
        </w:rPr>
        <w:t>the frequency of inspections required, and</w:t>
      </w:r>
    </w:p>
    <w:p w14:paraId="08644766" w14:textId="77777777" w:rsidR="001477C4" w:rsidRDefault="001477C4" w:rsidP="00842F5A">
      <w:pPr>
        <w:pStyle w:val="ListParagraph"/>
        <w:numPr>
          <w:ilvl w:val="0"/>
          <w:numId w:val="25"/>
        </w:numPr>
        <w:rPr>
          <w:rFonts w:asciiTheme="minorHAnsi" w:hAnsiTheme="minorHAnsi" w:cstheme="minorHAnsi"/>
          <w:color w:val="auto"/>
          <w:sz w:val="20"/>
          <w:szCs w:val="20"/>
        </w:rPr>
      </w:pPr>
      <w:r>
        <w:rPr>
          <w:rFonts w:asciiTheme="minorHAnsi" w:hAnsiTheme="minorHAnsi" w:cstheme="minorHAnsi"/>
          <w:color w:val="auto"/>
          <w:sz w:val="20"/>
          <w:szCs w:val="20"/>
        </w:rPr>
        <w:t>the duration of the period whereby operators are subject to more frequent inspections.</w:t>
      </w:r>
    </w:p>
    <w:p w14:paraId="0A13BFBE" w14:textId="53451118" w:rsidR="001477C4" w:rsidRDefault="001477C4" w:rsidP="001477C4">
      <w:pPr>
        <w:rPr>
          <w:rFonts w:cstheme="minorHAnsi"/>
          <w:color w:val="auto"/>
          <w:szCs w:val="20"/>
        </w:rPr>
      </w:pPr>
      <w:r>
        <w:rPr>
          <w:rFonts w:cstheme="minorHAnsi"/>
          <w:color w:val="auto"/>
          <w:szCs w:val="20"/>
        </w:rPr>
        <w:t xml:space="preserve">DoT has estimated the compliance costs of an inspection as approximately </w:t>
      </w:r>
      <w:r w:rsidR="00F64898">
        <w:rPr>
          <w:rFonts w:cstheme="minorHAnsi"/>
          <w:color w:val="auto"/>
          <w:szCs w:val="20"/>
        </w:rPr>
        <w:t>$300</w:t>
      </w:r>
      <w:r w:rsidRPr="00F64898">
        <w:rPr>
          <w:rFonts w:cstheme="minorHAnsi"/>
          <w:color w:val="auto"/>
          <w:szCs w:val="20"/>
        </w:rPr>
        <w:t xml:space="preserve"> per bus</w:t>
      </w:r>
      <w:r>
        <w:rPr>
          <w:rFonts w:cstheme="minorHAnsi"/>
          <w:color w:val="auto"/>
          <w:szCs w:val="20"/>
        </w:rPr>
        <w:t>. Therefore, the aggregated additional compliance costs will equal to the cost of inspected a bus multiplied by the number of buses required to undergo an additional</w:t>
      </w:r>
      <w:r w:rsidR="003A5451">
        <w:rPr>
          <w:rFonts w:cstheme="minorHAnsi"/>
          <w:color w:val="auto"/>
          <w:szCs w:val="20"/>
        </w:rPr>
        <w:t xml:space="preserve"> roadworthy</w:t>
      </w:r>
      <w:r>
        <w:rPr>
          <w:rFonts w:cstheme="minorHAnsi"/>
          <w:color w:val="auto"/>
          <w:szCs w:val="20"/>
        </w:rPr>
        <w:t xml:space="preserve"> inspection. </w:t>
      </w:r>
    </w:p>
    <w:p w14:paraId="3A19A7E7" w14:textId="277926E6" w:rsidR="005A6F1F" w:rsidRPr="001C2DC0" w:rsidRDefault="005A6F1F" w:rsidP="0095677C">
      <w:pPr>
        <w:pStyle w:val="Heading5"/>
      </w:pPr>
      <w:r w:rsidRPr="001C2DC0">
        <w:t>Summary</w:t>
      </w:r>
    </w:p>
    <w:p w14:paraId="6DD61CEB" w14:textId="6D225943" w:rsidR="005A6F1F" w:rsidRDefault="005A6F1F" w:rsidP="001477C4">
      <w:pPr>
        <w:rPr>
          <w:rFonts w:cstheme="minorHAnsi"/>
          <w:color w:val="auto"/>
          <w:szCs w:val="20"/>
        </w:rPr>
      </w:pPr>
      <w:r>
        <w:rPr>
          <w:rFonts w:cstheme="minorHAnsi"/>
          <w:color w:val="auto"/>
          <w:szCs w:val="20"/>
        </w:rPr>
        <w:t xml:space="preserve">DoT has estimated that an annual </w:t>
      </w:r>
      <w:r w:rsidR="00DD5E05">
        <w:rPr>
          <w:rFonts w:cstheme="minorHAnsi"/>
          <w:color w:val="auto"/>
          <w:szCs w:val="20"/>
        </w:rPr>
        <w:t xml:space="preserve">roadworthy </w:t>
      </w:r>
      <w:r>
        <w:rPr>
          <w:rFonts w:cstheme="minorHAnsi"/>
          <w:color w:val="auto"/>
          <w:szCs w:val="20"/>
        </w:rPr>
        <w:t xml:space="preserve">inspection regime </w:t>
      </w:r>
      <w:r w:rsidR="00BA137A">
        <w:rPr>
          <w:rFonts w:cstheme="minorHAnsi"/>
          <w:color w:val="auto"/>
          <w:szCs w:val="20"/>
        </w:rPr>
        <w:t>would impose $</w:t>
      </w:r>
      <w:r w:rsidR="001162C1">
        <w:rPr>
          <w:rFonts w:cstheme="minorHAnsi"/>
          <w:color w:val="auto"/>
          <w:szCs w:val="20"/>
        </w:rPr>
        <w:t>21</w:t>
      </w:r>
      <w:r w:rsidR="00BA137A">
        <w:rPr>
          <w:rFonts w:cstheme="minorHAnsi"/>
          <w:color w:val="auto"/>
          <w:szCs w:val="20"/>
        </w:rPr>
        <w:t xml:space="preserve"> million in compliance costs on registered operators</w:t>
      </w:r>
      <w:r w:rsidR="00C5255A">
        <w:rPr>
          <w:rFonts w:cstheme="minorHAnsi"/>
          <w:color w:val="auto"/>
          <w:szCs w:val="20"/>
        </w:rPr>
        <w:t xml:space="preserve"> over the life of the regulations. Approximately 6,000 buses would need to be inspected annually.</w:t>
      </w:r>
      <w:r w:rsidR="00F40E49">
        <w:rPr>
          <w:rFonts w:cstheme="minorHAnsi"/>
          <w:color w:val="auto"/>
          <w:szCs w:val="20"/>
        </w:rPr>
        <w:t xml:space="preserve"> DoT has also considered regulations which would permit the Safety Director to require additional</w:t>
      </w:r>
      <w:r w:rsidR="00AB55C9">
        <w:rPr>
          <w:rFonts w:cstheme="minorHAnsi"/>
          <w:color w:val="auto"/>
          <w:szCs w:val="20"/>
        </w:rPr>
        <w:t xml:space="preserve"> roadworthy</w:t>
      </w:r>
      <w:r w:rsidR="00F40E49">
        <w:rPr>
          <w:rFonts w:cstheme="minorHAnsi"/>
          <w:color w:val="auto"/>
          <w:szCs w:val="20"/>
        </w:rPr>
        <w:t xml:space="preserve"> inspections of an operator if</w:t>
      </w:r>
      <w:r w:rsidR="001E55B4">
        <w:rPr>
          <w:rFonts w:cstheme="minorHAnsi"/>
          <w:color w:val="auto"/>
          <w:szCs w:val="20"/>
        </w:rPr>
        <w:t>,</w:t>
      </w:r>
      <w:r w:rsidR="00F40E49">
        <w:rPr>
          <w:rFonts w:cstheme="minorHAnsi"/>
          <w:color w:val="auto"/>
          <w:szCs w:val="20"/>
        </w:rPr>
        <w:t xml:space="preserve"> based on an </w:t>
      </w:r>
      <w:r w:rsidR="00F40E49">
        <w:rPr>
          <w:rFonts w:cstheme="minorHAnsi"/>
          <w:color w:val="auto"/>
          <w:szCs w:val="20"/>
        </w:rPr>
        <w:lastRenderedPageBreak/>
        <w:t>assessment of risk</w:t>
      </w:r>
      <w:r w:rsidR="007E6CE2">
        <w:rPr>
          <w:rFonts w:cstheme="minorHAnsi"/>
          <w:color w:val="auto"/>
          <w:szCs w:val="20"/>
        </w:rPr>
        <w:t>, such additional inspections are warranted. While DoT is unable to quantify the additional compliance costs of this option (i</w:t>
      </w:r>
      <w:r w:rsidR="00E67108">
        <w:rPr>
          <w:rFonts w:cstheme="minorHAnsi"/>
          <w:color w:val="auto"/>
          <w:szCs w:val="20"/>
        </w:rPr>
        <w:t>.</w:t>
      </w:r>
      <w:r w:rsidR="007E6CE2">
        <w:rPr>
          <w:rFonts w:cstheme="minorHAnsi"/>
          <w:color w:val="auto"/>
          <w:szCs w:val="20"/>
        </w:rPr>
        <w:t xml:space="preserve">e. Option 2), additional costs are only incurred if the operator is identified as </w:t>
      </w:r>
      <w:r w:rsidR="00292FD7">
        <w:rPr>
          <w:rFonts w:cstheme="minorHAnsi"/>
          <w:color w:val="auto"/>
          <w:szCs w:val="20"/>
        </w:rPr>
        <w:t xml:space="preserve">operating unsafely. If an operator adequately maintains and repair their vehicles, then no additional costs will be incurred. </w:t>
      </w:r>
    </w:p>
    <w:p w14:paraId="6B34FBC1" w14:textId="0ED76C86" w:rsidR="007E6CE2" w:rsidRPr="003C6E39" w:rsidRDefault="007E6CE2" w:rsidP="001477C4">
      <w:pPr>
        <w:rPr>
          <w:rFonts w:cstheme="minorHAnsi"/>
          <w:color w:val="auto"/>
          <w:szCs w:val="20"/>
        </w:rPr>
      </w:pPr>
      <w:r>
        <w:rPr>
          <w:rFonts w:cstheme="minorHAnsi"/>
          <w:color w:val="auto"/>
          <w:szCs w:val="20"/>
        </w:rPr>
        <w:t xml:space="preserve">DoT does not have good data to estimate the likely benefits associated with a </w:t>
      </w:r>
      <w:r w:rsidR="00452908">
        <w:rPr>
          <w:rFonts w:cstheme="minorHAnsi"/>
          <w:color w:val="auto"/>
          <w:szCs w:val="20"/>
        </w:rPr>
        <w:t xml:space="preserve">roadworthy </w:t>
      </w:r>
      <w:r>
        <w:rPr>
          <w:rFonts w:cstheme="minorHAnsi"/>
          <w:color w:val="auto"/>
          <w:szCs w:val="20"/>
        </w:rPr>
        <w:t xml:space="preserve">inspection regime for registered operators. For this reason, DoT further considers </w:t>
      </w:r>
      <w:r w:rsidR="00365B7E">
        <w:rPr>
          <w:rFonts w:cstheme="minorHAnsi"/>
          <w:color w:val="auto"/>
          <w:szCs w:val="20"/>
        </w:rPr>
        <w:t xml:space="preserve">Option </w:t>
      </w:r>
      <w:r>
        <w:rPr>
          <w:rFonts w:cstheme="minorHAnsi"/>
          <w:color w:val="auto"/>
          <w:szCs w:val="20"/>
        </w:rPr>
        <w:t>1 using break-even analysis methodology</w:t>
      </w:r>
      <w:r w:rsidR="00C87DD0">
        <w:rPr>
          <w:rFonts w:cstheme="minorHAnsi"/>
          <w:color w:val="auto"/>
          <w:szCs w:val="20"/>
        </w:rPr>
        <w:t xml:space="preserve"> in </w:t>
      </w:r>
      <w:r w:rsidR="00EA6B6F">
        <w:rPr>
          <w:rFonts w:cstheme="minorHAnsi"/>
          <w:color w:val="auto"/>
          <w:szCs w:val="20"/>
        </w:rPr>
        <w:t>S</w:t>
      </w:r>
      <w:r w:rsidR="00C87DD0">
        <w:rPr>
          <w:rFonts w:cstheme="minorHAnsi"/>
          <w:color w:val="auto"/>
          <w:szCs w:val="20"/>
        </w:rPr>
        <w:t>ection</w:t>
      </w:r>
      <w:r w:rsidR="00EA6B6F">
        <w:rPr>
          <w:rFonts w:cstheme="minorHAnsi"/>
          <w:color w:val="auto"/>
          <w:szCs w:val="20"/>
        </w:rPr>
        <w:t xml:space="preserve"> </w:t>
      </w:r>
      <w:r w:rsidR="00EA6B6F">
        <w:rPr>
          <w:rFonts w:cstheme="minorHAnsi"/>
          <w:color w:val="auto"/>
          <w:szCs w:val="20"/>
        </w:rPr>
        <w:fldChar w:fldCharType="begin"/>
      </w:r>
      <w:r w:rsidR="00EA6B6F">
        <w:rPr>
          <w:rFonts w:cstheme="minorHAnsi"/>
          <w:color w:val="auto"/>
          <w:szCs w:val="20"/>
        </w:rPr>
        <w:instrText xml:space="preserve"> REF _Ref39916800 \r \h </w:instrText>
      </w:r>
      <w:r w:rsidR="00EA6B6F">
        <w:rPr>
          <w:rFonts w:cstheme="minorHAnsi"/>
          <w:color w:val="auto"/>
          <w:szCs w:val="20"/>
        </w:rPr>
      </w:r>
      <w:r w:rsidR="00EA6B6F">
        <w:rPr>
          <w:rFonts w:cstheme="minorHAnsi"/>
          <w:color w:val="auto"/>
          <w:szCs w:val="20"/>
        </w:rPr>
        <w:fldChar w:fldCharType="separate"/>
      </w:r>
      <w:r w:rsidR="00277F6E">
        <w:rPr>
          <w:rFonts w:cstheme="minorHAnsi"/>
          <w:color w:val="auto"/>
          <w:szCs w:val="20"/>
        </w:rPr>
        <w:t>7.1.2.3</w:t>
      </w:r>
      <w:r w:rsidR="00EA6B6F">
        <w:rPr>
          <w:rFonts w:cstheme="minorHAnsi"/>
          <w:color w:val="auto"/>
          <w:szCs w:val="20"/>
        </w:rPr>
        <w:fldChar w:fldCharType="end"/>
      </w:r>
      <w:r w:rsidR="00EA6B6F">
        <w:rPr>
          <w:rFonts w:cstheme="minorHAnsi"/>
          <w:color w:val="auto"/>
          <w:szCs w:val="20"/>
        </w:rPr>
        <w:t>.</w:t>
      </w:r>
    </w:p>
    <w:p w14:paraId="0146BC2B" w14:textId="51194446" w:rsidR="00F041F9" w:rsidRDefault="00947C7F" w:rsidP="0095677C">
      <w:pPr>
        <w:pStyle w:val="Heading4"/>
      </w:pPr>
      <w:bookmarkStart w:id="667" w:name="_Ref39916800"/>
      <w:r>
        <w:t>Break</w:t>
      </w:r>
      <w:r w:rsidR="00EA2774">
        <w:t>-e</w:t>
      </w:r>
      <w:r>
        <w:t>ven analysis</w:t>
      </w:r>
      <w:bookmarkEnd w:id="667"/>
    </w:p>
    <w:p w14:paraId="6A470949" w14:textId="68AEE657" w:rsidR="001874C2" w:rsidRDefault="00394169" w:rsidP="001874C2">
      <w:r>
        <w:t xml:space="preserve">The previous sections identified the expected benefits and calculated the expected costs of interventions relating to vehicle inspections (both in terms of mandatory annual </w:t>
      </w:r>
      <w:r w:rsidR="00C56BD0">
        <w:t xml:space="preserve">roadworthy </w:t>
      </w:r>
      <w:r>
        <w:t>inspections and implementing safety systems for vehicle maintenance).</w:t>
      </w:r>
      <w:r w:rsidR="00A80D3C">
        <w:t xml:space="preserve"> In order to assist in making recommendation</w:t>
      </w:r>
      <w:r w:rsidR="000A555E">
        <w:t>s</w:t>
      </w:r>
      <w:r w:rsidR="00A80D3C">
        <w:t xml:space="preserve"> on </w:t>
      </w:r>
      <w:r w:rsidR="000A555E">
        <w:t xml:space="preserve">the </w:t>
      </w:r>
      <w:r w:rsidR="00A80D3C">
        <w:t xml:space="preserve">proposed regulations, tools such </w:t>
      </w:r>
      <w:r w:rsidR="00FB3AF5">
        <w:t>as net present value or benefit-cost ratio can be used to determine whether an intervention should go ahead. A proposed intervention has merit if the intervention has a positive net present value (greater than zero), or if the benefit-cost ratio is greater than one.</w:t>
      </w:r>
      <w:r w:rsidR="001874C2" w:rsidRPr="001874C2">
        <w:t xml:space="preserve"> </w:t>
      </w:r>
      <w:r w:rsidR="001874C2">
        <w:t xml:space="preserve">However, since the efficacy of the policy intervention is not known, it is not possible to derive these estimates without making several strong assumptions. </w:t>
      </w:r>
    </w:p>
    <w:p w14:paraId="75224766" w14:textId="515D117D" w:rsidR="003B4A50" w:rsidRDefault="00304A4A" w:rsidP="0066302C">
      <w:r>
        <w:t>In order to assist decision making about the merits of the proposed regulation, a break-even analysis methodology can be used to complement the analysis.</w:t>
      </w:r>
      <w:r w:rsidR="00917B4E" w:rsidRPr="00917B4E">
        <w:t xml:space="preserve"> </w:t>
      </w:r>
      <w:r w:rsidR="00917B4E">
        <w:t>A break-even analysis provides an indication of the level of benefits the community would need to observe for the proposed intervention to ‘break</w:t>
      </w:r>
      <w:r w:rsidR="00EA2774">
        <w:t xml:space="preserve">  </w:t>
      </w:r>
      <w:r w:rsidR="00917B4E">
        <w:t xml:space="preserve">even’ (i.e. the benefits of the intervention would be equal to the costs of the intervention). In the case of the options being considered, specifically, </w:t>
      </w:r>
      <w:r w:rsidR="0055186A">
        <w:t>this involve</w:t>
      </w:r>
      <w:r w:rsidR="00C341DB">
        <w:t>s</w:t>
      </w:r>
      <w:r w:rsidR="0055186A">
        <w:t xml:space="preserve"> a consideration of </w:t>
      </w:r>
      <w:r w:rsidR="00917B4E">
        <w:t>how many fatalities and serious injuries would need to be avoided for the intervention to be worthwhile.</w:t>
      </w:r>
    </w:p>
    <w:p w14:paraId="055CDD64" w14:textId="6B83ABF9" w:rsidR="004B1249" w:rsidRDefault="004B1249" w:rsidP="0066302C">
      <w:r>
        <w:t>DoT estimates that the costs of interventions relating to</w:t>
      </w:r>
      <w:r w:rsidR="00EC2127">
        <w:t xml:space="preserve"> </w:t>
      </w:r>
      <w:r w:rsidR="00104258">
        <w:t xml:space="preserve">safety systems for vehicle maintenance for accredited bus operators and </w:t>
      </w:r>
      <w:r w:rsidR="00EC2127">
        <w:t xml:space="preserve">mandatory annual </w:t>
      </w:r>
      <w:r w:rsidR="00997528">
        <w:t xml:space="preserve">roadworthy </w:t>
      </w:r>
      <w:r w:rsidR="00EC2127">
        <w:t>inspections for buses of registered operators</w:t>
      </w:r>
      <w:r w:rsidR="00CC45A1">
        <w:t>, are as follows:</w:t>
      </w:r>
    </w:p>
    <w:p w14:paraId="78187575" w14:textId="63EAE8B1" w:rsidR="00CB6535" w:rsidRPr="000946A0" w:rsidRDefault="00B80424" w:rsidP="00842F5A">
      <w:pPr>
        <w:pStyle w:val="ListParagraph"/>
        <w:numPr>
          <w:ilvl w:val="0"/>
          <w:numId w:val="25"/>
        </w:numPr>
        <w:rPr>
          <w:rFonts w:asciiTheme="minorHAnsi" w:hAnsiTheme="minorHAnsi" w:cstheme="minorHAnsi"/>
          <w:color w:val="auto"/>
          <w:sz w:val="20"/>
          <w:szCs w:val="20"/>
        </w:rPr>
      </w:pPr>
      <w:r w:rsidRPr="000946A0">
        <w:rPr>
          <w:rFonts w:asciiTheme="minorHAnsi" w:hAnsiTheme="minorHAnsi" w:cstheme="minorHAnsi"/>
          <w:color w:val="auto"/>
          <w:sz w:val="20"/>
          <w:szCs w:val="20"/>
        </w:rPr>
        <w:t>$0.2</w:t>
      </w:r>
      <w:r w:rsidR="00DB12D8">
        <w:rPr>
          <w:rFonts w:asciiTheme="minorHAnsi" w:hAnsiTheme="minorHAnsi" w:cstheme="minorHAnsi"/>
          <w:color w:val="auto"/>
          <w:sz w:val="20"/>
          <w:szCs w:val="20"/>
        </w:rPr>
        <w:t>5</w:t>
      </w:r>
      <w:r w:rsidRPr="000946A0">
        <w:rPr>
          <w:rFonts w:asciiTheme="minorHAnsi" w:hAnsiTheme="minorHAnsi" w:cstheme="minorHAnsi"/>
          <w:color w:val="auto"/>
          <w:sz w:val="20"/>
          <w:szCs w:val="20"/>
        </w:rPr>
        <w:t>m</w:t>
      </w:r>
      <w:r w:rsidR="00D312B7" w:rsidRPr="000946A0">
        <w:rPr>
          <w:rFonts w:asciiTheme="minorHAnsi" w:hAnsiTheme="minorHAnsi" w:cstheme="minorHAnsi"/>
          <w:color w:val="auto"/>
          <w:sz w:val="20"/>
          <w:szCs w:val="20"/>
        </w:rPr>
        <w:t xml:space="preserve"> per annum to develop and review an MMS</w:t>
      </w:r>
      <w:r w:rsidR="00853974" w:rsidRPr="000946A0">
        <w:rPr>
          <w:rFonts w:asciiTheme="minorHAnsi" w:hAnsiTheme="minorHAnsi" w:cstheme="minorHAnsi"/>
          <w:color w:val="auto"/>
          <w:sz w:val="20"/>
          <w:szCs w:val="20"/>
        </w:rPr>
        <w:t xml:space="preserve"> </w:t>
      </w:r>
      <w:r w:rsidR="00853974">
        <w:rPr>
          <w:rFonts w:asciiTheme="minorHAnsi" w:hAnsiTheme="minorHAnsi" w:cstheme="minorHAnsi"/>
          <w:color w:val="auto"/>
          <w:sz w:val="20"/>
          <w:szCs w:val="20"/>
        </w:rPr>
        <w:t xml:space="preserve">and </w:t>
      </w:r>
      <w:r w:rsidR="00CB6535" w:rsidRPr="000946A0">
        <w:rPr>
          <w:rFonts w:asciiTheme="minorHAnsi" w:hAnsiTheme="minorHAnsi" w:cstheme="minorHAnsi"/>
          <w:color w:val="auto"/>
          <w:sz w:val="20"/>
          <w:szCs w:val="20"/>
        </w:rPr>
        <w:t>$7.</w:t>
      </w:r>
      <w:r w:rsidR="00A72D37">
        <w:rPr>
          <w:rFonts w:asciiTheme="minorHAnsi" w:hAnsiTheme="minorHAnsi" w:cstheme="minorHAnsi"/>
          <w:color w:val="auto"/>
          <w:sz w:val="20"/>
          <w:szCs w:val="20"/>
        </w:rPr>
        <w:t>69</w:t>
      </w:r>
      <w:r w:rsidR="00CB6535" w:rsidRPr="000946A0">
        <w:rPr>
          <w:rFonts w:asciiTheme="minorHAnsi" w:hAnsiTheme="minorHAnsi" w:cstheme="minorHAnsi"/>
          <w:color w:val="auto"/>
          <w:sz w:val="20"/>
          <w:szCs w:val="20"/>
        </w:rPr>
        <w:t>m to $</w:t>
      </w:r>
      <w:r w:rsidR="009A1E4A">
        <w:rPr>
          <w:rFonts w:asciiTheme="minorHAnsi" w:hAnsiTheme="minorHAnsi" w:cstheme="minorHAnsi"/>
          <w:color w:val="auto"/>
          <w:sz w:val="20"/>
          <w:szCs w:val="20"/>
        </w:rPr>
        <w:t>39.1</w:t>
      </w:r>
      <w:r w:rsidR="00CB6535" w:rsidRPr="000946A0">
        <w:rPr>
          <w:rFonts w:asciiTheme="minorHAnsi" w:hAnsiTheme="minorHAnsi" w:cstheme="minorHAnsi"/>
          <w:color w:val="auto"/>
          <w:sz w:val="20"/>
          <w:szCs w:val="20"/>
        </w:rPr>
        <w:t>m per annum to comply with an MMS</w:t>
      </w:r>
    </w:p>
    <w:p w14:paraId="3D026D8A" w14:textId="45EDC5E3" w:rsidR="00B80424" w:rsidRDefault="00B80424" w:rsidP="00842F5A">
      <w:pPr>
        <w:pStyle w:val="ListParagraph"/>
        <w:numPr>
          <w:ilvl w:val="0"/>
          <w:numId w:val="25"/>
        </w:numPr>
        <w:rPr>
          <w:rFonts w:asciiTheme="minorHAnsi" w:hAnsiTheme="minorHAnsi" w:cstheme="minorHAnsi"/>
          <w:color w:val="auto"/>
          <w:sz w:val="20"/>
          <w:szCs w:val="20"/>
        </w:rPr>
      </w:pPr>
      <w:r>
        <w:rPr>
          <w:rFonts w:asciiTheme="minorHAnsi" w:hAnsiTheme="minorHAnsi" w:cstheme="minorHAnsi"/>
          <w:color w:val="auto"/>
          <w:sz w:val="20"/>
          <w:szCs w:val="20"/>
        </w:rPr>
        <w:t>$</w:t>
      </w:r>
      <w:r w:rsidR="00E6445C">
        <w:rPr>
          <w:rFonts w:asciiTheme="minorHAnsi" w:hAnsiTheme="minorHAnsi" w:cstheme="minorHAnsi"/>
          <w:color w:val="auto"/>
          <w:sz w:val="20"/>
          <w:szCs w:val="20"/>
        </w:rPr>
        <w:t>2.6</w:t>
      </w:r>
      <w:r>
        <w:rPr>
          <w:rFonts w:asciiTheme="minorHAnsi" w:hAnsiTheme="minorHAnsi" w:cstheme="minorHAnsi"/>
          <w:color w:val="auto"/>
          <w:sz w:val="20"/>
          <w:szCs w:val="20"/>
        </w:rPr>
        <w:t>m</w:t>
      </w:r>
      <w:r w:rsidR="00C96451">
        <w:rPr>
          <w:rFonts w:asciiTheme="minorHAnsi" w:hAnsiTheme="minorHAnsi" w:cstheme="minorHAnsi"/>
          <w:color w:val="auto"/>
          <w:sz w:val="20"/>
          <w:szCs w:val="20"/>
        </w:rPr>
        <w:t xml:space="preserve"> per annum</w:t>
      </w:r>
      <w:r>
        <w:rPr>
          <w:rFonts w:asciiTheme="minorHAnsi" w:hAnsiTheme="minorHAnsi" w:cstheme="minorHAnsi"/>
          <w:color w:val="auto"/>
          <w:sz w:val="20"/>
          <w:szCs w:val="20"/>
        </w:rPr>
        <w:t xml:space="preserve"> for </w:t>
      </w:r>
      <w:r w:rsidR="00BD2241">
        <w:rPr>
          <w:rFonts w:asciiTheme="minorHAnsi" w:hAnsiTheme="minorHAnsi" w:cstheme="minorHAnsi"/>
          <w:color w:val="auto"/>
          <w:sz w:val="20"/>
          <w:szCs w:val="20"/>
        </w:rPr>
        <w:t xml:space="preserve">mandatory </w:t>
      </w:r>
      <w:r>
        <w:rPr>
          <w:rFonts w:asciiTheme="minorHAnsi" w:hAnsiTheme="minorHAnsi" w:cstheme="minorHAnsi"/>
          <w:color w:val="auto"/>
          <w:sz w:val="20"/>
          <w:szCs w:val="20"/>
        </w:rPr>
        <w:t xml:space="preserve">annual </w:t>
      </w:r>
      <w:r w:rsidR="00BD2241">
        <w:rPr>
          <w:rFonts w:asciiTheme="minorHAnsi" w:hAnsiTheme="minorHAnsi" w:cstheme="minorHAnsi"/>
          <w:color w:val="auto"/>
          <w:sz w:val="20"/>
          <w:szCs w:val="20"/>
        </w:rPr>
        <w:t xml:space="preserve">roadworthy </w:t>
      </w:r>
      <w:r>
        <w:rPr>
          <w:rFonts w:asciiTheme="minorHAnsi" w:hAnsiTheme="minorHAnsi" w:cstheme="minorHAnsi"/>
          <w:color w:val="auto"/>
          <w:sz w:val="20"/>
          <w:szCs w:val="20"/>
        </w:rPr>
        <w:t xml:space="preserve">inspections </w:t>
      </w:r>
      <w:r w:rsidR="008B2200">
        <w:rPr>
          <w:rFonts w:asciiTheme="minorHAnsi" w:hAnsiTheme="minorHAnsi" w:cstheme="minorHAnsi"/>
          <w:color w:val="auto"/>
          <w:sz w:val="20"/>
          <w:szCs w:val="20"/>
        </w:rPr>
        <w:t>for buses operated by registered operators</w:t>
      </w:r>
      <w:r w:rsidR="006303CB">
        <w:rPr>
          <w:rFonts w:asciiTheme="minorHAnsi" w:hAnsiTheme="minorHAnsi" w:cstheme="minorHAnsi"/>
          <w:color w:val="auto"/>
          <w:sz w:val="20"/>
          <w:szCs w:val="20"/>
        </w:rPr>
        <w:t>.</w:t>
      </w:r>
    </w:p>
    <w:p w14:paraId="1E69EEF9" w14:textId="6DC092F4" w:rsidR="00D203A2" w:rsidRDefault="00D203A2" w:rsidP="00DB0FB5">
      <w:pPr>
        <w:rPr>
          <w:rFonts w:cstheme="minorHAnsi"/>
          <w:color w:val="auto"/>
          <w:szCs w:val="20"/>
        </w:rPr>
      </w:pPr>
      <w:r>
        <w:rPr>
          <w:rFonts w:cstheme="minorHAnsi"/>
          <w:color w:val="auto"/>
          <w:szCs w:val="20"/>
        </w:rPr>
        <w:t xml:space="preserve">Note that some of </w:t>
      </w:r>
      <w:r w:rsidR="00C62E92">
        <w:rPr>
          <w:rFonts w:cstheme="minorHAnsi"/>
          <w:color w:val="auto"/>
          <w:szCs w:val="20"/>
        </w:rPr>
        <w:t>the costs</w:t>
      </w:r>
      <w:r>
        <w:rPr>
          <w:rFonts w:cstheme="minorHAnsi"/>
          <w:color w:val="auto"/>
          <w:szCs w:val="20"/>
        </w:rPr>
        <w:t xml:space="preserve"> </w:t>
      </w:r>
      <w:r w:rsidR="00E25AAF">
        <w:rPr>
          <w:rFonts w:cstheme="minorHAnsi"/>
          <w:color w:val="auto"/>
          <w:szCs w:val="20"/>
        </w:rPr>
        <w:t>estimated</w:t>
      </w:r>
      <w:r w:rsidR="00C62E92">
        <w:rPr>
          <w:rFonts w:cstheme="minorHAnsi"/>
          <w:color w:val="auto"/>
          <w:szCs w:val="20"/>
        </w:rPr>
        <w:t xml:space="preserve"> above </w:t>
      </w:r>
      <w:r>
        <w:rPr>
          <w:rFonts w:cstheme="minorHAnsi"/>
          <w:color w:val="auto"/>
          <w:szCs w:val="20"/>
        </w:rPr>
        <w:t xml:space="preserve">may not be entirely attributable to the regulations. Some </w:t>
      </w:r>
      <w:r w:rsidR="0073203D">
        <w:rPr>
          <w:rFonts w:cstheme="minorHAnsi"/>
          <w:color w:val="auto"/>
          <w:szCs w:val="20"/>
        </w:rPr>
        <w:t>operators</w:t>
      </w:r>
      <w:r>
        <w:rPr>
          <w:rFonts w:cstheme="minorHAnsi"/>
          <w:color w:val="auto"/>
          <w:szCs w:val="20"/>
        </w:rPr>
        <w:t xml:space="preserve"> may implement safety systems irrespective of the regulations as part of good practice to </w:t>
      </w:r>
      <w:r w:rsidR="0073203D">
        <w:rPr>
          <w:rFonts w:cstheme="minorHAnsi"/>
          <w:color w:val="auto"/>
          <w:szCs w:val="20"/>
        </w:rPr>
        <w:t>regularly</w:t>
      </w:r>
      <w:r>
        <w:rPr>
          <w:rFonts w:cstheme="minorHAnsi"/>
          <w:color w:val="auto"/>
          <w:szCs w:val="20"/>
        </w:rPr>
        <w:t xml:space="preserve"> maintain vehicles. </w:t>
      </w:r>
    </w:p>
    <w:p w14:paraId="3D4959DD" w14:textId="3DBB0097" w:rsidR="00DB0FB5" w:rsidRDefault="00DB0FB5" w:rsidP="00DB0FB5">
      <w:r>
        <w:rPr>
          <w:rFonts w:cstheme="minorHAnsi"/>
          <w:color w:val="auto"/>
          <w:szCs w:val="20"/>
        </w:rPr>
        <w:t xml:space="preserve">DoT expects that the interventions will </w:t>
      </w:r>
      <w:r w:rsidR="00D83561">
        <w:rPr>
          <w:rFonts w:cstheme="minorHAnsi"/>
          <w:color w:val="auto"/>
          <w:szCs w:val="20"/>
        </w:rPr>
        <w:t xml:space="preserve">reduce the number of mechanical failures </w:t>
      </w:r>
      <w:r w:rsidR="002E1E7C">
        <w:rPr>
          <w:rFonts w:cstheme="minorHAnsi"/>
          <w:color w:val="auto"/>
          <w:szCs w:val="20"/>
        </w:rPr>
        <w:t>i</w:t>
      </w:r>
      <w:r w:rsidR="00004838">
        <w:rPr>
          <w:rFonts w:cstheme="minorHAnsi"/>
          <w:color w:val="auto"/>
          <w:szCs w:val="20"/>
        </w:rPr>
        <w:t xml:space="preserve">n buses used to provide a bus services and </w:t>
      </w:r>
      <w:r w:rsidR="005E2753">
        <w:rPr>
          <w:rFonts w:cstheme="minorHAnsi"/>
          <w:color w:val="auto"/>
          <w:szCs w:val="20"/>
        </w:rPr>
        <w:t>contribute to reductions in fatalities and serious injuries</w:t>
      </w:r>
      <w:r w:rsidR="002E1E7C">
        <w:rPr>
          <w:rFonts w:cstheme="minorHAnsi"/>
          <w:color w:val="auto"/>
          <w:szCs w:val="20"/>
        </w:rPr>
        <w:t>.</w:t>
      </w:r>
      <w:r w:rsidR="003E1742">
        <w:rPr>
          <w:rFonts w:cstheme="minorHAnsi"/>
          <w:color w:val="auto"/>
          <w:szCs w:val="20"/>
        </w:rPr>
        <w:t xml:space="preserve"> </w:t>
      </w:r>
      <w:r w:rsidR="00CC7053">
        <w:rPr>
          <w:rFonts w:cstheme="minorHAnsi"/>
          <w:color w:val="auto"/>
          <w:szCs w:val="20"/>
        </w:rPr>
        <w:t xml:space="preserve">The values of avoiding deaths and serious injuries can be estimated in a number of ways. </w:t>
      </w:r>
      <w:r w:rsidR="003E1742">
        <w:rPr>
          <w:rFonts w:cstheme="minorHAnsi"/>
          <w:color w:val="auto"/>
          <w:szCs w:val="20"/>
        </w:rPr>
        <w:t xml:space="preserve">For the purposes of the analysis, DoT will use parameter values </w:t>
      </w:r>
      <w:r w:rsidR="004A22B8">
        <w:rPr>
          <w:rFonts w:cstheme="minorHAnsi"/>
          <w:color w:val="auto"/>
          <w:szCs w:val="20"/>
        </w:rPr>
        <w:t xml:space="preserve">developed by the </w:t>
      </w:r>
      <w:r w:rsidR="00205F71">
        <w:t>Australian Transport Assessment and Planning (ATAP) for fatalities and serious injuries</w:t>
      </w:r>
      <w:r w:rsidR="009A055B">
        <w:t xml:space="preserve"> estimated using a willingness to pay approach</w:t>
      </w:r>
      <w:r w:rsidR="0094607A">
        <w:t xml:space="preserve"> (outlined in </w:t>
      </w:r>
      <w:r w:rsidR="0094607A" w:rsidRPr="000946A0">
        <w:fldChar w:fldCharType="begin"/>
      </w:r>
      <w:r w:rsidR="0094607A" w:rsidRPr="000946A0">
        <w:instrText xml:space="preserve"> REF _Ref39912382 \h </w:instrText>
      </w:r>
      <w:r w:rsidR="0094607A" w:rsidRPr="008F17A7">
        <w:instrText xml:space="preserve"> \* MERGEFORMAT </w:instrText>
      </w:r>
      <w:r w:rsidR="0094607A" w:rsidRPr="000946A0">
        <w:fldChar w:fldCharType="separate"/>
      </w:r>
      <w:r w:rsidR="00277F6E" w:rsidRPr="00277F6E">
        <w:t>Table 7</w:t>
      </w:r>
      <w:r w:rsidR="00277F6E" w:rsidRPr="00277F6E">
        <w:noBreakHyphen/>
        <w:t>9</w:t>
      </w:r>
      <w:r w:rsidR="0094607A" w:rsidRPr="000946A0">
        <w:fldChar w:fldCharType="end"/>
      </w:r>
      <w:r w:rsidR="0094607A">
        <w:t>)</w:t>
      </w:r>
      <w:r w:rsidR="009572E1">
        <w:t>. For illustrative purposes, DoT will use the urban values</w:t>
      </w:r>
      <w:r w:rsidR="00457F0A">
        <w:t>.</w:t>
      </w:r>
    </w:p>
    <w:p w14:paraId="158705BD" w14:textId="73A2AD7C" w:rsidR="00E31CEE" w:rsidRPr="00E65DF4" w:rsidRDefault="00E31CEE" w:rsidP="007620AA">
      <w:pPr>
        <w:pStyle w:val="Caption"/>
        <w:keepNext/>
        <w:spacing w:after="60"/>
        <w:rPr>
          <w:b/>
          <w:bCs/>
        </w:rPr>
      </w:pPr>
      <w:bookmarkStart w:id="668" w:name="_Ref39912382"/>
      <w:bookmarkStart w:id="669" w:name="_Toc44603406"/>
      <w:bookmarkStart w:id="670" w:name="_Toc44437381"/>
      <w:bookmarkStart w:id="671" w:name="_Toc44597452"/>
      <w:bookmarkStart w:id="672" w:name="_Toc44597516"/>
      <w:bookmarkStart w:id="673" w:name="_Toc44600086"/>
      <w:bookmarkStart w:id="674" w:name="_Toc44600541"/>
      <w:bookmarkStart w:id="675" w:name="_Toc44600708"/>
      <w:bookmarkStart w:id="676" w:name="_Toc44601205"/>
      <w:bookmarkStart w:id="677" w:name="_Toc44601258"/>
      <w:bookmarkStart w:id="678" w:name="_Toc45704454"/>
      <w:r w:rsidRPr="00E65DF4">
        <w:rPr>
          <w:b/>
          <w:bCs/>
          <w:i w:val="0"/>
          <w:iCs w:val="0"/>
        </w:rPr>
        <w:t xml:space="preserve">Table </w:t>
      </w:r>
      <w:r w:rsidR="00D2483C">
        <w:rPr>
          <w:b/>
          <w:bCs/>
          <w:i w:val="0"/>
          <w:iCs w:val="0"/>
        </w:rPr>
        <w:fldChar w:fldCharType="begin"/>
      </w:r>
      <w:r w:rsidR="00D2483C">
        <w:rPr>
          <w:b/>
          <w:bCs/>
          <w:i w:val="0"/>
          <w:iCs w:val="0"/>
        </w:rPr>
        <w:instrText xml:space="preserve"> STYLEREF 1 \s </w:instrText>
      </w:r>
      <w:r w:rsidR="00D2483C">
        <w:rPr>
          <w:b/>
          <w:bCs/>
          <w:i w:val="0"/>
          <w:iCs w:val="0"/>
        </w:rPr>
        <w:fldChar w:fldCharType="separate"/>
      </w:r>
      <w:r w:rsidR="00277F6E">
        <w:rPr>
          <w:b/>
          <w:bCs/>
          <w:i w:val="0"/>
          <w:iCs w:val="0"/>
          <w:noProof/>
        </w:rPr>
        <w:t>7</w:t>
      </w:r>
      <w:r w:rsidR="00D2483C">
        <w:rPr>
          <w:b/>
          <w:bCs/>
          <w:i w:val="0"/>
          <w:iCs w:val="0"/>
        </w:rPr>
        <w:fldChar w:fldCharType="end"/>
      </w:r>
      <w:r w:rsidR="00D2483C">
        <w:rPr>
          <w:b/>
          <w:bCs/>
          <w:i w:val="0"/>
          <w:iCs w:val="0"/>
        </w:rPr>
        <w:noBreakHyphen/>
      </w:r>
      <w:r w:rsidR="00D2483C">
        <w:rPr>
          <w:b/>
          <w:bCs/>
          <w:i w:val="0"/>
          <w:iCs w:val="0"/>
        </w:rPr>
        <w:fldChar w:fldCharType="begin"/>
      </w:r>
      <w:r w:rsidR="00D2483C">
        <w:rPr>
          <w:b/>
          <w:bCs/>
          <w:i w:val="0"/>
          <w:iCs w:val="0"/>
        </w:rPr>
        <w:instrText xml:space="preserve"> SEQ Table \* ARABIC \s 1 </w:instrText>
      </w:r>
      <w:r w:rsidR="00D2483C">
        <w:rPr>
          <w:b/>
          <w:bCs/>
          <w:i w:val="0"/>
          <w:iCs w:val="0"/>
        </w:rPr>
        <w:fldChar w:fldCharType="separate"/>
      </w:r>
      <w:r w:rsidR="00277F6E">
        <w:rPr>
          <w:b/>
          <w:bCs/>
          <w:i w:val="0"/>
          <w:iCs w:val="0"/>
          <w:noProof/>
        </w:rPr>
        <w:t>9</w:t>
      </w:r>
      <w:r w:rsidR="00D2483C">
        <w:rPr>
          <w:b/>
          <w:bCs/>
          <w:i w:val="0"/>
          <w:iCs w:val="0"/>
        </w:rPr>
        <w:fldChar w:fldCharType="end"/>
      </w:r>
      <w:bookmarkEnd w:id="668"/>
      <w:r w:rsidRPr="00E65DF4">
        <w:rPr>
          <w:b/>
          <w:bCs/>
          <w:i w:val="0"/>
          <w:iCs w:val="0"/>
        </w:rPr>
        <w:t>: Estimated costs by injury type using the willingness to pay approach</w:t>
      </w:r>
      <w:r w:rsidR="001166D2">
        <w:rPr>
          <w:b/>
          <w:bCs/>
          <w:i w:val="0"/>
          <w:iCs w:val="0"/>
        </w:rPr>
        <w:t>,</w:t>
      </w:r>
      <w:r w:rsidRPr="00E65DF4">
        <w:rPr>
          <w:b/>
          <w:bCs/>
          <w:i w:val="0"/>
          <w:iCs w:val="0"/>
        </w:rPr>
        <w:t xml:space="preserve"> June 2013</w:t>
      </w:r>
      <w:bookmarkEnd w:id="669"/>
      <w:bookmarkEnd w:id="670"/>
      <w:bookmarkEnd w:id="671"/>
      <w:bookmarkEnd w:id="672"/>
      <w:bookmarkEnd w:id="673"/>
      <w:bookmarkEnd w:id="674"/>
      <w:bookmarkEnd w:id="675"/>
      <w:bookmarkEnd w:id="676"/>
      <w:bookmarkEnd w:id="677"/>
      <w:bookmarkEnd w:id="678"/>
    </w:p>
    <w:tbl>
      <w:tblPr>
        <w:tblStyle w:val="DOTtable0"/>
        <w:tblW w:w="6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268"/>
        <w:gridCol w:w="2268"/>
      </w:tblGrid>
      <w:tr w:rsidR="00FE4D89" w:rsidRPr="003A4471" w14:paraId="15730409" w14:textId="77777777" w:rsidTr="008D6034">
        <w:trPr>
          <w:cnfStyle w:val="100000000000" w:firstRow="1" w:lastRow="0" w:firstColumn="0" w:lastColumn="0" w:oddVBand="0" w:evenVBand="0" w:oddHBand="0" w:evenHBand="0" w:firstRowFirstColumn="0" w:firstRowLastColumn="0" w:lastRowFirstColumn="0" w:lastRowLastColumn="0"/>
          <w:cantSplit/>
        </w:trPr>
        <w:tc>
          <w:tcPr>
            <w:tcW w:w="0" w:type="dxa"/>
            <w:tcBorders>
              <w:bottom w:val="none" w:sz="0" w:space="0" w:color="auto"/>
            </w:tcBorders>
          </w:tcPr>
          <w:p w14:paraId="1218BF8F" w14:textId="77777777" w:rsidR="00FE4D89" w:rsidRPr="00E65DF4" w:rsidRDefault="00FE4D89" w:rsidP="008D6034">
            <w:pPr>
              <w:keepNext/>
              <w:spacing w:before="60" w:after="60"/>
              <w:jc w:val="center"/>
              <w:rPr>
                <w:bCs/>
                <w:sz w:val="18"/>
              </w:rPr>
            </w:pPr>
            <w:r w:rsidRPr="00E65DF4">
              <w:rPr>
                <w:bCs/>
                <w:sz w:val="18"/>
              </w:rPr>
              <w:t xml:space="preserve">Injury severity </w:t>
            </w:r>
          </w:p>
        </w:tc>
        <w:tc>
          <w:tcPr>
            <w:tcW w:w="0" w:type="dxa"/>
            <w:tcBorders>
              <w:bottom w:val="none" w:sz="0" w:space="0" w:color="auto"/>
            </w:tcBorders>
          </w:tcPr>
          <w:p w14:paraId="5A799CB3" w14:textId="581B8031" w:rsidR="00FE4D89" w:rsidRPr="00E65DF4" w:rsidRDefault="00FE4D89" w:rsidP="008D6034">
            <w:pPr>
              <w:keepNext/>
              <w:spacing w:before="60" w:after="60"/>
              <w:jc w:val="center"/>
              <w:rPr>
                <w:bCs/>
                <w:sz w:val="18"/>
              </w:rPr>
            </w:pPr>
            <w:r w:rsidRPr="00E65DF4">
              <w:rPr>
                <w:bCs/>
                <w:sz w:val="18"/>
              </w:rPr>
              <w:t>Urban</w:t>
            </w:r>
          </w:p>
        </w:tc>
        <w:tc>
          <w:tcPr>
            <w:tcW w:w="0" w:type="dxa"/>
            <w:tcBorders>
              <w:bottom w:val="none" w:sz="0" w:space="0" w:color="auto"/>
            </w:tcBorders>
          </w:tcPr>
          <w:p w14:paraId="067D715F" w14:textId="3211CFB0" w:rsidR="00FE4D89" w:rsidRPr="00E65DF4" w:rsidRDefault="00FE4D89" w:rsidP="008D6034">
            <w:pPr>
              <w:keepNext/>
              <w:spacing w:before="60" w:after="60"/>
              <w:jc w:val="center"/>
              <w:rPr>
                <w:bCs/>
                <w:sz w:val="18"/>
              </w:rPr>
            </w:pPr>
            <w:r w:rsidRPr="00E65DF4">
              <w:rPr>
                <w:bCs/>
                <w:sz w:val="18"/>
              </w:rPr>
              <w:t>Non-urban</w:t>
            </w:r>
          </w:p>
        </w:tc>
      </w:tr>
      <w:tr w:rsidR="00FE4D89" w:rsidRPr="003A4471" w14:paraId="2C3098CE" w14:textId="77777777" w:rsidTr="008D6034">
        <w:trPr>
          <w:cnfStyle w:val="000000100000" w:firstRow="0" w:lastRow="0" w:firstColumn="0" w:lastColumn="0" w:oddVBand="0" w:evenVBand="0" w:oddHBand="1" w:evenHBand="0" w:firstRowFirstColumn="0" w:firstRowLastColumn="0" w:lastRowFirstColumn="0" w:lastRowLastColumn="0"/>
          <w:cantSplit/>
        </w:trPr>
        <w:tc>
          <w:tcPr>
            <w:tcW w:w="2268" w:type="dxa"/>
            <w:tcBorders>
              <w:top w:val="none" w:sz="0" w:space="0" w:color="auto"/>
            </w:tcBorders>
          </w:tcPr>
          <w:p w14:paraId="786E7B6C" w14:textId="77777777" w:rsidR="00FE4D89" w:rsidRPr="00E65DF4" w:rsidRDefault="00FE4D89" w:rsidP="008D6034">
            <w:pPr>
              <w:keepNext/>
              <w:spacing w:before="60" w:after="60"/>
              <w:jc w:val="center"/>
              <w:rPr>
                <w:sz w:val="18"/>
              </w:rPr>
            </w:pPr>
            <w:r w:rsidRPr="00E65DF4">
              <w:rPr>
                <w:sz w:val="18"/>
              </w:rPr>
              <w:t xml:space="preserve">Value of statistical life (VSL) </w:t>
            </w:r>
          </w:p>
        </w:tc>
        <w:tc>
          <w:tcPr>
            <w:tcW w:w="2268" w:type="dxa"/>
            <w:tcBorders>
              <w:top w:val="none" w:sz="0" w:space="0" w:color="auto"/>
            </w:tcBorders>
          </w:tcPr>
          <w:p w14:paraId="4181DA3E" w14:textId="267E0229" w:rsidR="00FE4D89" w:rsidRPr="00E65DF4" w:rsidRDefault="005A7F23" w:rsidP="008D6034">
            <w:pPr>
              <w:keepNext/>
              <w:spacing w:before="60" w:after="60"/>
              <w:jc w:val="center"/>
              <w:rPr>
                <w:sz w:val="18"/>
              </w:rPr>
            </w:pPr>
            <w:r>
              <w:rPr>
                <w:sz w:val="18"/>
              </w:rPr>
              <w:t>$</w:t>
            </w:r>
            <w:r w:rsidR="00FE4D89" w:rsidRPr="00E65DF4">
              <w:rPr>
                <w:sz w:val="18"/>
              </w:rPr>
              <w:t xml:space="preserve">7,425,629 </w:t>
            </w:r>
          </w:p>
        </w:tc>
        <w:tc>
          <w:tcPr>
            <w:tcW w:w="2268" w:type="dxa"/>
            <w:tcBorders>
              <w:top w:val="none" w:sz="0" w:space="0" w:color="auto"/>
            </w:tcBorders>
          </w:tcPr>
          <w:p w14:paraId="2D9E47AE" w14:textId="0548E23A" w:rsidR="00FE4D89" w:rsidRPr="00E65DF4" w:rsidRDefault="005A7F23" w:rsidP="008D6034">
            <w:pPr>
              <w:keepNext/>
              <w:spacing w:before="60" w:after="60"/>
              <w:jc w:val="center"/>
              <w:rPr>
                <w:sz w:val="18"/>
              </w:rPr>
            </w:pPr>
            <w:r>
              <w:rPr>
                <w:sz w:val="18"/>
              </w:rPr>
              <w:t>$</w:t>
            </w:r>
            <w:r w:rsidR="00FE4D89" w:rsidRPr="00E65DF4">
              <w:rPr>
                <w:sz w:val="18"/>
              </w:rPr>
              <w:t>7,342,167</w:t>
            </w:r>
          </w:p>
        </w:tc>
      </w:tr>
      <w:tr w:rsidR="00FE4D89" w:rsidRPr="003A4471" w14:paraId="4248FB84" w14:textId="77777777" w:rsidTr="008D6034">
        <w:trPr>
          <w:cnfStyle w:val="000000010000" w:firstRow="0" w:lastRow="0" w:firstColumn="0" w:lastColumn="0" w:oddVBand="0" w:evenVBand="0" w:oddHBand="0" w:evenHBand="1" w:firstRowFirstColumn="0" w:firstRowLastColumn="0" w:lastRowFirstColumn="0" w:lastRowLastColumn="0"/>
          <w:cantSplit/>
        </w:trPr>
        <w:tc>
          <w:tcPr>
            <w:tcW w:w="2268" w:type="dxa"/>
            <w:tcBorders>
              <w:top w:val="none" w:sz="0" w:space="0" w:color="auto"/>
            </w:tcBorders>
          </w:tcPr>
          <w:p w14:paraId="5F62F252" w14:textId="77777777" w:rsidR="00FE4D89" w:rsidRPr="00E65DF4" w:rsidRDefault="00FE4D89" w:rsidP="008D6034">
            <w:pPr>
              <w:keepNext/>
              <w:spacing w:before="60" w:after="60"/>
              <w:jc w:val="center"/>
              <w:rPr>
                <w:sz w:val="18"/>
              </w:rPr>
            </w:pPr>
            <w:r w:rsidRPr="00E65DF4">
              <w:rPr>
                <w:sz w:val="18"/>
              </w:rPr>
              <w:t xml:space="preserve">Value of serious injury (VSI) </w:t>
            </w:r>
          </w:p>
        </w:tc>
        <w:tc>
          <w:tcPr>
            <w:tcW w:w="2268" w:type="dxa"/>
            <w:tcBorders>
              <w:top w:val="none" w:sz="0" w:space="0" w:color="auto"/>
            </w:tcBorders>
          </w:tcPr>
          <w:p w14:paraId="71F72BAC" w14:textId="4B25A45A" w:rsidR="00FE4D89" w:rsidRPr="00E65DF4" w:rsidRDefault="005A7F23" w:rsidP="008D6034">
            <w:pPr>
              <w:keepNext/>
              <w:spacing w:before="60" w:after="60"/>
              <w:jc w:val="center"/>
              <w:rPr>
                <w:sz w:val="18"/>
              </w:rPr>
            </w:pPr>
            <w:r>
              <w:rPr>
                <w:sz w:val="18"/>
              </w:rPr>
              <w:t>$</w:t>
            </w:r>
            <w:r w:rsidR="00FE4D89" w:rsidRPr="00E65DF4">
              <w:rPr>
                <w:sz w:val="18"/>
              </w:rPr>
              <w:t>361,733</w:t>
            </w:r>
          </w:p>
        </w:tc>
        <w:tc>
          <w:tcPr>
            <w:tcW w:w="2268" w:type="dxa"/>
            <w:tcBorders>
              <w:top w:val="none" w:sz="0" w:space="0" w:color="auto"/>
            </w:tcBorders>
          </w:tcPr>
          <w:p w14:paraId="3253574D" w14:textId="7E1EF924" w:rsidR="00FE4D89" w:rsidRPr="00E65DF4" w:rsidRDefault="005A7F23" w:rsidP="008D6034">
            <w:pPr>
              <w:keepNext/>
              <w:spacing w:before="60" w:after="60"/>
              <w:jc w:val="center"/>
              <w:rPr>
                <w:sz w:val="18"/>
              </w:rPr>
            </w:pPr>
            <w:r>
              <w:rPr>
                <w:sz w:val="18"/>
              </w:rPr>
              <w:t>$</w:t>
            </w:r>
            <w:r w:rsidR="003A4471" w:rsidRPr="00E65DF4">
              <w:rPr>
                <w:sz w:val="18"/>
              </w:rPr>
              <w:t>226,025</w:t>
            </w:r>
          </w:p>
        </w:tc>
      </w:tr>
    </w:tbl>
    <w:p w14:paraId="676C31F4" w14:textId="1CCCCEFF" w:rsidR="006D31FE" w:rsidRPr="006D31FE" w:rsidRDefault="006D31FE" w:rsidP="006D31FE">
      <w:pPr>
        <w:spacing w:before="40"/>
        <w:rPr>
          <w:rFonts w:cstheme="minorHAnsi"/>
          <w:color w:val="auto"/>
          <w:sz w:val="16"/>
          <w:szCs w:val="16"/>
        </w:rPr>
      </w:pPr>
      <w:r w:rsidRPr="006D31FE">
        <w:rPr>
          <w:rFonts w:cstheme="minorHAnsi"/>
          <w:color w:val="auto"/>
          <w:sz w:val="16"/>
          <w:szCs w:val="16"/>
        </w:rPr>
        <w:t>Source: Australian Transport Assessment and Planning Guidelines</w:t>
      </w:r>
    </w:p>
    <w:p w14:paraId="42969E9F" w14:textId="42EA3DEE" w:rsidR="00703865" w:rsidRDefault="00C56B7E" w:rsidP="00962091">
      <w:r>
        <w:t xml:space="preserve">These parameter values can be used to calculate the number of fatalities that </w:t>
      </w:r>
      <w:r w:rsidR="008E08FD">
        <w:t xml:space="preserve">need to </w:t>
      </w:r>
      <w:r>
        <w:t>be avoid</w:t>
      </w:r>
      <w:r w:rsidR="008E08FD">
        <w:t>ed</w:t>
      </w:r>
      <w:r w:rsidR="00CC3962">
        <w:t xml:space="preserve"> or the number of serious injuries that need to be avoided in order for the two interventions under consideration </w:t>
      </w:r>
      <w:r w:rsidR="0004427D">
        <w:t>to ‘break even’. That is, for the benefits of the</w:t>
      </w:r>
      <w:r w:rsidR="006753E6">
        <w:t xml:space="preserve"> intervention to equal the costs of the intervention.</w:t>
      </w:r>
      <w:r w:rsidR="004446E9">
        <w:t xml:space="preserve"> </w:t>
      </w:r>
      <w:r w:rsidR="004446E9" w:rsidRPr="00057015">
        <w:fldChar w:fldCharType="begin"/>
      </w:r>
      <w:r w:rsidR="004446E9" w:rsidRPr="00057015">
        <w:instrText xml:space="preserve"> REF _Ref39913259 \h  \* MERGEFORMAT </w:instrText>
      </w:r>
      <w:r w:rsidR="004446E9" w:rsidRPr="00057015">
        <w:fldChar w:fldCharType="separate"/>
      </w:r>
      <w:r w:rsidR="00277F6E" w:rsidRPr="00277F6E">
        <w:t>Table 7</w:t>
      </w:r>
      <w:r w:rsidR="00277F6E" w:rsidRPr="00277F6E">
        <w:noBreakHyphen/>
        <w:t>10</w:t>
      </w:r>
      <w:r w:rsidR="004446E9" w:rsidRPr="00057015">
        <w:fldChar w:fldCharType="end"/>
      </w:r>
      <w:r w:rsidR="006753E6">
        <w:t xml:space="preserve"> </w:t>
      </w:r>
      <w:r w:rsidR="004446E9">
        <w:t>summarises the</w:t>
      </w:r>
      <w:r w:rsidR="00E06930">
        <w:t xml:space="preserve">se calculations. In </w:t>
      </w:r>
      <w:r w:rsidR="00523DD4">
        <w:t xml:space="preserve">the case of the proposal to </w:t>
      </w:r>
      <w:r w:rsidR="00E06930">
        <w:t xml:space="preserve">require to </w:t>
      </w:r>
      <w:r w:rsidR="00523DD4">
        <w:t>a</w:t>
      </w:r>
      <w:r w:rsidR="00134389">
        <w:t>n</w:t>
      </w:r>
      <w:r w:rsidR="00523DD4">
        <w:t xml:space="preserve"> MMS</w:t>
      </w:r>
      <w:r w:rsidR="00C42364" w:rsidRPr="00057015">
        <w:t>, there must be a reduction</w:t>
      </w:r>
      <w:r w:rsidR="00976B00">
        <w:t xml:space="preserve"> of between 1 to 5 fatalities</w:t>
      </w:r>
      <w:r w:rsidR="00CF2D2D">
        <w:t xml:space="preserve"> per year</w:t>
      </w:r>
      <w:r w:rsidR="00976B00">
        <w:t xml:space="preserve"> or 21 to 105 serious injuries </w:t>
      </w:r>
      <w:r w:rsidR="00CF2D2D">
        <w:t xml:space="preserve">per year </w:t>
      </w:r>
      <w:r w:rsidR="00F84968">
        <w:t>for the intervention to ‘break even’. For the annual ins</w:t>
      </w:r>
      <w:r w:rsidR="00CF2D2D">
        <w:t xml:space="preserve">pection regulations, there must be a </w:t>
      </w:r>
      <w:r w:rsidR="00CF2D2D">
        <w:lastRenderedPageBreak/>
        <w:t xml:space="preserve">reduction of up to 1 fatality per year or approximately </w:t>
      </w:r>
      <w:r w:rsidR="006B1F12">
        <w:t>7</w:t>
      </w:r>
      <w:r w:rsidR="00CF2D2D">
        <w:t xml:space="preserve"> </w:t>
      </w:r>
      <w:r w:rsidR="00251D31">
        <w:t xml:space="preserve">serious injuries per year </w:t>
      </w:r>
      <w:r w:rsidR="00703865">
        <w:t xml:space="preserve">for that intervention to ‘break even’. </w:t>
      </w:r>
      <w:r w:rsidR="00C525DD" w:rsidRPr="002B6123">
        <w:rPr>
          <w:rFonts w:ascii="Arial" w:hAnsi="Arial" w:cs="Arial"/>
          <w:szCs w:val="20"/>
        </w:rPr>
        <w:t>In calculating these estimates, DoT has assumed that under the upper bound of the estimates, there is a high utilisation rate of buses by accredited operators</w:t>
      </w:r>
      <w:r w:rsidR="00C525DD">
        <w:rPr>
          <w:rFonts w:ascii="Arial" w:hAnsi="Arial" w:cs="Arial"/>
          <w:szCs w:val="20"/>
        </w:rPr>
        <w:t>.</w:t>
      </w:r>
    </w:p>
    <w:p w14:paraId="7A85649B" w14:textId="53B46486" w:rsidR="006753E6" w:rsidRPr="00E65DF4" w:rsidRDefault="006753E6" w:rsidP="007620AA">
      <w:pPr>
        <w:pStyle w:val="Caption"/>
        <w:keepNext/>
        <w:spacing w:after="60"/>
        <w:rPr>
          <w:b/>
          <w:bCs/>
        </w:rPr>
      </w:pPr>
      <w:bookmarkStart w:id="679" w:name="_Ref39913259"/>
      <w:bookmarkStart w:id="680" w:name="_Toc44437382"/>
      <w:bookmarkStart w:id="681" w:name="_Toc44597453"/>
      <w:bookmarkStart w:id="682" w:name="_Toc44597517"/>
      <w:bookmarkStart w:id="683" w:name="_Toc44600087"/>
      <w:bookmarkStart w:id="684" w:name="_Toc44600542"/>
      <w:bookmarkStart w:id="685" w:name="_Toc44600709"/>
      <w:bookmarkStart w:id="686" w:name="_Toc44601206"/>
      <w:bookmarkStart w:id="687" w:name="_Toc44601259"/>
      <w:bookmarkStart w:id="688" w:name="_Toc44603407"/>
      <w:bookmarkStart w:id="689" w:name="_Toc45704455"/>
      <w:r w:rsidRPr="00E65DF4">
        <w:rPr>
          <w:b/>
          <w:bCs/>
          <w:i w:val="0"/>
          <w:iCs w:val="0"/>
        </w:rPr>
        <w:t xml:space="preserve">Table </w:t>
      </w:r>
      <w:r w:rsidR="00D2483C">
        <w:rPr>
          <w:b/>
          <w:bCs/>
          <w:i w:val="0"/>
          <w:iCs w:val="0"/>
        </w:rPr>
        <w:fldChar w:fldCharType="begin"/>
      </w:r>
      <w:r w:rsidR="00D2483C">
        <w:rPr>
          <w:b/>
          <w:bCs/>
          <w:i w:val="0"/>
          <w:iCs w:val="0"/>
        </w:rPr>
        <w:instrText xml:space="preserve"> STYLEREF 1 \s </w:instrText>
      </w:r>
      <w:r w:rsidR="00D2483C">
        <w:rPr>
          <w:b/>
          <w:bCs/>
          <w:i w:val="0"/>
          <w:iCs w:val="0"/>
        </w:rPr>
        <w:fldChar w:fldCharType="separate"/>
      </w:r>
      <w:r w:rsidR="00277F6E">
        <w:rPr>
          <w:b/>
          <w:bCs/>
          <w:i w:val="0"/>
          <w:iCs w:val="0"/>
          <w:noProof/>
        </w:rPr>
        <w:t>7</w:t>
      </w:r>
      <w:r w:rsidR="00D2483C">
        <w:rPr>
          <w:b/>
          <w:bCs/>
          <w:i w:val="0"/>
          <w:iCs w:val="0"/>
        </w:rPr>
        <w:fldChar w:fldCharType="end"/>
      </w:r>
      <w:r w:rsidR="00D2483C">
        <w:rPr>
          <w:b/>
          <w:bCs/>
          <w:i w:val="0"/>
          <w:iCs w:val="0"/>
        </w:rPr>
        <w:noBreakHyphen/>
      </w:r>
      <w:r w:rsidR="00D2483C">
        <w:rPr>
          <w:b/>
          <w:bCs/>
          <w:i w:val="0"/>
          <w:iCs w:val="0"/>
        </w:rPr>
        <w:fldChar w:fldCharType="begin"/>
      </w:r>
      <w:r w:rsidR="00D2483C">
        <w:rPr>
          <w:b/>
          <w:bCs/>
          <w:i w:val="0"/>
          <w:iCs w:val="0"/>
        </w:rPr>
        <w:instrText xml:space="preserve"> SEQ Table \* ARABIC \s 1 </w:instrText>
      </w:r>
      <w:r w:rsidR="00D2483C">
        <w:rPr>
          <w:b/>
          <w:bCs/>
          <w:i w:val="0"/>
          <w:iCs w:val="0"/>
        </w:rPr>
        <w:fldChar w:fldCharType="separate"/>
      </w:r>
      <w:r w:rsidR="00277F6E">
        <w:rPr>
          <w:b/>
          <w:bCs/>
          <w:i w:val="0"/>
          <w:iCs w:val="0"/>
          <w:noProof/>
        </w:rPr>
        <w:t>10</w:t>
      </w:r>
      <w:r w:rsidR="00D2483C">
        <w:rPr>
          <w:b/>
          <w:bCs/>
          <w:i w:val="0"/>
          <w:iCs w:val="0"/>
        </w:rPr>
        <w:fldChar w:fldCharType="end"/>
      </w:r>
      <w:bookmarkEnd w:id="679"/>
      <w:r>
        <w:rPr>
          <w:b/>
          <w:bCs/>
          <w:i w:val="0"/>
          <w:iCs w:val="0"/>
        </w:rPr>
        <w:t xml:space="preserve">: </w:t>
      </w:r>
      <w:r w:rsidR="00D26EC6">
        <w:rPr>
          <w:b/>
          <w:bCs/>
          <w:i w:val="0"/>
          <w:iCs w:val="0"/>
        </w:rPr>
        <w:t>Summary</w:t>
      </w:r>
      <w:r w:rsidR="0096633A">
        <w:rPr>
          <w:b/>
          <w:bCs/>
          <w:i w:val="0"/>
          <w:iCs w:val="0"/>
        </w:rPr>
        <w:t xml:space="preserve"> of </w:t>
      </w:r>
      <w:r w:rsidR="00D26EC6">
        <w:rPr>
          <w:b/>
          <w:bCs/>
          <w:i w:val="0"/>
          <w:iCs w:val="0"/>
        </w:rPr>
        <w:t>results of break-even analysis</w:t>
      </w:r>
      <w:bookmarkEnd w:id="680"/>
      <w:bookmarkEnd w:id="681"/>
      <w:bookmarkEnd w:id="682"/>
      <w:r w:rsidR="00A77EBD">
        <w:rPr>
          <w:b/>
          <w:bCs/>
          <w:i w:val="0"/>
          <w:iCs w:val="0"/>
        </w:rPr>
        <w:t xml:space="preserve"> for MMS and annual inspections</w:t>
      </w:r>
      <w:bookmarkEnd w:id="683"/>
      <w:bookmarkEnd w:id="684"/>
      <w:bookmarkEnd w:id="685"/>
      <w:bookmarkEnd w:id="686"/>
      <w:bookmarkEnd w:id="687"/>
      <w:bookmarkEnd w:id="688"/>
      <w:bookmarkEnd w:id="689"/>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2114"/>
        <w:gridCol w:w="2536"/>
        <w:gridCol w:w="2255"/>
      </w:tblGrid>
      <w:tr w:rsidR="00B95542" w:rsidRPr="001D5182" w14:paraId="58B915BA" w14:textId="79606C03" w:rsidTr="008D6034">
        <w:trPr>
          <w:cantSplit/>
          <w:trHeight w:val="288"/>
        </w:trPr>
        <w:tc>
          <w:tcPr>
            <w:tcW w:w="2122" w:type="dxa"/>
            <w:shd w:val="clear" w:color="auto" w:fill="D6ECED"/>
            <w:noWrap/>
            <w:vAlign w:val="center"/>
            <w:hideMark/>
          </w:tcPr>
          <w:p w14:paraId="7B19F587" w14:textId="0EABD8CA" w:rsidR="0061013F" w:rsidRPr="001D5182" w:rsidRDefault="0061013F" w:rsidP="008D6034">
            <w:pPr>
              <w:keepNext/>
              <w:spacing w:before="60" w:after="60"/>
              <w:jc w:val="center"/>
              <w:rPr>
                <w:b/>
                <w:bCs/>
                <w:sz w:val="18"/>
              </w:rPr>
            </w:pPr>
            <w:r>
              <w:rPr>
                <w:b/>
                <w:bCs/>
                <w:sz w:val="18"/>
              </w:rPr>
              <w:t>Intervention</w:t>
            </w:r>
          </w:p>
        </w:tc>
        <w:tc>
          <w:tcPr>
            <w:tcW w:w="2126" w:type="dxa"/>
            <w:shd w:val="clear" w:color="auto" w:fill="D6ECED"/>
            <w:vAlign w:val="center"/>
          </w:tcPr>
          <w:p w14:paraId="2DED2338" w14:textId="77777777" w:rsidR="0061013F" w:rsidRPr="00F341D4" w:rsidRDefault="0061013F" w:rsidP="008D6034">
            <w:pPr>
              <w:keepNext/>
              <w:spacing w:before="60" w:after="60"/>
              <w:jc w:val="center"/>
              <w:rPr>
                <w:b/>
                <w:bCs/>
                <w:sz w:val="18"/>
              </w:rPr>
            </w:pPr>
            <w:r w:rsidRPr="001D5182">
              <w:rPr>
                <w:b/>
                <w:bCs/>
                <w:sz w:val="18"/>
              </w:rPr>
              <w:t>EAC</w:t>
            </w:r>
          </w:p>
        </w:tc>
        <w:tc>
          <w:tcPr>
            <w:tcW w:w="2551" w:type="dxa"/>
            <w:shd w:val="clear" w:color="auto" w:fill="D6ECED"/>
            <w:vAlign w:val="center"/>
          </w:tcPr>
          <w:p w14:paraId="7D6CF9D3" w14:textId="4F5E17C6" w:rsidR="0061013F" w:rsidRPr="001D5182" w:rsidRDefault="00B95542" w:rsidP="008D6034">
            <w:pPr>
              <w:keepNext/>
              <w:spacing w:before="60" w:after="60"/>
              <w:jc w:val="center"/>
              <w:rPr>
                <w:b/>
                <w:bCs/>
                <w:sz w:val="18"/>
              </w:rPr>
            </w:pPr>
            <w:r>
              <w:rPr>
                <w:b/>
                <w:bCs/>
                <w:sz w:val="18"/>
              </w:rPr>
              <w:t>Avoided Fatalities</w:t>
            </w:r>
          </w:p>
        </w:tc>
        <w:tc>
          <w:tcPr>
            <w:tcW w:w="2268" w:type="dxa"/>
            <w:shd w:val="clear" w:color="auto" w:fill="D6ECED"/>
          </w:tcPr>
          <w:p w14:paraId="031C9DC3" w14:textId="5768C958" w:rsidR="0061013F" w:rsidRPr="00E65DF4" w:rsidRDefault="00B95542" w:rsidP="008D6034">
            <w:pPr>
              <w:keepNext/>
              <w:spacing w:before="60" w:after="60"/>
              <w:jc w:val="center"/>
              <w:rPr>
                <w:b/>
                <w:bCs/>
                <w:sz w:val="18"/>
              </w:rPr>
            </w:pPr>
            <w:r w:rsidRPr="00E65DF4">
              <w:rPr>
                <w:b/>
                <w:bCs/>
                <w:sz w:val="18"/>
              </w:rPr>
              <w:t>Avoided serious injuries</w:t>
            </w:r>
          </w:p>
        </w:tc>
      </w:tr>
      <w:tr w:rsidR="00B95542" w:rsidRPr="001D5182" w14:paraId="1CFFA9CB" w14:textId="38057196" w:rsidTr="008D6034">
        <w:trPr>
          <w:cantSplit/>
          <w:trHeight w:val="40"/>
        </w:trPr>
        <w:tc>
          <w:tcPr>
            <w:tcW w:w="2122" w:type="dxa"/>
            <w:shd w:val="clear" w:color="auto" w:fill="auto"/>
            <w:noWrap/>
            <w:vAlign w:val="center"/>
            <w:hideMark/>
          </w:tcPr>
          <w:p w14:paraId="4F8366FF" w14:textId="12547540" w:rsidR="0061013F" w:rsidRPr="004979E4" w:rsidRDefault="0061013F" w:rsidP="008D6034">
            <w:pPr>
              <w:keepNext/>
              <w:spacing w:before="60" w:after="60"/>
              <w:jc w:val="center"/>
              <w:rPr>
                <w:sz w:val="18"/>
              </w:rPr>
            </w:pPr>
            <w:r w:rsidRPr="004979E4">
              <w:rPr>
                <w:sz w:val="18"/>
              </w:rPr>
              <w:t>MMS</w:t>
            </w:r>
          </w:p>
        </w:tc>
        <w:tc>
          <w:tcPr>
            <w:tcW w:w="2126" w:type="dxa"/>
            <w:vAlign w:val="center"/>
          </w:tcPr>
          <w:p w14:paraId="7F132A16" w14:textId="184F4516" w:rsidR="0061013F" w:rsidRPr="004979E4" w:rsidRDefault="0061013F" w:rsidP="008D6034">
            <w:pPr>
              <w:keepNext/>
              <w:spacing w:before="60" w:after="60"/>
              <w:jc w:val="center"/>
              <w:rPr>
                <w:sz w:val="18"/>
              </w:rPr>
            </w:pPr>
            <w:r w:rsidRPr="004979E4">
              <w:rPr>
                <w:sz w:val="18"/>
              </w:rPr>
              <w:t>$</w:t>
            </w:r>
            <w:r w:rsidR="007A5D55" w:rsidRPr="004979E4">
              <w:rPr>
                <w:sz w:val="18"/>
              </w:rPr>
              <w:t>7.9</w:t>
            </w:r>
            <w:r w:rsidR="00F703D8" w:rsidRPr="004979E4">
              <w:rPr>
                <w:sz w:val="18"/>
              </w:rPr>
              <w:t>4</w:t>
            </w:r>
            <w:r w:rsidRPr="004979E4">
              <w:rPr>
                <w:sz w:val="18"/>
              </w:rPr>
              <w:t xml:space="preserve">m – </w:t>
            </w:r>
            <w:r w:rsidR="007A5D55" w:rsidRPr="004979E4">
              <w:rPr>
                <w:sz w:val="18"/>
              </w:rPr>
              <w:t>$39.35</w:t>
            </w:r>
            <w:r w:rsidRPr="004979E4">
              <w:rPr>
                <w:sz w:val="18"/>
              </w:rPr>
              <w:t>m</w:t>
            </w:r>
          </w:p>
        </w:tc>
        <w:tc>
          <w:tcPr>
            <w:tcW w:w="2551" w:type="dxa"/>
          </w:tcPr>
          <w:p w14:paraId="1D428BF3" w14:textId="16C69DDE" w:rsidR="0061013F" w:rsidRPr="004979E4" w:rsidRDefault="00DB2E6C" w:rsidP="008D6034">
            <w:pPr>
              <w:keepNext/>
              <w:spacing w:before="60" w:after="60"/>
              <w:jc w:val="center"/>
              <w:rPr>
                <w:sz w:val="18"/>
              </w:rPr>
            </w:pPr>
            <w:r w:rsidRPr="004979E4">
              <w:rPr>
                <w:sz w:val="18"/>
              </w:rPr>
              <w:t>1 to 5</w:t>
            </w:r>
          </w:p>
        </w:tc>
        <w:tc>
          <w:tcPr>
            <w:tcW w:w="2268" w:type="dxa"/>
          </w:tcPr>
          <w:p w14:paraId="43E363F4" w14:textId="19FBEFC1" w:rsidR="0061013F" w:rsidRPr="004979E4" w:rsidRDefault="005667E1" w:rsidP="008D6034">
            <w:pPr>
              <w:keepNext/>
              <w:spacing w:before="60" w:after="60"/>
              <w:jc w:val="center"/>
              <w:rPr>
                <w:sz w:val="18"/>
              </w:rPr>
            </w:pPr>
            <w:r w:rsidRPr="004979E4">
              <w:rPr>
                <w:sz w:val="18"/>
              </w:rPr>
              <w:t xml:space="preserve">21 to </w:t>
            </w:r>
            <w:r w:rsidR="0027719D" w:rsidRPr="004979E4">
              <w:rPr>
                <w:sz w:val="18"/>
              </w:rPr>
              <w:t>105</w:t>
            </w:r>
          </w:p>
        </w:tc>
      </w:tr>
      <w:tr w:rsidR="00B95542" w:rsidRPr="001D5182" w14:paraId="3707519F" w14:textId="7626815B" w:rsidTr="008D6034">
        <w:trPr>
          <w:cantSplit/>
          <w:trHeight w:val="288"/>
        </w:trPr>
        <w:tc>
          <w:tcPr>
            <w:tcW w:w="2122" w:type="dxa"/>
            <w:shd w:val="clear" w:color="auto" w:fill="auto"/>
            <w:noWrap/>
            <w:vAlign w:val="center"/>
            <w:hideMark/>
          </w:tcPr>
          <w:p w14:paraId="17219349" w14:textId="587481A1" w:rsidR="0061013F" w:rsidRPr="004979E4" w:rsidRDefault="0061013F" w:rsidP="008D6034">
            <w:pPr>
              <w:keepNext/>
              <w:spacing w:before="60" w:after="60"/>
              <w:jc w:val="center"/>
              <w:rPr>
                <w:b/>
                <w:bCs/>
                <w:sz w:val="18"/>
              </w:rPr>
            </w:pPr>
            <w:r w:rsidRPr="004979E4">
              <w:rPr>
                <w:rFonts w:cstheme="minorHAnsi"/>
                <w:color w:val="auto"/>
                <w:sz w:val="18"/>
              </w:rPr>
              <w:t>Annual inspections</w:t>
            </w:r>
          </w:p>
        </w:tc>
        <w:tc>
          <w:tcPr>
            <w:tcW w:w="2126" w:type="dxa"/>
            <w:vAlign w:val="center"/>
          </w:tcPr>
          <w:p w14:paraId="7E1C1662" w14:textId="66F3BD65" w:rsidR="0061013F" w:rsidRPr="004979E4" w:rsidRDefault="00211792" w:rsidP="008D6034">
            <w:pPr>
              <w:keepNext/>
              <w:spacing w:before="60" w:after="60"/>
              <w:jc w:val="center"/>
              <w:rPr>
                <w:sz w:val="18"/>
              </w:rPr>
            </w:pPr>
            <w:r w:rsidRPr="004979E4">
              <w:rPr>
                <w:sz w:val="18"/>
              </w:rPr>
              <w:t>$2.</w:t>
            </w:r>
            <w:r w:rsidR="007A5D55" w:rsidRPr="004979E4">
              <w:rPr>
                <w:sz w:val="18"/>
              </w:rPr>
              <w:t>6</w:t>
            </w:r>
            <w:r w:rsidR="004409D5" w:rsidRPr="004979E4">
              <w:rPr>
                <w:sz w:val="18"/>
              </w:rPr>
              <w:t>m</w:t>
            </w:r>
          </w:p>
        </w:tc>
        <w:tc>
          <w:tcPr>
            <w:tcW w:w="2551" w:type="dxa"/>
          </w:tcPr>
          <w:p w14:paraId="169396A7" w14:textId="2377E989" w:rsidR="0061013F" w:rsidRPr="004979E4" w:rsidRDefault="000625AA" w:rsidP="008D6034">
            <w:pPr>
              <w:keepNext/>
              <w:spacing w:before="60" w:after="60"/>
              <w:jc w:val="center"/>
              <w:rPr>
                <w:sz w:val="18"/>
              </w:rPr>
            </w:pPr>
            <w:r w:rsidRPr="004979E4">
              <w:rPr>
                <w:sz w:val="18"/>
              </w:rPr>
              <w:t>Up to 1</w:t>
            </w:r>
          </w:p>
        </w:tc>
        <w:tc>
          <w:tcPr>
            <w:tcW w:w="2268" w:type="dxa"/>
          </w:tcPr>
          <w:p w14:paraId="3E3D6A02" w14:textId="6728FDBD" w:rsidR="0061013F" w:rsidRPr="004979E4" w:rsidRDefault="007A5D55" w:rsidP="008D6034">
            <w:pPr>
              <w:keepNext/>
              <w:spacing w:before="60" w:after="60"/>
              <w:jc w:val="center"/>
              <w:rPr>
                <w:sz w:val="18"/>
              </w:rPr>
            </w:pPr>
            <w:r w:rsidRPr="004979E4">
              <w:rPr>
                <w:sz w:val="18"/>
              </w:rPr>
              <w:t>≈</w:t>
            </w:r>
            <w:r w:rsidR="00916512" w:rsidRPr="004979E4">
              <w:rPr>
                <w:sz w:val="18"/>
              </w:rPr>
              <w:t>7</w:t>
            </w:r>
          </w:p>
        </w:tc>
      </w:tr>
    </w:tbl>
    <w:p w14:paraId="4B40DF2D" w14:textId="15186BF1" w:rsidR="00CE483B" w:rsidRDefault="00846FE4" w:rsidP="00CE483B">
      <w:r>
        <w:rPr>
          <w:rFonts w:cstheme="minorHAnsi"/>
          <w:color w:val="auto"/>
          <w:szCs w:val="20"/>
        </w:rPr>
        <w:t>I</w:t>
      </w:r>
      <w:r w:rsidRPr="00B1000C">
        <w:rPr>
          <w:rFonts w:cstheme="minorHAnsi"/>
          <w:color w:val="auto"/>
          <w:szCs w:val="20"/>
        </w:rPr>
        <w:t>t is necessary to consider whether this range of benefits is realistic and achievable.</w:t>
      </w:r>
      <w:r w:rsidR="00CE483B" w:rsidRPr="00CE483B">
        <w:t xml:space="preserve"> </w:t>
      </w:r>
      <w:r w:rsidR="00CE483B">
        <w:t xml:space="preserve">To provide context for the analysis, </w:t>
      </w:r>
      <w:r w:rsidR="00677EA4" w:rsidRPr="007620FF">
        <w:fldChar w:fldCharType="begin"/>
      </w:r>
      <w:r w:rsidR="00677EA4" w:rsidRPr="007620FF">
        <w:instrText xml:space="preserve"> REF _Ref39913712 \h </w:instrText>
      </w:r>
      <w:r w:rsidR="007620FF" w:rsidRPr="007620FF">
        <w:instrText xml:space="preserve"> \* MERGEFORMAT </w:instrText>
      </w:r>
      <w:r w:rsidR="00677EA4" w:rsidRPr="007620FF">
        <w:fldChar w:fldCharType="separate"/>
      </w:r>
      <w:r w:rsidR="00277F6E" w:rsidRPr="00277F6E">
        <w:t xml:space="preserve">Table </w:t>
      </w:r>
      <w:r w:rsidR="00277F6E" w:rsidRPr="00277F6E">
        <w:rPr>
          <w:noProof/>
        </w:rPr>
        <w:t>7</w:t>
      </w:r>
      <w:r w:rsidR="00277F6E" w:rsidRPr="00277F6E">
        <w:rPr>
          <w:noProof/>
        </w:rPr>
        <w:noBreakHyphen/>
        <w:t>11</w:t>
      </w:r>
      <w:r w:rsidR="00677EA4" w:rsidRPr="007620FF">
        <w:fldChar w:fldCharType="end"/>
      </w:r>
      <w:r w:rsidR="00CE483B">
        <w:t xml:space="preserve"> below show</w:t>
      </w:r>
      <w:r w:rsidR="005C71A9">
        <w:t>s the</w:t>
      </w:r>
      <w:r w:rsidR="00CE483B">
        <w:t xml:space="preserve"> number of vehicle fault incidents and the corresponding fatalities or seri</w:t>
      </w:r>
      <w:r w:rsidR="00CE483B" w:rsidRPr="003435C3">
        <w:t>ous injuries from 2011 to 2019</w:t>
      </w:r>
      <w:r w:rsidR="00CE483B">
        <w:t xml:space="preserve">. This provides a picture of the ratio of fatalities to serious injuries that a mechanical failure or fire is likely to cause. Out of a total 252 incidents that were a result of a vehicle fault incident, zero resulted in a fatality, and three resulted in a serious injury. Based on this data, it is assumed that mechanical failures and fires primarily results in a serious injury and </w:t>
      </w:r>
      <w:r w:rsidR="00C77A4F">
        <w:t xml:space="preserve">less likely to result in a </w:t>
      </w:r>
      <w:r w:rsidR="00CE483B">
        <w:t xml:space="preserve">fatality. </w:t>
      </w:r>
    </w:p>
    <w:p w14:paraId="770C9BD1" w14:textId="721F4637" w:rsidR="00CE483B" w:rsidRPr="00197812" w:rsidRDefault="00CE483B" w:rsidP="007620AA">
      <w:pPr>
        <w:pStyle w:val="Caption"/>
        <w:keepNext/>
        <w:spacing w:after="60"/>
        <w:rPr>
          <w:b/>
          <w:bCs/>
          <w:i w:val="0"/>
          <w:iCs w:val="0"/>
        </w:rPr>
      </w:pPr>
      <w:bookmarkStart w:id="690" w:name="_Ref39913712"/>
      <w:bookmarkStart w:id="691" w:name="_Toc44603408"/>
      <w:bookmarkStart w:id="692" w:name="_Toc44437383"/>
      <w:bookmarkStart w:id="693" w:name="_Toc44597454"/>
      <w:bookmarkStart w:id="694" w:name="_Toc44597518"/>
      <w:bookmarkStart w:id="695" w:name="_Toc44600088"/>
      <w:bookmarkStart w:id="696" w:name="_Toc44600543"/>
      <w:bookmarkStart w:id="697" w:name="_Toc44600710"/>
      <w:bookmarkStart w:id="698" w:name="_Toc44601207"/>
      <w:bookmarkStart w:id="699" w:name="_Toc44601260"/>
      <w:bookmarkStart w:id="700" w:name="_Toc45704456"/>
      <w:r w:rsidRPr="007620FF">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11</w:t>
      </w:r>
      <w:r w:rsidR="00D2483C">
        <w:rPr>
          <w:b/>
          <w:i w:val="0"/>
        </w:rPr>
        <w:fldChar w:fldCharType="end"/>
      </w:r>
      <w:bookmarkEnd w:id="690"/>
      <w:r w:rsidRPr="007620FF">
        <w:rPr>
          <w:b/>
          <w:i w:val="0"/>
        </w:rPr>
        <w:t xml:space="preserve">: </w:t>
      </w:r>
      <w:r w:rsidR="00CD675C" w:rsidRPr="007620AA">
        <w:rPr>
          <w:b/>
          <w:bCs/>
          <w:i w:val="0"/>
          <w:iCs w:val="0"/>
        </w:rPr>
        <w:t>V</w:t>
      </w:r>
      <w:r w:rsidRPr="007620AA">
        <w:rPr>
          <w:b/>
          <w:bCs/>
          <w:i w:val="0"/>
          <w:iCs w:val="0"/>
        </w:rPr>
        <w:t>ehicle</w:t>
      </w:r>
      <w:r w:rsidRPr="007620FF">
        <w:rPr>
          <w:b/>
          <w:i w:val="0"/>
        </w:rPr>
        <w:t xml:space="preserve"> fault incidents resulting in a fatality or serious injury</w:t>
      </w:r>
      <w:r w:rsidR="00D2470C">
        <w:rPr>
          <w:b/>
          <w:bCs/>
          <w:i w:val="0"/>
          <w:iCs w:val="0"/>
        </w:rPr>
        <w:t xml:space="preserve"> – 2011-2019</w:t>
      </w:r>
      <w:bookmarkEnd w:id="691"/>
      <w:bookmarkEnd w:id="692"/>
      <w:bookmarkEnd w:id="693"/>
      <w:bookmarkEnd w:id="694"/>
      <w:bookmarkEnd w:id="695"/>
      <w:bookmarkEnd w:id="696"/>
      <w:bookmarkEnd w:id="697"/>
      <w:bookmarkEnd w:id="698"/>
      <w:bookmarkEnd w:id="699"/>
      <w:bookmarkEnd w:id="700"/>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752"/>
        <w:gridCol w:w="753"/>
        <w:gridCol w:w="753"/>
        <w:gridCol w:w="753"/>
        <w:gridCol w:w="753"/>
        <w:gridCol w:w="752"/>
        <w:gridCol w:w="753"/>
        <w:gridCol w:w="753"/>
        <w:gridCol w:w="753"/>
        <w:gridCol w:w="753"/>
      </w:tblGrid>
      <w:tr w:rsidR="00CE483B" w:rsidRPr="003C07FD" w14:paraId="61A82224" w14:textId="77777777" w:rsidTr="008D6034">
        <w:trPr>
          <w:cantSplit/>
          <w:trHeight w:val="58"/>
        </w:trPr>
        <w:tc>
          <w:tcPr>
            <w:tcW w:w="1838" w:type="dxa"/>
            <w:tcBorders>
              <w:bottom w:val="single" w:sz="4" w:space="0" w:color="auto"/>
            </w:tcBorders>
            <w:shd w:val="clear" w:color="auto" w:fill="D6ECED"/>
            <w:noWrap/>
            <w:vAlign w:val="center"/>
            <w:hideMark/>
          </w:tcPr>
          <w:p w14:paraId="361AA930" w14:textId="77777777" w:rsidR="00CE483B" w:rsidRPr="003C07FD" w:rsidRDefault="00CE483B" w:rsidP="008D6034">
            <w:pPr>
              <w:spacing w:before="60" w:after="60"/>
              <w:jc w:val="center"/>
              <w:rPr>
                <w:rFonts w:eastAsia="Times New Roman" w:cstheme="minorHAnsi"/>
                <w:b/>
                <w:bCs/>
                <w:color w:val="000000"/>
                <w:sz w:val="18"/>
                <w:lang w:eastAsia="en-AU"/>
              </w:rPr>
            </w:pPr>
            <w:r>
              <w:rPr>
                <w:rFonts w:eastAsia="Times New Roman" w:cstheme="minorHAnsi"/>
                <w:b/>
                <w:bCs/>
                <w:color w:val="000000"/>
                <w:sz w:val="18"/>
                <w:lang w:eastAsia="en-AU"/>
              </w:rPr>
              <w:t>Vehicle fault incident</w:t>
            </w:r>
          </w:p>
        </w:tc>
        <w:tc>
          <w:tcPr>
            <w:tcW w:w="752" w:type="dxa"/>
            <w:tcBorders>
              <w:bottom w:val="single" w:sz="4" w:space="0" w:color="auto"/>
            </w:tcBorders>
            <w:shd w:val="clear" w:color="auto" w:fill="D6ECED"/>
            <w:noWrap/>
            <w:vAlign w:val="center"/>
            <w:hideMark/>
          </w:tcPr>
          <w:p w14:paraId="37D96005" w14:textId="77777777" w:rsidR="00CE483B" w:rsidRPr="003C07FD" w:rsidRDefault="00CE483B" w:rsidP="008D6034">
            <w:pPr>
              <w:spacing w:before="60" w:after="60"/>
              <w:jc w:val="center"/>
              <w:rPr>
                <w:rFonts w:eastAsia="Times New Roman" w:cstheme="minorHAnsi"/>
                <w:b/>
                <w:bCs/>
                <w:color w:val="000000"/>
                <w:sz w:val="18"/>
                <w:lang w:eastAsia="en-AU"/>
              </w:rPr>
            </w:pPr>
            <w:r w:rsidRPr="003C07FD">
              <w:rPr>
                <w:rFonts w:eastAsia="Times New Roman" w:cstheme="minorHAnsi"/>
                <w:b/>
                <w:bCs/>
                <w:color w:val="000000"/>
                <w:sz w:val="18"/>
                <w:lang w:eastAsia="en-AU"/>
              </w:rPr>
              <w:t>2011</w:t>
            </w:r>
          </w:p>
        </w:tc>
        <w:tc>
          <w:tcPr>
            <w:tcW w:w="753" w:type="dxa"/>
            <w:tcBorders>
              <w:bottom w:val="single" w:sz="4" w:space="0" w:color="auto"/>
            </w:tcBorders>
            <w:shd w:val="clear" w:color="auto" w:fill="D6ECED"/>
            <w:noWrap/>
            <w:vAlign w:val="center"/>
            <w:hideMark/>
          </w:tcPr>
          <w:p w14:paraId="29456188" w14:textId="77777777" w:rsidR="00CE483B" w:rsidRPr="003C07FD" w:rsidRDefault="00CE483B" w:rsidP="008D6034">
            <w:pPr>
              <w:spacing w:before="60" w:after="60"/>
              <w:jc w:val="center"/>
              <w:rPr>
                <w:rFonts w:eastAsia="Times New Roman" w:cstheme="minorHAnsi"/>
                <w:b/>
                <w:bCs/>
                <w:color w:val="000000"/>
                <w:sz w:val="18"/>
                <w:lang w:eastAsia="en-AU"/>
              </w:rPr>
            </w:pPr>
            <w:r w:rsidRPr="003C07FD">
              <w:rPr>
                <w:rFonts w:eastAsia="Times New Roman" w:cstheme="minorHAnsi"/>
                <w:b/>
                <w:bCs/>
                <w:color w:val="000000"/>
                <w:sz w:val="18"/>
                <w:lang w:eastAsia="en-AU"/>
              </w:rPr>
              <w:t>2012</w:t>
            </w:r>
          </w:p>
        </w:tc>
        <w:tc>
          <w:tcPr>
            <w:tcW w:w="753" w:type="dxa"/>
            <w:tcBorders>
              <w:bottom w:val="single" w:sz="4" w:space="0" w:color="auto"/>
            </w:tcBorders>
            <w:shd w:val="clear" w:color="auto" w:fill="D6ECED"/>
            <w:noWrap/>
            <w:vAlign w:val="center"/>
            <w:hideMark/>
          </w:tcPr>
          <w:p w14:paraId="65BB5D58" w14:textId="77777777" w:rsidR="00CE483B" w:rsidRPr="003C07FD" w:rsidRDefault="00CE483B" w:rsidP="008D6034">
            <w:pPr>
              <w:spacing w:before="60" w:after="60"/>
              <w:jc w:val="center"/>
              <w:rPr>
                <w:rFonts w:eastAsia="Times New Roman" w:cstheme="minorHAnsi"/>
                <w:b/>
                <w:bCs/>
                <w:color w:val="000000"/>
                <w:sz w:val="18"/>
                <w:lang w:eastAsia="en-AU"/>
              </w:rPr>
            </w:pPr>
            <w:r w:rsidRPr="003C07FD">
              <w:rPr>
                <w:rFonts w:eastAsia="Times New Roman" w:cstheme="minorHAnsi"/>
                <w:b/>
                <w:bCs/>
                <w:color w:val="000000"/>
                <w:sz w:val="18"/>
                <w:lang w:eastAsia="en-AU"/>
              </w:rPr>
              <w:t>2013</w:t>
            </w:r>
          </w:p>
        </w:tc>
        <w:tc>
          <w:tcPr>
            <w:tcW w:w="753" w:type="dxa"/>
            <w:tcBorders>
              <w:bottom w:val="single" w:sz="4" w:space="0" w:color="auto"/>
            </w:tcBorders>
            <w:shd w:val="clear" w:color="auto" w:fill="D6ECED"/>
            <w:noWrap/>
            <w:vAlign w:val="center"/>
            <w:hideMark/>
          </w:tcPr>
          <w:p w14:paraId="5FF8E8FC" w14:textId="77777777" w:rsidR="00CE483B" w:rsidRPr="003C07FD" w:rsidRDefault="00CE483B" w:rsidP="008D6034">
            <w:pPr>
              <w:spacing w:before="60" w:after="60"/>
              <w:jc w:val="center"/>
              <w:rPr>
                <w:rFonts w:eastAsia="Times New Roman" w:cstheme="minorHAnsi"/>
                <w:b/>
                <w:bCs/>
                <w:color w:val="000000"/>
                <w:sz w:val="18"/>
                <w:lang w:eastAsia="en-AU"/>
              </w:rPr>
            </w:pPr>
            <w:r w:rsidRPr="003C07FD">
              <w:rPr>
                <w:rFonts w:eastAsia="Times New Roman" w:cstheme="minorHAnsi"/>
                <w:b/>
                <w:bCs/>
                <w:color w:val="000000"/>
                <w:sz w:val="18"/>
                <w:lang w:eastAsia="en-AU"/>
              </w:rPr>
              <w:t>2014</w:t>
            </w:r>
          </w:p>
        </w:tc>
        <w:tc>
          <w:tcPr>
            <w:tcW w:w="753" w:type="dxa"/>
            <w:tcBorders>
              <w:bottom w:val="single" w:sz="4" w:space="0" w:color="auto"/>
            </w:tcBorders>
            <w:shd w:val="clear" w:color="auto" w:fill="D6ECED"/>
            <w:noWrap/>
            <w:vAlign w:val="center"/>
            <w:hideMark/>
          </w:tcPr>
          <w:p w14:paraId="6B0EFA97" w14:textId="77777777" w:rsidR="00CE483B" w:rsidRPr="003C07FD" w:rsidRDefault="00CE483B" w:rsidP="008D6034">
            <w:pPr>
              <w:spacing w:before="60" w:after="60"/>
              <w:jc w:val="center"/>
              <w:rPr>
                <w:rFonts w:eastAsia="Times New Roman" w:cstheme="minorHAnsi"/>
                <w:b/>
                <w:bCs/>
                <w:color w:val="000000"/>
                <w:sz w:val="18"/>
                <w:lang w:eastAsia="en-AU"/>
              </w:rPr>
            </w:pPr>
            <w:r w:rsidRPr="003C07FD">
              <w:rPr>
                <w:rFonts w:eastAsia="Times New Roman" w:cstheme="minorHAnsi"/>
                <w:b/>
                <w:bCs/>
                <w:color w:val="000000"/>
                <w:sz w:val="18"/>
                <w:lang w:eastAsia="en-AU"/>
              </w:rPr>
              <w:t>2015</w:t>
            </w:r>
          </w:p>
        </w:tc>
        <w:tc>
          <w:tcPr>
            <w:tcW w:w="752" w:type="dxa"/>
            <w:tcBorders>
              <w:bottom w:val="single" w:sz="4" w:space="0" w:color="auto"/>
            </w:tcBorders>
            <w:shd w:val="clear" w:color="auto" w:fill="D6ECED"/>
            <w:noWrap/>
            <w:vAlign w:val="center"/>
            <w:hideMark/>
          </w:tcPr>
          <w:p w14:paraId="38B0540A" w14:textId="77777777" w:rsidR="00CE483B" w:rsidRPr="003C07FD" w:rsidRDefault="00CE483B" w:rsidP="008D6034">
            <w:pPr>
              <w:spacing w:before="60" w:after="60"/>
              <w:jc w:val="center"/>
              <w:rPr>
                <w:rFonts w:eastAsia="Times New Roman" w:cstheme="minorHAnsi"/>
                <w:b/>
                <w:bCs/>
                <w:color w:val="000000"/>
                <w:sz w:val="18"/>
                <w:lang w:eastAsia="en-AU"/>
              </w:rPr>
            </w:pPr>
            <w:r w:rsidRPr="003C07FD">
              <w:rPr>
                <w:rFonts w:eastAsia="Times New Roman" w:cstheme="minorHAnsi"/>
                <w:b/>
                <w:bCs/>
                <w:color w:val="000000"/>
                <w:sz w:val="18"/>
                <w:lang w:eastAsia="en-AU"/>
              </w:rPr>
              <w:t>2016</w:t>
            </w:r>
          </w:p>
        </w:tc>
        <w:tc>
          <w:tcPr>
            <w:tcW w:w="753" w:type="dxa"/>
            <w:tcBorders>
              <w:bottom w:val="single" w:sz="4" w:space="0" w:color="auto"/>
            </w:tcBorders>
            <w:shd w:val="clear" w:color="auto" w:fill="D6ECED"/>
            <w:noWrap/>
            <w:vAlign w:val="center"/>
            <w:hideMark/>
          </w:tcPr>
          <w:p w14:paraId="5F94CDBC" w14:textId="77777777" w:rsidR="00CE483B" w:rsidRPr="003C07FD" w:rsidRDefault="00CE483B" w:rsidP="008D6034">
            <w:pPr>
              <w:spacing w:before="60" w:after="60"/>
              <w:jc w:val="center"/>
              <w:rPr>
                <w:rFonts w:eastAsia="Times New Roman" w:cstheme="minorHAnsi"/>
                <w:b/>
                <w:bCs/>
                <w:color w:val="000000"/>
                <w:sz w:val="18"/>
                <w:lang w:eastAsia="en-AU"/>
              </w:rPr>
            </w:pPr>
            <w:r w:rsidRPr="003C07FD">
              <w:rPr>
                <w:rFonts w:eastAsia="Times New Roman" w:cstheme="minorHAnsi"/>
                <w:b/>
                <w:bCs/>
                <w:color w:val="000000"/>
                <w:sz w:val="18"/>
                <w:lang w:eastAsia="en-AU"/>
              </w:rPr>
              <w:t>2017</w:t>
            </w:r>
          </w:p>
        </w:tc>
        <w:tc>
          <w:tcPr>
            <w:tcW w:w="753" w:type="dxa"/>
            <w:tcBorders>
              <w:bottom w:val="single" w:sz="4" w:space="0" w:color="auto"/>
            </w:tcBorders>
            <w:shd w:val="clear" w:color="auto" w:fill="D6ECED"/>
            <w:noWrap/>
            <w:vAlign w:val="center"/>
            <w:hideMark/>
          </w:tcPr>
          <w:p w14:paraId="6AA597C9" w14:textId="77777777" w:rsidR="00CE483B" w:rsidRPr="003C07FD" w:rsidRDefault="00CE483B" w:rsidP="008D6034">
            <w:pPr>
              <w:spacing w:before="60" w:after="60"/>
              <w:jc w:val="center"/>
              <w:rPr>
                <w:rFonts w:eastAsia="Times New Roman" w:cstheme="minorHAnsi"/>
                <w:b/>
                <w:bCs/>
                <w:color w:val="000000"/>
                <w:sz w:val="18"/>
                <w:lang w:eastAsia="en-AU"/>
              </w:rPr>
            </w:pPr>
            <w:r w:rsidRPr="003C07FD">
              <w:rPr>
                <w:rFonts w:eastAsia="Times New Roman" w:cstheme="minorHAnsi"/>
                <w:b/>
                <w:bCs/>
                <w:color w:val="000000"/>
                <w:sz w:val="18"/>
                <w:lang w:eastAsia="en-AU"/>
              </w:rPr>
              <w:t>2018</w:t>
            </w:r>
          </w:p>
        </w:tc>
        <w:tc>
          <w:tcPr>
            <w:tcW w:w="753" w:type="dxa"/>
            <w:tcBorders>
              <w:bottom w:val="single" w:sz="4" w:space="0" w:color="auto"/>
            </w:tcBorders>
            <w:shd w:val="clear" w:color="auto" w:fill="D6ECED"/>
            <w:noWrap/>
            <w:vAlign w:val="center"/>
            <w:hideMark/>
          </w:tcPr>
          <w:p w14:paraId="6DBCE8D6" w14:textId="77777777" w:rsidR="00CE483B" w:rsidRPr="003C07FD" w:rsidRDefault="00CE483B" w:rsidP="008D6034">
            <w:pPr>
              <w:spacing w:before="60" w:after="60"/>
              <w:jc w:val="center"/>
              <w:rPr>
                <w:rFonts w:eastAsia="Times New Roman" w:cstheme="minorHAnsi"/>
                <w:b/>
                <w:bCs/>
                <w:color w:val="000000"/>
                <w:sz w:val="18"/>
                <w:lang w:eastAsia="en-AU"/>
              </w:rPr>
            </w:pPr>
            <w:r w:rsidRPr="003C07FD">
              <w:rPr>
                <w:rFonts w:eastAsia="Times New Roman" w:cstheme="minorHAnsi"/>
                <w:b/>
                <w:bCs/>
                <w:color w:val="000000"/>
                <w:sz w:val="18"/>
                <w:lang w:eastAsia="en-AU"/>
              </w:rPr>
              <w:t>2019</w:t>
            </w:r>
          </w:p>
        </w:tc>
        <w:tc>
          <w:tcPr>
            <w:tcW w:w="753" w:type="dxa"/>
            <w:tcBorders>
              <w:bottom w:val="single" w:sz="4" w:space="0" w:color="auto"/>
            </w:tcBorders>
            <w:shd w:val="clear" w:color="auto" w:fill="D6ECED"/>
            <w:noWrap/>
            <w:vAlign w:val="center"/>
            <w:hideMark/>
          </w:tcPr>
          <w:p w14:paraId="033D4C63" w14:textId="77777777" w:rsidR="00CE483B" w:rsidRPr="003C07FD" w:rsidRDefault="00CE483B" w:rsidP="008D6034">
            <w:pPr>
              <w:spacing w:before="60" w:after="60"/>
              <w:jc w:val="center"/>
              <w:rPr>
                <w:rFonts w:eastAsia="Times New Roman" w:cstheme="minorHAnsi"/>
                <w:b/>
                <w:bCs/>
                <w:color w:val="000000"/>
                <w:sz w:val="18"/>
                <w:lang w:eastAsia="en-AU"/>
              </w:rPr>
            </w:pPr>
            <w:r w:rsidRPr="003C07FD">
              <w:rPr>
                <w:rFonts w:eastAsia="Times New Roman" w:cstheme="minorHAnsi"/>
                <w:b/>
                <w:bCs/>
                <w:color w:val="000000"/>
                <w:sz w:val="18"/>
                <w:lang w:eastAsia="en-AU"/>
              </w:rPr>
              <w:t>Total</w:t>
            </w:r>
          </w:p>
        </w:tc>
      </w:tr>
      <w:tr w:rsidR="00CE483B" w:rsidRPr="005D01D9" w14:paraId="336A13BD" w14:textId="77777777" w:rsidTr="008D6034">
        <w:trPr>
          <w:cantSplit/>
          <w:trHeight w:val="5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2B76B" w14:textId="77777777" w:rsidR="00CE483B" w:rsidRPr="00895319" w:rsidRDefault="00CE483B" w:rsidP="008D6034">
            <w:pPr>
              <w:spacing w:before="60" w:after="60"/>
              <w:rPr>
                <w:rFonts w:eastAsia="Times New Roman" w:cstheme="minorHAnsi"/>
                <w:color w:val="000000"/>
                <w:sz w:val="18"/>
                <w:lang w:eastAsia="en-AU"/>
              </w:rPr>
            </w:pPr>
            <w:r w:rsidRPr="00895319">
              <w:rPr>
                <w:rFonts w:eastAsia="Times New Roman" w:cstheme="minorHAnsi"/>
                <w:color w:val="000000"/>
                <w:sz w:val="18"/>
                <w:lang w:eastAsia="en-AU"/>
              </w:rPr>
              <w:t>Mechanical Failure</w:t>
            </w:r>
          </w:p>
        </w:tc>
        <w:tc>
          <w:tcPr>
            <w:tcW w:w="752" w:type="dxa"/>
            <w:tcBorders>
              <w:top w:val="single" w:sz="4" w:space="0" w:color="auto"/>
              <w:left w:val="single" w:sz="4" w:space="0" w:color="auto"/>
              <w:bottom w:val="nil"/>
              <w:right w:val="nil"/>
            </w:tcBorders>
            <w:shd w:val="clear" w:color="auto" w:fill="auto"/>
            <w:noWrap/>
            <w:vAlign w:val="bottom"/>
            <w:hideMark/>
          </w:tcPr>
          <w:p w14:paraId="56B34369"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8</w:t>
            </w:r>
          </w:p>
        </w:tc>
        <w:tc>
          <w:tcPr>
            <w:tcW w:w="753" w:type="dxa"/>
            <w:tcBorders>
              <w:top w:val="single" w:sz="4" w:space="0" w:color="auto"/>
              <w:left w:val="nil"/>
              <w:bottom w:val="nil"/>
              <w:right w:val="nil"/>
            </w:tcBorders>
            <w:shd w:val="clear" w:color="auto" w:fill="auto"/>
            <w:noWrap/>
            <w:vAlign w:val="bottom"/>
            <w:hideMark/>
          </w:tcPr>
          <w:p w14:paraId="362DEE2F"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12</w:t>
            </w:r>
          </w:p>
        </w:tc>
        <w:tc>
          <w:tcPr>
            <w:tcW w:w="753" w:type="dxa"/>
            <w:tcBorders>
              <w:top w:val="single" w:sz="4" w:space="0" w:color="auto"/>
              <w:left w:val="nil"/>
              <w:bottom w:val="nil"/>
              <w:right w:val="nil"/>
            </w:tcBorders>
            <w:shd w:val="clear" w:color="auto" w:fill="auto"/>
            <w:noWrap/>
            <w:vAlign w:val="bottom"/>
            <w:hideMark/>
          </w:tcPr>
          <w:p w14:paraId="1B174F27"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9</w:t>
            </w:r>
          </w:p>
        </w:tc>
        <w:tc>
          <w:tcPr>
            <w:tcW w:w="753" w:type="dxa"/>
            <w:tcBorders>
              <w:top w:val="single" w:sz="4" w:space="0" w:color="auto"/>
              <w:left w:val="nil"/>
              <w:bottom w:val="nil"/>
              <w:right w:val="nil"/>
            </w:tcBorders>
            <w:shd w:val="clear" w:color="auto" w:fill="auto"/>
            <w:noWrap/>
            <w:vAlign w:val="bottom"/>
            <w:hideMark/>
          </w:tcPr>
          <w:p w14:paraId="684448FB"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6</w:t>
            </w:r>
          </w:p>
        </w:tc>
        <w:tc>
          <w:tcPr>
            <w:tcW w:w="753" w:type="dxa"/>
            <w:tcBorders>
              <w:top w:val="single" w:sz="4" w:space="0" w:color="auto"/>
              <w:left w:val="nil"/>
              <w:bottom w:val="nil"/>
              <w:right w:val="nil"/>
            </w:tcBorders>
            <w:shd w:val="clear" w:color="auto" w:fill="auto"/>
            <w:noWrap/>
            <w:vAlign w:val="bottom"/>
            <w:hideMark/>
          </w:tcPr>
          <w:p w14:paraId="1EB0BFC5"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10</w:t>
            </w:r>
          </w:p>
        </w:tc>
        <w:tc>
          <w:tcPr>
            <w:tcW w:w="752" w:type="dxa"/>
            <w:tcBorders>
              <w:top w:val="single" w:sz="4" w:space="0" w:color="auto"/>
              <w:left w:val="nil"/>
              <w:bottom w:val="nil"/>
              <w:right w:val="nil"/>
            </w:tcBorders>
            <w:shd w:val="clear" w:color="auto" w:fill="auto"/>
            <w:noWrap/>
            <w:vAlign w:val="bottom"/>
            <w:hideMark/>
          </w:tcPr>
          <w:p w14:paraId="7DB9A255"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17</w:t>
            </w:r>
          </w:p>
        </w:tc>
        <w:tc>
          <w:tcPr>
            <w:tcW w:w="753" w:type="dxa"/>
            <w:tcBorders>
              <w:top w:val="single" w:sz="4" w:space="0" w:color="auto"/>
              <w:left w:val="nil"/>
              <w:bottom w:val="nil"/>
              <w:right w:val="nil"/>
            </w:tcBorders>
            <w:shd w:val="clear" w:color="auto" w:fill="auto"/>
            <w:noWrap/>
            <w:vAlign w:val="bottom"/>
            <w:hideMark/>
          </w:tcPr>
          <w:p w14:paraId="559598CE"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25</w:t>
            </w:r>
          </w:p>
        </w:tc>
        <w:tc>
          <w:tcPr>
            <w:tcW w:w="753" w:type="dxa"/>
            <w:tcBorders>
              <w:top w:val="single" w:sz="4" w:space="0" w:color="auto"/>
              <w:left w:val="nil"/>
              <w:bottom w:val="nil"/>
              <w:right w:val="nil"/>
            </w:tcBorders>
            <w:shd w:val="clear" w:color="auto" w:fill="auto"/>
            <w:noWrap/>
            <w:vAlign w:val="bottom"/>
            <w:hideMark/>
          </w:tcPr>
          <w:p w14:paraId="6713EF79"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27</w:t>
            </w:r>
          </w:p>
        </w:tc>
        <w:tc>
          <w:tcPr>
            <w:tcW w:w="753" w:type="dxa"/>
            <w:tcBorders>
              <w:top w:val="single" w:sz="4" w:space="0" w:color="auto"/>
              <w:left w:val="nil"/>
              <w:bottom w:val="nil"/>
              <w:right w:val="nil"/>
            </w:tcBorders>
            <w:shd w:val="clear" w:color="auto" w:fill="auto"/>
            <w:noWrap/>
            <w:vAlign w:val="bottom"/>
            <w:hideMark/>
          </w:tcPr>
          <w:p w14:paraId="02D6F098"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20</w:t>
            </w:r>
          </w:p>
        </w:tc>
        <w:tc>
          <w:tcPr>
            <w:tcW w:w="753" w:type="dxa"/>
            <w:tcBorders>
              <w:top w:val="single" w:sz="4" w:space="0" w:color="auto"/>
              <w:left w:val="nil"/>
              <w:bottom w:val="nil"/>
              <w:right w:val="single" w:sz="4" w:space="0" w:color="auto"/>
            </w:tcBorders>
            <w:shd w:val="clear" w:color="auto" w:fill="auto"/>
            <w:noWrap/>
            <w:vAlign w:val="bottom"/>
            <w:hideMark/>
          </w:tcPr>
          <w:p w14:paraId="0AD89F75" w14:textId="77777777" w:rsidR="00CE483B" w:rsidRPr="005D01D9" w:rsidRDefault="00CE483B" w:rsidP="008D6034">
            <w:pPr>
              <w:spacing w:before="60" w:after="60"/>
              <w:rPr>
                <w:rFonts w:eastAsia="Times New Roman" w:cstheme="minorHAnsi"/>
                <w:b/>
                <w:bCs/>
                <w:color w:val="000000"/>
                <w:sz w:val="18"/>
                <w:lang w:eastAsia="en-AU"/>
              </w:rPr>
            </w:pPr>
            <w:r w:rsidRPr="005D01D9">
              <w:rPr>
                <w:rFonts w:eastAsia="Times New Roman" w:cstheme="minorHAnsi"/>
                <w:b/>
                <w:bCs/>
                <w:color w:val="000000"/>
                <w:sz w:val="18"/>
                <w:lang w:eastAsia="en-AU"/>
              </w:rPr>
              <w:t>134</w:t>
            </w:r>
          </w:p>
        </w:tc>
      </w:tr>
      <w:tr w:rsidR="00CE483B" w:rsidRPr="005D01D9" w14:paraId="32906575" w14:textId="77777777" w:rsidTr="008D6034">
        <w:trPr>
          <w:cantSplit/>
          <w:trHeight w:val="5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40808"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Fatality</w:t>
            </w:r>
          </w:p>
        </w:tc>
        <w:tc>
          <w:tcPr>
            <w:tcW w:w="752" w:type="dxa"/>
            <w:tcBorders>
              <w:top w:val="nil"/>
              <w:left w:val="single" w:sz="4" w:space="0" w:color="auto"/>
              <w:bottom w:val="nil"/>
              <w:right w:val="nil"/>
            </w:tcBorders>
            <w:shd w:val="clear" w:color="auto" w:fill="auto"/>
            <w:noWrap/>
            <w:vAlign w:val="bottom"/>
          </w:tcPr>
          <w:p w14:paraId="6F34BEFB"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558FA1D9"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0240F168"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1079C1A8"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2A06F738" w14:textId="77777777" w:rsidR="00CE483B" w:rsidRPr="00895319" w:rsidRDefault="00CE483B" w:rsidP="008D6034">
            <w:pPr>
              <w:spacing w:before="60" w:after="60"/>
              <w:jc w:val="right"/>
              <w:rPr>
                <w:rFonts w:eastAsia="Times New Roman" w:cstheme="minorHAnsi"/>
                <w:color w:val="000000"/>
                <w:sz w:val="18"/>
                <w:lang w:eastAsia="en-AU"/>
              </w:rPr>
            </w:pPr>
          </w:p>
        </w:tc>
        <w:tc>
          <w:tcPr>
            <w:tcW w:w="752" w:type="dxa"/>
            <w:tcBorders>
              <w:top w:val="nil"/>
              <w:left w:val="nil"/>
              <w:bottom w:val="nil"/>
              <w:right w:val="nil"/>
            </w:tcBorders>
            <w:shd w:val="clear" w:color="auto" w:fill="auto"/>
            <w:noWrap/>
            <w:vAlign w:val="bottom"/>
          </w:tcPr>
          <w:p w14:paraId="6846D7C3"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00D04B6E"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51EA6A8A"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29061716"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single" w:sz="4" w:space="0" w:color="auto"/>
            </w:tcBorders>
            <w:shd w:val="clear" w:color="auto" w:fill="auto"/>
            <w:noWrap/>
            <w:vAlign w:val="bottom"/>
          </w:tcPr>
          <w:p w14:paraId="69B07BF5" w14:textId="77777777" w:rsidR="00CE483B" w:rsidRPr="005D01D9" w:rsidRDefault="00CE483B" w:rsidP="008D6034">
            <w:pPr>
              <w:spacing w:before="60" w:after="60"/>
              <w:rPr>
                <w:rFonts w:eastAsia="Times New Roman" w:cstheme="minorHAnsi"/>
                <w:b/>
                <w:bCs/>
                <w:color w:val="000000"/>
                <w:sz w:val="18"/>
                <w:lang w:eastAsia="en-AU"/>
              </w:rPr>
            </w:pPr>
            <w:r>
              <w:rPr>
                <w:rFonts w:eastAsia="Times New Roman" w:cstheme="minorHAnsi"/>
                <w:b/>
                <w:bCs/>
                <w:color w:val="000000"/>
                <w:sz w:val="18"/>
                <w:lang w:eastAsia="en-AU"/>
              </w:rPr>
              <w:t>0</w:t>
            </w:r>
          </w:p>
        </w:tc>
      </w:tr>
      <w:tr w:rsidR="00CE483B" w:rsidRPr="005D01D9" w14:paraId="6F22D20C" w14:textId="77777777" w:rsidTr="008D6034">
        <w:trPr>
          <w:cantSplit/>
          <w:trHeight w:val="5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11238"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Serious injury</w:t>
            </w:r>
          </w:p>
        </w:tc>
        <w:tc>
          <w:tcPr>
            <w:tcW w:w="752" w:type="dxa"/>
            <w:tcBorders>
              <w:top w:val="nil"/>
              <w:left w:val="single" w:sz="4" w:space="0" w:color="auto"/>
              <w:bottom w:val="single" w:sz="4" w:space="0" w:color="auto"/>
              <w:right w:val="nil"/>
            </w:tcBorders>
            <w:shd w:val="clear" w:color="auto" w:fill="auto"/>
            <w:noWrap/>
            <w:vAlign w:val="bottom"/>
          </w:tcPr>
          <w:p w14:paraId="2074CA95"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w:t>
            </w:r>
          </w:p>
        </w:tc>
        <w:tc>
          <w:tcPr>
            <w:tcW w:w="753" w:type="dxa"/>
            <w:tcBorders>
              <w:top w:val="nil"/>
              <w:left w:val="nil"/>
              <w:bottom w:val="single" w:sz="4" w:space="0" w:color="auto"/>
              <w:right w:val="nil"/>
            </w:tcBorders>
            <w:shd w:val="clear" w:color="auto" w:fill="auto"/>
            <w:noWrap/>
            <w:vAlign w:val="bottom"/>
          </w:tcPr>
          <w:p w14:paraId="3B8C809C"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w:t>
            </w:r>
          </w:p>
        </w:tc>
        <w:tc>
          <w:tcPr>
            <w:tcW w:w="753" w:type="dxa"/>
            <w:tcBorders>
              <w:top w:val="nil"/>
              <w:left w:val="nil"/>
              <w:bottom w:val="single" w:sz="4" w:space="0" w:color="auto"/>
              <w:right w:val="nil"/>
            </w:tcBorders>
            <w:shd w:val="clear" w:color="auto" w:fill="auto"/>
            <w:noWrap/>
            <w:vAlign w:val="bottom"/>
          </w:tcPr>
          <w:p w14:paraId="182EA948"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single" w:sz="4" w:space="0" w:color="auto"/>
              <w:right w:val="nil"/>
            </w:tcBorders>
            <w:shd w:val="clear" w:color="auto" w:fill="auto"/>
            <w:noWrap/>
            <w:vAlign w:val="bottom"/>
          </w:tcPr>
          <w:p w14:paraId="5120E302"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single" w:sz="4" w:space="0" w:color="auto"/>
              <w:right w:val="nil"/>
            </w:tcBorders>
            <w:shd w:val="clear" w:color="auto" w:fill="auto"/>
            <w:noWrap/>
            <w:vAlign w:val="bottom"/>
          </w:tcPr>
          <w:p w14:paraId="75B191E0" w14:textId="77777777" w:rsidR="00CE483B" w:rsidRPr="00895319" w:rsidRDefault="00CE483B" w:rsidP="008D6034">
            <w:pPr>
              <w:spacing w:before="60" w:after="60"/>
              <w:jc w:val="right"/>
              <w:rPr>
                <w:rFonts w:eastAsia="Times New Roman" w:cstheme="minorHAnsi"/>
                <w:color w:val="000000"/>
                <w:sz w:val="18"/>
                <w:lang w:eastAsia="en-AU"/>
              </w:rPr>
            </w:pPr>
          </w:p>
        </w:tc>
        <w:tc>
          <w:tcPr>
            <w:tcW w:w="752" w:type="dxa"/>
            <w:tcBorders>
              <w:top w:val="nil"/>
              <w:left w:val="nil"/>
              <w:bottom w:val="single" w:sz="4" w:space="0" w:color="auto"/>
              <w:right w:val="nil"/>
            </w:tcBorders>
            <w:shd w:val="clear" w:color="auto" w:fill="auto"/>
            <w:noWrap/>
            <w:vAlign w:val="bottom"/>
          </w:tcPr>
          <w:p w14:paraId="38362986"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single" w:sz="4" w:space="0" w:color="auto"/>
              <w:right w:val="nil"/>
            </w:tcBorders>
            <w:shd w:val="clear" w:color="auto" w:fill="auto"/>
            <w:noWrap/>
            <w:vAlign w:val="bottom"/>
          </w:tcPr>
          <w:p w14:paraId="10E3C9EE"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single" w:sz="4" w:space="0" w:color="auto"/>
              <w:right w:val="nil"/>
            </w:tcBorders>
            <w:shd w:val="clear" w:color="auto" w:fill="auto"/>
            <w:noWrap/>
            <w:vAlign w:val="bottom"/>
          </w:tcPr>
          <w:p w14:paraId="0DC6778C"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w:t>
            </w:r>
          </w:p>
        </w:tc>
        <w:tc>
          <w:tcPr>
            <w:tcW w:w="753" w:type="dxa"/>
            <w:tcBorders>
              <w:top w:val="nil"/>
              <w:left w:val="nil"/>
              <w:bottom w:val="single" w:sz="4" w:space="0" w:color="auto"/>
              <w:right w:val="nil"/>
            </w:tcBorders>
            <w:shd w:val="clear" w:color="auto" w:fill="auto"/>
            <w:noWrap/>
            <w:vAlign w:val="bottom"/>
          </w:tcPr>
          <w:p w14:paraId="11E4DF4C"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single" w:sz="4" w:space="0" w:color="auto"/>
              <w:right w:val="single" w:sz="4" w:space="0" w:color="auto"/>
            </w:tcBorders>
            <w:shd w:val="clear" w:color="auto" w:fill="auto"/>
            <w:noWrap/>
            <w:vAlign w:val="bottom"/>
          </w:tcPr>
          <w:p w14:paraId="14572B3F" w14:textId="77777777" w:rsidR="00CE483B" w:rsidRPr="005D01D9" w:rsidRDefault="00CE483B" w:rsidP="008D6034">
            <w:pPr>
              <w:spacing w:before="60" w:after="60"/>
              <w:rPr>
                <w:rFonts w:eastAsia="Times New Roman" w:cstheme="minorHAnsi"/>
                <w:b/>
                <w:bCs/>
                <w:color w:val="000000"/>
                <w:sz w:val="18"/>
                <w:lang w:eastAsia="en-AU"/>
              </w:rPr>
            </w:pPr>
            <w:r>
              <w:rPr>
                <w:rFonts w:eastAsia="Times New Roman" w:cstheme="minorHAnsi"/>
                <w:b/>
                <w:bCs/>
                <w:color w:val="000000"/>
                <w:sz w:val="18"/>
                <w:lang w:eastAsia="en-AU"/>
              </w:rPr>
              <w:t>3</w:t>
            </w:r>
          </w:p>
        </w:tc>
      </w:tr>
      <w:tr w:rsidR="00CE483B" w:rsidRPr="005D01D9" w14:paraId="6FE6CBDE" w14:textId="77777777" w:rsidTr="008D6034">
        <w:trPr>
          <w:cantSplit/>
          <w:trHeight w:val="5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0FF1C" w14:textId="77777777" w:rsidR="00CE483B" w:rsidRPr="00895319" w:rsidRDefault="00CE483B" w:rsidP="008D6034">
            <w:pPr>
              <w:spacing w:before="60" w:after="60"/>
              <w:rPr>
                <w:rFonts w:eastAsia="Times New Roman" w:cstheme="minorHAnsi"/>
                <w:color w:val="000000"/>
                <w:sz w:val="18"/>
                <w:lang w:eastAsia="en-AU"/>
              </w:rPr>
            </w:pPr>
            <w:r w:rsidRPr="00895319">
              <w:rPr>
                <w:rFonts w:eastAsia="Times New Roman" w:cstheme="minorHAnsi"/>
                <w:color w:val="000000"/>
                <w:sz w:val="18"/>
                <w:lang w:eastAsia="en-AU"/>
              </w:rPr>
              <w:t>Fire</w:t>
            </w:r>
          </w:p>
        </w:tc>
        <w:tc>
          <w:tcPr>
            <w:tcW w:w="752" w:type="dxa"/>
            <w:tcBorders>
              <w:top w:val="single" w:sz="4" w:space="0" w:color="auto"/>
              <w:left w:val="single" w:sz="4" w:space="0" w:color="auto"/>
              <w:bottom w:val="nil"/>
              <w:right w:val="nil"/>
            </w:tcBorders>
            <w:shd w:val="clear" w:color="auto" w:fill="auto"/>
            <w:noWrap/>
            <w:vAlign w:val="bottom"/>
            <w:hideMark/>
          </w:tcPr>
          <w:p w14:paraId="43A7AC9D"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11</w:t>
            </w:r>
          </w:p>
        </w:tc>
        <w:tc>
          <w:tcPr>
            <w:tcW w:w="753" w:type="dxa"/>
            <w:tcBorders>
              <w:top w:val="single" w:sz="4" w:space="0" w:color="auto"/>
              <w:left w:val="nil"/>
              <w:bottom w:val="nil"/>
              <w:right w:val="nil"/>
            </w:tcBorders>
            <w:shd w:val="clear" w:color="auto" w:fill="auto"/>
            <w:noWrap/>
            <w:vAlign w:val="bottom"/>
            <w:hideMark/>
          </w:tcPr>
          <w:p w14:paraId="1295DBE7"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13</w:t>
            </w:r>
          </w:p>
        </w:tc>
        <w:tc>
          <w:tcPr>
            <w:tcW w:w="753" w:type="dxa"/>
            <w:tcBorders>
              <w:top w:val="single" w:sz="4" w:space="0" w:color="auto"/>
              <w:left w:val="nil"/>
              <w:bottom w:val="nil"/>
              <w:right w:val="nil"/>
            </w:tcBorders>
            <w:shd w:val="clear" w:color="auto" w:fill="auto"/>
            <w:noWrap/>
            <w:vAlign w:val="bottom"/>
            <w:hideMark/>
          </w:tcPr>
          <w:p w14:paraId="1A21F0BB"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12</w:t>
            </w:r>
          </w:p>
        </w:tc>
        <w:tc>
          <w:tcPr>
            <w:tcW w:w="753" w:type="dxa"/>
            <w:tcBorders>
              <w:top w:val="single" w:sz="4" w:space="0" w:color="auto"/>
              <w:left w:val="nil"/>
              <w:bottom w:val="nil"/>
              <w:right w:val="nil"/>
            </w:tcBorders>
            <w:shd w:val="clear" w:color="auto" w:fill="auto"/>
            <w:noWrap/>
            <w:vAlign w:val="bottom"/>
            <w:hideMark/>
          </w:tcPr>
          <w:p w14:paraId="231CF82C"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14</w:t>
            </w:r>
          </w:p>
        </w:tc>
        <w:tc>
          <w:tcPr>
            <w:tcW w:w="753" w:type="dxa"/>
            <w:tcBorders>
              <w:top w:val="single" w:sz="4" w:space="0" w:color="auto"/>
              <w:left w:val="nil"/>
              <w:bottom w:val="nil"/>
              <w:right w:val="nil"/>
            </w:tcBorders>
            <w:shd w:val="clear" w:color="auto" w:fill="auto"/>
            <w:noWrap/>
            <w:vAlign w:val="bottom"/>
            <w:hideMark/>
          </w:tcPr>
          <w:p w14:paraId="29697957"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15</w:t>
            </w:r>
          </w:p>
        </w:tc>
        <w:tc>
          <w:tcPr>
            <w:tcW w:w="752" w:type="dxa"/>
            <w:tcBorders>
              <w:top w:val="single" w:sz="4" w:space="0" w:color="auto"/>
              <w:left w:val="nil"/>
              <w:bottom w:val="nil"/>
              <w:right w:val="nil"/>
            </w:tcBorders>
            <w:shd w:val="clear" w:color="auto" w:fill="auto"/>
            <w:noWrap/>
            <w:vAlign w:val="bottom"/>
            <w:hideMark/>
          </w:tcPr>
          <w:p w14:paraId="4E60D1C6"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13</w:t>
            </w:r>
          </w:p>
        </w:tc>
        <w:tc>
          <w:tcPr>
            <w:tcW w:w="753" w:type="dxa"/>
            <w:tcBorders>
              <w:top w:val="single" w:sz="4" w:space="0" w:color="auto"/>
              <w:left w:val="nil"/>
              <w:bottom w:val="nil"/>
              <w:right w:val="nil"/>
            </w:tcBorders>
            <w:shd w:val="clear" w:color="auto" w:fill="auto"/>
            <w:noWrap/>
            <w:vAlign w:val="bottom"/>
            <w:hideMark/>
          </w:tcPr>
          <w:p w14:paraId="735C8A98"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18</w:t>
            </w:r>
          </w:p>
        </w:tc>
        <w:tc>
          <w:tcPr>
            <w:tcW w:w="753" w:type="dxa"/>
            <w:tcBorders>
              <w:top w:val="single" w:sz="4" w:space="0" w:color="auto"/>
              <w:left w:val="nil"/>
              <w:bottom w:val="nil"/>
              <w:right w:val="nil"/>
            </w:tcBorders>
            <w:shd w:val="clear" w:color="auto" w:fill="auto"/>
            <w:noWrap/>
            <w:vAlign w:val="bottom"/>
            <w:hideMark/>
          </w:tcPr>
          <w:p w14:paraId="403DD81D"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16</w:t>
            </w:r>
          </w:p>
        </w:tc>
        <w:tc>
          <w:tcPr>
            <w:tcW w:w="753" w:type="dxa"/>
            <w:tcBorders>
              <w:top w:val="single" w:sz="4" w:space="0" w:color="auto"/>
              <w:left w:val="nil"/>
              <w:bottom w:val="nil"/>
              <w:right w:val="nil"/>
            </w:tcBorders>
            <w:shd w:val="clear" w:color="auto" w:fill="auto"/>
            <w:noWrap/>
            <w:vAlign w:val="bottom"/>
            <w:hideMark/>
          </w:tcPr>
          <w:p w14:paraId="1F98A3C8"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6</w:t>
            </w:r>
          </w:p>
        </w:tc>
        <w:tc>
          <w:tcPr>
            <w:tcW w:w="753" w:type="dxa"/>
            <w:tcBorders>
              <w:top w:val="single" w:sz="4" w:space="0" w:color="auto"/>
              <w:left w:val="nil"/>
              <w:bottom w:val="nil"/>
              <w:right w:val="single" w:sz="4" w:space="0" w:color="auto"/>
            </w:tcBorders>
            <w:shd w:val="clear" w:color="auto" w:fill="auto"/>
            <w:noWrap/>
            <w:vAlign w:val="bottom"/>
            <w:hideMark/>
          </w:tcPr>
          <w:p w14:paraId="3DD001EE" w14:textId="77777777" w:rsidR="00CE483B" w:rsidRPr="005D01D9" w:rsidRDefault="00CE483B" w:rsidP="008D6034">
            <w:pPr>
              <w:spacing w:before="60" w:after="60"/>
              <w:rPr>
                <w:rFonts w:eastAsia="Times New Roman" w:cstheme="minorHAnsi"/>
                <w:b/>
                <w:bCs/>
                <w:color w:val="000000"/>
                <w:sz w:val="18"/>
                <w:lang w:eastAsia="en-AU"/>
              </w:rPr>
            </w:pPr>
            <w:r w:rsidRPr="005D01D9">
              <w:rPr>
                <w:rFonts w:eastAsia="Times New Roman" w:cstheme="minorHAnsi"/>
                <w:b/>
                <w:bCs/>
                <w:color w:val="000000"/>
                <w:sz w:val="18"/>
                <w:lang w:eastAsia="en-AU"/>
              </w:rPr>
              <w:t>118</w:t>
            </w:r>
          </w:p>
        </w:tc>
      </w:tr>
      <w:tr w:rsidR="00CE483B" w:rsidRPr="005D01D9" w14:paraId="442ACF36" w14:textId="77777777" w:rsidTr="008D6034">
        <w:trPr>
          <w:cantSplit/>
          <w:trHeight w:val="5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27FDA3"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Fatality</w:t>
            </w:r>
          </w:p>
        </w:tc>
        <w:tc>
          <w:tcPr>
            <w:tcW w:w="752" w:type="dxa"/>
            <w:tcBorders>
              <w:top w:val="nil"/>
              <w:left w:val="single" w:sz="4" w:space="0" w:color="auto"/>
              <w:bottom w:val="nil"/>
              <w:right w:val="nil"/>
            </w:tcBorders>
            <w:shd w:val="clear" w:color="auto" w:fill="auto"/>
            <w:noWrap/>
            <w:vAlign w:val="bottom"/>
          </w:tcPr>
          <w:p w14:paraId="0D39FE9B"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04E9301E"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00E79E08"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50A6560C"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183FEC98" w14:textId="77777777" w:rsidR="00CE483B" w:rsidRPr="00895319" w:rsidRDefault="00CE483B" w:rsidP="008D6034">
            <w:pPr>
              <w:spacing w:before="60" w:after="60"/>
              <w:jc w:val="right"/>
              <w:rPr>
                <w:rFonts w:eastAsia="Times New Roman" w:cstheme="minorHAnsi"/>
                <w:color w:val="000000"/>
                <w:sz w:val="18"/>
                <w:lang w:eastAsia="en-AU"/>
              </w:rPr>
            </w:pPr>
          </w:p>
        </w:tc>
        <w:tc>
          <w:tcPr>
            <w:tcW w:w="752" w:type="dxa"/>
            <w:tcBorders>
              <w:top w:val="nil"/>
              <w:left w:val="nil"/>
              <w:bottom w:val="nil"/>
              <w:right w:val="nil"/>
            </w:tcBorders>
            <w:shd w:val="clear" w:color="auto" w:fill="auto"/>
            <w:noWrap/>
            <w:vAlign w:val="bottom"/>
          </w:tcPr>
          <w:p w14:paraId="6764472D"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0D0B7FE3"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0D35E895"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nil"/>
            </w:tcBorders>
            <w:shd w:val="clear" w:color="auto" w:fill="auto"/>
            <w:noWrap/>
            <w:vAlign w:val="bottom"/>
          </w:tcPr>
          <w:p w14:paraId="682849AF"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nil"/>
              <w:right w:val="single" w:sz="4" w:space="0" w:color="auto"/>
            </w:tcBorders>
            <w:shd w:val="clear" w:color="auto" w:fill="auto"/>
            <w:noWrap/>
            <w:vAlign w:val="bottom"/>
          </w:tcPr>
          <w:p w14:paraId="6C9FA932" w14:textId="77777777" w:rsidR="00CE483B" w:rsidRPr="005D01D9" w:rsidRDefault="00CE483B" w:rsidP="008D6034">
            <w:pPr>
              <w:spacing w:before="60" w:after="60"/>
              <w:rPr>
                <w:rFonts w:eastAsia="Times New Roman" w:cstheme="minorHAnsi"/>
                <w:b/>
                <w:bCs/>
                <w:color w:val="000000"/>
                <w:sz w:val="18"/>
                <w:lang w:eastAsia="en-AU"/>
              </w:rPr>
            </w:pPr>
            <w:r>
              <w:rPr>
                <w:rFonts w:eastAsia="Times New Roman" w:cstheme="minorHAnsi"/>
                <w:b/>
                <w:bCs/>
                <w:color w:val="000000"/>
                <w:sz w:val="18"/>
                <w:lang w:eastAsia="en-AU"/>
              </w:rPr>
              <w:t>0</w:t>
            </w:r>
          </w:p>
        </w:tc>
      </w:tr>
      <w:tr w:rsidR="00CE483B" w:rsidRPr="005D01D9" w14:paraId="01228D64" w14:textId="77777777" w:rsidTr="008D6034">
        <w:trPr>
          <w:cantSplit/>
          <w:trHeight w:val="5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5C21C2" w14:textId="77777777" w:rsidR="00CE483B" w:rsidRPr="00895319" w:rsidRDefault="00CE483B" w:rsidP="008D6034">
            <w:pPr>
              <w:spacing w:before="60" w:after="60"/>
              <w:jc w:val="right"/>
              <w:rPr>
                <w:rFonts w:eastAsia="Times New Roman" w:cstheme="minorHAnsi"/>
                <w:color w:val="000000"/>
                <w:sz w:val="18"/>
                <w:lang w:eastAsia="en-AU"/>
              </w:rPr>
            </w:pPr>
            <w:r w:rsidRPr="00895319">
              <w:rPr>
                <w:rFonts w:eastAsia="Times New Roman" w:cstheme="minorHAnsi"/>
                <w:color w:val="000000"/>
                <w:sz w:val="18"/>
                <w:lang w:eastAsia="en-AU"/>
              </w:rPr>
              <w:t>Serious injury</w:t>
            </w:r>
          </w:p>
        </w:tc>
        <w:tc>
          <w:tcPr>
            <w:tcW w:w="752" w:type="dxa"/>
            <w:tcBorders>
              <w:top w:val="nil"/>
              <w:left w:val="single" w:sz="4" w:space="0" w:color="auto"/>
              <w:bottom w:val="single" w:sz="4" w:space="0" w:color="auto"/>
              <w:right w:val="nil"/>
            </w:tcBorders>
            <w:shd w:val="clear" w:color="auto" w:fill="auto"/>
            <w:noWrap/>
            <w:vAlign w:val="bottom"/>
          </w:tcPr>
          <w:p w14:paraId="1E87F2D5"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single" w:sz="4" w:space="0" w:color="auto"/>
              <w:right w:val="nil"/>
            </w:tcBorders>
            <w:shd w:val="clear" w:color="auto" w:fill="auto"/>
            <w:noWrap/>
            <w:vAlign w:val="bottom"/>
          </w:tcPr>
          <w:p w14:paraId="607BA9AC"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single" w:sz="4" w:space="0" w:color="auto"/>
              <w:right w:val="nil"/>
            </w:tcBorders>
            <w:shd w:val="clear" w:color="auto" w:fill="auto"/>
            <w:noWrap/>
            <w:vAlign w:val="bottom"/>
          </w:tcPr>
          <w:p w14:paraId="03291297"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single" w:sz="4" w:space="0" w:color="auto"/>
              <w:right w:val="nil"/>
            </w:tcBorders>
            <w:shd w:val="clear" w:color="auto" w:fill="auto"/>
            <w:noWrap/>
            <w:vAlign w:val="bottom"/>
          </w:tcPr>
          <w:p w14:paraId="59BADBEF"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single" w:sz="4" w:space="0" w:color="auto"/>
              <w:right w:val="nil"/>
            </w:tcBorders>
            <w:shd w:val="clear" w:color="auto" w:fill="auto"/>
            <w:noWrap/>
            <w:vAlign w:val="bottom"/>
          </w:tcPr>
          <w:p w14:paraId="709438B0" w14:textId="77777777" w:rsidR="00CE483B" w:rsidRPr="00895319" w:rsidRDefault="00CE483B" w:rsidP="008D6034">
            <w:pPr>
              <w:spacing w:before="60" w:after="60"/>
              <w:jc w:val="right"/>
              <w:rPr>
                <w:rFonts w:eastAsia="Times New Roman" w:cstheme="minorHAnsi"/>
                <w:color w:val="000000"/>
                <w:sz w:val="18"/>
                <w:lang w:eastAsia="en-AU"/>
              </w:rPr>
            </w:pPr>
          </w:p>
        </w:tc>
        <w:tc>
          <w:tcPr>
            <w:tcW w:w="752" w:type="dxa"/>
            <w:tcBorders>
              <w:top w:val="nil"/>
              <w:left w:val="nil"/>
              <w:bottom w:val="single" w:sz="4" w:space="0" w:color="auto"/>
              <w:right w:val="nil"/>
            </w:tcBorders>
            <w:shd w:val="clear" w:color="auto" w:fill="auto"/>
            <w:noWrap/>
            <w:vAlign w:val="bottom"/>
          </w:tcPr>
          <w:p w14:paraId="014FB91E"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single" w:sz="4" w:space="0" w:color="auto"/>
              <w:right w:val="nil"/>
            </w:tcBorders>
            <w:shd w:val="clear" w:color="auto" w:fill="auto"/>
            <w:noWrap/>
            <w:vAlign w:val="bottom"/>
          </w:tcPr>
          <w:p w14:paraId="6A7D6D11"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single" w:sz="4" w:space="0" w:color="auto"/>
              <w:right w:val="nil"/>
            </w:tcBorders>
            <w:shd w:val="clear" w:color="auto" w:fill="auto"/>
            <w:noWrap/>
            <w:vAlign w:val="bottom"/>
          </w:tcPr>
          <w:p w14:paraId="68CE15B8"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single" w:sz="4" w:space="0" w:color="auto"/>
              <w:right w:val="nil"/>
            </w:tcBorders>
            <w:shd w:val="clear" w:color="auto" w:fill="auto"/>
            <w:noWrap/>
            <w:vAlign w:val="bottom"/>
          </w:tcPr>
          <w:p w14:paraId="45241267" w14:textId="77777777" w:rsidR="00CE483B" w:rsidRPr="00895319" w:rsidRDefault="00CE483B" w:rsidP="008D6034">
            <w:pPr>
              <w:spacing w:before="60" w:after="60"/>
              <w:jc w:val="right"/>
              <w:rPr>
                <w:rFonts w:eastAsia="Times New Roman" w:cstheme="minorHAnsi"/>
                <w:color w:val="000000"/>
                <w:sz w:val="18"/>
                <w:lang w:eastAsia="en-AU"/>
              </w:rPr>
            </w:pPr>
          </w:p>
        </w:tc>
        <w:tc>
          <w:tcPr>
            <w:tcW w:w="753" w:type="dxa"/>
            <w:tcBorders>
              <w:top w:val="nil"/>
              <w:left w:val="nil"/>
              <w:bottom w:val="single" w:sz="4" w:space="0" w:color="auto"/>
              <w:right w:val="single" w:sz="4" w:space="0" w:color="auto"/>
            </w:tcBorders>
            <w:shd w:val="clear" w:color="auto" w:fill="auto"/>
            <w:noWrap/>
            <w:vAlign w:val="bottom"/>
          </w:tcPr>
          <w:p w14:paraId="13E2DC1A" w14:textId="77777777" w:rsidR="00CE483B" w:rsidRPr="005D01D9" w:rsidRDefault="00CE483B" w:rsidP="008D6034">
            <w:pPr>
              <w:spacing w:before="60" w:after="60"/>
              <w:rPr>
                <w:rFonts w:eastAsia="Times New Roman" w:cstheme="minorHAnsi"/>
                <w:b/>
                <w:bCs/>
                <w:color w:val="000000"/>
                <w:sz w:val="18"/>
                <w:lang w:eastAsia="en-AU"/>
              </w:rPr>
            </w:pPr>
            <w:r>
              <w:rPr>
                <w:rFonts w:eastAsia="Times New Roman" w:cstheme="minorHAnsi"/>
                <w:b/>
                <w:bCs/>
                <w:color w:val="000000"/>
                <w:sz w:val="18"/>
                <w:lang w:eastAsia="en-AU"/>
              </w:rPr>
              <w:t>0</w:t>
            </w:r>
          </w:p>
        </w:tc>
      </w:tr>
    </w:tbl>
    <w:p w14:paraId="2E1A65BE" w14:textId="0A0BF822" w:rsidR="00636695" w:rsidRPr="00636695" w:rsidRDefault="00636695" w:rsidP="00636695">
      <w:pPr>
        <w:spacing w:before="40"/>
        <w:rPr>
          <w:rFonts w:cstheme="minorHAnsi"/>
          <w:color w:val="auto"/>
          <w:sz w:val="16"/>
          <w:szCs w:val="16"/>
        </w:rPr>
      </w:pPr>
      <w:r w:rsidRPr="00636695">
        <w:rPr>
          <w:rFonts w:cstheme="minorHAnsi"/>
          <w:color w:val="auto"/>
          <w:sz w:val="16"/>
          <w:szCs w:val="16"/>
        </w:rPr>
        <w:t>Source: TSV</w:t>
      </w:r>
    </w:p>
    <w:p w14:paraId="2B639D33" w14:textId="35558D4C" w:rsidR="00E44CDB" w:rsidRPr="00B1000C" w:rsidRDefault="00E44CDB" w:rsidP="00E44CDB">
      <w:pPr>
        <w:rPr>
          <w:rFonts w:cstheme="minorHAnsi"/>
          <w:color w:val="auto"/>
          <w:szCs w:val="20"/>
        </w:rPr>
      </w:pPr>
      <w:r>
        <w:rPr>
          <w:rFonts w:cstheme="minorHAnsi"/>
          <w:color w:val="auto"/>
          <w:szCs w:val="20"/>
        </w:rPr>
        <w:t>DoT also makes the following observations</w:t>
      </w:r>
      <w:r w:rsidRPr="00B1000C">
        <w:rPr>
          <w:rFonts w:cstheme="minorHAnsi"/>
          <w:color w:val="auto"/>
          <w:szCs w:val="20"/>
        </w:rPr>
        <w:t>:</w:t>
      </w:r>
    </w:p>
    <w:p w14:paraId="27926A99" w14:textId="3DCB322A" w:rsidR="00E44CDB" w:rsidRPr="00B1000C" w:rsidRDefault="00E44CDB" w:rsidP="00842F5A">
      <w:pPr>
        <w:pStyle w:val="ListParagraph"/>
        <w:numPr>
          <w:ilvl w:val="0"/>
          <w:numId w:val="25"/>
        </w:numPr>
        <w:rPr>
          <w:rFonts w:asciiTheme="minorHAnsi" w:hAnsiTheme="minorHAnsi" w:cstheme="minorHAnsi"/>
          <w:color w:val="auto"/>
          <w:sz w:val="20"/>
          <w:szCs w:val="20"/>
        </w:rPr>
      </w:pPr>
      <w:r w:rsidRPr="00B1000C">
        <w:rPr>
          <w:rFonts w:asciiTheme="minorHAnsi" w:hAnsiTheme="minorHAnsi" w:cstheme="minorHAnsi"/>
          <w:color w:val="auto"/>
          <w:sz w:val="20"/>
          <w:szCs w:val="20"/>
        </w:rPr>
        <w:t xml:space="preserve">In comparison to current </w:t>
      </w:r>
      <w:r>
        <w:rPr>
          <w:rFonts w:asciiTheme="minorHAnsi" w:hAnsiTheme="minorHAnsi" w:cstheme="minorHAnsi"/>
          <w:color w:val="auto"/>
          <w:sz w:val="20"/>
          <w:szCs w:val="20"/>
        </w:rPr>
        <w:t>serious injury rates caused by mechanical failures</w:t>
      </w:r>
      <w:r w:rsidRPr="00B1000C">
        <w:rPr>
          <w:rFonts w:asciiTheme="minorHAnsi" w:hAnsiTheme="minorHAnsi" w:cstheme="minorHAnsi"/>
          <w:color w:val="auto"/>
          <w:sz w:val="20"/>
          <w:szCs w:val="20"/>
        </w:rPr>
        <w:t xml:space="preserve">, </w:t>
      </w:r>
      <w:r>
        <w:rPr>
          <w:rFonts w:asciiTheme="minorHAnsi" w:hAnsiTheme="minorHAnsi" w:cstheme="minorHAnsi"/>
          <w:color w:val="auto"/>
          <w:sz w:val="20"/>
          <w:szCs w:val="20"/>
        </w:rPr>
        <w:t>the</w:t>
      </w:r>
      <w:r w:rsidR="003D2B37">
        <w:rPr>
          <w:rFonts w:asciiTheme="minorHAnsi" w:hAnsiTheme="minorHAnsi" w:cstheme="minorHAnsi"/>
          <w:color w:val="auto"/>
          <w:sz w:val="20"/>
          <w:szCs w:val="20"/>
        </w:rPr>
        <w:t xml:space="preserve"> reduction in the </w:t>
      </w:r>
      <w:r>
        <w:rPr>
          <w:rFonts w:asciiTheme="minorHAnsi" w:hAnsiTheme="minorHAnsi" w:cstheme="minorHAnsi"/>
          <w:color w:val="auto"/>
          <w:sz w:val="20"/>
          <w:szCs w:val="20"/>
        </w:rPr>
        <w:t>number of serious injuries need</w:t>
      </w:r>
      <w:r w:rsidR="003D2B37">
        <w:rPr>
          <w:rFonts w:asciiTheme="minorHAnsi" w:hAnsiTheme="minorHAnsi" w:cstheme="minorHAnsi"/>
          <w:color w:val="auto"/>
          <w:sz w:val="20"/>
          <w:szCs w:val="20"/>
        </w:rPr>
        <w:t>ed</w:t>
      </w:r>
      <w:r>
        <w:rPr>
          <w:rFonts w:asciiTheme="minorHAnsi" w:hAnsiTheme="minorHAnsi" w:cstheme="minorHAnsi"/>
          <w:color w:val="auto"/>
          <w:sz w:val="20"/>
          <w:szCs w:val="20"/>
        </w:rPr>
        <w:t xml:space="preserve"> to break</w:t>
      </w:r>
      <w:r w:rsidR="00D26918">
        <w:rPr>
          <w:rFonts w:asciiTheme="minorHAnsi" w:hAnsiTheme="minorHAnsi" w:cstheme="minorHAnsi"/>
          <w:color w:val="auto"/>
          <w:sz w:val="20"/>
          <w:szCs w:val="20"/>
        </w:rPr>
        <w:t xml:space="preserve"> </w:t>
      </w:r>
      <w:r>
        <w:rPr>
          <w:rFonts w:asciiTheme="minorHAnsi" w:hAnsiTheme="minorHAnsi" w:cstheme="minorHAnsi"/>
          <w:color w:val="auto"/>
          <w:sz w:val="20"/>
          <w:szCs w:val="20"/>
        </w:rPr>
        <w:t xml:space="preserve">even </w:t>
      </w:r>
      <w:r w:rsidR="00D41885">
        <w:rPr>
          <w:rFonts w:asciiTheme="minorHAnsi" w:hAnsiTheme="minorHAnsi" w:cstheme="minorHAnsi"/>
          <w:color w:val="auto"/>
          <w:sz w:val="20"/>
          <w:szCs w:val="20"/>
        </w:rPr>
        <w:t>for both options</w:t>
      </w:r>
      <w:r>
        <w:rPr>
          <w:rFonts w:asciiTheme="minorHAnsi" w:hAnsiTheme="minorHAnsi" w:cstheme="minorHAnsi"/>
          <w:color w:val="auto"/>
          <w:sz w:val="20"/>
          <w:szCs w:val="20"/>
        </w:rPr>
        <w:t xml:space="preserve"> appear to be </w:t>
      </w:r>
      <w:r w:rsidR="00D41885">
        <w:rPr>
          <w:rFonts w:asciiTheme="minorHAnsi" w:hAnsiTheme="minorHAnsi" w:cstheme="minorHAnsi"/>
          <w:color w:val="auto"/>
          <w:sz w:val="20"/>
          <w:szCs w:val="20"/>
        </w:rPr>
        <w:t xml:space="preserve">much </w:t>
      </w:r>
      <w:r>
        <w:rPr>
          <w:rFonts w:asciiTheme="minorHAnsi" w:hAnsiTheme="minorHAnsi" w:cstheme="minorHAnsi"/>
          <w:color w:val="auto"/>
          <w:sz w:val="20"/>
          <w:szCs w:val="20"/>
        </w:rPr>
        <w:t xml:space="preserve">higher than the current level of serious injuries. However, it is hard to determine what the true serious injury rate </w:t>
      </w:r>
      <w:r w:rsidR="006B7E0E">
        <w:rPr>
          <w:rFonts w:asciiTheme="minorHAnsi" w:hAnsiTheme="minorHAnsi" w:cstheme="minorHAnsi"/>
          <w:color w:val="auto"/>
          <w:sz w:val="20"/>
          <w:szCs w:val="20"/>
        </w:rPr>
        <w:t>would be</w:t>
      </w:r>
      <w:r>
        <w:rPr>
          <w:rFonts w:asciiTheme="minorHAnsi" w:hAnsiTheme="minorHAnsi" w:cstheme="minorHAnsi"/>
          <w:color w:val="auto"/>
          <w:sz w:val="20"/>
          <w:szCs w:val="20"/>
        </w:rPr>
        <w:t xml:space="preserve"> in the absence of regulations. </w:t>
      </w:r>
    </w:p>
    <w:p w14:paraId="3710247B" w14:textId="091C420C" w:rsidR="00E44CDB" w:rsidRDefault="00E44CDB" w:rsidP="00842F5A">
      <w:pPr>
        <w:pStyle w:val="ListParagraph"/>
        <w:numPr>
          <w:ilvl w:val="0"/>
          <w:numId w:val="25"/>
        </w:numPr>
        <w:rPr>
          <w:rFonts w:asciiTheme="minorHAnsi" w:hAnsiTheme="minorHAnsi" w:cstheme="minorHAnsi"/>
          <w:color w:val="auto"/>
          <w:sz w:val="20"/>
          <w:szCs w:val="20"/>
        </w:rPr>
      </w:pPr>
      <w:r w:rsidRPr="00B1000C">
        <w:rPr>
          <w:rFonts w:asciiTheme="minorHAnsi" w:hAnsiTheme="minorHAnsi" w:cstheme="minorHAnsi"/>
          <w:color w:val="auto"/>
          <w:sz w:val="20"/>
          <w:szCs w:val="20"/>
        </w:rPr>
        <w:t xml:space="preserve">On a per </w:t>
      </w:r>
      <w:r w:rsidR="00BF0A3F">
        <w:rPr>
          <w:rFonts w:asciiTheme="minorHAnsi" w:hAnsiTheme="minorHAnsi" w:cstheme="minorHAnsi"/>
          <w:color w:val="auto"/>
          <w:sz w:val="20"/>
          <w:szCs w:val="20"/>
        </w:rPr>
        <w:t xml:space="preserve">accredited </w:t>
      </w:r>
      <w:r w:rsidRPr="00B1000C">
        <w:rPr>
          <w:rFonts w:asciiTheme="minorHAnsi" w:hAnsiTheme="minorHAnsi" w:cstheme="minorHAnsi"/>
          <w:color w:val="auto"/>
          <w:sz w:val="20"/>
          <w:szCs w:val="20"/>
        </w:rPr>
        <w:t>vehicle basis</w:t>
      </w:r>
      <w:r>
        <w:rPr>
          <w:rFonts w:asciiTheme="minorHAnsi" w:hAnsiTheme="minorHAnsi" w:cstheme="minorHAnsi"/>
          <w:color w:val="auto"/>
          <w:sz w:val="20"/>
          <w:szCs w:val="20"/>
        </w:rPr>
        <w:t xml:space="preserve"> (noting the regulation</w:t>
      </w:r>
      <w:r w:rsidR="005E2AF1">
        <w:rPr>
          <w:rFonts w:asciiTheme="minorHAnsi" w:hAnsiTheme="minorHAnsi" w:cstheme="minorHAnsi"/>
          <w:color w:val="auto"/>
          <w:sz w:val="20"/>
          <w:szCs w:val="20"/>
        </w:rPr>
        <w:t>s</w:t>
      </w:r>
      <w:r>
        <w:rPr>
          <w:rFonts w:asciiTheme="minorHAnsi" w:hAnsiTheme="minorHAnsi" w:cstheme="minorHAnsi"/>
          <w:color w:val="auto"/>
          <w:sz w:val="20"/>
          <w:szCs w:val="20"/>
        </w:rPr>
        <w:t xml:space="preserve"> would apply to </w:t>
      </w:r>
      <w:r w:rsidR="00BF0A3F">
        <w:rPr>
          <w:rFonts w:asciiTheme="minorHAnsi" w:hAnsiTheme="minorHAnsi" w:cstheme="minorHAnsi"/>
          <w:color w:val="auto"/>
          <w:sz w:val="20"/>
          <w:szCs w:val="20"/>
        </w:rPr>
        <w:t>7,305</w:t>
      </w:r>
      <w:r>
        <w:rPr>
          <w:rFonts w:asciiTheme="minorHAnsi" w:hAnsiTheme="minorHAnsi" w:cstheme="minorHAnsi"/>
          <w:color w:val="auto"/>
          <w:sz w:val="20"/>
          <w:szCs w:val="20"/>
        </w:rPr>
        <w:t xml:space="preserve"> buses operated</w:t>
      </w:r>
      <w:r w:rsidRPr="005D4EA1">
        <w:rPr>
          <w:rFonts w:asciiTheme="minorHAnsi" w:hAnsiTheme="minorHAnsi" w:cstheme="minorHAnsi"/>
          <w:color w:val="auto"/>
          <w:sz w:val="20"/>
          <w:szCs w:val="20"/>
        </w:rPr>
        <w:t>)</w:t>
      </w:r>
      <w:r w:rsidRPr="00B1000C">
        <w:rPr>
          <w:rFonts w:asciiTheme="minorHAnsi" w:hAnsiTheme="minorHAnsi" w:cstheme="minorHAnsi"/>
          <w:color w:val="auto"/>
          <w:sz w:val="20"/>
          <w:szCs w:val="20"/>
        </w:rPr>
        <w:t xml:space="preserve">, </w:t>
      </w:r>
      <w:r w:rsidR="00C722D8">
        <w:rPr>
          <w:rFonts w:asciiTheme="minorHAnsi" w:hAnsiTheme="minorHAnsi" w:cstheme="minorHAnsi"/>
          <w:color w:val="auto"/>
          <w:sz w:val="20"/>
          <w:szCs w:val="20"/>
        </w:rPr>
        <w:t>a</w:t>
      </w:r>
      <w:r w:rsidR="00C537D4">
        <w:rPr>
          <w:rFonts w:asciiTheme="minorHAnsi" w:hAnsiTheme="minorHAnsi" w:cstheme="minorHAnsi"/>
          <w:color w:val="auto"/>
          <w:sz w:val="20"/>
          <w:szCs w:val="20"/>
        </w:rPr>
        <w:t>n</w:t>
      </w:r>
      <w:r w:rsidR="00C722D8">
        <w:rPr>
          <w:rFonts w:asciiTheme="minorHAnsi" w:hAnsiTheme="minorHAnsi" w:cstheme="minorHAnsi"/>
          <w:color w:val="auto"/>
          <w:sz w:val="20"/>
          <w:szCs w:val="20"/>
        </w:rPr>
        <w:t xml:space="preserve"> MMS </w:t>
      </w:r>
      <w:r>
        <w:rPr>
          <w:rFonts w:asciiTheme="minorHAnsi" w:hAnsiTheme="minorHAnsi" w:cstheme="minorHAnsi"/>
          <w:color w:val="auto"/>
          <w:sz w:val="20"/>
          <w:szCs w:val="20"/>
        </w:rPr>
        <w:t>would imply for every 1,000 buses operating, approximately three to fo</w:t>
      </w:r>
      <w:r w:rsidR="00A81867">
        <w:rPr>
          <w:rFonts w:asciiTheme="minorHAnsi" w:hAnsiTheme="minorHAnsi" w:cstheme="minorHAnsi"/>
          <w:color w:val="auto"/>
          <w:sz w:val="20"/>
          <w:szCs w:val="20"/>
        </w:rPr>
        <w:t>u</w:t>
      </w:r>
      <w:r w:rsidR="00DD3868">
        <w:rPr>
          <w:rFonts w:asciiTheme="minorHAnsi" w:hAnsiTheme="minorHAnsi" w:cstheme="minorHAnsi"/>
          <w:color w:val="auto"/>
          <w:sz w:val="20"/>
          <w:szCs w:val="20"/>
        </w:rPr>
        <w:t>rteen</w:t>
      </w:r>
      <w:r>
        <w:rPr>
          <w:rFonts w:asciiTheme="minorHAnsi" w:hAnsiTheme="minorHAnsi" w:cstheme="minorHAnsi"/>
          <w:color w:val="auto"/>
          <w:sz w:val="20"/>
          <w:szCs w:val="20"/>
        </w:rPr>
        <w:t xml:space="preserve"> serious injuries would need to be avoided per year. </w:t>
      </w:r>
    </w:p>
    <w:p w14:paraId="015465AB" w14:textId="019E9DB9" w:rsidR="00E44CDB" w:rsidRDefault="00E44CDB" w:rsidP="00842F5A">
      <w:pPr>
        <w:pStyle w:val="ListParagraph"/>
        <w:numPr>
          <w:ilvl w:val="0"/>
          <w:numId w:val="25"/>
        </w:numPr>
        <w:rPr>
          <w:rFonts w:asciiTheme="minorHAnsi" w:hAnsiTheme="minorHAnsi" w:cstheme="minorHAnsi"/>
          <w:color w:val="auto"/>
          <w:sz w:val="20"/>
          <w:szCs w:val="20"/>
        </w:rPr>
      </w:pPr>
      <w:r w:rsidRPr="00B1000C">
        <w:rPr>
          <w:rFonts w:asciiTheme="minorHAnsi" w:hAnsiTheme="minorHAnsi" w:cstheme="minorHAnsi"/>
          <w:color w:val="auto"/>
          <w:sz w:val="20"/>
          <w:szCs w:val="20"/>
        </w:rPr>
        <w:t xml:space="preserve">On a per </w:t>
      </w:r>
      <w:r>
        <w:rPr>
          <w:rFonts w:asciiTheme="minorHAnsi" w:hAnsiTheme="minorHAnsi" w:cstheme="minorHAnsi"/>
          <w:color w:val="auto"/>
          <w:sz w:val="20"/>
          <w:szCs w:val="20"/>
        </w:rPr>
        <w:t xml:space="preserve">registered </w:t>
      </w:r>
      <w:r w:rsidRPr="00B1000C">
        <w:rPr>
          <w:rFonts w:asciiTheme="minorHAnsi" w:hAnsiTheme="minorHAnsi" w:cstheme="minorHAnsi"/>
          <w:color w:val="auto"/>
          <w:sz w:val="20"/>
          <w:szCs w:val="20"/>
        </w:rPr>
        <w:t>vehicle basis</w:t>
      </w:r>
      <w:r>
        <w:rPr>
          <w:rFonts w:asciiTheme="minorHAnsi" w:hAnsiTheme="minorHAnsi" w:cstheme="minorHAnsi"/>
          <w:color w:val="auto"/>
          <w:sz w:val="20"/>
          <w:szCs w:val="20"/>
        </w:rPr>
        <w:t xml:space="preserve"> (noting the regulation would apply to 6,058 buses operated by registered operators)</w:t>
      </w:r>
      <w:r w:rsidRPr="00B1000C">
        <w:rPr>
          <w:rFonts w:asciiTheme="minorHAnsi" w:hAnsiTheme="minorHAnsi" w:cstheme="minorHAnsi"/>
          <w:color w:val="auto"/>
          <w:sz w:val="20"/>
          <w:szCs w:val="20"/>
        </w:rPr>
        <w:t xml:space="preserve">, </w:t>
      </w:r>
      <w:r>
        <w:rPr>
          <w:rFonts w:asciiTheme="minorHAnsi" w:hAnsiTheme="minorHAnsi" w:cstheme="minorHAnsi"/>
          <w:color w:val="auto"/>
          <w:sz w:val="20"/>
          <w:szCs w:val="20"/>
        </w:rPr>
        <w:t xml:space="preserve">a yearly inspection for vehicles operated by registered operators would imply for every 1,000 buses operating, one to two </w:t>
      </w:r>
      <w:r w:rsidRPr="00B1000C">
        <w:rPr>
          <w:rFonts w:asciiTheme="minorHAnsi" w:hAnsiTheme="minorHAnsi" w:cstheme="minorHAnsi"/>
          <w:color w:val="auto"/>
          <w:sz w:val="20"/>
          <w:szCs w:val="20"/>
        </w:rPr>
        <w:t>serious injuries would need to be avoided each year</w:t>
      </w:r>
      <w:r>
        <w:rPr>
          <w:rFonts w:asciiTheme="minorHAnsi" w:hAnsiTheme="minorHAnsi" w:cstheme="minorHAnsi"/>
          <w:color w:val="auto"/>
          <w:sz w:val="20"/>
          <w:szCs w:val="20"/>
        </w:rPr>
        <w:t xml:space="preserve">. </w:t>
      </w:r>
    </w:p>
    <w:p w14:paraId="3D156E1E" w14:textId="59976860" w:rsidR="00A434A9" w:rsidRPr="00B1000C" w:rsidRDefault="00A434A9" w:rsidP="00842F5A">
      <w:pPr>
        <w:pStyle w:val="ListParagraph"/>
        <w:numPr>
          <w:ilvl w:val="0"/>
          <w:numId w:val="25"/>
        </w:numPr>
        <w:rPr>
          <w:rFonts w:asciiTheme="minorHAnsi" w:hAnsiTheme="minorHAnsi" w:cstheme="minorHAnsi"/>
          <w:color w:val="auto"/>
          <w:sz w:val="20"/>
          <w:szCs w:val="20"/>
        </w:rPr>
      </w:pPr>
      <w:r>
        <w:rPr>
          <w:rFonts w:asciiTheme="minorHAnsi" w:hAnsiTheme="minorHAnsi" w:cstheme="minorHAnsi"/>
          <w:color w:val="auto"/>
          <w:sz w:val="20"/>
          <w:szCs w:val="20"/>
        </w:rPr>
        <w:t xml:space="preserve">For context, </w:t>
      </w:r>
      <w:r w:rsidR="004B4B58">
        <w:rPr>
          <w:rFonts w:asciiTheme="minorHAnsi" w:hAnsiTheme="minorHAnsi" w:cstheme="minorHAnsi"/>
          <w:color w:val="auto"/>
          <w:sz w:val="20"/>
          <w:szCs w:val="20"/>
        </w:rPr>
        <w:t xml:space="preserve">a statistical summary of road trauma in Australia </w:t>
      </w:r>
      <w:r>
        <w:rPr>
          <w:rFonts w:asciiTheme="minorHAnsi" w:hAnsiTheme="minorHAnsi" w:cstheme="minorHAnsi"/>
          <w:color w:val="auto"/>
          <w:sz w:val="20"/>
          <w:szCs w:val="20"/>
        </w:rPr>
        <w:t xml:space="preserve">published by </w:t>
      </w:r>
      <w:r w:rsidR="004B4B58">
        <w:rPr>
          <w:rFonts w:asciiTheme="minorHAnsi" w:hAnsiTheme="minorHAnsi" w:cstheme="minorHAnsi"/>
          <w:color w:val="auto"/>
          <w:sz w:val="20"/>
          <w:szCs w:val="20"/>
        </w:rPr>
        <w:t>BITRE</w:t>
      </w:r>
      <w:r>
        <w:rPr>
          <w:rFonts w:asciiTheme="minorHAnsi" w:hAnsiTheme="minorHAnsi" w:cstheme="minorHAnsi"/>
          <w:color w:val="auto"/>
          <w:sz w:val="20"/>
          <w:szCs w:val="20"/>
        </w:rPr>
        <w:t xml:space="preserve"> </w:t>
      </w:r>
      <w:r w:rsidR="004B4B58">
        <w:rPr>
          <w:rFonts w:asciiTheme="minorHAnsi" w:hAnsiTheme="minorHAnsi" w:cstheme="minorHAnsi"/>
          <w:color w:val="auto"/>
          <w:sz w:val="20"/>
          <w:szCs w:val="20"/>
        </w:rPr>
        <w:t>showed that in 2016 there were 2.1 hospitalised injuries per 1,000 registered motor vehicles (includes car, trucks, light commercial vehicles and buses)</w:t>
      </w:r>
      <w:r w:rsidR="00FD67AA">
        <w:rPr>
          <w:rFonts w:asciiTheme="minorHAnsi" w:hAnsiTheme="minorHAnsi" w:cstheme="minorHAnsi"/>
          <w:color w:val="auto"/>
          <w:sz w:val="20"/>
          <w:szCs w:val="20"/>
        </w:rPr>
        <w:t>.</w:t>
      </w:r>
      <w:r>
        <w:rPr>
          <w:rStyle w:val="FootnoteReference"/>
          <w:rFonts w:asciiTheme="minorHAnsi" w:hAnsiTheme="minorHAnsi" w:cstheme="minorHAnsi"/>
          <w:color w:val="auto"/>
          <w:sz w:val="20"/>
          <w:szCs w:val="20"/>
        </w:rPr>
        <w:footnoteReference w:id="19"/>
      </w:r>
      <w:r>
        <w:rPr>
          <w:rFonts w:asciiTheme="minorHAnsi" w:hAnsiTheme="minorHAnsi" w:cstheme="minorHAnsi"/>
          <w:color w:val="auto"/>
          <w:sz w:val="20"/>
          <w:szCs w:val="20"/>
        </w:rPr>
        <w:t xml:space="preserve"> </w:t>
      </w:r>
    </w:p>
    <w:p w14:paraId="128AAA02" w14:textId="7EC77B27" w:rsidR="003858FA" w:rsidRDefault="003E10B3" w:rsidP="00962091">
      <w:r w:rsidRPr="003E10B3">
        <w:t xml:space="preserve">An important indicator of the contribution of the </w:t>
      </w:r>
      <w:r>
        <w:t>interventions relating to vehicle inspections</w:t>
      </w:r>
      <w:r w:rsidRPr="003E10B3">
        <w:t xml:space="preserve"> to the level of performance being achieved is the number of defects being detected by a </w:t>
      </w:r>
      <w:r w:rsidR="00324426">
        <w:t>licensed bus tester</w:t>
      </w:r>
      <w:r w:rsidRPr="003E10B3">
        <w:t xml:space="preserve"> during the course of the inspection programme mandated by the regulations. </w:t>
      </w:r>
      <w:r w:rsidR="00BB7CB4">
        <w:fldChar w:fldCharType="begin"/>
      </w:r>
      <w:r w:rsidR="00BB7CB4">
        <w:instrText xml:space="preserve"> REF _Ref36724819 \h  \* MERGEFORMAT </w:instrText>
      </w:r>
      <w:r w:rsidR="00BB7CB4">
        <w:fldChar w:fldCharType="separate"/>
      </w:r>
      <w:r w:rsidR="00277F6E" w:rsidRPr="00277F6E">
        <w:t>Table 3</w:t>
      </w:r>
      <w:r w:rsidR="00277F6E" w:rsidRPr="00277F6E">
        <w:noBreakHyphen/>
        <w:t>11</w:t>
      </w:r>
      <w:r w:rsidR="00BB7CB4">
        <w:fldChar w:fldCharType="end"/>
      </w:r>
      <w:r w:rsidRPr="003E10B3">
        <w:t xml:space="preserve"> shows that there is still a significant number of items failed when buses are presented for their annual </w:t>
      </w:r>
      <w:r w:rsidR="000A555E">
        <w:t xml:space="preserve">roadworthy vehicle </w:t>
      </w:r>
      <w:r w:rsidRPr="003E10B3">
        <w:t>inspections.</w:t>
      </w:r>
      <w:r w:rsidR="002E75FA">
        <w:t xml:space="preserve"> While these failures may not have resulted in incidents involving</w:t>
      </w:r>
      <w:r w:rsidR="00426FC0">
        <w:t xml:space="preserve"> a</w:t>
      </w:r>
      <w:r w:rsidR="002E75FA">
        <w:t xml:space="preserve"> fatalit</w:t>
      </w:r>
      <w:r w:rsidR="00426FC0">
        <w:t>y</w:t>
      </w:r>
      <w:r w:rsidR="002E75FA">
        <w:t xml:space="preserve"> or serious injur</w:t>
      </w:r>
      <w:r w:rsidR="00426FC0">
        <w:t>y</w:t>
      </w:r>
      <w:r w:rsidR="002E75FA">
        <w:t>, it suggest</w:t>
      </w:r>
      <w:r w:rsidR="00C6223D">
        <w:t>s</w:t>
      </w:r>
      <w:r w:rsidR="002E75FA">
        <w:t xml:space="preserve"> that more could be done to </w:t>
      </w:r>
      <w:r w:rsidR="005912E4">
        <w:t xml:space="preserve">improve safety in bus services. In particular, </w:t>
      </w:r>
      <w:r w:rsidR="005912E4">
        <w:lastRenderedPageBreak/>
        <w:t xml:space="preserve">DoT recommends that measures to ensure that mechanical failures and defects are </w:t>
      </w:r>
      <w:r w:rsidR="00CB14E2">
        <w:t>minimised</w:t>
      </w:r>
      <w:r w:rsidR="005912E4">
        <w:t xml:space="preserve"> </w:t>
      </w:r>
      <w:r w:rsidR="00AE5AA8">
        <w:t xml:space="preserve">continue </w:t>
      </w:r>
      <w:r w:rsidR="00C6223D">
        <w:t>in the proposed regulations.</w:t>
      </w:r>
    </w:p>
    <w:p w14:paraId="56CAD32B" w14:textId="18DF8CA7" w:rsidR="002F373A" w:rsidRDefault="00E7278E" w:rsidP="00E7278E">
      <w:r>
        <w:t xml:space="preserve">The purpose of requiring </w:t>
      </w:r>
      <w:r w:rsidR="001E1C2B">
        <w:t xml:space="preserve">both </w:t>
      </w:r>
      <w:r w:rsidR="00452908">
        <w:t>roadworthy</w:t>
      </w:r>
      <w:r w:rsidR="00EA6B6F">
        <w:t xml:space="preserve"> </w:t>
      </w:r>
      <w:r>
        <w:t>inspections and accredited operators to implement system</w:t>
      </w:r>
      <w:r w:rsidR="00AE5AA8">
        <w:t>s</w:t>
      </w:r>
      <w:r>
        <w:t xml:space="preserve"> </w:t>
      </w:r>
      <w:r w:rsidR="00AE5AA8">
        <w:t>for maintain</w:t>
      </w:r>
      <w:r w:rsidR="002F5A8C">
        <w:t>ing</w:t>
      </w:r>
      <w:r w:rsidR="00AE5AA8">
        <w:t xml:space="preserve"> vehicles </w:t>
      </w:r>
      <w:r>
        <w:t xml:space="preserve">is to identify and rectify mechanical failures and faults relating to the vehicle at the source. This will minimise the number of fatalities, serious injuries and other injuries and incidents that may occur from a vehicle fault. </w:t>
      </w:r>
    </w:p>
    <w:p w14:paraId="1D494F90" w14:textId="59F0ABD4" w:rsidR="00E7278E" w:rsidRDefault="002F373A" w:rsidP="00E7278E">
      <w:r>
        <w:t>In relation to roadworthy inspections, g</w:t>
      </w:r>
      <w:r w:rsidR="007A374A">
        <w:t xml:space="preserve">iven that </w:t>
      </w:r>
      <w:r w:rsidR="000310A6">
        <w:t>Option 2 targets risks and does not apply generally, DoT recommend</w:t>
      </w:r>
      <w:r w:rsidR="00BD2241">
        <w:t>s th</w:t>
      </w:r>
      <w:r w:rsidR="007E3B78">
        <w:t xml:space="preserve">is </w:t>
      </w:r>
      <w:r w:rsidR="00BD2241">
        <w:t>option</w:t>
      </w:r>
      <w:r w:rsidR="007E3B78">
        <w:t xml:space="preserve"> be adopted</w:t>
      </w:r>
      <w:r w:rsidR="00BD2241">
        <w:t xml:space="preserve"> in the </w:t>
      </w:r>
      <w:r w:rsidR="006B55A1">
        <w:t xml:space="preserve">proposed </w:t>
      </w:r>
      <w:r w:rsidR="00BD2241">
        <w:t>regulations.</w:t>
      </w:r>
      <w:r w:rsidR="000D353F">
        <w:t xml:space="preserve"> </w:t>
      </w:r>
      <w:r w:rsidR="000310A6">
        <w:t xml:space="preserve"> </w:t>
      </w:r>
    </w:p>
    <w:p w14:paraId="76978DFE" w14:textId="045FCE51" w:rsidR="0066302C" w:rsidRDefault="00272A84" w:rsidP="0095677C">
      <w:pPr>
        <w:pStyle w:val="Heading2"/>
        <w:ind w:left="578" w:hanging="578"/>
      </w:pPr>
      <w:bookmarkStart w:id="701" w:name="_Toc45704373"/>
      <w:r>
        <w:t xml:space="preserve">Safety of </w:t>
      </w:r>
      <w:r w:rsidR="003D2E64">
        <w:t>b</w:t>
      </w:r>
      <w:r>
        <w:t xml:space="preserve">us </w:t>
      </w:r>
      <w:r w:rsidR="003D2E64">
        <w:t>o</w:t>
      </w:r>
      <w:r>
        <w:t>perations</w:t>
      </w:r>
      <w:bookmarkEnd w:id="701"/>
    </w:p>
    <w:p w14:paraId="02F51D16" w14:textId="51EDDF35" w:rsidR="00747B9A" w:rsidRDefault="002E1E7C" w:rsidP="00747B9A">
      <w:r>
        <w:t xml:space="preserve">DoT has identified a range </w:t>
      </w:r>
      <w:r w:rsidR="00935561">
        <w:t xml:space="preserve">of </w:t>
      </w:r>
      <w:r w:rsidR="00B725C6">
        <w:t>options</w:t>
      </w:r>
      <w:r w:rsidR="00935561">
        <w:t xml:space="preserve"> to address a variety of safety risks that relate to the safe operation of bus services</w:t>
      </w:r>
      <w:r w:rsidR="001A55E1">
        <w:t xml:space="preserve">, as described is Section </w:t>
      </w:r>
      <w:r w:rsidR="001A55E1">
        <w:fldChar w:fldCharType="begin"/>
      </w:r>
      <w:r w:rsidR="001A55E1">
        <w:instrText xml:space="preserve"> REF _Ref41987508 \r \h </w:instrText>
      </w:r>
      <w:r w:rsidR="001A55E1">
        <w:fldChar w:fldCharType="separate"/>
      </w:r>
      <w:r w:rsidR="00277F6E">
        <w:t>6.2</w:t>
      </w:r>
      <w:r w:rsidR="001A55E1">
        <w:fldChar w:fldCharType="end"/>
      </w:r>
      <w:r w:rsidR="00935561">
        <w:t>. The merits of these options are</w:t>
      </w:r>
      <w:r w:rsidR="00B725C6">
        <w:t xml:space="preserve"> </w:t>
      </w:r>
      <w:r w:rsidR="00F50229">
        <w:t xml:space="preserve">considered </w:t>
      </w:r>
      <w:r w:rsidR="00D87DA0">
        <w:t xml:space="preserve">further </w:t>
      </w:r>
      <w:r w:rsidR="00F50229">
        <w:t>in this section.</w:t>
      </w:r>
    </w:p>
    <w:p w14:paraId="62D4C10F" w14:textId="25D83663" w:rsidR="00747B9A" w:rsidRPr="00CE5BC7" w:rsidRDefault="00BD45A7" w:rsidP="00747B9A">
      <w:pPr>
        <w:pStyle w:val="Heading3"/>
        <w:rPr>
          <w:color w:val="auto"/>
        </w:rPr>
      </w:pPr>
      <w:bookmarkStart w:id="702" w:name="_Ref41819519"/>
      <w:bookmarkStart w:id="703" w:name="_Toc45704374"/>
      <w:r w:rsidRPr="00CE5BC7">
        <w:rPr>
          <w:color w:val="auto"/>
        </w:rPr>
        <w:t>Safety systems for bus operations</w:t>
      </w:r>
      <w:bookmarkEnd w:id="702"/>
      <w:bookmarkEnd w:id="703"/>
    </w:p>
    <w:p w14:paraId="2B70E7B8" w14:textId="5ACB1905" w:rsidR="00CE5BC7" w:rsidRPr="00CE5BC7" w:rsidRDefault="00143D70" w:rsidP="00143D70">
      <w:pPr>
        <w:rPr>
          <w:rFonts w:cstheme="minorHAnsi"/>
          <w:iCs/>
          <w:color w:val="auto"/>
          <w:szCs w:val="20"/>
        </w:rPr>
      </w:pPr>
      <w:r w:rsidRPr="00CE5BC7">
        <w:rPr>
          <w:rFonts w:cstheme="minorHAnsi"/>
          <w:iCs/>
          <w:color w:val="auto"/>
          <w:szCs w:val="20"/>
        </w:rPr>
        <w:t xml:space="preserve">This section </w:t>
      </w:r>
      <w:r w:rsidR="002E1565" w:rsidRPr="00CE5BC7">
        <w:rPr>
          <w:rFonts w:cstheme="minorHAnsi"/>
          <w:iCs/>
          <w:color w:val="auto"/>
          <w:szCs w:val="20"/>
        </w:rPr>
        <w:t xml:space="preserve">considers the impacts </w:t>
      </w:r>
      <w:r w:rsidRPr="00CE5BC7">
        <w:rPr>
          <w:rFonts w:cstheme="minorHAnsi"/>
          <w:iCs/>
          <w:color w:val="auto"/>
          <w:szCs w:val="20"/>
        </w:rPr>
        <w:t>of implementing a safety system in relation to the operation of bus services</w:t>
      </w:r>
      <w:r w:rsidR="00CE5BC7" w:rsidRPr="00CE5BC7">
        <w:rPr>
          <w:rFonts w:cstheme="minorHAnsi"/>
          <w:iCs/>
          <w:color w:val="auto"/>
          <w:szCs w:val="20"/>
        </w:rPr>
        <w:t xml:space="preserve"> based on considerations discussed in Section </w:t>
      </w:r>
      <w:r w:rsidR="00CE5BC7" w:rsidRPr="00CE5BC7">
        <w:rPr>
          <w:rFonts w:cstheme="minorHAnsi"/>
          <w:iCs/>
          <w:color w:val="auto"/>
          <w:szCs w:val="20"/>
        </w:rPr>
        <w:fldChar w:fldCharType="begin"/>
      </w:r>
      <w:r w:rsidR="00CE5BC7" w:rsidRPr="00CE5BC7">
        <w:rPr>
          <w:rFonts w:cstheme="minorHAnsi"/>
          <w:iCs/>
          <w:color w:val="auto"/>
          <w:szCs w:val="20"/>
        </w:rPr>
        <w:instrText xml:space="preserve"> REF _Ref36456418 \r \h  \* MERGEFORMAT </w:instrText>
      </w:r>
      <w:r w:rsidR="00CE5BC7" w:rsidRPr="00CE5BC7">
        <w:rPr>
          <w:rFonts w:cstheme="minorHAnsi"/>
          <w:iCs/>
          <w:color w:val="auto"/>
          <w:szCs w:val="20"/>
        </w:rPr>
      </w:r>
      <w:r w:rsidR="00CE5BC7" w:rsidRPr="00CE5BC7">
        <w:rPr>
          <w:rFonts w:cstheme="minorHAnsi"/>
          <w:iCs/>
          <w:color w:val="auto"/>
          <w:szCs w:val="20"/>
        </w:rPr>
        <w:fldChar w:fldCharType="separate"/>
      </w:r>
      <w:r w:rsidR="00277F6E">
        <w:rPr>
          <w:rFonts w:cstheme="minorHAnsi"/>
          <w:iCs/>
          <w:color w:val="auto"/>
          <w:szCs w:val="20"/>
        </w:rPr>
        <w:t>6.2.1</w:t>
      </w:r>
      <w:r w:rsidR="00CE5BC7" w:rsidRPr="00CE5BC7">
        <w:rPr>
          <w:rFonts w:cstheme="minorHAnsi"/>
          <w:iCs/>
          <w:color w:val="auto"/>
          <w:szCs w:val="20"/>
        </w:rPr>
        <w:fldChar w:fldCharType="end"/>
      </w:r>
      <w:r w:rsidRPr="00CE5BC7">
        <w:rPr>
          <w:rFonts w:cstheme="minorHAnsi"/>
          <w:iCs/>
          <w:color w:val="auto"/>
          <w:szCs w:val="20"/>
        </w:rPr>
        <w:t xml:space="preserve">. </w:t>
      </w:r>
      <w:r w:rsidR="00CE5BC7" w:rsidRPr="00CE5BC7">
        <w:rPr>
          <w:rFonts w:cstheme="minorHAnsi"/>
          <w:iCs/>
          <w:color w:val="auto"/>
          <w:szCs w:val="20"/>
        </w:rPr>
        <w:t xml:space="preserve">The </w:t>
      </w:r>
      <w:r w:rsidR="00CE5BC7">
        <w:rPr>
          <w:rFonts w:cstheme="minorHAnsi"/>
          <w:iCs/>
          <w:color w:val="auto"/>
          <w:szCs w:val="20"/>
        </w:rPr>
        <w:t>assessed</w:t>
      </w:r>
      <w:r w:rsidR="00CE5BC7" w:rsidRPr="00CE5BC7">
        <w:rPr>
          <w:rFonts w:cstheme="minorHAnsi"/>
          <w:iCs/>
          <w:color w:val="auto"/>
          <w:szCs w:val="20"/>
        </w:rPr>
        <w:t xml:space="preserve"> option would</w:t>
      </w:r>
      <w:r w:rsidR="00CE5BC7">
        <w:rPr>
          <w:rFonts w:cstheme="minorHAnsi"/>
          <w:iCs/>
          <w:color w:val="auto"/>
          <w:szCs w:val="20"/>
        </w:rPr>
        <w:t xml:space="preserve"> </w:t>
      </w:r>
      <w:r w:rsidR="00C57E4F">
        <w:rPr>
          <w:rFonts w:cstheme="minorHAnsi"/>
          <w:iCs/>
          <w:color w:val="auto"/>
          <w:szCs w:val="20"/>
        </w:rPr>
        <w:t xml:space="preserve">require </w:t>
      </w:r>
      <w:r w:rsidR="00CE5BC7">
        <w:rPr>
          <w:rFonts w:cstheme="minorHAnsi"/>
          <w:iCs/>
          <w:color w:val="auto"/>
          <w:szCs w:val="20"/>
        </w:rPr>
        <w:t>(status quo)</w:t>
      </w:r>
      <w:r w:rsidR="00CE5BC7" w:rsidRPr="00CE5BC7">
        <w:rPr>
          <w:rFonts w:cstheme="minorHAnsi"/>
          <w:iCs/>
          <w:color w:val="auto"/>
          <w:szCs w:val="20"/>
        </w:rPr>
        <w:t>:</w:t>
      </w:r>
    </w:p>
    <w:p w14:paraId="525283B0" w14:textId="236076BB" w:rsidR="00143D70" w:rsidRPr="00CE5BC7" w:rsidRDefault="00F56232" w:rsidP="00842F5A">
      <w:pPr>
        <w:pStyle w:val="ListParagraph"/>
        <w:numPr>
          <w:ilvl w:val="0"/>
          <w:numId w:val="25"/>
        </w:numPr>
        <w:rPr>
          <w:rFonts w:asciiTheme="minorHAnsi" w:hAnsiTheme="minorHAnsi" w:cstheme="minorHAnsi"/>
          <w:iCs/>
          <w:color w:val="auto"/>
          <w:sz w:val="20"/>
          <w:szCs w:val="20"/>
        </w:rPr>
      </w:pPr>
      <w:r w:rsidRPr="00CE5BC7">
        <w:rPr>
          <w:rFonts w:asciiTheme="minorHAnsi" w:hAnsiTheme="minorHAnsi" w:cstheme="minorHAnsi"/>
          <w:color w:val="auto"/>
          <w:sz w:val="20"/>
          <w:szCs w:val="20"/>
        </w:rPr>
        <w:t>a</w:t>
      </w:r>
      <w:r w:rsidR="00143D70" w:rsidRPr="00CE5BC7">
        <w:rPr>
          <w:rFonts w:asciiTheme="minorHAnsi" w:hAnsiTheme="minorHAnsi" w:cstheme="minorHAnsi"/>
          <w:color w:val="auto"/>
          <w:sz w:val="20"/>
          <w:szCs w:val="20"/>
        </w:rPr>
        <w:t xml:space="preserve">ccredited bus operators to implement systems and processes to </w:t>
      </w:r>
      <w:r w:rsidR="00143D70" w:rsidRPr="00CE5BC7">
        <w:rPr>
          <w:rFonts w:asciiTheme="minorHAnsi" w:hAnsiTheme="minorHAnsi" w:cstheme="minorHAnsi"/>
          <w:iCs/>
          <w:color w:val="auto"/>
          <w:sz w:val="20"/>
          <w:szCs w:val="20"/>
        </w:rPr>
        <w:t xml:space="preserve">actively document and manage safety risks in relation to their bus operations. </w:t>
      </w:r>
    </w:p>
    <w:p w14:paraId="03229723" w14:textId="54F1DDA0" w:rsidR="00175E2D" w:rsidRPr="00175E2D" w:rsidRDefault="00175E2D" w:rsidP="00175E2D">
      <w:pPr>
        <w:rPr>
          <w:rFonts w:cstheme="minorHAnsi"/>
          <w:iCs/>
          <w:color w:val="auto"/>
          <w:szCs w:val="20"/>
        </w:rPr>
      </w:pPr>
      <w:r w:rsidRPr="00175E2D">
        <w:rPr>
          <w:rFonts w:cstheme="minorHAnsi"/>
          <w:iCs/>
          <w:color w:val="auto"/>
          <w:szCs w:val="20"/>
        </w:rPr>
        <w:t xml:space="preserve">Note that the impacts associated with any records or documents </w:t>
      </w:r>
      <w:r w:rsidR="004854FE">
        <w:rPr>
          <w:rFonts w:cstheme="minorHAnsi"/>
          <w:iCs/>
          <w:color w:val="auto"/>
          <w:szCs w:val="20"/>
        </w:rPr>
        <w:t xml:space="preserve">produced as part of an </w:t>
      </w:r>
      <w:r w:rsidRPr="00175E2D">
        <w:rPr>
          <w:rFonts w:cstheme="minorHAnsi"/>
          <w:iCs/>
          <w:color w:val="auto"/>
          <w:szCs w:val="20"/>
        </w:rPr>
        <w:t>M</w:t>
      </w:r>
      <w:r>
        <w:rPr>
          <w:rFonts w:cstheme="minorHAnsi"/>
          <w:iCs/>
          <w:color w:val="auto"/>
          <w:szCs w:val="20"/>
        </w:rPr>
        <w:t>I</w:t>
      </w:r>
      <w:r w:rsidRPr="00175E2D">
        <w:rPr>
          <w:rFonts w:cstheme="minorHAnsi"/>
          <w:iCs/>
          <w:color w:val="auto"/>
          <w:szCs w:val="20"/>
        </w:rPr>
        <w:t xml:space="preserve">S is considered under the impacts of records in Section </w:t>
      </w:r>
      <w:r w:rsidRPr="00175E2D">
        <w:rPr>
          <w:rFonts w:cstheme="minorHAnsi"/>
          <w:iCs/>
          <w:color w:val="auto"/>
          <w:szCs w:val="20"/>
        </w:rPr>
        <w:fldChar w:fldCharType="begin"/>
      </w:r>
      <w:r w:rsidRPr="00175E2D">
        <w:rPr>
          <w:rFonts w:cstheme="minorHAnsi"/>
          <w:iCs/>
          <w:color w:val="auto"/>
          <w:szCs w:val="20"/>
        </w:rPr>
        <w:instrText xml:space="preserve"> REF _Ref42010214 \r \h </w:instrText>
      </w:r>
      <w:r>
        <w:rPr>
          <w:rFonts w:cstheme="minorHAnsi"/>
          <w:iCs/>
          <w:color w:val="auto"/>
          <w:szCs w:val="20"/>
        </w:rPr>
        <w:instrText xml:space="preserve"> \* MERGEFORMAT </w:instrText>
      </w:r>
      <w:r w:rsidRPr="00175E2D">
        <w:rPr>
          <w:rFonts w:cstheme="minorHAnsi"/>
          <w:iCs/>
          <w:color w:val="auto"/>
          <w:szCs w:val="20"/>
        </w:rPr>
      </w:r>
      <w:r w:rsidRPr="00175E2D">
        <w:rPr>
          <w:rFonts w:cstheme="minorHAnsi"/>
          <w:iCs/>
          <w:color w:val="auto"/>
          <w:szCs w:val="20"/>
        </w:rPr>
        <w:fldChar w:fldCharType="separate"/>
      </w:r>
      <w:r w:rsidR="00277F6E">
        <w:rPr>
          <w:rFonts w:cstheme="minorHAnsi"/>
          <w:iCs/>
          <w:color w:val="auto"/>
          <w:szCs w:val="20"/>
        </w:rPr>
        <w:t>7.7</w:t>
      </w:r>
      <w:r w:rsidRPr="00175E2D">
        <w:rPr>
          <w:rFonts w:cstheme="minorHAnsi"/>
          <w:iCs/>
          <w:color w:val="auto"/>
          <w:szCs w:val="20"/>
        </w:rPr>
        <w:fldChar w:fldCharType="end"/>
      </w:r>
      <w:r w:rsidRPr="00175E2D">
        <w:rPr>
          <w:rFonts w:cstheme="minorHAnsi"/>
          <w:iCs/>
          <w:color w:val="auto"/>
          <w:szCs w:val="20"/>
        </w:rPr>
        <w:t>.</w:t>
      </w:r>
    </w:p>
    <w:p w14:paraId="4292CB4F" w14:textId="4F611E19" w:rsidR="00143D70" w:rsidRPr="00CE5BC7" w:rsidRDefault="00143D70" w:rsidP="0095677C">
      <w:pPr>
        <w:pStyle w:val="Heading5"/>
      </w:pPr>
      <w:r w:rsidRPr="00CE5BC7">
        <w:t>Expected benefits</w:t>
      </w:r>
    </w:p>
    <w:p w14:paraId="148E5D69" w14:textId="71BADC15" w:rsidR="00143D70" w:rsidRPr="006C6913" w:rsidRDefault="00143D70" w:rsidP="00143D70">
      <w:r>
        <w:t>T</w:t>
      </w:r>
      <w:r w:rsidRPr="006C6913">
        <w:t xml:space="preserve">he </w:t>
      </w:r>
      <w:r>
        <w:t xml:space="preserve">regulations propose that accredited bus operators establish and maintain a management information system (MIS) in relation to their operations. Accredited bus operators </w:t>
      </w:r>
      <w:r w:rsidRPr="006C6913">
        <w:t xml:space="preserve">will be required to actively </w:t>
      </w:r>
      <w:r>
        <w:t>document and manage safety risks associated with their bus operations.</w:t>
      </w:r>
      <w:r w:rsidRPr="006C6913">
        <w:t xml:space="preserve"> This should lead to an improved understanding and management of safety risks in the context of</w:t>
      </w:r>
      <w:r>
        <w:t xml:space="preserve"> the bus services operated by the accredited operator</w:t>
      </w:r>
      <w:r w:rsidRPr="006C6913">
        <w:t>. Ultimately</w:t>
      </w:r>
      <w:r w:rsidR="00886333">
        <w:t>,</w:t>
      </w:r>
      <w:r>
        <w:t xml:space="preserve"> and in turn</w:t>
      </w:r>
      <w:r w:rsidRPr="006C6913">
        <w:t xml:space="preserve">, this should lead to improvements </w:t>
      </w:r>
      <w:r>
        <w:t>in the safety of the bus services provided by the commercial bus service and local bus service sectors as</w:t>
      </w:r>
      <w:r w:rsidRPr="006C6913">
        <w:t xml:space="preserve"> risks and hazards are appropriately managed</w:t>
      </w:r>
      <w:r>
        <w:t xml:space="preserve"> for this sector. </w:t>
      </w:r>
    </w:p>
    <w:p w14:paraId="34A2321A" w14:textId="59F24A5E" w:rsidR="00143D70" w:rsidRDefault="00143D70" w:rsidP="00143D70">
      <w:r w:rsidRPr="006C6913">
        <w:t xml:space="preserve">Since </w:t>
      </w:r>
      <w:r>
        <w:t>accredited bus operators</w:t>
      </w:r>
      <w:r w:rsidRPr="006C6913">
        <w:t xml:space="preserve"> already have a duty to ensure safety, </w:t>
      </w:r>
      <w:r>
        <w:t xml:space="preserve">so far as is reasonably practicable, </w:t>
      </w:r>
      <w:r w:rsidRPr="006C6913">
        <w:t xml:space="preserve">the expected benefits to </w:t>
      </w:r>
      <w:r>
        <w:t>this requirement are integrated with this general safety duty</w:t>
      </w:r>
      <w:r w:rsidRPr="006C6913">
        <w:t xml:space="preserve">. </w:t>
      </w:r>
      <w:r>
        <w:t xml:space="preserve">Given the size and complexity of some of the bus services operated by accredited operators (commercial and local bus services), it may be the case that these operators would already develop systems and processes to manage safety. As such, DoT considers the </w:t>
      </w:r>
      <w:r w:rsidRPr="006C6913">
        <w:t xml:space="preserve">proposed regulation is designed to be complementary to the safety duties scheme under the </w:t>
      </w:r>
      <w:r w:rsidR="00BD0739">
        <w:t>Bus Safety Act</w:t>
      </w:r>
      <w:r w:rsidRPr="006C6913">
        <w:t>.</w:t>
      </w:r>
    </w:p>
    <w:p w14:paraId="4D68E8AF" w14:textId="678A6ACF" w:rsidR="00143D70" w:rsidRDefault="00143D70" w:rsidP="00143D70">
      <w:r w:rsidRPr="006C6913">
        <w:t>The development and maintenance of</w:t>
      </w:r>
      <w:r>
        <w:t xml:space="preserve"> a</w:t>
      </w:r>
      <w:r w:rsidR="00982678">
        <w:t>n</w:t>
      </w:r>
      <w:r>
        <w:t xml:space="preserve"> MIS </w:t>
      </w:r>
      <w:r w:rsidRPr="006C6913">
        <w:t xml:space="preserve">will also aid the </w:t>
      </w:r>
      <w:r>
        <w:t>Safety Director</w:t>
      </w:r>
      <w:r w:rsidRPr="006C6913">
        <w:t xml:space="preserve"> in compliance monitoring and enforcement. </w:t>
      </w:r>
      <w:r w:rsidR="00780658">
        <w:t>D</w:t>
      </w:r>
      <w:r w:rsidRPr="006C6913">
        <w:t>ocument</w:t>
      </w:r>
      <w:r w:rsidR="00780658">
        <w:t>s as part of an MIS</w:t>
      </w:r>
      <w:r w:rsidRPr="006C6913">
        <w:t xml:space="preserve"> will provide a point of reference to </w:t>
      </w:r>
      <w:r w:rsidR="00927966">
        <w:t>transport safety</w:t>
      </w:r>
      <w:r w:rsidR="00927966" w:rsidRPr="006C6913">
        <w:t xml:space="preserve"> </w:t>
      </w:r>
      <w:r w:rsidRPr="006C6913">
        <w:t xml:space="preserve">officers undertaking </w:t>
      </w:r>
      <w:r>
        <w:t>audit</w:t>
      </w:r>
      <w:r w:rsidRPr="006C6913">
        <w:t xml:space="preserve"> of duty holders when investigating compliance with the safety duties. </w:t>
      </w:r>
      <w:r w:rsidR="00E700F1">
        <w:t>T</w:t>
      </w:r>
      <w:r w:rsidR="007E1AF7">
        <w:t>ransport safety</w:t>
      </w:r>
      <w:r w:rsidR="007E1AF7" w:rsidRPr="006C6913">
        <w:t xml:space="preserve"> </w:t>
      </w:r>
      <w:r w:rsidRPr="006C6913">
        <w:t>officers will be able to assess how the duty holder proposes to manage certain safety risks and whether the duty holder has implemented the proposed mitigations and controls.</w:t>
      </w:r>
      <w:r w:rsidR="00D87DA0">
        <w:t xml:space="preserve"> This </w:t>
      </w:r>
      <w:r w:rsidR="00D976BD">
        <w:t xml:space="preserve">is also </w:t>
      </w:r>
      <w:r w:rsidR="00D87DA0">
        <w:t xml:space="preserve">expected to </w:t>
      </w:r>
      <w:r w:rsidR="00D976BD">
        <w:t xml:space="preserve">lead to </w:t>
      </w:r>
      <w:r w:rsidR="00D87DA0">
        <w:t>improve</w:t>
      </w:r>
      <w:r w:rsidR="006A0A6B">
        <w:t>d</w:t>
      </w:r>
      <w:r w:rsidR="00D87DA0">
        <w:t xml:space="preserve"> safety outcomes</w:t>
      </w:r>
      <w:r w:rsidR="0066504D">
        <w:t xml:space="preserve"> </w:t>
      </w:r>
      <w:r w:rsidR="00771716">
        <w:t xml:space="preserve">by </w:t>
      </w:r>
      <w:r w:rsidR="0066504D">
        <w:t xml:space="preserve">ensuring </w:t>
      </w:r>
      <w:r w:rsidR="00DA3623">
        <w:t xml:space="preserve">the </w:t>
      </w:r>
      <w:r w:rsidR="00877846">
        <w:t xml:space="preserve">regulator </w:t>
      </w:r>
      <w:r w:rsidR="00DA3623">
        <w:t xml:space="preserve">has </w:t>
      </w:r>
      <w:r w:rsidR="00D976BD">
        <w:t xml:space="preserve">clarity on actions required by </w:t>
      </w:r>
      <w:r w:rsidR="00E1397B">
        <w:t>operators</w:t>
      </w:r>
      <w:r w:rsidR="00D976BD">
        <w:t xml:space="preserve"> to </w:t>
      </w:r>
      <w:r w:rsidR="0066504D">
        <w:t xml:space="preserve">improve </w:t>
      </w:r>
      <w:r w:rsidR="00D769FE">
        <w:t>the safety of t</w:t>
      </w:r>
      <w:r w:rsidR="0066504D">
        <w:t xml:space="preserve">heir operations. </w:t>
      </w:r>
    </w:p>
    <w:p w14:paraId="6EB37B38" w14:textId="6D9A1D6F" w:rsidR="00396789" w:rsidRDefault="00511B5A" w:rsidP="00143D70">
      <w:r>
        <w:t>The</w:t>
      </w:r>
      <w:r w:rsidR="00396789">
        <w:t xml:space="preserve"> </w:t>
      </w:r>
      <w:r w:rsidR="00E52062">
        <w:t>benefits</w:t>
      </w:r>
      <w:r w:rsidR="00396789">
        <w:t xml:space="preserve"> to </w:t>
      </w:r>
      <w:r w:rsidR="00E52062">
        <w:t>requiring</w:t>
      </w:r>
      <w:r w:rsidR="00396789">
        <w:t xml:space="preserve"> a system be put in place </w:t>
      </w:r>
      <w:r w:rsidR="00E52062">
        <w:t>to actively identify and document</w:t>
      </w:r>
      <w:r w:rsidR="00F64913">
        <w:t xml:space="preserve"> bus operational issues before they become an issue</w:t>
      </w:r>
      <w:r>
        <w:t xml:space="preserve"> are difficult to </w:t>
      </w:r>
      <w:r w:rsidR="00ED43BB">
        <w:t>quantify</w:t>
      </w:r>
      <w:r w:rsidR="00886333">
        <w:t xml:space="preserve">. To the extent that regulations improve compliance with the Bus Safety </w:t>
      </w:r>
      <w:r w:rsidR="00C47826">
        <w:t>Act and</w:t>
      </w:r>
      <w:r w:rsidR="00886333">
        <w:t xml:space="preserve"> allow for </w:t>
      </w:r>
      <w:r w:rsidR="006627D2">
        <w:t>improvements in</w:t>
      </w:r>
      <w:r w:rsidR="00886333">
        <w:t xml:space="preserve"> monitoring and </w:t>
      </w:r>
      <w:r w:rsidR="006627D2">
        <w:t>enforcement of the safety duties</w:t>
      </w:r>
      <w:r w:rsidR="00BF6308">
        <w:t xml:space="preserve"> under that Act</w:t>
      </w:r>
      <w:r w:rsidR="00DF7B85">
        <w:t xml:space="preserve">, it is expected that </w:t>
      </w:r>
      <w:r w:rsidR="00ED43BB">
        <w:t>an MIS will re</w:t>
      </w:r>
      <w:r w:rsidR="001E19D7">
        <w:t>a</w:t>
      </w:r>
      <w:r w:rsidR="00ED43BB">
        <w:t>lise</w:t>
      </w:r>
      <w:r w:rsidR="00DF7B85">
        <w:t xml:space="preserve"> </w:t>
      </w:r>
      <w:r w:rsidR="001E19D7">
        <w:t xml:space="preserve">a </w:t>
      </w:r>
      <w:r w:rsidR="00DF7B85">
        <w:t>moderate to high leve</w:t>
      </w:r>
      <w:r w:rsidR="00ED43BB">
        <w:t>l</w:t>
      </w:r>
      <w:r w:rsidR="00DF7B85">
        <w:t xml:space="preserve"> of benefits</w:t>
      </w:r>
      <w:r w:rsidR="00C8571C">
        <w:t xml:space="preserve"> in meeting the objectives of reducing bus safety incidents, fatalities and serious injuries.</w:t>
      </w:r>
    </w:p>
    <w:p w14:paraId="4CB3683A" w14:textId="77777777" w:rsidR="00143D70" w:rsidRPr="001C2DC0" w:rsidRDefault="00143D70" w:rsidP="0095677C">
      <w:pPr>
        <w:pStyle w:val="Heading5"/>
      </w:pPr>
      <w:r w:rsidRPr="001C2DC0">
        <w:lastRenderedPageBreak/>
        <w:t>Expected costs</w:t>
      </w:r>
    </w:p>
    <w:p w14:paraId="19B24D11" w14:textId="3553BEF6" w:rsidR="00143D70" w:rsidRDefault="00143D70" w:rsidP="00143D70">
      <w:r>
        <w:t>There will be costs involved with establishing and maintaining a</w:t>
      </w:r>
      <w:r w:rsidR="002E21A3">
        <w:t xml:space="preserve">n </w:t>
      </w:r>
      <w:r>
        <w:t xml:space="preserve">MIS. </w:t>
      </w:r>
      <w:r w:rsidRPr="00A46F36">
        <w:t>The main costs associated with this option is the administrati</w:t>
      </w:r>
      <w:r>
        <w:t>ve</w:t>
      </w:r>
      <w:r w:rsidRPr="00A46F36">
        <w:t xml:space="preserve"> and </w:t>
      </w:r>
      <w:r>
        <w:t xml:space="preserve">substantive </w:t>
      </w:r>
      <w:r w:rsidRPr="00A46F36">
        <w:t xml:space="preserve">compliance costs associated with the </w:t>
      </w:r>
      <w:r>
        <w:t>management systems</w:t>
      </w:r>
      <w:r w:rsidRPr="00A46F36">
        <w:t xml:space="preserve">. </w:t>
      </w:r>
    </w:p>
    <w:p w14:paraId="68435067" w14:textId="77777777" w:rsidR="00143D70" w:rsidRPr="00CC0AAC" w:rsidRDefault="00143D70" w:rsidP="00143D70">
      <w:pPr>
        <w:rPr>
          <w:u w:val="single"/>
        </w:rPr>
      </w:pPr>
      <w:r w:rsidRPr="00CC0AAC">
        <w:rPr>
          <w:u w:val="single"/>
        </w:rPr>
        <w:t>Administrative costs</w:t>
      </w:r>
    </w:p>
    <w:p w14:paraId="79706757" w14:textId="380D7268" w:rsidR="00143D70" w:rsidRPr="002D18E2" w:rsidRDefault="00143D70" w:rsidP="00143D70">
      <w:r w:rsidRPr="002D18E2">
        <w:t>The proposed regulations require that an M</w:t>
      </w:r>
      <w:r w:rsidR="00260665">
        <w:t>I</w:t>
      </w:r>
      <w:r w:rsidRPr="002D18E2">
        <w:t>S contain the following matters:</w:t>
      </w:r>
    </w:p>
    <w:p w14:paraId="68397255" w14:textId="77777777" w:rsidR="00143D70" w:rsidRPr="002D18E2" w:rsidRDefault="00143D70" w:rsidP="00842F5A">
      <w:pPr>
        <w:pStyle w:val="ListParagraph"/>
        <w:numPr>
          <w:ilvl w:val="0"/>
          <w:numId w:val="32"/>
        </w:numPr>
        <w:rPr>
          <w:rFonts w:asciiTheme="minorHAnsi" w:eastAsiaTheme="minorHAnsi" w:hAnsiTheme="minorHAnsi" w:cstheme="minorHAnsi"/>
          <w:color w:val="auto"/>
          <w:sz w:val="20"/>
          <w:szCs w:val="20"/>
        </w:rPr>
      </w:pPr>
      <w:r w:rsidRPr="002D18E2">
        <w:rPr>
          <w:rFonts w:asciiTheme="minorHAnsi" w:eastAsiaTheme="minorHAnsi" w:hAnsiTheme="minorHAnsi" w:cstheme="minorHAnsi"/>
          <w:color w:val="auto"/>
          <w:sz w:val="20"/>
          <w:szCs w:val="20"/>
        </w:rPr>
        <w:t xml:space="preserve">Safety policy </w:t>
      </w:r>
    </w:p>
    <w:p w14:paraId="7EE41F49" w14:textId="77777777" w:rsidR="00143D70" w:rsidRPr="002D18E2" w:rsidRDefault="00143D70" w:rsidP="00842F5A">
      <w:pPr>
        <w:pStyle w:val="ListParagraph"/>
        <w:numPr>
          <w:ilvl w:val="0"/>
          <w:numId w:val="32"/>
        </w:numPr>
        <w:rPr>
          <w:rFonts w:asciiTheme="minorHAnsi" w:eastAsiaTheme="minorHAnsi" w:hAnsiTheme="minorHAnsi" w:cstheme="minorHAnsi"/>
          <w:color w:val="auto"/>
          <w:sz w:val="20"/>
          <w:szCs w:val="20"/>
        </w:rPr>
      </w:pPr>
      <w:r w:rsidRPr="002D18E2">
        <w:rPr>
          <w:rFonts w:asciiTheme="minorHAnsi" w:eastAsiaTheme="minorHAnsi" w:hAnsiTheme="minorHAnsi" w:cstheme="minorHAnsi"/>
          <w:color w:val="auto"/>
          <w:sz w:val="20"/>
          <w:szCs w:val="20"/>
        </w:rPr>
        <w:t xml:space="preserve">Governance and internal control arrangements </w:t>
      </w:r>
    </w:p>
    <w:p w14:paraId="10912FC1" w14:textId="77777777" w:rsidR="00143D70" w:rsidRPr="002D18E2" w:rsidRDefault="00143D70" w:rsidP="00842F5A">
      <w:pPr>
        <w:pStyle w:val="ListParagraph"/>
        <w:numPr>
          <w:ilvl w:val="0"/>
          <w:numId w:val="32"/>
        </w:numPr>
        <w:rPr>
          <w:rFonts w:asciiTheme="minorHAnsi" w:eastAsiaTheme="minorHAnsi" w:hAnsiTheme="minorHAnsi" w:cstheme="minorHAnsi"/>
          <w:color w:val="auto"/>
          <w:sz w:val="20"/>
          <w:szCs w:val="20"/>
        </w:rPr>
      </w:pPr>
      <w:r w:rsidRPr="002D18E2">
        <w:rPr>
          <w:rFonts w:asciiTheme="minorHAnsi" w:eastAsiaTheme="minorHAnsi" w:hAnsiTheme="minorHAnsi" w:cstheme="minorHAnsi"/>
          <w:color w:val="auto"/>
          <w:sz w:val="20"/>
          <w:szCs w:val="20"/>
        </w:rPr>
        <w:t>Accountabilities and authorities</w:t>
      </w:r>
    </w:p>
    <w:p w14:paraId="2CE1B8E2" w14:textId="76EAD3C6" w:rsidR="00143D70" w:rsidRPr="002D18E2" w:rsidRDefault="00143D70" w:rsidP="00842F5A">
      <w:pPr>
        <w:pStyle w:val="ListParagraph"/>
        <w:numPr>
          <w:ilvl w:val="0"/>
          <w:numId w:val="32"/>
        </w:numPr>
        <w:rPr>
          <w:rFonts w:asciiTheme="minorHAnsi" w:eastAsiaTheme="minorHAnsi" w:hAnsiTheme="minorHAnsi" w:cstheme="minorHAnsi"/>
          <w:color w:val="auto"/>
          <w:sz w:val="20"/>
          <w:szCs w:val="20"/>
        </w:rPr>
      </w:pPr>
      <w:r w:rsidRPr="002D18E2">
        <w:rPr>
          <w:rFonts w:asciiTheme="minorHAnsi" w:eastAsiaTheme="minorHAnsi" w:hAnsiTheme="minorHAnsi" w:cstheme="minorHAnsi"/>
          <w:color w:val="auto"/>
          <w:sz w:val="20"/>
          <w:szCs w:val="20"/>
        </w:rPr>
        <w:t>Information management</w:t>
      </w:r>
    </w:p>
    <w:p w14:paraId="6A7E91A9" w14:textId="77777777" w:rsidR="00143D70" w:rsidRPr="002D18E2" w:rsidRDefault="00143D70" w:rsidP="00842F5A">
      <w:pPr>
        <w:pStyle w:val="ListParagraph"/>
        <w:numPr>
          <w:ilvl w:val="0"/>
          <w:numId w:val="32"/>
        </w:numPr>
        <w:rPr>
          <w:rFonts w:asciiTheme="minorHAnsi" w:eastAsiaTheme="minorHAnsi" w:hAnsiTheme="minorHAnsi" w:cstheme="minorHAnsi"/>
          <w:color w:val="auto"/>
          <w:sz w:val="20"/>
          <w:szCs w:val="20"/>
        </w:rPr>
      </w:pPr>
      <w:r w:rsidRPr="002D18E2">
        <w:rPr>
          <w:rFonts w:asciiTheme="minorHAnsi" w:eastAsiaTheme="minorHAnsi" w:hAnsiTheme="minorHAnsi" w:cstheme="minorHAnsi"/>
          <w:color w:val="auto"/>
          <w:sz w:val="20"/>
          <w:szCs w:val="20"/>
        </w:rPr>
        <w:t xml:space="preserve">Communication of safety information and issues  </w:t>
      </w:r>
    </w:p>
    <w:p w14:paraId="14A6FF40" w14:textId="29CB4486" w:rsidR="00143D70" w:rsidRPr="002D18E2" w:rsidRDefault="00143D70" w:rsidP="00842F5A">
      <w:pPr>
        <w:pStyle w:val="ListParagraph"/>
        <w:numPr>
          <w:ilvl w:val="0"/>
          <w:numId w:val="32"/>
        </w:numPr>
        <w:rPr>
          <w:rFonts w:asciiTheme="minorHAnsi" w:eastAsiaTheme="minorHAnsi" w:hAnsiTheme="minorHAnsi" w:cstheme="minorHAnsi"/>
          <w:color w:val="auto"/>
          <w:sz w:val="20"/>
          <w:szCs w:val="20"/>
        </w:rPr>
      </w:pPr>
      <w:r w:rsidRPr="002D18E2">
        <w:rPr>
          <w:rFonts w:asciiTheme="minorHAnsi" w:eastAsiaTheme="minorHAnsi" w:hAnsiTheme="minorHAnsi" w:cstheme="minorHAnsi"/>
          <w:color w:val="auto"/>
          <w:sz w:val="20"/>
          <w:szCs w:val="20"/>
        </w:rPr>
        <w:t>Hazard, risk and change management</w:t>
      </w:r>
    </w:p>
    <w:p w14:paraId="659B0194" w14:textId="76108A3D" w:rsidR="00143D70" w:rsidRPr="002D18E2" w:rsidRDefault="00143D70" w:rsidP="00842F5A">
      <w:pPr>
        <w:pStyle w:val="ListParagraph"/>
        <w:numPr>
          <w:ilvl w:val="0"/>
          <w:numId w:val="32"/>
        </w:numPr>
        <w:rPr>
          <w:rFonts w:asciiTheme="minorHAnsi" w:eastAsiaTheme="minorHAnsi" w:hAnsiTheme="minorHAnsi" w:cstheme="minorHAnsi"/>
          <w:color w:val="auto"/>
          <w:sz w:val="20"/>
          <w:szCs w:val="20"/>
        </w:rPr>
      </w:pPr>
      <w:r w:rsidRPr="002D18E2">
        <w:rPr>
          <w:rFonts w:asciiTheme="minorHAnsi" w:eastAsiaTheme="minorHAnsi" w:hAnsiTheme="minorHAnsi" w:cstheme="minorHAnsi"/>
          <w:color w:val="auto"/>
          <w:sz w:val="20"/>
          <w:szCs w:val="20"/>
        </w:rPr>
        <w:t xml:space="preserve">Emergency management </w:t>
      </w:r>
      <w:r w:rsidR="00A958EB">
        <w:rPr>
          <w:rFonts w:asciiTheme="minorHAnsi" w:eastAsiaTheme="minorHAnsi" w:hAnsiTheme="minorHAnsi" w:cstheme="minorHAnsi"/>
          <w:color w:val="auto"/>
          <w:sz w:val="20"/>
          <w:szCs w:val="20"/>
        </w:rPr>
        <w:t>plan</w:t>
      </w:r>
    </w:p>
    <w:p w14:paraId="069887FA" w14:textId="77777777" w:rsidR="00143D70" w:rsidRPr="002D18E2" w:rsidRDefault="00143D70" w:rsidP="00842F5A">
      <w:pPr>
        <w:pStyle w:val="ListParagraph"/>
        <w:numPr>
          <w:ilvl w:val="0"/>
          <w:numId w:val="32"/>
        </w:numPr>
        <w:rPr>
          <w:rFonts w:asciiTheme="minorHAnsi" w:eastAsiaTheme="minorHAnsi" w:hAnsiTheme="minorHAnsi" w:cstheme="minorHAnsi"/>
          <w:color w:val="auto"/>
          <w:sz w:val="20"/>
          <w:szCs w:val="20"/>
        </w:rPr>
      </w:pPr>
      <w:r w:rsidRPr="002D18E2">
        <w:rPr>
          <w:rFonts w:asciiTheme="minorHAnsi" w:eastAsiaTheme="minorHAnsi" w:hAnsiTheme="minorHAnsi" w:cstheme="minorHAnsi"/>
          <w:color w:val="auto"/>
          <w:sz w:val="20"/>
          <w:szCs w:val="20"/>
        </w:rPr>
        <w:t>Competence management</w:t>
      </w:r>
    </w:p>
    <w:p w14:paraId="6E3A35F7" w14:textId="77777777" w:rsidR="00143D70" w:rsidRPr="002D18E2" w:rsidRDefault="00143D70" w:rsidP="00842F5A">
      <w:pPr>
        <w:pStyle w:val="ListParagraph"/>
        <w:numPr>
          <w:ilvl w:val="0"/>
          <w:numId w:val="32"/>
        </w:numPr>
        <w:rPr>
          <w:rFonts w:asciiTheme="minorHAnsi" w:eastAsiaTheme="minorHAnsi" w:hAnsiTheme="minorHAnsi" w:cstheme="minorHAnsi"/>
          <w:color w:val="auto"/>
          <w:sz w:val="20"/>
          <w:szCs w:val="20"/>
        </w:rPr>
      </w:pPr>
      <w:r w:rsidRPr="002D18E2">
        <w:rPr>
          <w:rFonts w:asciiTheme="minorHAnsi" w:eastAsiaTheme="minorHAnsi" w:hAnsiTheme="minorHAnsi" w:cstheme="minorHAnsi"/>
          <w:color w:val="auto"/>
          <w:sz w:val="20"/>
          <w:szCs w:val="20"/>
        </w:rPr>
        <w:t xml:space="preserve">Incident reporting and investigation </w:t>
      </w:r>
    </w:p>
    <w:p w14:paraId="4A352A55" w14:textId="26878E52" w:rsidR="00143D70" w:rsidRPr="002D18E2" w:rsidRDefault="00143D70" w:rsidP="00842F5A">
      <w:pPr>
        <w:pStyle w:val="ListParagraph"/>
        <w:numPr>
          <w:ilvl w:val="0"/>
          <w:numId w:val="32"/>
        </w:numPr>
        <w:rPr>
          <w:rFonts w:asciiTheme="minorHAnsi" w:eastAsiaTheme="minorHAnsi" w:hAnsiTheme="minorHAnsi" w:cstheme="minorHAnsi"/>
          <w:color w:val="auto"/>
          <w:sz w:val="20"/>
          <w:szCs w:val="20"/>
        </w:rPr>
      </w:pPr>
      <w:r w:rsidRPr="002D18E2">
        <w:rPr>
          <w:rFonts w:asciiTheme="minorHAnsi" w:eastAsiaTheme="minorHAnsi" w:hAnsiTheme="minorHAnsi" w:cstheme="minorHAnsi"/>
          <w:color w:val="auto"/>
          <w:sz w:val="20"/>
          <w:szCs w:val="20"/>
        </w:rPr>
        <w:t>Management information system audit arrangement and processes.</w:t>
      </w:r>
    </w:p>
    <w:p w14:paraId="3DA98851" w14:textId="6CB9E0EC" w:rsidR="00251D31" w:rsidRDefault="00143D70" w:rsidP="00EE58C0">
      <w:r>
        <w:t>There will be costs associated with both the development of an MIS and the periodic maintenance and review of the MIS.</w:t>
      </w:r>
    </w:p>
    <w:p w14:paraId="74A5E467" w14:textId="0B61AFFF" w:rsidR="00143D70" w:rsidRPr="00993727" w:rsidRDefault="00143D70" w:rsidP="00143D70">
      <w:pPr>
        <w:rPr>
          <w:i/>
          <w:iCs/>
        </w:rPr>
      </w:pPr>
      <w:r w:rsidRPr="00993727">
        <w:rPr>
          <w:i/>
          <w:iCs/>
        </w:rPr>
        <w:t>MIS development</w:t>
      </w:r>
    </w:p>
    <w:p w14:paraId="1B384858" w14:textId="77777777" w:rsidR="00143D70" w:rsidRDefault="00143D70" w:rsidP="00143D70">
      <w:r>
        <w:t xml:space="preserve">DoT assumes that the time taken to develop an MIS will take approximately </w:t>
      </w:r>
      <w:r w:rsidRPr="00BF413C">
        <w:t>25 hours</w:t>
      </w:r>
      <w:r>
        <w:t xml:space="preserve">. </w:t>
      </w:r>
      <w:r w:rsidRPr="002D18E2">
        <w:t xml:space="preserve">Only new </w:t>
      </w:r>
      <w:r>
        <w:t>accredited operators</w:t>
      </w:r>
      <w:r w:rsidRPr="002D18E2">
        <w:t xml:space="preserve"> will incur the</w:t>
      </w:r>
      <w:r>
        <w:t xml:space="preserve"> costs associated with the development of an MIS. This includes time to consider all matters mentioned above relating to developing an MIS. </w:t>
      </w:r>
    </w:p>
    <w:p w14:paraId="593C146F" w14:textId="77777777" w:rsidR="00143D70" w:rsidRDefault="00143D70" w:rsidP="00143D70">
      <w:r>
        <w:t xml:space="preserve">As the proposed requirements relating to an MIS are similar to what is already required under the current regulations, existing accredited </w:t>
      </w:r>
      <w:r w:rsidRPr="00D1332F">
        <w:t>operators</w:t>
      </w:r>
      <w:r>
        <w:t xml:space="preserve"> already have a developed MIS, so will not be required to develop a new MIS. </w:t>
      </w:r>
    </w:p>
    <w:p w14:paraId="70E8D690" w14:textId="77777777" w:rsidR="00143D70" w:rsidRPr="0019317F" w:rsidRDefault="00143D70" w:rsidP="00143D70">
      <w:pPr>
        <w:rPr>
          <w:i/>
          <w:iCs/>
        </w:rPr>
      </w:pPr>
      <w:r w:rsidRPr="0019317F">
        <w:rPr>
          <w:i/>
          <w:iCs/>
        </w:rPr>
        <w:t>MIS maintenance</w:t>
      </w:r>
    </w:p>
    <w:p w14:paraId="2F7C5643" w14:textId="6CE2C421" w:rsidR="00143D70" w:rsidRDefault="00143D70" w:rsidP="00143D70">
      <w:r>
        <w:t>The maintenance costs for an MIS would include an annual audit of the MIS to identify any deficiencies in the systems. This cost applies to all actively accredited operators. It is expected that maintaining an M</w:t>
      </w:r>
      <w:r w:rsidR="00072CD7">
        <w:t>I</w:t>
      </w:r>
      <w:r>
        <w:t xml:space="preserve">S is not expected to be as onerous on operators once the MIS is set up. This activity is assumed to take approximately </w:t>
      </w:r>
      <w:r w:rsidRPr="00633E6B">
        <w:t>10 hours</w:t>
      </w:r>
      <w:r>
        <w:t xml:space="preserve">. </w:t>
      </w:r>
    </w:p>
    <w:p w14:paraId="50061D3C" w14:textId="77777777" w:rsidR="00143D70" w:rsidRPr="004E11CE" w:rsidRDefault="00143D70" w:rsidP="00143D70">
      <w:pPr>
        <w:rPr>
          <w:i/>
          <w:iCs/>
        </w:rPr>
      </w:pPr>
      <w:r>
        <w:rPr>
          <w:i/>
          <w:iCs/>
        </w:rPr>
        <w:t>Overall MIS administrative costs</w:t>
      </w:r>
    </w:p>
    <w:p w14:paraId="159C58EC" w14:textId="210AEFB9" w:rsidR="00143D70" w:rsidRDefault="00143D70" w:rsidP="00143D70">
      <w:r>
        <w:fldChar w:fldCharType="begin"/>
      </w:r>
      <w:r>
        <w:instrText xml:space="preserve"> REF _Ref35353772 \h  \* MERGEFORMAT </w:instrText>
      </w:r>
      <w:r>
        <w:fldChar w:fldCharType="separate"/>
      </w:r>
      <w:r w:rsidR="00277F6E" w:rsidRPr="00277F6E">
        <w:t>Table 7</w:t>
      </w:r>
      <w:r w:rsidR="00277F6E" w:rsidRPr="00277F6E">
        <w:noBreakHyphen/>
        <w:t>12</w:t>
      </w:r>
      <w:r>
        <w:fldChar w:fldCharType="end"/>
      </w:r>
      <w:r>
        <w:t xml:space="preserve"> </w:t>
      </w:r>
      <w:r w:rsidRPr="00771254">
        <w:t xml:space="preserve">outlines the </w:t>
      </w:r>
      <w:r>
        <w:t>assumptions used for calculating the costs of the MIS requirement.</w:t>
      </w:r>
    </w:p>
    <w:p w14:paraId="2A0C0C35" w14:textId="6D11BD7E" w:rsidR="00143D70" w:rsidRPr="00C40C50" w:rsidRDefault="00143D70" w:rsidP="007620AA">
      <w:pPr>
        <w:pStyle w:val="Caption"/>
        <w:keepNext/>
        <w:spacing w:after="60"/>
        <w:rPr>
          <w:b/>
          <w:i w:val="0"/>
        </w:rPr>
      </w:pPr>
      <w:bookmarkStart w:id="704" w:name="_Ref35353772"/>
      <w:bookmarkStart w:id="705" w:name="_Toc44437384"/>
      <w:bookmarkStart w:id="706" w:name="_Toc44597455"/>
      <w:bookmarkStart w:id="707" w:name="_Toc44597519"/>
      <w:bookmarkStart w:id="708" w:name="_Toc44600089"/>
      <w:bookmarkStart w:id="709" w:name="_Toc44600544"/>
      <w:bookmarkStart w:id="710" w:name="_Toc44600711"/>
      <w:bookmarkStart w:id="711" w:name="_Toc44601208"/>
      <w:bookmarkStart w:id="712" w:name="_Toc44601261"/>
      <w:bookmarkStart w:id="713" w:name="_Toc44603409"/>
      <w:bookmarkStart w:id="714" w:name="_Toc45704457"/>
      <w:r w:rsidRPr="00C40C50">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12</w:t>
      </w:r>
      <w:r w:rsidR="00D2483C">
        <w:rPr>
          <w:b/>
          <w:i w:val="0"/>
        </w:rPr>
        <w:fldChar w:fldCharType="end"/>
      </w:r>
      <w:bookmarkEnd w:id="704"/>
      <w:r w:rsidRPr="00C40C50">
        <w:rPr>
          <w:b/>
          <w:i w:val="0"/>
        </w:rPr>
        <w:t xml:space="preserve">: </w:t>
      </w:r>
      <w:r w:rsidRPr="007620AA">
        <w:rPr>
          <w:b/>
          <w:bCs/>
          <w:i w:val="0"/>
          <w:iCs w:val="0"/>
        </w:rPr>
        <w:t>MIS</w:t>
      </w:r>
      <w:r w:rsidRPr="00C40C50">
        <w:rPr>
          <w:b/>
          <w:i w:val="0"/>
        </w:rPr>
        <w:t xml:space="preserve"> cost parameters for accredited operators</w:t>
      </w:r>
      <w:bookmarkEnd w:id="705"/>
      <w:bookmarkEnd w:id="706"/>
      <w:bookmarkEnd w:id="707"/>
      <w:bookmarkEnd w:id="708"/>
      <w:bookmarkEnd w:id="709"/>
      <w:bookmarkEnd w:id="710"/>
      <w:bookmarkEnd w:id="711"/>
      <w:bookmarkEnd w:id="712"/>
      <w:bookmarkEnd w:id="713"/>
      <w:bookmarkEnd w:id="714"/>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2254"/>
        <w:gridCol w:w="2254"/>
        <w:gridCol w:w="2254"/>
      </w:tblGrid>
      <w:tr w:rsidR="00143D70" w:rsidRPr="00117CB8" w14:paraId="69F29841" w14:textId="77777777" w:rsidTr="008D6034">
        <w:trPr>
          <w:cantSplit/>
          <w:trHeight w:val="288"/>
        </w:trPr>
        <w:tc>
          <w:tcPr>
            <w:tcW w:w="1912" w:type="dxa"/>
            <w:shd w:val="clear" w:color="auto" w:fill="D6ECED"/>
            <w:noWrap/>
            <w:vAlign w:val="center"/>
            <w:hideMark/>
          </w:tcPr>
          <w:p w14:paraId="2B3D291E" w14:textId="77777777" w:rsidR="00143D70" w:rsidRPr="00117CB8" w:rsidRDefault="00143D70" w:rsidP="008D6034">
            <w:pPr>
              <w:keepNext/>
              <w:spacing w:before="60" w:after="60"/>
              <w:jc w:val="center"/>
              <w:rPr>
                <w:rFonts w:eastAsia="Times New Roman" w:cstheme="minorHAnsi"/>
                <w:b/>
                <w:bCs/>
                <w:color w:val="000000"/>
                <w:sz w:val="18"/>
                <w:lang w:eastAsia="en-AU"/>
              </w:rPr>
            </w:pPr>
            <w:r w:rsidRPr="00117CB8">
              <w:rPr>
                <w:b/>
                <w:bCs/>
                <w:sz w:val="18"/>
              </w:rPr>
              <w:t>Activity</w:t>
            </w:r>
          </w:p>
        </w:tc>
        <w:tc>
          <w:tcPr>
            <w:tcW w:w="1913" w:type="dxa"/>
            <w:shd w:val="clear" w:color="auto" w:fill="D6ECED"/>
            <w:vAlign w:val="center"/>
          </w:tcPr>
          <w:p w14:paraId="645F31E6" w14:textId="44EBE0B6" w:rsidR="00143D70" w:rsidRPr="00117CB8" w:rsidRDefault="00143D70" w:rsidP="008D6034">
            <w:pPr>
              <w:keepNext/>
              <w:spacing w:before="60" w:after="60"/>
              <w:jc w:val="center"/>
              <w:rPr>
                <w:b/>
                <w:bCs/>
                <w:sz w:val="18"/>
              </w:rPr>
            </w:pPr>
            <w:r w:rsidRPr="00117CB8">
              <w:rPr>
                <w:b/>
                <w:bCs/>
                <w:sz w:val="18"/>
              </w:rPr>
              <w:t>Number of operators</w:t>
            </w:r>
          </w:p>
        </w:tc>
        <w:tc>
          <w:tcPr>
            <w:tcW w:w="1913" w:type="dxa"/>
            <w:shd w:val="clear" w:color="auto" w:fill="D6ECED"/>
            <w:vAlign w:val="center"/>
          </w:tcPr>
          <w:p w14:paraId="330A21C4" w14:textId="1818AB1A" w:rsidR="00143D70" w:rsidRPr="00117CB8" w:rsidRDefault="00143D70" w:rsidP="008D6034">
            <w:pPr>
              <w:keepNext/>
              <w:spacing w:before="60" w:after="60"/>
              <w:jc w:val="center"/>
              <w:rPr>
                <w:b/>
                <w:bCs/>
                <w:sz w:val="18"/>
              </w:rPr>
            </w:pPr>
            <w:r>
              <w:rPr>
                <w:b/>
                <w:bCs/>
                <w:sz w:val="18"/>
              </w:rPr>
              <w:t>Annual growth rate of operators</w:t>
            </w:r>
          </w:p>
        </w:tc>
        <w:tc>
          <w:tcPr>
            <w:tcW w:w="1913" w:type="dxa"/>
            <w:shd w:val="clear" w:color="auto" w:fill="D6ECED"/>
            <w:noWrap/>
            <w:vAlign w:val="center"/>
            <w:hideMark/>
          </w:tcPr>
          <w:p w14:paraId="26BE348C" w14:textId="77777777" w:rsidR="00143D70" w:rsidRPr="00117CB8" w:rsidRDefault="00143D70" w:rsidP="008D6034">
            <w:pPr>
              <w:keepNext/>
              <w:spacing w:before="60" w:after="60"/>
              <w:jc w:val="center"/>
              <w:rPr>
                <w:rFonts w:eastAsia="Times New Roman" w:cstheme="minorHAnsi"/>
                <w:b/>
                <w:bCs/>
                <w:color w:val="000000"/>
                <w:sz w:val="18"/>
                <w:lang w:eastAsia="en-AU"/>
              </w:rPr>
            </w:pPr>
            <w:r w:rsidRPr="00117CB8">
              <w:rPr>
                <w:b/>
                <w:bCs/>
                <w:sz w:val="18"/>
              </w:rPr>
              <w:t>Labour</w:t>
            </w:r>
            <w:r>
              <w:rPr>
                <w:b/>
                <w:bCs/>
                <w:sz w:val="18"/>
              </w:rPr>
              <w:t xml:space="preserve"> input</w:t>
            </w:r>
            <w:r w:rsidRPr="00117CB8">
              <w:rPr>
                <w:b/>
                <w:bCs/>
                <w:sz w:val="18"/>
              </w:rPr>
              <w:t xml:space="preserve"> cost</w:t>
            </w:r>
          </w:p>
        </w:tc>
      </w:tr>
      <w:tr w:rsidR="00143D70" w:rsidRPr="00117CB8" w14:paraId="13C4E8BD" w14:textId="77777777" w:rsidTr="008D6034">
        <w:trPr>
          <w:cantSplit/>
          <w:trHeight w:val="288"/>
        </w:trPr>
        <w:tc>
          <w:tcPr>
            <w:tcW w:w="1912" w:type="dxa"/>
            <w:shd w:val="clear" w:color="auto" w:fill="auto"/>
            <w:noWrap/>
            <w:hideMark/>
          </w:tcPr>
          <w:p w14:paraId="1AC7D4B3" w14:textId="77777777" w:rsidR="00143D70" w:rsidRPr="00117CB8" w:rsidRDefault="00143D70" w:rsidP="008D6034">
            <w:pPr>
              <w:keepNext/>
              <w:spacing w:before="60" w:after="60"/>
              <w:jc w:val="center"/>
              <w:rPr>
                <w:rFonts w:eastAsia="Times New Roman" w:cstheme="minorHAnsi"/>
                <w:color w:val="000000"/>
                <w:sz w:val="18"/>
                <w:lang w:eastAsia="en-AU"/>
              </w:rPr>
            </w:pPr>
            <w:r w:rsidRPr="00117CB8">
              <w:rPr>
                <w:sz w:val="18"/>
              </w:rPr>
              <w:t>Develop M</w:t>
            </w:r>
            <w:r>
              <w:rPr>
                <w:sz w:val="18"/>
              </w:rPr>
              <w:t>IS</w:t>
            </w:r>
          </w:p>
        </w:tc>
        <w:tc>
          <w:tcPr>
            <w:tcW w:w="1913" w:type="dxa"/>
          </w:tcPr>
          <w:p w14:paraId="7F379DC2" w14:textId="77777777" w:rsidR="00143D70" w:rsidRDefault="00143D70" w:rsidP="008D6034">
            <w:pPr>
              <w:keepNext/>
              <w:spacing w:before="60" w:after="60"/>
              <w:jc w:val="center"/>
              <w:rPr>
                <w:sz w:val="18"/>
              </w:rPr>
            </w:pPr>
            <w:r>
              <w:rPr>
                <w:sz w:val="18"/>
              </w:rPr>
              <w:t xml:space="preserve">Average of </w:t>
            </w:r>
            <w:r w:rsidRPr="00117CB8">
              <w:rPr>
                <w:sz w:val="18"/>
              </w:rPr>
              <w:t>4</w:t>
            </w:r>
            <w:r>
              <w:rPr>
                <w:sz w:val="18"/>
              </w:rPr>
              <w:t>0</w:t>
            </w:r>
            <w:r w:rsidRPr="00117CB8">
              <w:rPr>
                <w:sz w:val="18"/>
              </w:rPr>
              <w:t xml:space="preserve"> average new applicants per year</w:t>
            </w:r>
            <w:r>
              <w:rPr>
                <w:rStyle w:val="FootnoteReference"/>
                <w:sz w:val="18"/>
              </w:rPr>
              <w:footnoteReference w:id="20"/>
            </w:r>
          </w:p>
        </w:tc>
        <w:tc>
          <w:tcPr>
            <w:tcW w:w="1913" w:type="dxa"/>
          </w:tcPr>
          <w:p w14:paraId="13AC074D" w14:textId="77777777" w:rsidR="00143D70" w:rsidRDefault="00143D70" w:rsidP="008D6034">
            <w:pPr>
              <w:keepNext/>
              <w:spacing w:before="60" w:after="60"/>
              <w:jc w:val="center"/>
              <w:rPr>
                <w:sz w:val="18"/>
              </w:rPr>
            </w:pPr>
            <w:r>
              <w:rPr>
                <w:sz w:val="18"/>
              </w:rPr>
              <w:t>N/A</w:t>
            </w:r>
          </w:p>
        </w:tc>
        <w:tc>
          <w:tcPr>
            <w:tcW w:w="1913" w:type="dxa"/>
            <w:shd w:val="clear" w:color="auto" w:fill="auto"/>
            <w:noWrap/>
            <w:hideMark/>
          </w:tcPr>
          <w:p w14:paraId="49A0D722" w14:textId="77777777" w:rsidR="00143D70" w:rsidRPr="00117CB8" w:rsidRDefault="00143D70" w:rsidP="008D6034">
            <w:pPr>
              <w:keepNext/>
              <w:spacing w:before="60" w:after="60"/>
              <w:jc w:val="center"/>
              <w:rPr>
                <w:sz w:val="18"/>
              </w:rPr>
            </w:pPr>
            <w:r>
              <w:rPr>
                <w:sz w:val="18"/>
              </w:rPr>
              <w:t>25</w:t>
            </w:r>
            <w:r w:rsidRPr="00117CB8">
              <w:rPr>
                <w:sz w:val="18"/>
              </w:rPr>
              <w:t xml:space="preserve"> </w:t>
            </w:r>
            <w:r>
              <w:rPr>
                <w:sz w:val="18"/>
              </w:rPr>
              <w:t>hours</w:t>
            </w:r>
            <w:r w:rsidRPr="00117CB8">
              <w:rPr>
                <w:sz w:val="18"/>
              </w:rPr>
              <w:t xml:space="preserve"> </w:t>
            </w:r>
          </w:p>
          <w:p w14:paraId="3A6A1C1A" w14:textId="77777777" w:rsidR="00143D70" w:rsidRPr="00117CB8" w:rsidRDefault="00143D70" w:rsidP="008D6034">
            <w:pPr>
              <w:keepNext/>
              <w:spacing w:before="60" w:after="60"/>
              <w:jc w:val="center"/>
              <w:rPr>
                <w:rFonts w:eastAsia="Times New Roman" w:cstheme="minorHAnsi"/>
                <w:color w:val="000000"/>
                <w:sz w:val="18"/>
                <w:lang w:eastAsia="en-AU"/>
              </w:rPr>
            </w:pPr>
            <w:r>
              <w:rPr>
                <w:sz w:val="18"/>
              </w:rPr>
              <w:t>(</w:t>
            </w:r>
            <w:r w:rsidRPr="00117CB8">
              <w:rPr>
                <w:sz w:val="18"/>
              </w:rPr>
              <w:t>$</w:t>
            </w:r>
            <w:r>
              <w:rPr>
                <w:sz w:val="18"/>
              </w:rPr>
              <w:t>1,909.25)</w:t>
            </w:r>
          </w:p>
        </w:tc>
      </w:tr>
      <w:tr w:rsidR="00143D70" w:rsidRPr="00117CB8" w14:paraId="2967ACFF" w14:textId="77777777" w:rsidTr="008D6034">
        <w:trPr>
          <w:cantSplit/>
          <w:trHeight w:val="288"/>
        </w:trPr>
        <w:tc>
          <w:tcPr>
            <w:tcW w:w="1912" w:type="dxa"/>
            <w:shd w:val="clear" w:color="auto" w:fill="auto"/>
            <w:noWrap/>
            <w:hideMark/>
          </w:tcPr>
          <w:p w14:paraId="04216598" w14:textId="77777777" w:rsidR="00143D70" w:rsidRPr="00117CB8" w:rsidRDefault="00143D70" w:rsidP="008D6034">
            <w:pPr>
              <w:keepNext/>
              <w:spacing w:before="60" w:after="60"/>
              <w:jc w:val="center"/>
              <w:rPr>
                <w:rFonts w:eastAsia="Times New Roman" w:cstheme="minorHAnsi"/>
                <w:color w:val="000000"/>
                <w:sz w:val="18"/>
                <w:lang w:eastAsia="en-AU"/>
              </w:rPr>
            </w:pPr>
            <w:r w:rsidRPr="00117CB8">
              <w:rPr>
                <w:sz w:val="18"/>
              </w:rPr>
              <w:t>Maintain M</w:t>
            </w:r>
            <w:r>
              <w:rPr>
                <w:sz w:val="18"/>
              </w:rPr>
              <w:t>I</w:t>
            </w:r>
            <w:r w:rsidRPr="00117CB8">
              <w:rPr>
                <w:sz w:val="18"/>
              </w:rPr>
              <w:t>S</w:t>
            </w:r>
          </w:p>
        </w:tc>
        <w:tc>
          <w:tcPr>
            <w:tcW w:w="1913" w:type="dxa"/>
          </w:tcPr>
          <w:p w14:paraId="10431DE9" w14:textId="77777777" w:rsidR="00143D70" w:rsidRDefault="00143D70" w:rsidP="008D6034">
            <w:pPr>
              <w:keepNext/>
              <w:spacing w:before="60" w:after="60"/>
              <w:jc w:val="center"/>
              <w:rPr>
                <w:sz w:val="18"/>
              </w:rPr>
            </w:pPr>
            <w:r>
              <w:rPr>
                <w:sz w:val="18"/>
              </w:rPr>
              <w:t>667 active operators</w:t>
            </w:r>
          </w:p>
        </w:tc>
        <w:tc>
          <w:tcPr>
            <w:tcW w:w="1913" w:type="dxa"/>
          </w:tcPr>
          <w:p w14:paraId="79DF3521" w14:textId="77777777" w:rsidR="00143D70" w:rsidRDefault="00143D70" w:rsidP="008D6034">
            <w:pPr>
              <w:keepNext/>
              <w:spacing w:before="60" w:after="60"/>
              <w:jc w:val="center"/>
              <w:rPr>
                <w:sz w:val="18"/>
              </w:rPr>
            </w:pPr>
            <w:r>
              <w:rPr>
                <w:sz w:val="18"/>
              </w:rPr>
              <w:t>1%</w:t>
            </w:r>
          </w:p>
        </w:tc>
        <w:tc>
          <w:tcPr>
            <w:tcW w:w="1913" w:type="dxa"/>
            <w:shd w:val="clear" w:color="auto" w:fill="auto"/>
            <w:noWrap/>
            <w:hideMark/>
          </w:tcPr>
          <w:p w14:paraId="030629C1" w14:textId="77777777" w:rsidR="00143D70" w:rsidRPr="00117CB8" w:rsidRDefault="00143D70" w:rsidP="008D6034">
            <w:pPr>
              <w:keepNext/>
              <w:spacing w:before="60" w:after="60"/>
              <w:jc w:val="center"/>
              <w:rPr>
                <w:sz w:val="18"/>
              </w:rPr>
            </w:pPr>
            <w:r>
              <w:rPr>
                <w:sz w:val="18"/>
              </w:rPr>
              <w:t>10</w:t>
            </w:r>
            <w:r w:rsidRPr="00117CB8">
              <w:rPr>
                <w:sz w:val="18"/>
              </w:rPr>
              <w:t xml:space="preserve"> </w:t>
            </w:r>
            <w:r>
              <w:rPr>
                <w:sz w:val="18"/>
              </w:rPr>
              <w:t>hours</w:t>
            </w:r>
            <w:r w:rsidRPr="00117CB8">
              <w:rPr>
                <w:sz w:val="18"/>
              </w:rPr>
              <w:t xml:space="preserve"> </w:t>
            </w:r>
          </w:p>
          <w:p w14:paraId="1E7C80D8" w14:textId="77777777" w:rsidR="00143D70" w:rsidRPr="00117CB8" w:rsidRDefault="00143D70" w:rsidP="008D6034">
            <w:pPr>
              <w:keepNext/>
              <w:spacing w:before="60" w:after="60"/>
              <w:jc w:val="center"/>
              <w:rPr>
                <w:rFonts w:eastAsia="Times New Roman" w:cstheme="minorHAnsi"/>
                <w:color w:val="000000"/>
                <w:sz w:val="18"/>
                <w:lang w:eastAsia="en-AU"/>
              </w:rPr>
            </w:pPr>
            <w:r>
              <w:rPr>
                <w:sz w:val="18"/>
              </w:rPr>
              <w:t>(</w:t>
            </w:r>
            <w:r w:rsidRPr="00117CB8">
              <w:rPr>
                <w:sz w:val="18"/>
              </w:rPr>
              <w:t>$</w:t>
            </w:r>
            <w:r>
              <w:rPr>
                <w:sz w:val="18"/>
              </w:rPr>
              <w:t>763.70)</w:t>
            </w:r>
          </w:p>
        </w:tc>
      </w:tr>
    </w:tbl>
    <w:p w14:paraId="09648AE8" w14:textId="31892D17" w:rsidR="00143D70" w:rsidRDefault="00143D70" w:rsidP="00143D70">
      <w:r>
        <w:fldChar w:fldCharType="begin"/>
      </w:r>
      <w:r>
        <w:instrText xml:space="preserve"> REF _Ref35942436 \h  \* MERGEFORMAT </w:instrText>
      </w:r>
      <w:r>
        <w:fldChar w:fldCharType="separate"/>
      </w:r>
      <w:r w:rsidR="00277F6E" w:rsidRPr="00277F6E">
        <w:t>Table 7</w:t>
      </w:r>
      <w:r w:rsidR="00277F6E" w:rsidRPr="00277F6E">
        <w:noBreakHyphen/>
        <w:t>13</w:t>
      </w:r>
      <w:r>
        <w:fldChar w:fldCharType="end"/>
      </w:r>
      <w:r>
        <w:t xml:space="preserve"> shows that, based on a real discount rate of 4 per cent, the 10-year NPV for all accredited operators to develop a</w:t>
      </w:r>
      <w:r w:rsidR="003462A6">
        <w:t>n</w:t>
      </w:r>
      <w:r>
        <w:t xml:space="preserve"> MIS is estimated to be approximately </w:t>
      </w:r>
      <w:r w:rsidRPr="00B8419A">
        <w:t>$0.6</w:t>
      </w:r>
      <w:r w:rsidR="00B70C4D">
        <w:t>4</w:t>
      </w:r>
      <w:r w:rsidRPr="00B8419A">
        <w:t xml:space="preserve"> million</w:t>
      </w:r>
      <w:r>
        <w:t xml:space="preserve">. The EAC for all newly accredited operators to develop an MIS is approximately </w:t>
      </w:r>
      <w:r w:rsidRPr="00B8419A">
        <w:t>$0.08 million</w:t>
      </w:r>
      <w:r>
        <w:t xml:space="preserve">. Assuming an annual growth rate of </w:t>
      </w:r>
      <w:r w:rsidRPr="00B8419A">
        <w:t>1 per cent</w:t>
      </w:r>
      <w:r>
        <w:t xml:space="preserve"> of active accredited operators, the 10-year NPV for all accredited operators to </w:t>
      </w:r>
      <w:r>
        <w:lastRenderedPageBreak/>
        <w:t xml:space="preserve">maintain an MIS is estimated to be approximately </w:t>
      </w:r>
      <w:r w:rsidRPr="00B8419A">
        <w:t>$</w:t>
      </w:r>
      <w:r>
        <w:t>4.5</w:t>
      </w:r>
      <w:r w:rsidRPr="00B8419A">
        <w:t xml:space="preserve"> million</w:t>
      </w:r>
      <w:r>
        <w:t xml:space="preserve">. The EAC for all accredited operators to maintain an MIS is approximately </w:t>
      </w:r>
      <w:r w:rsidRPr="00B8419A">
        <w:t>$</w:t>
      </w:r>
      <w:r>
        <w:t>0.5</w:t>
      </w:r>
      <w:r w:rsidR="00B70C4D">
        <w:t>5</w:t>
      </w:r>
      <w:r w:rsidRPr="00B8419A">
        <w:t xml:space="preserve"> million</w:t>
      </w:r>
      <w:r>
        <w:t xml:space="preserve">. </w:t>
      </w:r>
    </w:p>
    <w:p w14:paraId="713198B5" w14:textId="04CA599E" w:rsidR="00143D70" w:rsidRPr="00C82B38" w:rsidRDefault="00143D70" w:rsidP="007620AA">
      <w:pPr>
        <w:pStyle w:val="Caption"/>
        <w:keepNext/>
        <w:spacing w:after="60"/>
        <w:rPr>
          <w:b/>
          <w:bCs/>
          <w:i w:val="0"/>
          <w:iCs w:val="0"/>
        </w:rPr>
      </w:pPr>
      <w:bookmarkStart w:id="715" w:name="_Ref35942436"/>
      <w:bookmarkStart w:id="716" w:name="_Toc44437385"/>
      <w:bookmarkStart w:id="717" w:name="_Toc44597456"/>
      <w:bookmarkStart w:id="718" w:name="_Toc44597520"/>
      <w:bookmarkStart w:id="719" w:name="_Toc44600090"/>
      <w:bookmarkStart w:id="720" w:name="_Toc44600545"/>
      <w:bookmarkStart w:id="721" w:name="_Toc44600712"/>
      <w:bookmarkStart w:id="722" w:name="_Toc44601209"/>
      <w:bookmarkStart w:id="723" w:name="_Toc44601262"/>
      <w:bookmarkStart w:id="724" w:name="_Toc44603410"/>
      <w:bookmarkStart w:id="725" w:name="_Toc45704458"/>
      <w:r w:rsidRPr="00C40C50">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13</w:t>
      </w:r>
      <w:r w:rsidR="00D2483C">
        <w:rPr>
          <w:b/>
          <w:i w:val="0"/>
        </w:rPr>
        <w:fldChar w:fldCharType="end"/>
      </w:r>
      <w:bookmarkEnd w:id="715"/>
      <w:r w:rsidRPr="00C40C50">
        <w:rPr>
          <w:b/>
          <w:i w:val="0"/>
        </w:rPr>
        <w:t xml:space="preserve">: NPV and EAC to develop and </w:t>
      </w:r>
      <w:r w:rsidRPr="007620AA">
        <w:rPr>
          <w:b/>
          <w:bCs/>
          <w:i w:val="0"/>
          <w:iCs w:val="0"/>
        </w:rPr>
        <w:t>maintain</w:t>
      </w:r>
      <w:r w:rsidRPr="00C40C50">
        <w:rPr>
          <w:b/>
          <w:i w:val="0"/>
        </w:rPr>
        <w:t xml:space="preserve"> MIS for accredited operators</w:t>
      </w:r>
      <w:bookmarkEnd w:id="716"/>
      <w:bookmarkEnd w:id="717"/>
      <w:bookmarkEnd w:id="718"/>
      <w:bookmarkEnd w:id="719"/>
      <w:bookmarkEnd w:id="720"/>
      <w:bookmarkEnd w:id="721"/>
      <w:bookmarkEnd w:id="722"/>
      <w:bookmarkEnd w:id="723"/>
      <w:bookmarkEnd w:id="724"/>
      <w:bookmarkEnd w:id="725"/>
    </w:p>
    <w:tbl>
      <w:tblPr>
        <w:tblW w:w="6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0"/>
        <w:gridCol w:w="2231"/>
        <w:gridCol w:w="2230"/>
      </w:tblGrid>
      <w:tr w:rsidR="00143D70" w:rsidRPr="00117CB8" w14:paraId="6B241CEA" w14:textId="77777777" w:rsidTr="008D6034">
        <w:trPr>
          <w:cantSplit/>
          <w:trHeight w:val="288"/>
        </w:trPr>
        <w:tc>
          <w:tcPr>
            <w:tcW w:w="1912" w:type="dxa"/>
            <w:shd w:val="clear" w:color="auto" w:fill="D6ECED"/>
            <w:noWrap/>
            <w:vAlign w:val="bottom"/>
            <w:hideMark/>
          </w:tcPr>
          <w:p w14:paraId="16BC3AF6" w14:textId="77777777" w:rsidR="00143D70" w:rsidRPr="00117CB8" w:rsidRDefault="00143D70" w:rsidP="008D6034">
            <w:pPr>
              <w:keepNext/>
              <w:spacing w:before="60" w:after="60"/>
              <w:jc w:val="center"/>
              <w:rPr>
                <w:rFonts w:eastAsia="Times New Roman" w:cstheme="minorHAnsi"/>
                <w:b/>
                <w:bCs/>
                <w:color w:val="000000"/>
                <w:sz w:val="18"/>
                <w:lang w:eastAsia="en-AU"/>
              </w:rPr>
            </w:pPr>
            <w:r w:rsidRPr="00117CB8">
              <w:rPr>
                <w:b/>
                <w:bCs/>
                <w:sz w:val="18"/>
              </w:rPr>
              <w:t>Activity</w:t>
            </w:r>
          </w:p>
        </w:tc>
        <w:tc>
          <w:tcPr>
            <w:tcW w:w="1913" w:type="dxa"/>
            <w:shd w:val="clear" w:color="auto" w:fill="D6ECED"/>
            <w:noWrap/>
            <w:hideMark/>
          </w:tcPr>
          <w:p w14:paraId="4E2EB5B9" w14:textId="77777777" w:rsidR="00143D70" w:rsidRPr="00117CB8" w:rsidRDefault="00143D70" w:rsidP="008D6034">
            <w:pPr>
              <w:keepNext/>
              <w:spacing w:before="60" w:after="60"/>
              <w:jc w:val="center"/>
              <w:rPr>
                <w:rFonts w:eastAsia="Times New Roman" w:cstheme="minorHAnsi"/>
                <w:b/>
                <w:bCs/>
                <w:color w:val="000000"/>
                <w:sz w:val="18"/>
                <w:lang w:eastAsia="en-AU"/>
              </w:rPr>
            </w:pPr>
            <w:r>
              <w:rPr>
                <w:b/>
                <w:bCs/>
                <w:sz w:val="18"/>
              </w:rPr>
              <w:t>NPV</w:t>
            </w:r>
          </w:p>
        </w:tc>
        <w:tc>
          <w:tcPr>
            <w:tcW w:w="1912" w:type="dxa"/>
            <w:shd w:val="clear" w:color="auto" w:fill="D6ECED"/>
            <w:noWrap/>
            <w:hideMark/>
          </w:tcPr>
          <w:p w14:paraId="70FE698C" w14:textId="77777777" w:rsidR="00143D70" w:rsidRPr="00117CB8" w:rsidRDefault="00143D70" w:rsidP="008D6034">
            <w:pPr>
              <w:keepNext/>
              <w:spacing w:before="60" w:after="60"/>
              <w:jc w:val="center"/>
              <w:rPr>
                <w:rFonts w:eastAsia="Times New Roman" w:cstheme="minorHAnsi"/>
                <w:b/>
                <w:bCs/>
                <w:color w:val="000000"/>
                <w:sz w:val="18"/>
                <w:lang w:eastAsia="en-AU"/>
              </w:rPr>
            </w:pPr>
            <w:r>
              <w:rPr>
                <w:b/>
                <w:bCs/>
                <w:sz w:val="18"/>
              </w:rPr>
              <w:t>EAC</w:t>
            </w:r>
          </w:p>
        </w:tc>
      </w:tr>
      <w:tr w:rsidR="00143D70" w:rsidRPr="00117CB8" w14:paraId="06E8505C" w14:textId="77777777" w:rsidTr="008D6034">
        <w:trPr>
          <w:cantSplit/>
          <w:trHeight w:val="288"/>
        </w:trPr>
        <w:tc>
          <w:tcPr>
            <w:tcW w:w="1912" w:type="dxa"/>
            <w:shd w:val="clear" w:color="auto" w:fill="auto"/>
            <w:noWrap/>
            <w:hideMark/>
          </w:tcPr>
          <w:p w14:paraId="63761CFD" w14:textId="77777777" w:rsidR="00143D70" w:rsidRPr="00117CB8" w:rsidRDefault="00143D70" w:rsidP="008D6034">
            <w:pPr>
              <w:keepNext/>
              <w:spacing w:before="60" w:after="60"/>
              <w:jc w:val="center"/>
              <w:rPr>
                <w:rFonts w:eastAsia="Times New Roman" w:cstheme="minorHAnsi"/>
                <w:color w:val="000000"/>
                <w:sz w:val="18"/>
                <w:lang w:eastAsia="en-AU"/>
              </w:rPr>
            </w:pPr>
            <w:r w:rsidRPr="00117CB8">
              <w:rPr>
                <w:sz w:val="18"/>
              </w:rPr>
              <w:t>Develop M</w:t>
            </w:r>
            <w:r>
              <w:rPr>
                <w:sz w:val="18"/>
              </w:rPr>
              <w:t>IS</w:t>
            </w:r>
          </w:p>
        </w:tc>
        <w:tc>
          <w:tcPr>
            <w:tcW w:w="1913" w:type="dxa"/>
            <w:shd w:val="clear" w:color="auto" w:fill="auto"/>
            <w:noWrap/>
          </w:tcPr>
          <w:p w14:paraId="454309F9" w14:textId="4A3F6F2A" w:rsidR="00143D70" w:rsidRPr="00117CB8" w:rsidRDefault="00143D70" w:rsidP="008D6034">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$0.6</w:t>
            </w:r>
            <w:r w:rsidR="00B70C4D">
              <w:rPr>
                <w:rFonts w:eastAsia="Times New Roman" w:cstheme="minorHAnsi"/>
                <w:color w:val="000000"/>
                <w:sz w:val="18"/>
                <w:lang w:eastAsia="en-AU"/>
              </w:rPr>
              <w:t>4</w:t>
            </w:r>
            <w:r>
              <w:rPr>
                <w:rFonts w:eastAsia="Times New Roman" w:cstheme="minorHAnsi"/>
                <w:color w:val="000000"/>
                <w:sz w:val="18"/>
                <w:lang w:eastAsia="en-AU"/>
              </w:rPr>
              <w:t>m</w:t>
            </w:r>
          </w:p>
        </w:tc>
        <w:tc>
          <w:tcPr>
            <w:tcW w:w="1912" w:type="dxa"/>
            <w:shd w:val="clear" w:color="auto" w:fill="auto"/>
            <w:noWrap/>
          </w:tcPr>
          <w:p w14:paraId="37E27D29" w14:textId="77777777" w:rsidR="00143D70" w:rsidRPr="00117CB8" w:rsidRDefault="00143D70" w:rsidP="008D6034">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$0.08m</w:t>
            </w:r>
          </w:p>
        </w:tc>
      </w:tr>
      <w:tr w:rsidR="00143D70" w:rsidRPr="00117CB8" w14:paraId="2747280F" w14:textId="77777777" w:rsidTr="008D6034">
        <w:trPr>
          <w:cantSplit/>
          <w:trHeight w:val="288"/>
        </w:trPr>
        <w:tc>
          <w:tcPr>
            <w:tcW w:w="1912" w:type="dxa"/>
            <w:shd w:val="clear" w:color="auto" w:fill="auto"/>
            <w:noWrap/>
          </w:tcPr>
          <w:p w14:paraId="195F9152" w14:textId="77777777" w:rsidR="00143D70" w:rsidRDefault="00143D70" w:rsidP="008D6034">
            <w:pPr>
              <w:keepNext/>
              <w:spacing w:before="60" w:after="60"/>
              <w:jc w:val="center"/>
              <w:rPr>
                <w:rFonts w:cstheme="minorHAnsi"/>
                <w:color w:val="auto"/>
                <w:sz w:val="18"/>
              </w:rPr>
            </w:pPr>
            <w:r w:rsidRPr="00117CB8">
              <w:rPr>
                <w:sz w:val="18"/>
              </w:rPr>
              <w:t>Maintain M</w:t>
            </w:r>
            <w:r>
              <w:rPr>
                <w:sz w:val="18"/>
              </w:rPr>
              <w:t>I</w:t>
            </w:r>
            <w:r w:rsidRPr="00117CB8">
              <w:rPr>
                <w:sz w:val="18"/>
              </w:rPr>
              <w:t>S</w:t>
            </w:r>
          </w:p>
        </w:tc>
        <w:tc>
          <w:tcPr>
            <w:tcW w:w="1913" w:type="dxa"/>
            <w:shd w:val="clear" w:color="auto" w:fill="auto"/>
            <w:noWrap/>
          </w:tcPr>
          <w:p w14:paraId="0256BD9A" w14:textId="7E9867C2" w:rsidR="00143D70" w:rsidRDefault="00143D70" w:rsidP="008D6034">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$4.5m</w:t>
            </w:r>
          </w:p>
        </w:tc>
        <w:tc>
          <w:tcPr>
            <w:tcW w:w="1912" w:type="dxa"/>
            <w:shd w:val="clear" w:color="auto" w:fill="auto"/>
            <w:noWrap/>
          </w:tcPr>
          <w:p w14:paraId="54B46302" w14:textId="37D184F3" w:rsidR="00143D70" w:rsidRDefault="00143D70" w:rsidP="008D6034">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$0.5</w:t>
            </w:r>
            <w:r w:rsidR="00B70C4D">
              <w:rPr>
                <w:rFonts w:eastAsia="Times New Roman" w:cstheme="minorHAnsi"/>
                <w:color w:val="000000"/>
                <w:sz w:val="18"/>
                <w:lang w:eastAsia="en-AU"/>
              </w:rPr>
              <w:t>5</w:t>
            </w:r>
            <w:r>
              <w:rPr>
                <w:rFonts w:eastAsia="Times New Roman" w:cstheme="minorHAnsi"/>
                <w:color w:val="000000"/>
                <w:sz w:val="18"/>
                <w:lang w:eastAsia="en-AU"/>
              </w:rPr>
              <w:t>m</w:t>
            </w:r>
          </w:p>
        </w:tc>
      </w:tr>
    </w:tbl>
    <w:p w14:paraId="6FD89A3E" w14:textId="77777777" w:rsidR="00143D70" w:rsidRPr="00CC0AAC" w:rsidRDefault="00143D70" w:rsidP="00143D70">
      <w:pPr>
        <w:rPr>
          <w:u w:val="single"/>
        </w:rPr>
      </w:pPr>
      <w:r w:rsidRPr="00CC0AAC">
        <w:rPr>
          <w:u w:val="single"/>
        </w:rPr>
        <w:t>Substantive compliance costs</w:t>
      </w:r>
    </w:p>
    <w:p w14:paraId="63A231B6" w14:textId="7BE62156" w:rsidR="00143D70" w:rsidRPr="007160BB" w:rsidRDefault="00143D70" w:rsidP="00143D70">
      <w:pPr>
        <w:rPr>
          <w:color w:val="auto"/>
        </w:rPr>
      </w:pPr>
      <w:r w:rsidRPr="007160BB">
        <w:rPr>
          <w:color w:val="auto"/>
        </w:rPr>
        <w:t xml:space="preserve">Some of </w:t>
      </w:r>
      <w:r w:rsidR="0053350E">
        <w:rPr>
          <w:color w:val="auto"/>
        </w:rPr>
        <w:t xml:space="preserve">the </w:t>
      </w:r>
      <w:r>
        <w:rPr>
          <w:color w:val="auto"/>
        </w:rPr>
        <w:t>matters covered under the requirement for an MIS</w:t>
      </w:r>
      <w:r w:rsidRPr="007160BB">
        <w:rPr>
          <w:color w:val="auto"/>
        </w:rPr>
        <w:t xml:space="preserve"> are mostly administrative in nature and do not require ongoing substantive compliance costs, such as development of a safety policy, governance and internal control arrangement, accountability and authorities.</w:t>
      </w:r>
      <w:r>
        <w:rPr>
          <w:color w:val="auto"/>
        </w:rPr>
        <w:t xml:space="preserve"> While there may be some additional compliance cost</w:t>
      </w:r>
      <w:r w:rsidR="0053350E">
        <w:rPr>
          <w:color w:val="auto"/>
        </w:rPr>
        <w:t>s</w:t>
      </w:r>
      <w:r>
        <w:rPr>
          <w:color w:val="auto"/>
        </w:rPr>
        <w:t xml:space="preserve"> beyond </w:t>
      </w:r>
      <w:r w:rsidR="00E6392F">
        <w:rPr>
          <w:color w:val="auto"/>
        </w:rPr>
        <w:t xml:space="preserve">the </w:t>
      </w:r>
      <w:r>
        <w:rPr>
          <w:color w:val="auto"/>
        </w:rPr>
        <w:t xml:space="preserve">purely administrative </w:t>
      </w:r>
      <w:r w:rsidR="00E6392F">
        <w:rPr>
          <w:color w:val="auto"/>
        </w:rPr>
        <w:t>costs in</w:t>
      </w:r>
      <w:r>
        <w:rPr>
          <w:color w:val="auto"/>
        </w:rPr>
        <w:t xml:space="preserve"> establishing the process or documentation relating to the specific matter, the</w:t>
      </w:r>
      <w:r w:rsidR="00E6392F">
        <w:rPr>
          <w:color w:val="auto"/>
        </w:rPr>
        <w:t>se additional compliance</w:t>
      </w:r>
      <w:r>
        <w:rPr>
          <w:color w:val="auto"/>
        </w:rPr>
        <w:t xml:space="preserve"> costs may relate to what is </w:t>
      </w:r>
      <w:r w:rsidR="002B7F88">
        <w:rPr>
          <w:color w:val="auto"/>
        </w:rPr>
        <w:t xml:space="preserve">already </w:t>
      </w:r>
      <w:r>
        <w:rPr>
          <w:color w:val="auto"/>
        </w:rPr>
        <w:t xml:space="preserve">required more broadly under the Bus Safety Act. For this reason, DoT is not including these costs as attributable to the requirement to prepare a MIS. </w:t>
      </w:r>
    </w:p>
    <w:p w14:paraId="6059F040" w14:textId="77777777" w:rsidR="00143D70" w:rsidRDefault="00143D70" w:rsidP="00143D70">
      <w:pPr>
        <w:rPr>
          <w:highlight w:val="yellow"/>
        </w:rPr>
      </w:pPr>
      <w:r w:rsidRPr="007160BB">
        <w:rPr>
          <w:color w:val="auto"/>
        </w:rPr>
        <w:t>Other matters</w:t>
      </w:r>
      <w:r>
        <w:rPr>
          <w:color w:val="auto"/>
        </w:rPr>
        <w:t xml:space="preserve"> required to be complied with will be analysed and assessed in other sections of this RIS. I</w:t>
      </w:r>
      <w:r w:rsidRPr="007160BB">
        <w:rPr>
          <w:color w:val="auto"/>
        </w:rPr>
        <w:t>nformation management</w:t>
      </w:r>
      <w:r>
        <w:rPr>
          <w:color w:val="auto"/>
        </w:rPr>
        <w:t xml:space="preserve"> requirements </w:t>
      </w:r>
      <w:r w:rsidRPr="007160BB">
        <w:rPr>
          <w:color w:val="auto"/>
        </w:rPr>
        <w:t>relat</w:t>
      </w:r>
      <w:r>
        <w:rPr>
          <w:color w:val="auto"/>
        </w:rPr>
        <w:t>ing</w:t>
      </w:r>
      <w:r w:rsidRPr="007160BB">
        <w:rPr>
          <w:color w:val="auto"/>
        </w:rPr>
        <w:t xml:space="preserve"> to records and the</w:t>
      </w:r>
      <w:r>
        <w:rPr>
          <w:color w:val="auto"/>
        </w:rPr>
        <w:t>ir</w:t>
      </w:r>
      <w:r w:rsidRPr="007160BB">
        <w:rPr>
          <w:color w:val="auto"/>
        </w:rPr>
        <w:t xml:space="preserve"> compliance costs will be covered under the benefits and costs analysis under the Records </w:t>
      </w:r>
      <w:r>
        <w:rPr>
          <w:color w:val="auto"/>
        </w:rPr>
        <w:t>section of this RIS</w:t>
      </w:r>
      <w:r w:rsidRPr="007160BB">
        <w:rPr>
          <w:color w:val="auto"/>
        </w:rPr>
        <w:t xml:space="preserve">. </w:t>
      </w:r>
      <w:r>
        <w:rPr>
          <w:color w:val="auto"/>
        </w:rPr>
        <w:t>Additionally, the compliance costs relating to i</w:t>
      </w:r>
      <w:r w:rsidRPr="00A10838">
        <w:rPr>
          <w:color w:val="auto"/>
        </w:rPr>
        <w:t xml:space="preserve">ncident reporting and investigation is covered under the Incident Reporting </w:t>
      </w:r>
      <w:r w:rsidR="00C944C3">
        <w:rPr>
          <w:color w:val="auto"/>
        </w:rPr>
        <w:t xml:space="preserve">section </w:t>
      </w:r>
      <w:r w:rsidRPr="00A10838">
        <w:rPr>
          <w:color w:val="auto"/>
        </w:rPr>
        <w:t>of this RIS.</w:t>
      </w:r>
    </w:p>
    <w:p w14:paraId="7562BEFC" w14:textId="77777777" w:rsidR="00143D70" w:rsidRPr="001C2DC0" w:rsidRDefault="00143D70" w:rsidP="0095677C">
      <w:pPr>
        <w:pStyle w:val="Heading5"/>
      </w:pPr>
      <w:r w:rsidRPr="001C2DC0">
        <w:t>Summary</w:t>
      </w:r>
    </w:p>
    <w:p w14:paraId="0470AC7C" w14:textId="15C903D2" w:rsidR="00747B9A" w:rsidRDefault="00B26031" w:rsidP="00747B9A">
      <w:r>
        <w:t>Requirements to implement s</w:t>
      </w:r>
      <w:r w:rsidR="000154B3">
        <w:t>ystems and processes are intended to complement t</w:t>
      </w:r>
      <w:r>
        <w:t xml:space="preserve">he general safety duty obligations imposed on the industry. </w:t>
      </w:r>
      <w:r w:rsidR="00BC470F">
        <w:t xml:space="preserve">Documenting and following these systems </w:t>
      </w:r>
      <w:r w:rsidR="0075167B">
        <w:t>is</w:t>
      </w:r>
      <w:r w:rsidR="00BC470F">
        <w:t xml:space="preserve"> expected to lead to better risk manag</w:t>
      </w:r>
      <w:r w:rsidR="005B64FC">
        <w:t>ement practices by bus operators. DoT estimates the compliance costs associat</w:t>
      </w:r>
      <w:r w:rsidR="00C944C3">
        <w:t>ed</w:t>
      </w:r>
      <w:r w:rsidR="005B64FC">
        <w:t xml:space="preserve"> with the systems are </w:t>
      </w:r>
      <w:r w:rsidR="00E92D6A">
        <w:t>approximately $</w:t>
      </w:r>
      <w:r w:rsidR="006C21F6">
        <w:t>5.14</w:t>
      </w:r>
      <w:r w:rsidR="00E92D6A">
        <w:t xml:space="preserve"> million over the life of the </w:t>
      </w:r>
      <w:r w:rsidR="0075167B">
        <w:t xml:space="preserve">regulations. </w:t>
      </w:r>
      <w:r w:rsidR="00403B74">
        <w:t>DoT considers that these are reasonable costs in the context of improving bus safety and recommends that the regulations be made.</w:t>
      </w:r>
    </w:p>
    <w:p w14:paraId="22F8FE7C" w14:textId="5BA44649" w:rsidR="00E90E14" w:rsidRDefault="00E90E14" w:rsidP="00E90E14">
      <w:r>
        <w:t>Note that some of the costs estimated to implement systems to ensure the safety of bus operations could be attributed to the obligations under the Bus Safety Act, rather than wholly attributable to the proposed regulations. As such, the estimated compliance costs attributed to the regulations may be lower than the estimated $</w:t>
      </w:r>
      <w:r w:rsidR="002F01AD">
        <w:t>5.14</w:t>
      </w:r>
      <w:r>
        <w:t xml:space="preserve"> million over the life of the regulations. The extent to which costs may be attributable to the Bus Safety Act (in the absence of supporting regulations) are not able to the quantified, although DoT expects it to be substantial.</w:t>
      </w:r>
    </w:p>
    <w:p w14:paraId="1BEB7FF9" w14:textId="0ED90A8F" w:rsidR="00747B9A" w:rsidRDefault="00EF79F8" w:rsidP="00747B9A">
      <w:pPr>
        <w:pStyle w:val="Heading3"/>
      </w:pPr>
      <w:bookmarkStart w:id="726" w:name="_Ref41819548"/>
      <w:bookmarkStart w:id="727" w:name="_Ref41982408"/>
      <w:bookmarkStart w:id="728" w:name="_Toc45704375"/>
      <w:r>
        <w:t>M</w:t>
      </w:r>
      <w:r w:rsidR="00A45AE6">
        <w:t>aximum number of passenger</w:t>
      </w:r>
      <w:r w:rsidR="00BD45A7">
        <w:t>s</w:t>
      </w:r>
      <w:bookmarkEnd w:id="726"/>
      <w:bookmarkEnd w:id="727"/>
      <w:bookmarkEnd w:id="728"/>
    </w:p>
    <w:p w14:paraId="21CD6019" w14:textId="1594CA9C" w:rsidR="00E4042E" w:rsidRDefault="004E37B0" w:rsidP="004E37B0">
      <w:r>
        <w:t xml:space="preserve">This section </w:t>
      </w:r>
      <w:r w:rsidR="009912AB">
        <w:t xml:space="preserve">considers the impacts </w:t>
      </w:r>
      <w:r>
        <w:t>of regulations relating to the maximum carrying capacity of a bus</w:t>
      </w:r>
      <w:r w:rsidR="00CC38F1">
        <w:t>,</w:t>
      </w:r>
      <w:r w:rsidR="004F6B7F">
        <w:t xml:space="preserve"> as described in Section</w:t>
      </w:r>
      <w:r w:rsidR="002B7F88">
        <w:t xml:space="preserve"> </w:t>
      </w:r>
      <w:r w:rsidR="002B7F88">
        <w:fldChar w:fldCharType="begin"/>
      </w:r>
      <w:r w:rsidR="002B7F88">
        <w:instrText xml:space="preserve"> REF _Ref43292666 \r \h </w:instrText>
      </w:r>
      <w:r w:rsidR="002B7F88">
        <w:fldChar w:fldCharType="separate"/>
      </w:r>
      <w:r w:rsidR="00277F6E">
        <w:t>6.2.2</w:t>
      </w:r>
      <w:r w:rsidR="002B7F88">
        <w:fldChar w:fldCharType="end"/>
      </w:r>
      <w:r>
        <w:t xml:space="preserve">. The </w:t>
      </w:r>
      <w:r w:rsidR="00E43460">
        <w:t xml:space="preserve">assessed option </w:t>
      </w:r>
      <w:r>
        <w:t>would require</w:t>
      </w:r>
      <w:r w:rsidR="00E4042E">
        <w:t xml:space="preserve"> </w:t>
      </w:r>
      <w:r w:rsidR="00D23057">
        <w:t>(status quo)</w:t>
      </w:r>
      <w:r w:rsidR="00E4042E">
        <w:t>:</w:t>
      </w:r>
    </w:p>
    <w:p w14:paraId="424580A5" w14:textId="74421CE3" w:rsidR="00E4042E" w:rsidRDefault="004E37B0" w:rsidP="00842F5A">
      <w:pPr>
        <w:pStyle w:val="ListParagraph"/>
        <w:numPr>
          <w:ilvl w:val="0"/>
          <w:numId w:val="28"/>
        </w:numPr>
        <w:rPr>
          <w:rFonts w:asciiTheme="minorHAnsi" w:hAnsiTheme="minorHAnsi" w:cstheme="minorHAnsi"/>
          <w:color w:val="auto"/>
          <w:sz w:val="20"/>
          <w:szCs w:val="20"/>
        </w:rPr>
      </w:pPr>
      <w:r w:rsidRPr="00E4042E">
        <w:rPr>
          <w:rFonts w:asciiTheme="minorHAnsi" w:hAnsiTheme="minorHAnsi" w:cstheme="minorHAnsi"/>
          <w:color w:val="auto"/>
          <w:sz w:val="20"/>
          <w:szCs w:val="20"/>
        </w:rPr>
        <w:t xml:space="preserve">the bus operator to determine the maximum carrying capacity of </w:t>
      </w:r>
      <w:r w:rsidR="003B7EE3" w:rsidRPr="00E4042E">
        <w:rPr>
          <w:rFonts w:asciiTheme="minorHAnsi" w:hAnsiTheme="minorHAnsi" w:cstheme="minorHAnsi"/>
          <w:color w:val="auto"/>
          <w:sz w:val="20"/>
          <w:szCs w:val="20"/>
        </w:rPr>
        <w:t>the vehicle based on an assessment made by the manufacturer of the vehicle or licen</w:t>
      </w:r>
      <w:r w:rsidR="00723409">
        <w:rPr>
          <w:rFonts w:asciiTheme="minorHAnsi" w:hAnsiTheme="minorHAnsi" w:cstheme="minorHAnsi"/>
          <w:color w:val="auto"/>
          <w:sz w:val="20"/>
          <w:szCs w:val="20"/>
        </w:rPr>
        <w:t>s</w:t>
      </w:r>
      <w:r w:rsidR="003B7EE3" w:rsidRPr="00E4042E">
        <w:rPr>
          <w:rFonts w:asciiTheme="minorHAnsi" w:hAnsiTheme="minorHAnsi" w:cstheme="minorHAnsi"/>
          <w:color w:val="auto"/>
          <w:sz w:val="20"/>
          <w:szCs w:val="20"/>
        </w:rPr>
        <w:t>e</w:t>
      </w:r>
      <w:r w:rsidR="009B4A27">
        <w:rPr>
          <w:rFonts w:asciiTheme="minorHAnsi" w:hAnsiTheme="minorHAnsi" w:cstheme="minorHAnsi"/>
          <w:color w:val="auto"/>
          <w:sz w:val="20"/>
          <w:szCs w:val="20"/>
        </w:rPr>
        <w:t>d</w:t>
      </w:r>
      <w:r w:rsidR="003B7EE3" w:rsidRPr="00E4042E">
        <w:rPr>
          <w:rFonts w:asciiTheme="minorHAnsi" w:hAnsiTheme="minorHAnsi" w:cstheme="minorHAnsi"/>
          <w:color w:val="auto"/>
          <w:sz w:val="20"/>
          <w:szCs w:val="20"/>
        </w:rPr>
        <w:t xml:space="preserve"> bus tester</w:t>
      </w:r>
    </w:p>
    <w:p w14:paraId="0186D5B4" w14:textId="640D5BF4" w:rsidR="003E3A86" w:rsidRDefault="001E748D" w:rsidP="00842F5A">
      <w:pPr>
        <w:pStyle w:val="ListParagraph"/>
        <w:numPr>
          <w:ilvl w:val="0"/>
          <w:numId w:val="28"/>
        </w:numPr>
        <w:rPr>
          <w:rFonts w:asciiTheme="minorHAnsi" w:hAnsiTheme="minorHAnsi" w:cstheme="minorHAnsi"/>
          <w:color w:val="auto"/>
          <w:sz w:val="20"/>
          <w:szCs w:val="20"/>
        </w:rPr>
      </w:pPr>
      <w:r>
        <w:rPr>
          <w:rFonts w:asciiTheme="minorHAnsi" w:hAnsiTheme="minorHAnsi" w:cstheme="minorHAnsi"/>
          <w:color w:val="auto"/>
          <w:sz w:val="20"/>
          <w:szCs w:val="20"/>
        </w:rPr>
        <w:t xml:space="preserve">the </w:t>
      </w:r>
      <w:r w:rsidR="002D2896">
        <w:rPr>
          <w:rFonts w:asciiTheme="minorHAnsi" w:hAnsiTheme="minorHAnsi" w:cstheme="minorHAnsi"/>
          <w:color w:val="auto"/>
          <w:sz w:val="20"/>
          <w:szCs w:val="20"/>
        </w:rPr>
        <w:t xml:space="preserve">bus </w:t>
      </w:r>
      <w:r>
        <w:rPr>
          <w:rFonts w:asciiTheme="minorHAnsi" w:hAnsiTheme="minorHAnsi" w:cstheme="minorHAnsi"/>
          <w:color w:val="auto"/>
          <w:sz w:val="20"/>
          <w:szCs w:val="20"/>
        </w:rPr>
        <w:t>operator</w:t>
      </w:r>
      <w:r w:rsidR="004E37B0" w:rsidRPr="00E4042E">
        <w:rPr>
          <w:rFonts w:asciiTheme="minorHAnsi" w:hAnsiTheme="minorHAnsi" w:cstheme="minorHAnsi"/>
          <w:color w:val="auto"/>
          <w:sz w:val="20"/>
          <w:szCs w:val="20"/>
        </w:rPr>
        <w:t xml:space="preserve"> to display a sign advising what the maximum carrying capacity of the bus is</w:t>
      </w:r>
    </w:p>
    <w:p w14:paraId="07F259CD" w14:textId="0AB5A245" w:rsidR="004E37B0" w:rsidRPr="00E4042E" w:rsidRDefault="003E3A86" w:rsidP="00842F5A">
      <w:pPr>
        <w:pStyle w:val="ListParagraph"/>
        <w:numPr>
          <w:ilvl w:val="0"/>
          <w:numId w:val="28"/>
        </w:numPr>
        <w:rPr>
          <w:rFonts w:asciiTheme="minorHAnsi" w:hAnsiTheme="minorHAnsi" w:cstheme="minorHAnsi"/>
          <w:color w:val="auto"/>
          <w:sz w:val="20"/>
          <w:szCs w:val="20"/>
        </w:rPr>
      </w:pPr>
      <w:r>
        <w:rPr>
          <w:rFonts w:asciiTheme="minorHAnsi" w:hAnsiTheme="minorHAnsi" w:cstheme="minorHAnsi"/>
          <w:color w:val="auto"/>
          <w:sz w:val="20"/>
          <w:szCs w:val="20"/>
        </w:rPr>
        <w:t>the signs to be displayed on all buses</w:t>
      </w:r>
      <w:r w:rsidRPr="00E4042E">
        <w:rPr>
          <w:rFonts w:asciiTheme="minorHAnsi" w:hAnsiTheme="minorHAnsi" w:cstheme="minorHAnsi"/>
          <w:color w:val="auto"/>
          <w:sz w:val="20"/>
          <w:szCs w:val="20"/>
        </w:rPr>
        <w:t xml:space="preserve"> with 13 or more seats</w:t>
      </w:r>
      <w:r w:rsidR="004E37B0" w:rsidRPr="00E4042E">
        <w:rPr>
          <w:rFonts w:asciiTheme="minorHAnsi" w:hAnsiTheme="minorHAnsi" w:cstheme="minorHAnsi"/>
          <w:color w:val="auto"/>
          <w:sz w:val="20"/>
          <w:szCs w:val="20"/>
        </w:rPr>
        <w:t>.</w:t>
      </w:r>
    </w:p>
    <w:p w14:paraId="776BB5B5" w14:textId="77777777" w:rsidR="004E37B0" w:rsidRPr="001C2DC0" w:rsidRDefault="004E37B0" w:rsidP="0095677C">
      <w:pPr>
        <w:pStyle w:val="Heading5"/>
      </w:pPr>
      <w:r w:rsidRPr="001C2DC0">
        <w:t>Expected benefits</w:t>
      </w:r>
    </w:p>
    <w:p w14:paraId="7A26CF58" w14:textId="165C5F3B" w:rsidR="004E37B0" w:rsidRDefault="004E37B0" w:rsidP="004E37B0">
      <w:r>
        <w:t>The purpose of imposing requirements on bus operators is to make clear the maximum safe loading of a bus. This is important as different makes and models of buses will likely have different safe carrying capacities. Additionally, if any modifications</w:t>
      </w:r>
      <w:r w:rsidR="00372AE4">
        <w:t xml:space="preserve"> have been</w:t>
      </w:r>
      <w:r>
        <w:t xml:space="preserve"> made to the bus, then the safety performance of the bus in relation to carrying capacity may be affected. Accordingly, any declaration made by the original manufacturer in respect of that capacity may be out of date. </w:t>
      </w:r>
    </w:p>
    <w:p w14:paraId="3DED6711" w14:textId="1A81298F" w:rsidR="004E37B0" w:rsidRDefault="004E37B0" w:rsidP="004E37B0">
      <w:r>
        <w:t xml:space="preserve">This measure informs the driver of the maximum carrying capacity of a bus and is intended to affect the behaviour of the driver during the operation of the bus. Drivers should not be accepting more </w:t>
      </w:r>
      <w:r>
        <w:lastRenderedPageBreak/>
        <w:t>passengers on a bus than the vehicle is able to carry safely. D</w:t>
      </w:r>
      <w:r w:rsidR="00D70F72">
        <w:t>o</w:t>
      </w:r>
      <w:r>
        <w:t>T notes that not all buses are the same and are likely to have different carrying capacities. The benefits of th</w:t>
      </w:r>
      <w:r w:rsidR="002D2896">
        <w:t>e proposed</w:t>
      </w:r>
      <w:r>
        <w:t xml:space="preserve"> regulation are likely to be greater for operators that run different configurations of buses </w:t>
      </w:r>
      <w:r w:rsidR="00421E8E">
        <w:t>where</w:t>
      </w:r>
      <w:r>
        <w:t xml:space="preserve"> information about the safe carrying capacity may not be readily available to the driver. It is intended that th</w:t>
      </w:r>
      <w:r w:rsidR="00421E8E">
        <w:t>e proposed</w:t>
      </w:r>
      <w:r>
        <w:t xml:space="preserve"> regulation will minimise the safety risks of a bus carrying in excess of its maximum carrying capacity. </w:t>
      </w:r>
    </w:p>
    <w:p w14:paraId="5797DA01" w14:textId="37BFF870" w:rsidR="004E37B0" w:rsidRDefault="004E37B0" w:rsidP="004E37B0">
      <w:r>
        <w:t>D</w:t>
      </w:r>
      <w:r w:rsidR="00D70F72">
        <w:t>o</w:t>
      </w:r>
      <w:r>
        <w:t xml:space="preserve">T expects that these measures will assist in reducing loss of life or serious injury arising from overloaded buses. For example, if a bus is not able to stop in time in hazardous traffic conditions, an overloaded bus is likely to create a higher incidence or severity of injury. </w:t>
      </w:r>
      <w:r w:rsidR="009C5655">
        <w:t xml:space="preserve">Although the consequences of overloading are considered </w:t>
      </w:r>
      <w:r w:rsidR="00F01D60">
        <w:t>significant, DoT considers the likelihood of overloading to be relatively low</w:t>
      </w:r>
      <w:r w:rsidR="006314CF">
        <w:t xml:space="preserve"> (e.g. overloading </w:t>
      </w:r>
      <w:r w:rsidR="00E24BC5">
        <w:t>may only occur peak period or on popular routes)</w:t>
      </w:r>
      <w:r w:rsidR="007645B6">
        <w:t xml:space="preserve">. Given these considerations, the overall benefits of imposing </w:t>
      </w:r>
      <w:r w:rsidR="00D21309">
        <w:t>requirements</w:t>
      </w:r>
      <w:r w:rsidR="007645B6">
        <w:t xml:space="preserve"> relating to maximum capacity will be relatively low. </w:t>
      </w:r>
    </w:p>
    <w:p w14:paraId="7793489A" w14:textId="77777777" w:rsidR="004E37B0" w:rsidRPr="001C2DC0" w:rsidRDefault="004E37B0" w:rsidP="0095677C">
      <w:pPr>
        <w:pStyle w:val="Heading5"/>
      </w:pPr>
      <w:r w:rsidRPr="001C2DC0">
        <w:t>Expected costs</w:t>
      </w:r>
    </w:p>
    <w:p w14:paraId="68553FE4" w14:textId="77777777" w:rsidR="004E37B0" w:rsidRDefault="004E37B0" w:rsidP="004E37B0">
      <w:r>
        <w:t xml:space="preserve">The expected costs of the proposed regulation under consideration involves compliance costs to verify the maximum carrying capacity and to acquire and display the sign. </w:t>
      </w:r>
    </w:p>
    <w:p w14:paraId="29810916" w14:textId="742C63C4" w:rsidR="004E37B0" w:rsidRDefault="004E37B0" w:rsidP="004E37B0">
      <w:r>
        <w:t>D</w:t>
      </w:r>
      <w:r w:rsidR="00D70F72">
        <w:t>o</w:t>
      </w:r>
      <w:r>
        <w:t xml:space="preserve">T expects that the costs associated with determining or verifying the maximum carrying capacity are minimal as this value is, in the majority of cases, determined by the manufacturer as a matter of course during manufacture of the bus. The costs for the operator to verify and record (i.e. physically checking the bus for the compliance plate where the maximum carrying capacity is specified) are unlikely to be significant. </w:t>
      </w:r>
    </w:p>
    <w:p w14:paraId="5646631D" w14:textId="4C44D0AB" w:rsidR="004E37B0" w:rsidRDefault="004E37B0" w:rsidP="004E37B0">
      <w:r>
        <w:t xml:space="preserve">The proposed regulations for displaying a notice of the maximum carrying capacity only applies to buses with seating positions for 13 or more adults, including the driver. A desktop analysis </w:t>
      </w:r>
      <w:r w:rsidR="00C0418E">
        <w:t>of quoted prices of vehicle sign</w:t>
      </w:r>
      <w:r w:rsidR="003C0980">
        <w:t>s</w:t>
      </w:r>
      <w:r w:rsidR="00C0418E">
        <w:t xml:space="preserve"> advertised on private company websites </w:t>
      </w:r>
      <w:r w:rsidR="00726884">
        <w:t xml:space="preserve">indicates </w:t>
      </w:r>
      <w:r>
        <w:t xml:space="preserve">the cost of a sign ranges from </w:t>
      </w:r>
      <w:r w:rsidRPr="00F74DAB">
        <w:t>$10 to $50 per vehicle</w:t>
      </w:r>
      <w:r>
        <w:t xml:space="preserve">. For the purposes of this RIS, the mid-point of this range, </w:t>
      </w:r>
      <w:r w:rsidRPr="00B62E80">
        <w:t>$30 per sign</w:t>
      </w:r>
      <w:r>
        <w:t>, will be taken as the average cost. D</w:t>
      </w:r>
      <w:r w:rsidR="00D70F72">
        <w:t>o</w:t>
      </w:r>
      <w:r>
        <w:t xml:space="preserve">T will also assume that the installation of the sign takes about </w:t>
      </w:r>
      <w:r w:rsidRPr="00B62E80">
        <w:t>10 minutes</w:t>
      </w:r>
      <w:r>
        <w:t>.</w:t>
      </w:r>
    </w:p>
    <w:p w14:paraId="65552C5F" w14:textId="5B3F6801" w:rsidR="004E37B0" w:rsidRDefault="004E37B0" w:rsidP="004E37B0">
      <w:r>
        <w:t>Many, though not all</w:t>
      </w:r>
      <w:r>
        <w:rPr>
          <w:rStyle w:val="FootnoteReference"/>
        </w:rPr>
        <w:footnoteReference w:id="21"/>
      </w:r>
      <w:r>
        <w:t xml:space="preserve">, buses with seating for 13 or more adults (including the driver) are operated by accredited bus operators. According to data provided by VicRoads’ Registration and Licensing, the proportion of buses with 13 or more seats is approximately </w:t>
      </w:r>
      <w:r w:rsidRPr="00B62E80">
        <w:t>59 per cent</w:t>
      </w:r>
      <w:r>
        <w:t>. Using this proportion for the 13,360</w:t>
      </w:r>
      <w:r w:rsidRPr="00974B61">
        <w:t xml:space="preserve"> buses</w:t>
      </w:r>
      <w:r>
        <w:t xml:space="preserve"> operated by active accredited and registered bus operators (as at 31 December 2019), D</w:t>
      </w:r>
      <w:r w:rsidR="00D70F72">
        <w:t>o</w:t>
      </w:r>
      <w:r>
        <w:t xml:space="preserve">T estimates there are </w:t>
      </w:r>
      <w:r w:rsidRPr="00B62E80">
        <w:t>7,882 buses</w:t>
      </w:r>
      <w:r>
        <w:t xml:space="preserve"> that seat 13 or more adults as at 31 December 2019.</w:t>
      </w:r>
    </w:p>
    <w:p w14:paraId="3EDE74E0" w14:textId="6975190D" w:rsidR="004E37B0" w:rsidRPr="0033276F" w:rsidRDefault="004E37B0" w:rsidP="004E37B0">
      <w:r>
        <w:fldChar w:fldCharType="begin"/>
      </w:r>
      <w:r>
        <w:instrText xml:space="preserve"> REF _Ref35862401 \h  \* MERGEFORMAT </w:instrText>
      </w:r>
      <w:r>
        <w:fldChar w:fldCharType="separate"/>
      </w:r>
      <w:r w:rsidR="00277F6E" w:rsidRPr="00277F6E">
        <w:t>Table 7</w:t>
      </w:r>
      <w:r w:rsidR="00277F6E" w:rsidRPr="00277F6E">
        <w:noBreakHyphen/>
        <w:t>14</w:t>
      </w:r>
      <w:r>
        <w:fldChar w:fldCharType="end"/>
      </w:r>
      <w:r>
        <w:t xml:space="preserve"> </w:t>
      </w:r>
      <w:r w:rsidRPr="00771254">
        <w:t xml:space="preserve">outlines the </w:t>
      </w:r>
      <w:r>
        <w:t>parameters for calculating the compliance costs of the maximum passenger sign requirements</w:t>
      </w:r>
      <w:r w:rsidR="00061F24">
        <w:t>.</w:t>
      </w:r>
      <w:r>
        <w:t xml:space="preserve"> </w:t>
      </w:r>
      <w:r w:rsidRPr="001420D5">
        <w:t>New buses entering the industry will also need to in</w:t>
      </w:r>
      <w:r w:rsidRPr="00C50CC7">
        <w:t>stall signs identifying the maximum number of passengers. Based on TSV data, the annual growth ra</w:t>
      </w:r>
      <w:r w:rsidRPr="000E7D05">
        <w:t xml:space="preserve">te for all buses (accredited and registered) is estimated to be approximately </w:t>
      </w:r>
      <w:r w:rsidRPr="008153F7">
        <w:t>3.1 per cent</w:t>
      </w:r>
      <w:r w:rsidRPr="001B3638">
        <w:t xml:space="preserve">. </w:t>
      </w:r>
    </w:p>
    <w:p w14:paraId="77369295" w14:textId="52A63D40" w:rsidR="004E37B0" w:rsidRPr="006B56EF" w:rsidRDefault="004E37B0" w:rsidP="007620AA">
      <w:pPr>
        <w:pStyle w:val="Caption"/>
        <w:keepNext/>
        <w:spacing w:after="60"/>
        <w:rPr>
          <w:b/>
          <w:bCs/>
          <w:i w:val="0"/>
          <w:iCs w:val="0"/>
        </w:rPr>
      </w:pPr>
      <w:bookmarkStart w:id="729" w:name="_Ref35862401"/>
      <w:bookmarkStart w:id="730" w:name="_Toc44437386"/>
      <w:bookmarkStart w:id="731" w:name="_Toc44597457"/>
      <w:bookmarkStart w:id="732" w:name="_Toc44597521"/>
      <w:bookmarkStart w:id="733" w:name="_Toc44600091"/>
      <w:bookmarkStart w:id="734" w:name="_Toc44600546"/>
      <w:bookmarkStart w:id="735" w:name="_Toc44600713"/>
      <w:bookmarkStart w:id="736" w:name="_Toc44601210"/>
      <w:bookmarkStart w:id="737" w:name="_Toc44601263"/>
      <w:bookmarkStart w:id="738" w:name="_Toc44603411"/>
      <w:bookmarkStart w:id="739" w:name="_Toc45704459"/>
      <w:r w:rsidRPr="00C40C50">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14</w:t>
      </w:r>
      <w:r w:rsidR="00D2483C">
        <w:rPr>
          <w:b/>
          <w:i w:val="0"/>
        </w:rPr>
        <w:fldChar w:fldCharType="end"/>
      </w:r>
      <w:bookmarkEnd w:id="729"/>
      <w:r w:rsidRPr="00C40C50">
        <w:rPr>
          <w:b/>
          <w:i w:val="0"/>
        </w:rPr>
        <w:t xml:space="preserve">: </w:t>
      </w:r>
      <w:r w:rsidRPr="007620AA">
        <w:rPr>
          <w:b/>
          <w:bCs/>
          <w:i w:val="0"/>
          <w:iCs w:val="0"/>
        </w:rPr>
        <w:t>Maximum</w:t>
      </w:r>
      <w:r w:rsidRPr="00C40C50">
        <w:rPr>
          <w:b/>
          <w:i w:val="0"/>
        </w:rPr>
        <w:t xml:space="preserve"> passenger sign cost parameters for buses with 13 or more seats</w:t>
      </w:r>
      <w:bookmarkEnd w:id="730"/>
      <w:bookmarkEnd w:id="731"/>
      <w:bookmarkEnd w:id="732"/>
      <w:bookmarkEnd w:id="733"/>
      <w:bookmarkEnd w:id="734"/>
      <w:bookmarkEnd w:id="735"/>
      <w:bookmarkEnd w:id="736"/>
      <w:bookmarkEnd w:id="737"/>
      <w:bookmarkEnd w:id="738"/>
      <w:bookmarkEnd w:id="739"/>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85"/>
        <w:gridCol w:w="1830"/>
        <w:gridCol w:w="1805"/>
        <w:gridCol w:w="1810"/>
        <w:gridCol w:w="1785"/>
      </w:tblGrid>
      <w:tr w:rsidR="004E37B0" w:rsidRPr="00C40C50" w14:paraId="096032D0" w14:textId="77777777" w:rsidTr="009303EB">
        <w:trPr>
          <w:cantSplit/>
        </w:trPr>
        <w:tc>
          <w:tcPr>
            <w:tcW w:w="1897" w:type="dxa"/>
            <w:shd w:val="clear" w:color="auto" w:fill="D6ECED"/>
            <w:vAlign w:val="center"/>
          </w:tcPr>
          <w:p w14:paraId="03A25CD6" w14:textId="77777777" w:rsidR="004E37B0" w:rsidRPr="005B6578" w:rsidRDefault="004E37B0" w:rsidP="009303EB">
            <w:pPr>
              <w:keepNext/>
              <w:spacing w:before="60" w:after="60"/>
              <w:jc w:val="center"/>
              <w:rPr>
                <w:b/>
                <w:bCs/>
                <w:sz w:val="18"/>
              </w:rPr>
            </w:pPr>
            <w:r>
              <w:rPr>
                <w:b/>
                <w:bCs/>
                <w:sz w:val="18"/>
              </w:rPr>
              <w:t>Bus type</w:t>
            </w:r>
          </w:p>
        </w:tc>
        <w:tc>
          <w:tcPr>
            <w:tcW w:w="1901" w:type="dxa"/>
            <w:shd w:val="clear" w:color="auto" w:fill="D6ECED"/>
            <w:vAlign w:val="center"/>
          </w:tcPr>
          <w:p w14:paraId="06D03737" w14:textId="77777777" w:rsidR="004E37B0" w:rsidRPr="000E7D05" w:rsidRDefault="004E37B0" w:rsidP="009303EB">
            <w:pPr>
              <w:keepNext/>
              <w:spacing w:before="60" w:after="60"/>
              <w:jc w:val="center"/>
              <w:rPr>
                <w:b/>
                <w:sz w:val="18"/>
              </w:rPr>
            </w:pPr>
            <w:r w:rsidRPr="001420D5">
              <w:rPr>
                <w:b/>
                <w:sz w:val="18"/>
              </w:rPr>
              <w:t>Number of buses</w:t>
            </w:r>
            <w:r w:rsidRPr="00C50CC7">
              <w:rPr>
                <w:b/>
                <w:sz w:val="18"/>
              </w:rPr>
              <w:t xml:space="preserve"> (as at 31 December 2019)</w:t>
            </w:r>
          </w:p>
        </w:tc>
        <w:tc>
          <w:tcPr>
            <w:tcW w:w="1899" w:type="dxa"/>
            <w:shd w:val="clear" w:color="auto" w:fill="D6ECED"/>
            <w:vAlign w:val="center"/>
          </w:tcPr>
          <w:p w14:paraId="7CE2F8AB" w14:textId="77777777" w:rsidR="004E37B0" w:rsidRPr="00CF557D" w:rsidRDefault="004E37B0" w:rsidP="009303EB">
            <w:pPr>
              <w:keepNext/>
              <w:spacing w:before="60" w:after="60"/>
              <w:jc w:val="center"/>
              <w:rPr>
                <w:b/>
                <w:sz w:val="18"/>
              </w:rPr>
            </w:pPr>
            <w:r w:rsidRPr="0033276F">
              <w:rPr>
                <w:b/>
                <w:sz w:val="18"/>
              </w:rPr>
              <w:t>Annual growth rate of buses</w:t>
            </w:r>
          </w:p>
        </w:tc>
        <w:tc>
          <w:tcPr>
            <w:tcW w:w="1899" w:type="dxa"/>
            <w:shd w:val="clear" w:color="auto" w:fill="D6ECED"/>
            <w:vAlign w:val="center"/>
          </w:tcPr>
          <w:p w14:paraId="2A6AA119" w14:textId="77777777" w:rsidR="004E37B0" w:rsidRPr="00B566BB" w:rsidRDefault="004E37B0" w:rsidP="009303EB">
            <w:pPr>
              <w:keepNext/>
              <w:spacing w:before="60" w:after="60"/>
              <w:jc w:val="center"/>
              <w:rPr>
                <w:b/>
                <w:sz w:val="18"/>
              </w:rPr>
            </w:pPr>
            <w:r w:rsidRPr="000837E7">
              <w:rPr>
                <w:b/>
                <w:sz w:val="18"/>
              </w:rPr>
              <w:t>Labour cost</w:t>
            </w:r>
          </w:p>
        </w:tc>
        <w:tc>
          <w:tcPr>
            <w:tcW w:w="1897" w:type="dxa"/>
            <w:shd w:val="clear" w:color="auto" w:fill="D6ECED"/>
            <w:vAlign w:val="center"/>
          </w:tcPr>
          <w:p w14:paraId="57B301FD" w14:textId="77777777" w:rsidR="004E37B0" w:rsidRPr="00415E54" w:rsidRDefault="004E37B0" w:rsidP="009303EB">
            <w:pPr>
              <w:keepNext/>
              <w:spacing w:before="60" w:after="60"/>
              <w:jc w:val="center"/>
              <w:rPr>
                <w:b/>
                <w:sz w:val="18"/>
              </w:rPr>
            </w:pPr>
            <w:r w:rsidRPr="00D7407E">
              <w:rPr>
                <w:b/>
                <w:sz w:val="18"/>
              </w:rPr>
              <w:t>C</w:t>
            </w:r>
            <w:r w:rsidRPr="00CA1477">
              <w:rPr>
                <w:b/>
                <w:sz w:val="18"/>
              </w:rPr>
              <w:t>ost</w:t>
            </w:r>
            <w:r w:rsidRPr="00BA57C6">
              <w:rPr>
                <w:b/>
                <w:sz w:val="18"/>
              </w:rPr>
              <w:t xml:space="preserve"> of sign</w:t>
            </w:r>
          </w:p>
        </w:tc>
      </w:tr>
      <w:tr w:rsidR="004E37B0" w:rsidRPr="00C40C50" w14:paraId="12AFE7A0" w14:textId="77777777" w:rsidTr="009303EB">
        <w:trPr>
          <w:cantSplit/>
        </w:trPr>
        <w:tc>
          <w:tcPr>
            <w:tcW w:w="1897" w:type="dxa"/>
            <w:vAlign w:val="center"/>
          </w:tcPr>
          <w:p w14:paraId="4A89F841" w14:textId="77777777" w:rsidR="004E37B0" w:rsidRPr="00C40C50" w:rsidRDefault="004E37B0" w:rsidP="009303EB">
            <w:pPr>
              <w:keepNext/>
              <w:spacing w:before="60" w:after="60"/>
              <w:jc w:val="center"/>
              <w:rPr>
                <w:sz w:val="18"/>
              </w:rPr>
            </w:pPr>
            <w:r w:rsidRPr="00C40C50">
              <w:rPr>
                <w:sz w:val="18"/>
              </w:rPr>
              <w:t>13 or more seat</w:t>
            </w:r>
          </w:p>
        </w:tc>
        <w:tc>
          <w:tcPr>
            <w:tcW w:w="1901" w:type="dxa"/>
            <w:vAlign w:val="center"/>
          </w:tcPr>
          <w:p w14:paraId="2A05B346" w14:textId="77777777" w:rsidR="004E37B0" w:rsidRPr="00C40C50" w:rsidRDefault="004E37B0" w:rsidP="009303EB">
            <w:pPr>
              <w:keepNext/>
              <w:spacing w:before="60" w:after="60"/>
              <w:jc w:val="center"/>
              <w:rPr>
                <w:sz w:val="18"/>
              </w:rPr>
            </w:pPr>
            <w:r w:rsidRPr="00C40C50">
              <w:rPr>
                <w:sz w:val="18"/>
              </w:rPr>
              <w:t>7,882</w:t>
            </w:r>
          </w:p>
        </w:tc>
        <w:tc>
          <w:tcPr>
            <w:tcW w:w="1899" w:type="dxa"/>
            <w:vAlign w:val="center"/>
          </w:tcPr>
          <w:p w14:paraId="37BB6038" w14:textId="77777777" w:rsidR="004E37B0" w:rsidRPr="00C40C50" w:rsidRDefault="004E37B0" w:rsidP="009303EB">
            <w:pPr>
              <w:keepNext/>
              <w:spacing w:before="60" w:after="60"/>
              <w:jc w:val="center"/>
              <w:rPr>
                <w:sz w:val="18"/>
              </w:rPr>
            </w:pPr>
            <w:r w:rsidRPr="00C40C50">
              <w:rPr>
                <w:sz w:val="18"/>
              </w:rPr>
              <w:t>3.1%</w:t>
            </w:r>
          </w:p>
        </w:tc>
        <w:tc>
          <w:tcPr>
            <w:tcW w:w="1899" w:type="dxa"/>
            <w:vAlign w:val="center"/>
          </w:tcPr>
          <w:p w14:paraId="1E034CF3" w14:textId="659D07E4" w:rsidR="00110411" w:rsidRDefault="004E37B0" w:rsidP="009303EB">
            <w:pPr>
              <w:keepNext/>
              <w:spacing w:before="60" w:after="60"/>
              <w:jc w:val="center"/>
              <w:rPr>
                <w:sz w:val="18"/>
              </w:rPr>
            </w:pPr>
            <w:r w:rsidRPr="00C40C50">
              <w:rPr>
                <w:sz w:val="18"/>
              </w:rPr>
              <w:t>10</w:t>
            </w:r>
            <w:r w:rsidR="00FF4224">
              <w:rPr>
                <w:sz w:val="18"/>
              </w:rPr>
              <w:t xml:space="preserve"> minutes</w:t>
            </w:r>
          </w:p>
          <w:p w14:paraId="4E2C4335" w14:textId="3B008536" w:rsidR="004E37B0" w:rsidRPr="00C40C50" w:rsidRDefault="0014554D" w:rsidP="009303EB">
            <w:pPr>
              <w:keepNext/>
              <w:spacing w:before="60" w:after="60"/>
              <w:jc w:val="center"/>
              <w:rPr>
                <w:sz w:val="18"/>
              </w:rPr>
            </w:pPr>
            <w:r>
              <w:rPr>
                <w:sz w:val="18"/>
              </w:rPr>
              <w:t>(</w:t>
            </w:r>
            <w:r w:rsidR="004E37B0" w:rsidRPr="00C40C50">
              <w:rPr>
                <w:sz w:val="18"/>
              </w:rPr>
              <w:t>$12.73</w:t>
            </w:r>
            <w:r>
              <w:rPr>
                <w:sz w:val="18"/>
              </w:rPr>
              <w:t>)</w:t>
            </w:r>
          </w:p>
        </w:tc>
        <w:tc>
          <w:tcPr>
            <w:tcW w:w="1897" w:type="dxa"/>
            <w:vAlign w:val="center"/>
          </w:tcPr>
          <w:p w14:paraId="131B2039" w14:textId="77777777" w:rsidR="004E37B0" w:rsidRPr="00C40C50" w:rsidRDefault="004E37B0" w:rsidP="009303EB">
            <w:pPr>
              <w:keepNext/>
              <w:spacing w:before="60" w:after="60"/>
              <w:jc w:val="center"/>
              <w:rPr>
                <w:sz w:val="18"/>
              </w:rPr>
            </w:pPr>
            <w:r w:rsidRPr="00C40C50">
              <w:rPr>
                <w:sz w:val="18"/>
              </w:rPr>
              <w:t>$30</w:t>
            </w:r>
          </w:p>
        </w:tc>
      </w:tr>
    </w:tbl>
    <w:p w14:paraId="0155B275" w14:textId="09A876EF" w:rsidR="004E37B0" w:rsidRDefault="004E37B0" w:rsidP="004E37B0">
      <w:r w:rsidRPr="00C40C50">
        <w:t xml:space="preserve">Based on a real discount rate of 4 per cent, the 10-year NPV and EAC for all operators of </w:t>
      </w:r>
      <w:r w:rsidR="00423F46">
        <w:t xml:space="preserve">all </w:t>
      </w:r>
      <w:r w:rsidRPr="00C40C50">
        <w:t>buses with 13 or more seats to comply with the proposed regulation relating to maximum passenger signs</w:t>
      </w:r>
      <w:r w:rsidR="00BD6BA8">
        <w:t xml:space="preserve"> is</w:t>
      </w:r>
      <w:r w:rsidRPr="00C40C50">
        <w:t xml:space="preserve"> $0.4</w:t>
      </w:r>
      <w:r w:rsidR="00B62BAF">
        <w:t>4</w:t>
      </w:r>
      <w:r w:rsidRPr="00C40C50">
        <w:t xml:space="preserve"> million and $0.05</w:t>
      </w:r>
      <w:r w:rsidR="00B62BAF">
        <w:t>4</w:t>
      </w:r>
      <w:r w:rsidRPr="00C40C50">
        <w:t xml:space="preserve"> million respectively, as outlined in </w:t>
      </w:r>
      <w:r>
        <w:fldChar w:fldCharType="begin"/>
      </w:r>
      <w:r>
        <w:instrText xml:space="preserve"> REF _Ref35941774 \h  \* MERGEFORMAT </w:instrText>
      </w:r>
      <w:r>
        <w:fldChar w:fldCharType="separate"/>
      </w:r>
      <w:r w:rsidR="00277F6E" w:rsidRPr="00277F6E">
        <w:t>Table 7</w:t>
      </w:r>
      <w:r w:rsidR="00277F6E" w:rsidRPr="00277F6E">
        <w:noBreakHyphen/>
        <w:t>15</w:t>
      </w:r>
      <w:r>
        <w:fldChar w:fldCharType="end"/>
      </w:r>
      <w:r>
        <w:t xml:space="preserve"> below. </w:t>
      </w:r>
    </w:p>
    <w:p w14:paraId="0B42972F" w14:textId="3883A4AD" w:rsidR="0022698D" w:rsidRDefault="0022698D" w:rsidP="0022698D">
      <w:r>
        <w:t>However, noting that the proposed regulation</w:t>
      </w:r>
      <w:r w:rsidR="00AF4C5C">
        <w:t>s</w:t>
      </w:r>
      <w:r>
        <w:t xml:space="preserve"> relating to maximum passenger signs is a continuation of the current regulations, DoT also considers that operators of 13 or more seat buses already in their fleet will already have complying maximum passenger signs installed. As such, this RIS also considers the costs applicable to only new vehicles entering the industry</w:t>
      </w:r>
      <w:r w:rsidR="00E93070">
        <w:t xml:space="preserve">, with the 10-year NPV and </w:t>
      </w:r>
      <w:r w:rsidR="00E93070">
        <w:lastRenderedPageBreak/>
        <w:t>EAC for new buses the comply with the proposed regulation being $0.1 million and $0.01</w:t>
      </w:r>
      <w:r w:rsidR="00B62BAF">
        <w:t>2</w:t>
      </w:r>
      <w:r w:rsidR="00E93070">
        <w:t xml:space="preserve"> million respectively</w:t>
      </w:r>
      <w:r w:rsidR="00E44DAC">
        <w:t xml:space="preserve">, as outlined in </w:t>
      </w:r>
      <w:r w:rsidR="00E44DAC">
        <w:fldChar w:fldCharType="begin"/>
      </w:r>
      <w:r w:rsidR="00E44DAC">
        <w:instrText xml:space="preserve"> REF _Ref35941774 \h  \* MERGEFORMAT </w:instrText>
      </w:r>
      <w:r w:rsidR="00E44DAC">
        <w:fldChar w:fldCharType="separate"/>
      </w:r>
      <w:r w:rsidR="00277F6E" w:rsidRPr="00277F6E">
        <w:t>Table 7</w:t>
      </w:r>
      <w:r w:rsidR="00277F6E" w:rsidRPr="00277F6E">
        <w:noBreakHyphen/>
        <w:t>15</w:t>
      </w:r>
      <w:r w:rsidR="00E44DAC">
        <w:fldChar w:fldCharType="end"/>
      </w:r>
      <w:r>
        <w:t xml:space="preserve">.  </w:t>
      </w:r>
    </w:p>
    <w:p w14:paraId="4FABD100" w14:textId="3C47DB8C" w:rsidR="004E37B0" w:rsidRPr="002E6534" w:rsidRDefault="004E37B0" w:rsidP="007620AA">
      <w:pPr>
        <w:pStyle w:val="Caption"/>
        <w:keepNext/>
        <w:spacing w:after="60"/>
        <w:rPr>
          <w:b/>
          <w:bCs/>
          <w:i w:val="0"/>
          <w:iCs w:val="0"/>
        </w:rPr>
      </w:pPr>
      <w:bookmarkStart w:id="740" w:name="_Ref35941774"/>
      <w:bookmarkStart w:id="741" w:name="_Toc44437387"/>
      <w:bookmarkStart w:id="742" w:name="_Toc44597458"/>
      <w:bookmarkStart w:id="743" w:name="_Toc44597522"/>
      <w:bookmarkStart w:id="744" w:name="_Toc44600092"/>
      <w:bookmarkStart w:id="745" w:name="_Toc44600547"/>
      <w:bookmarkStart w:id="746" w:name="_Toc44600714"/>
      <w:bookmarkStart w:id="747" w:name="_Toc44601211"/>
      <w:bookmarkStart w:id="748" w:name="_Toc44601264"/>
      <w:bookmarkStart w:id="749" w:name="_Toc44603412"/>
      <w:bookmarkStart w:id="750" w:name="_Toc45704460"/>
      <w:r w:rsidRPr="00C40C50">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15</w:t>
      </w:r>
      <w:r w:rsidR="00D2483C">
        <w:rPr>
          <w:b/>
          <w:i w:val="0"/>
        </w:rPr>
        <w:fldChar w:fldCharType="end"/>
      </w:r>
      <w:bookmarkEnd w:id="740"/>
      <w:r w:rsidRPr="00C40C50">
        <w:rPr>
          <w:b/>
          <w:i w:val="0"/>
        </w:rPr>
        <w:t xml:space="preserve">: NPV and EAC </w:t>
      </w:r>
      <w:r w:rsidR="00313F19">
        <w:rPr>
          <w:b/>
          <w:i w:val="0"/>
        </w:rPr>
        <w:t xml:space="preserve">for </w:t>
      </w:r>
      <w:r w:rsidRPr="00C40C50">
        <w:rPr>
          <w:b/>
          <w:i w:val="0"/>
        </w:rPr>
        <w:t xml:space="preserve">maximum </w:t>
      </w:r>
      <w:r w:rsidRPr="007620AA">
        <w:rPr>
          <w:b/>
          <w:bCs/>
          <w:i w:val="0"/>
          <w:iCs w:val="0"/>
        </w:rPr>
        <w:t>passenger</w:t>
      </w:r>
      <w:r w:rsidRPr="00C40C50">
        <w:rPr>
          <w:b/>
          <w:i w:val="0"/>
        </w:rPr>
        <w:t xml:space="preserve"> signs</w:t>
      </w:r>
      <w:bookmarkEnd w:id="741"/>
      <w:bookmarkEnd w:id="742"/>
      <w:bookmarkEnd w:id="743"/>
      <w:bookmarkEnd w:id="744"/>
      <w:bookmarkEnd w:id="745"/>
      <w:bookmarkEnd w:id="746"/>
      <w:bookmarkEnd w:id="747"/>
      <w:bookmarkEnd w:id="748"/>
      <w:bookmarkEnd w:id="749"/>
      <w:bookmarkEnd w:id="750"/>
    </w:p>
    <w:tbl>
      <w:tblPr>
        <w:tblW w:w="6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0"/>
        <w:gridCol w:w="2231"/>
        <w:gridCol w:w="2230"/>
      </w:tblGrid>
      <w:tr w:rsidR="004E37B0" w:rsidRPr="00117CB8" w14:paraId="423CC792" w14:textId="77777777" w:rsidTr="009303EB">
        <w:trPr>
          <w:cantSplit/>
          <w:trHeight w:val="288"/>
        </w:trPr>
        <w:tc>
          <w:tcPr>
            <w:tcW w:w="1912" w:type="dxa"/>
            <w:shd w:val="clear" w:color="auto" w:fill="D6ECED"/>
            <w:noWrap/>
            <w:vAlign w:val="bottom"/>
            <w:hideMark/>
          </w:tcPr>
          <w:p w14:paraId="0D7DC412" w14:textId="77777777" w:rsidR="004E37B0" w:rsidRPr="00117CB8" w:rsidRDefault="004E37B0" w:rsidP="009303EB">
            <w:pPr>
              <w:keepNext/>
              <w:spacing w:before="60" w:after="60"/>
              <w:jc w:val="center"/>
              <w:rPr>
                <w:rFonts w:eastAsia="Times New Roman" w:cstheme="minorHAnsi"/>
                <w:b/>
                <w:bCs/>
                <w:color w:val="000000"/>
                <w:sz w:val="18"/>
                <w:lang w:eastAsia="en-AU"/>
              </w:rPr>
            </w:pPr>
            <w:r w:rsidRPr="00117CB8">
              <w:rPr>
                <w:b/>
                <w:bCs/>
                <w:sz w:val="18"/>
              </w:rPr>
              <w:t>Activity</w:t>
            </w:r>
          </w:p>
        </w:tc>
        <w:tc>
          <w:tcPr>
            <w:tcW w:w="1913" w:type="dxa"/>
            <w:shd w:val="clear" w:color="auto" w:fill="D6ECED"/>
            <w:noWrap/>
            <w:hideMark/>
          </w:tcPr>
          <w:p w14:paraId="2CD7A807" w14:textId="77777777" w:rsidR="004E37B0" w:rsidRPr="00117CB8" w:rsidRDefault="004E37B0" w:rsidP="009303EB">
            <w:pPr>
              <w:keepNext/>
              <w:spacing w:before="60" w:after="60"/>
              <w:jc w:val="center"/>
              <w:rPr>
                <w:rFonts w:eastAsia="Times New Roman" w:cstheme="minorHAnsi"/>
                <w:b/>
                <w:bCs/>
                <w:color w:val="000000"/>
                <w:sz w:val="18"/>
                <w:lang w:eastAsia="en-AU"/>
              </w:rPr>
            </w:pPr>
            <w:r>
              <w:rPr>
                <w:b/>
                <w:bCs/>
                <w:sz w:val="18"/>
              </w:rPr>
              <w:t>NPV</w:t>
            </w:r>
          </w:p>
        </w:tc>
        <w:tc>
          <w:tcPr>
            <w:tcW w:w="1912" w:type="dxa"/>
            <w:shd w:val="clear" w:color="auto" w:fill="D6ECED"/>
            <w:noWrap/>
            <w:hideMark/>
          </w:tcPr>
          <w:p w14:paraId="6855E4F0" w14:textId="77777777" w:rsidR="004E37B0" w:rsidRPr="00117CB8" w:rsidRDefault="004E37B0" w:rsidP="009303EB">
            <w:pPr>
              <w:keepNext/>
              <w:spacing w:before="60" w:after="60"/>
              <w:jc w:val="center"/>
              <w:rPr>
                <w:rFonts w:eastAsia="Times New Roman" w:cstheme="minorHAnsi"/>
                <w:b/>
                <w:bCs/>
                <w:color w:val="000000"/>
                <w:sz w:val="18"/>
                <w:lang w:eastAsia="en-AU"/>
              </w:rPr>
            </w:pPr>
            <w:r>
              <w:rPr>
                <w:b/>
                <w:bCs/>
                <w:sz w:val="18"/>
              </w:rPr>
              <w:t>EAC</w:t>
            </w:r>
          </w:p>
        </w:tc>
      </w:tr>
      <w:tr w:rsidR="004E37B0" w:rsidRPr="00117CB8" w14:paraId="5640AF98" w14:textId="77777777" w:rsidTr="009303EB">
        <w:trPr>
          <w:cantSplit/>
          <w:trHeight w:val="288"/>
        </w:trPr>
        <w:tc>
          <w:tcPr>
            <w:tcW w:w="1912" w:type="dxa"/>
            <w:shd w:val="clear" w:color="auto" w:fill="auto"/>
            <w:noWrap/>
            <w:hideMark/>
          </w:tcPr>
          <w:p w14:paraId="30C0F399" w14:textId="2243B92A" w:rsidR="004E37B0" w:rsidRPr="00117CB8" w:rsidRDefault="004E37B0" w:rsidP="009303EB">
            <w:pPr>
              <w:keepNext/>
              <w:spacing w:before="60" w:after="60"/>
              <w:jc w:val="center"/>
              <w:rPr>
                <w:rFonts w:eastAsia="Times New Roman" w:cstheme="minorHAnsi"/>
                <w:color w:val="000000"/>
                <w:sz w:val="18"/>
                <w:lang w:eastAsia="en-AU"/>
              </w:rPr>
            </w:pPr>
            <w:r>
              <w:rPr>
                <w:rFonts w:cstheme="minorHAnsi"/>
                <w:color w:val="auto"/>
                <w:sz w:val="18"/>
              </w:rPr>
              <w:t>Maximum passenger signs</w:t>
            </w:r>
            <w:r w:rsidR="00B969C4">
              <w:rPr>
                <w:rFonts w:cstheme="minorHAnsi"/>
                <w:color w:val="auto"/>
                <w:sz w:val="18"/>
              </w:rPr>
              <w:t xml:space="preserve"> (all buses)</w:t>
            </w:r>
          </w:p>
        </w:tc>
        <w:tc>
          <w:tcPr>
            <w:tcW w:w="1913" w:type="dxa"/>
            <w:shd w:val="clear" w:color="auto" w:fill="auto"/>
            <w:noWrap/>
            <w:vAlign w:val="center"/>
          </w:tcPr>
          <w:p w14:paraId="754DF9F6" w14:textId="7F18017F" w:rsidR="004E37B0" w:rsidRPr="00117CB8" w:rsidRDefault="004E37B0"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$0.4</w:t>
            </w:r>
            <w:r w:rsidR="00B62BAF">
              <w:rPr>
                <w:rFonts w:eastAsia="Times New Roman" w:cstheme="minorHAnsi"/>
                <w:color w:val="000000"/>
                <w:sz w:val="18"/>
                <w:lang w:eastAsia="en-AU"/>
              </w:rPr>
              <w:t>4</w:t>
            </w:r>
            <w:r>
              <w:rPr>
                <w:rFonts w:eastAsia="Times New Roman" w:cstheme="minorHAnsi"/>
                <w:color w:val="000000"/>
                <w:sz w:val="18"/>
                <w:lang w:eastAsia="en-AU"/>
              </w:rPr>
              <w:t>m</w:t>
            </w:r>
          </w:p>
        </w:tc>
        <w:tc>
          <w:tcPr>
            <w:tcW w:w="1912" w:type="dxa"/>
            <w:shd w:val="clear" w:color="auto" w:fill="auto"/>
            <w:noWrap/>
            <w:vAlign w:val="center"/>
          </w:tcPr>
          <w:p w14:paraId="4B7B5A36" w14:textId="6BC852A9" w:rsidR="004E37B0" w:rsidRPr="00117CB8" w:rsidRDefault="004E37B0"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$0.05</w:t>
            </w:r>
            <w:r w:rsidR="00B62BAF">
              <w:rPr>
                <w:rFonts w:eastAsia="Times New Roman" w:cstheme="minorHAnsi"/>
                <w:color w:val="000000"/>
                <w:sz w:val="18"/>
                <w:lang w:eastAsia="en-AU"/>
              </w:rPr>
              <w:t>4</w:t>
            </w:r>
            <w:r>
              <w:rPr>
                <w:rFonts w:eastAsia="Times New Roman" w:cstheme="minorHAnsi"/>
                <w:color w:val="000000"/>
                <w:sz w:val="18"/>
                <w:lang w:eastAsia="en-AU"/>
              </w:rPr>
              <w:t>m</w:t>
            </w:r>
          </w:p>
        </w:tc>
      </w:tr>
      <w:tr w:rsidR="00B969C4" w:rsidRPr="00117CB8" w14:paraId="31D1D6BB" w14:textId="77777777" w:rsidTr="009303EB">
        <w:trPr>
          <w:cantSplit/>
          <w:trHeight w:val="288"/>
        </w:trPr>
        <w:tc>
          <w:tcPr>
            <w:tcW w:w="1912" w:type="dxa"/>
            <w:shd w:val="clear" w:color="auto" w:fill="auto"/>
            <w:noWrap/>
          </w:tcPr>
          <w:p w14:paraId="2C1E2027" w14:textId="0E3B51D5" w:rsidR="00B969C4" w:rsidRDefault="00B969C4" w:rsidP="009303EB">
            <w:pPr>
              <w:keepNext/>
              <w:spacing w:before="60" w:after="60"/>
              <w:jc w:val="center"/>
              <w:rPr>
                <w:rFonts w:cstheme="minorHAnsi"/>
                <w:color w:val="auto"/>
                <w:sz w:val="18"/>
              </w:rPr>
            </w:pPr>
            <w:r>
              <w:rPr>
                <w:rFonts w:cstheme="minorHAnsi"/>
                <w:color w:val="auto"/>
                <w:sz w:val="18"/>
              </w:rPr>
              <w:t>Maximum passenger signs (new buses</w:t>
            </w:r>
            <w:r w:rsidR="00A90D29">
              <w:rPr>
                <w:rFonts w:cstheme="minorHAnsi"/>
                <w:color w:val="auto"/>
                <w:sz w:val="18"/>
              </w:rPr>
              <w:t xml:space="preserve"> only</w:t>
            </w:r>
            <w:r>
              <w:rPr>
                <w:rFonts w:cstheme="minorHAnsi"/>
                <w:color w:val="auto"/>
                <w:sz w:val="18"/>
              </w:rPr>
              <w:t>)</w:t>
            </w:r>
          </w:p>
        </w:tc>
        <w:tc>
          <w:tcPr>
            <w:tcW w:w="1913" w:type="dxa"/>
            <w:shd w:val="clear" w:color="auto" w:fill="auto"/>
            <w:noWrap/>
            <w:vAlign w:val="center"/>
          </w:tcPr>
          <w:p w14:paraId="1AC43D41" w14:textId="54EF26FF" w:rsidR="00B969C4" w:rsidRDefault="00B969C4"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$0.1</w:t>
            </w:r>
            <w:r w:rsidR="00A90D29">
              <w:rPr>
                <w:rFonts w:eastAsia="Times New Roman" w:cstheme="minorHAnsi"/>
                <w:color w:val="000000"/>
                <w:sz w:val="18"/>
                <w:lang w:eastAsia="en-AU"/>
              </w:rPr>
              <w:t>m</w:t>
            </w:r>
          </w:p>
        </w:tc>
        <w:tc>
          <w:tcPr>
            <w:tcW w:w="1912" w:type="dxa"/>
            <w:shd w:val="clear" w:color="auto" w:fill="auto"/>
            <w:noWrap/>
            <w:vAlign w:val="center"/>
          </w:tcPr>
          <w:p w14:paraId="756EAC38" w14:textId="75B7DA20" w:rsidR="00B969C4" w:rsidRDefault="00B969C4"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$0.01</w:t>
            </w:r>
            <w:r w:rsidR="00407EF3">
              <w:rPr>
                <w:rFonts w:eastAsia="Times New Roman" w:cstheme="minorHAnsi"/>
                <w:color w:val="000000"/>
                <w:sz w:val="18"/>
                <w:lang w:eastAsia="en-AU"/>
              </w:rPr>
              <w:t>2</w:t>
            </w:r>
            <w:r w:rsidR="00A90D29">
              <w:rPr>
                <w:rFonts w:eastAsia="Times New Roman" w:cstheme="minorHAnsi"/>
                <w:color w:val="000000"/>
                <w:sz w:val="18"/>
                <w:lang w:eastAsia="en-AU"/>
              </w:rPr>
              <w:t>m</w:t>
            </w:r>
          </w:p>
        </w:tc>
      </w:tr>
    </w:tbl>
    <w:p w14:paraId="0A9D3C3B" w14:textId="2E6E220A" w:rsidR="004E37B0" w:rsidRPr="001C2DC0" w:rsidRDefault="004E37B0" w:rsidP="0095677C">
      <w:pPr>
        <w:pStyle w:val="Heading5"/>
      </w:pPr>
      <w:r w:rsidRPr="001C2DC0">
        <w:t>Summary</w:t>
      </w:r>
    </w:p>
    <w:p w14:paraId="4D1C4706" w14:textId="2938077F" w:rsidR="004E37B0" w:rsidRDefault="004E37B0" w:rsidP="004E37B0">
      <w:r>
        <w:t>DoT recommends that the regulations continue to prescribe requirements for operators to determine the maximum carrying capacity of buses they operate and install signs advising what that capacity is. This will provide better information to drivers. D</w:t>
      </w:r>
      <w:r w:rsidR="00D70F72">
        <w:t>o</w:t>
      </w:r>
      <w:r>
        <w:t>T estimates that the compliance costs of this regulation for bus introduced into the fleet amount to $0.4</w:t>
      </w:r>
      <w:r w:rsidR="0023213E">
        <w:t>4</w:t>
      </w:r>
      <w:r>
        <w:t xml:space="preserve"> million over the life of the regulations.</w:t>
      </w:r>
    </w:p>
    <w:p w14:paraId="6B6F626A" w14:textId="6537EC18" w:rsidR="00747B9A" w:rsidRDefault="002B1D5A" w:rsidP="00747B9A">
      <w:pPr>
        <w:pStyle w:val="Heading3"/>
      </w:pPr>
      <w:bookmarkStart w:id="751" w:name="_Ref41819584"/>
      <w:bookmarkStart w:id="752" w:name="_Toc45704376"/>
      <w:r>
        <w:t>A</w:t>
      </w:r>
      <w:r w:rsidR="00ED4A80">
        <w:t>lcohol and other drugs</w:t>
      </w:r>
      <w:bookmarkEnd w:id="751"/>
      <w:bookmarkEnd w:id="752"/>
    </w:p>
    <w:p w14:paraId="427801FB" w14:textId="23EBB0CD" w:rsidR="004F4166" w:rsidRDefault="007E1B92" w:rsidP="007E1B92">
      <w:r w:rsidRPr="003F564B">
        <w:t xml:space="preserve">This section </w:t>
      </w:r>
      <w:r>
        <w:t xml:space="preserve">examines the merits of </w:t>
      </w:r>
      <w:r w:rsidR="00033C04">
        <w:t xml:space="preserve">continuing the status quo of </w:t>
      </w:r>
      <w:r>
        <w:t>requiring that bus drivers do not have alcohol or drugs present in their blood or breath immediately before, or while, driving a bus</w:t>
      </w:r>
      <w:r w:rsidR="0010399D">
        <w:t xml:space="preserve">, </w:t>
      </w:r>
      <w:r w:rsidR="00A14FA2">
        <w:t xml:space="preserve">based on considerations </w:t>
      </w:r>
      <w:r w:rsidR="007A4124">
        <w:t>discussed</w:t>
      </w:r>
      <w:r w:rsidR="0010399D">
        <w:t xml:space="preserve"> in Section </w:t>
      </w:r>
      <w:r w:rsidR="0010399D">
        <w:fldChar w:fldCharType="begin"/>
      </w:r>
      <w:r w:rsidR="0010399D">
        <w:instrText xml:space="preserve"> REF _Ref41982465 \r \h </w:instrText>
      </w:r>
      <w:r w:rsidR="0010399D">
        <w:fldChar w:fldCharType="separate"/>
      </w:r>
      <w:r w:rsidR="00277F6E">
        <w:t>6.2.3</w:t>
      </w:r>
      <w:r w:rsidR="0010399D">
        <w:fldChar w:fldCharType="end"/>
      </w:r>
      <w:r>
        <w:t>.</w:t>
      </w:r>
      <w:r w:rsidR="00107B26">
        <w:t xml:space="preserve"> </w:t>
      </w:r>
      <w:r w:rsidR="00592D05">
        <w:t xml:space="preserve">As </w:t>
      </w:r>
      <w:r w:rsidR="00435AD0">
        <w:t xml:space="preserve">the additional impacts </w:t>
      </w:r>
      <w:r w:rsidR="006733E0">
        <w:t>beyond</w:t>
      </w:r>
      <w:r w:rsidR="00435AD0">
        <w:t xml:space="preserve"> the status quo (i.e. above what is already required </w:t>
      </w:r>
      <w:r w:rsidR="005F2F0C">
        <w:t xml:space="preserve">in relation to </w:t>
      </w:r>
      <w:r w:rsidR="00435AD0">
        <w:t>alcohol and other drug</w:t>
      </w:r>
      <w:r w:rsidR="005F2F0C">
        <w:t xml:space="preserve">s </w:t>
      </w:r>
      <w:r w:rsidR="00435AD0">
        <w:t xml:space="preserve">under </w:t>
      </w:r>
      <w:r w:rsidR="00753AE1">
        <w:t>the Road Safety Act and the Bus Safety Act</w:t>
      </w:r>
      <w:r w:rsidR="00435AD0">
        <w:t xml:space="preserve">) </w:t>
      </w:r>
      <w:r w:rsidR="006733E0">
        <w:t xml:space="preserve">are </w:t>
      </w:r>
      <w:r w:rsidR="00435AD0">
        <w:t>expected to be minimal</w:t>
      </w:r>
      <w:r w:rsidR="006733E0">
        <w:t xml:space="preserve"> and these impacts </w:t>
      </w:r>
      <w:r w:rsidR="00592D05">
        <w:t>are</w:t>
      </w:r>
      <w:r w:rsidR="006733E0">
        <w:t xml:space="preserve"> not considered as </w:t>
      </w:r>
      <w:r w:rsidR="0047259D">
        <w:t>significant</w:t>
      </w:r>
      <w:r w:rsidR="006733E0">
        <w:t xml:space="preserve"> as other areas of the proposed regulations</w:t>
      </w:r>
      <w:r w:rsidR="005178D5">
        <w:t xml:space="preserve">, the </w:t>
      </w:r>
      <w:r w:rsidR="00DE7F3A">
        <w:t>benefits and costs relating to the proposed regulations for alcohol and other drugs will only be assessment qualitatively</w:t>
      </w:r>
      <w:r w:rsidR="00461A19">
        <w:t xml:space="preserve"> in this section</w:t>
      </w:r>
      <w:r w:rsidR="00DE7F3A">
        <w:t xml:space="preserve">. </w:t>
      </w:r>
      <w:r>
        <w:t xml:space="preserve"> </w:t>
      </w:r>
    </w:p>
    <w:p w14:paraId="10C2C385" w14:textId="76458C5A" w:rsidR="007E1B92" w:rsidRDefault="007E1B92" w:rsidP="007E1B92">
      <w:r>
        <w:t xml:space="preserve">The primary purpose of the proposed regulations is to enable the enforcement of those regulations by </w:t>
      </w:r>
      <w:r w:rsidR="00F665FA">
        <w:t>the regulator</w:t>
      </w:r>
      <w:r w:rsidR="00917843">
        <w:t xml:space="preserve"> </w:t>
      </w:r>
      <w:r>
        <w:t xml:space="preserve">and </w:t>
      </w:r>
      <w:r w:rsidR="005C0D86">
        <w:t>Victoria</w:t>
      </w:r>
      <w:r>
        <w:t xml:space="preserve"> Police. This is achieved by imposing a requirement on the driver before the driver has commenced driving the vehicle. By restricting the presence of alcohol and drugs </w:t>
      </w:r>
      <w:r w:rsidR="00326CC3">
        <w:t>immediately</w:t>
      </w:r>
      <w:r w:rsidR="005B2C86">
        <w:t xml:space="preserve"> </w:t>
      </w:r>
      <w:r>
        <w:t xml:space="preserve">before operation of the bus, it enables the testing of drivers prior to the commencement of that driver’s shift. </w:t>
      </w:r>
      <w:r w:rsidR="0074538B">
        <w:t>As the impairing effects of alcohol or drugs is well established, s</w:t>
      </w:r>
      <w:r>
        <w:t xml:space="preserve">uch restrictions will mitigate the number of incidents resulting from a driver driving under the influence of alcohol or drugs. The expected benefits would include the avoidance of potential loss of life or injury from driving while impaired. The proposed regulations would support the efforts by governments to improve road safety. </w:t>
      </w:r>
      <w:r w:rsidR="00CC51E2">
        <w:t xml:space="preserve">DoT notes that given </w:t>
      </w:r>
      <w:r w:rsidR="00FA7D86">
        <w:t xml:space="preserve">the </w:t>
      </w:r>
      <w:r w:rsidR="00AC111B">
        <w:t>existing</w:t>
      </w:r>
      <w:r w:rsidR="00FA7D86">
        <w:t xml:space="preserve"> </w:t>
      </w:r>
      <w:r w:rsidR="00CC51E2">
        <w:t xml:space="preserve">requirements </w:t>
      </w:r>
      <w:r w:rsidR="00B3247C">
        <w:t xml:space="preserve">outlined in Section </w:t>
      </w:r>
      <w:r w:rsidR="00B3247C">
        <w:fldChar w:fldCharType="begin"/>
      </w:r>
      <w:r w:rsidR="00B3247C">
        <w:instrText xml:space="preserve"> REF _Ref41914500 \r \h </w:instrText>
      </w:r>
      <w:r w:rsidR="00B3247C">
        <w:fldChar w:fldCharType="separate"/>
      </w:r>
      <w:r w:rsidR="00277F6E">
        <w:t>3.4.2</w:t>
      </w:r>
      <w:r w:rsidR="00B3247C">
        <w:fldChar w:fldCharType="end"/>
      </w:r>
      <w:r w:rsidR="00B3247C">
        <w:t xml:space="preserve"> </w:t>
      </w:r>
      <w:r w:rsidR="00CC51E2">
        <w:t xml:space="preserve">relating to </w:t>
      </w:r>
      <w:r w:rsidR="00FA7D86">
        <w:t>alcohol</w:t>
      </w:r>
      <w:r w:rsidR="00CC51E2">
        <w:t xml:space="preserve"> and other drugs in the Bus Safety Act, as well as the Road Safety Act, the incremental benefits</w:t>
      </w:r>
      <w:r w:rsidR="00FA7D86">
        <w:t xml:space="preserve"> that can be attributed to </w:t>
      </w:r>
      <w:r w:rsidR="006C2040">
        <w:t>requirements under</w:t>
      </w:r>
      <w:r w:rsidR="00FA7D86">
        <w:t xml:space="preserve"> regulations </w:t>
      </w:r>
      <w:r w:rsidR="009C0FCF">
        <w:t xml:space="preserve">is </w:t>
      </w:r>
      <w:r w:rsidR="00FA7D86">
        <w:t>considered to be relatively low</w:t>
      </w:r>
      <w:r w:rsidR="009C044A">
        <w:t>.</w:t>
      </w:r>
    </w:p>
    <w:p w14:paraId="3F7FE1E4" w14:textId="2201BB19" w:rsidR="007E1B92" w:rsidRDefault="007E1B92" w:rsidP="007E1B92">
      <w:r>
        <w:t>D</w:t>
      </w:r>
      <w:r w:rsidR="00D83DAE">
        <w:t>o</w:t>
      </w:r>
      <w:r>
        <w:t>T does not expect there to be significant compliance costs associated with the proposed regulation. Bus operators under the Bus Safety Act have general safety duties, which imply that bus operators are required to put in place measures to reduce or mitigate the risks associated with driving under the influence of alcohol or drugs. Additionally, Part 5 of the Bus Safety Act also requires that all bus operators develop, maintain and implement a</w:t>
      </w:r>
      <w:r w:rsidR="00A6615A">
        <w:t>n</w:t>
      </w:r>
      <w:r>
        <w:t xml:space="preserve"> alcohol</w:t>
      </w:r>
      <w:r w:rsidR="00160E6D">
        <w:t xml:space="preserve"> and drug</w:t>
      </w:r>
      <w:r>
        <w:t xml:space="preserve"> management policy. This Part also requires that </w:t>
      </w:r>
      <w:r w:rsidR="00A6615A">
        <w:t xml:space="preserve">an operator’s </w:t>
      </w:r>
      <w:r>
        <w:t xml:space="preserve">alcohol and drug management policy specify that a driver must not have alcohol or drugs present immediately before, or while, driving a bus. </w:t>
      </w:r>
    </w:p>
    <w:p w14:paraId="18017E2F" w14:textId="20DBB648" w:rsidR="007E1B92" w:rsidRDefault="007E1B92" w:rsidP="007E1B92">
      <w:r>
        <w:t>D</w:t>
      </w:r>
      <w:r w:rsidR="008031DB">
        <w:t>o</w:t>
      </w:r>
      <w:r>
        <w:t xml:space="preserve">T recommends that the </w:t>
      </w:r>
      <w:r w:rsidR="008031DB">
        <w:t>proposed regulations</w:t>
      </w:r>
      <w:r>
        <w:t xml:space="preserve"> regulate the use of alcohol and drugs of </w:t>
      </w:r>
      <w:r w:rsidR="00DA665F">
        <w:t xml:space="preserve">bus </w:t>
      </w:r>
      <w:r>
        <w:t xml:space="preserve">drivers as </w:t>
      </w:r>
      <w:r w:rsidR="00D97EDD">
        <w:t xml:space="preserve">it </w:t>
      </w:r>
      <w:r>
        <w:t xml:space="preserve">will assist with compliance monitoring and enforcement by the regulator and </w:t>
      </w:r>
      <w:r w:rsidR="008031DB">
        <w:t>Victoria</w:t>
      </w:r>
      <w:r>
        <w:t xml:space="preserve"> Police.</w:t>
      </w:r>
    </w:p>
    <w:p w14:paraId="4DA57EC1" w14:textId="2E20F167" w:rsidR="00747B9A" w:rsidRPr="00747B9A" w:rsidRDefault="002B1D5A" w:rsidP="007F4D2F">
      <w:pPr>
        <w:pStyle w:val="Heading3"/>
      </w:pPr>
      <w:bookmarkStart w:id="753" w:name="_Ref41839882"/>
      <w:bookmarkStart w:id="754" w:name="_Toc45704377"/>
      <w:r>
        <w:t>S</w:t>
      </w:r>
      <w:r w:rsidR="007F4D2F">
        <w:t>chool buses</w:t>
      </w:r>
      <w:bookmarkEnd w:id="753"/>
      <w:bookmarkEnd w:id="754"/>
    </w:p>
    <w:p w14:paraId="2F7BCAF3" w14:textId="0B278190" w:rsidR="007F4D2F" w:rsidRPr="00E70F1E" w:rsidRDefault="007F4D2F" w:rsidP="007F4D2F">
      <w:pPr>
        <w:rPr>
          <w:color w:val="auto"/>
        </w:rPr>
      </w:pPr>
      <w:r w:rsidRPr="003F564B">
        <w:t xml:space="preserve">This section </w:t>
      </w:r>
      <w:r w:rsidR="00F13459">
        <w:t>considers the impacts</w:t>
      </w:r>
      <w:r>
        <w:t xml:space="preserve"> of requiring all school buses to be equipped with </w:t>
      </w:r>
      <w:r w:rsidRPr="00E70F1E">
        <w:rPr>
          <w:color w:val="auto"/>
        </w:rPr>
        <w:t>warning light and signs, consistent with the Vehicle Regulations</w:t>
      </w:r>
      <w:r w:rsidR="00E14019">
        <w:rPr>
          <w:color w:val="auto"/>
        </w:rPr>
        <w:t xml:space="preserve"> based on considerations discussed in Section </w:t>
      </w:r>
      <w:r w:rsidR="00E14019">
        <w:rPr>
          <w:color w:val="auto"/>
        </w:rPr>
        <w:fldChar w:fldCharType="begin"/>
      </w:r>
      <w:r w:rsidR="00E14019">
        <w:rPr>
          <w:color w:val="auto"/>
        </w:rPr>
        <w:instrText xml:space="preserve"> REF _Ref42000936 \r \h </w:instrText>
      </w:r>
      <w:r w:rsidR="00E14019">
        <w:rPr>
          <w:color w:val="auto"/>
        </w:rPr>
      </w:r>
      <w:r w:rsidR="00E14019">
        <w:rPr>
          <w:color w:val="auto"/>
        </w:rPr>
        <w:fldChar w:fldCharType="separate"/>
      </w:r>
      <w:r w:rsidR="00277F6E">
        <w:rPr>
          <w:color w:val="auto"/>
        </w:rPr>
        <w:t>6.2.4</w:t>
      </w:r>
      <w:r w:rsidR="00E14019">
        <w:rPr>
          <w:color w:val="auto"/>
        </w:rPr>
        <w:fldChar w:fldCharType="end"/>
      </w:r>
      <w:r w:rsidRPr="00E70F1E">
        <w:rPr>
          <w:color w:val="auto"/>
        </w:rPr>
        <w:t xml:space="preserve">. </w:t>
      </w:r>
    </w:p>
    <w:p w14:paraId="3B2587C5" w14:textId="116FE469" w:rsidR="007F4D2F" w:rsidRPr="00E70F1E" w:rsidRDefault="007F4D2F" w:rsidP="007F4D2F">
      <w:pPr>
        <w:rPr>
          <w:color w:val="auto"/>
        </w:rPr>
      </w:pPr>
      <w:r w:rsidRPr="00E70F1E">
        <w:rPr>
          <w:color w:val="auto"/>
        </w:rPr>
        <w:t>D</w:t>
      </w:r>
      <w:r w:rsidR="00FD5402" w:rsidRPr="00E70F1E">
        <w:rPr>
          <w:color w:val="auto"/>
        </w:rPr>
        <w:t>o</w:t>
      </w:r>
      <w:r w:rsidRPr="00E70F1E">
        <w:rPr>
          <w:color w:val="auto"/>
        </w:rPr>
        <w:t>T is considering the merits of two options:</w:t>
      </w:r>
    </w:p>
    <w:p w14:paraId="29D672F3" w14:textId="29618127" w:rsidR="007F4D2F" w:rsidRPr="00E70F1E" w:rsidRDefault="00FD5402" w:rsidP="00842F5A">
      <w:pPr>
        <w:pStyle w:val="ListParagraph"/>
        <w:numPr>
          <w:ilvl w:val="0"/>
          <w:numId w:val="22"/>
        </w:numPr>
        <w:rPr>
          <w:rFonts w:asciiTheme="minorHAnsi" w:hAnsiTheme="minorHAnsi" w:cstheme="minorHAnsi"/>
          <w:color w:val="auto"/>
          <w:sz w:val="20"/>
          <w:szCs w:val="20"/>
        </w:rPr>
      </w:pPr>
      <w:r w:rsidRPr="00E70F1E">
        <w:rPr>
          <w:rFonts w:asciiTheme="minorHAnsi" w:hAnsiTheme="minorHAnsi" w:cstheme="minorHAnsi"/>
          <w:color w:val="auto"/>
          <w:sz w:val="20"/>
          <w:szCs w:val="20"/>
        </w:rPr>
        <w:t>O</w:t>
      </w:r>
      <w:r w:rsidR="007F4D2F" w:rsidRPr="00E70F1E">
        <w:rPr>
          <w:rFonts w:asciiTheme="minorHAnsi" w:hAnsiTheme="minorHAnsi" w:cstheme="minorHAnsi"/>
          <w:color w:val="auto"/>
          <w:sz w:val="20"/>
          <w:szCs w:val="20"/>
        </w:rPr>
        <w:t>ption 1</w:t>
      </w:r>
      <w:r w:rsidR="00EE438B">
        <w:rPr>
          <w:rFonts w:asciiTheme="minorHAnsi" w:hAnsiTheme="minorHAnsi" w:cstheme="minorHAnsi"/>
          <w:color w:val="auto"/>
          <w:sz w:val="20"/>
          <w:szCs w:val="20"/>
        </w:rPr>
        <w:t xml:space="preserve"> (status quo)</w:t>
      </w:r>
      <w:r w:rsidR="007F4D2F" w:rsidRPr="00E70F1E">
        <w:rPr>
          <w:rFonts w:asciiTheme="minorHAnsi" w:hAnsiTheme="minorHAnsi" w:cstheme="minorHAnsi"/>
          <w:color w:val="auto"/>
          <w:sz w:val="20"/>
          <w:szCs w:val="20"/>
        </w:rPr>
        <w:t xml:space="preserve">: adopt </w:t>
      </w:r>
      <w:r w:rsidR="00E70F1E">
        <w:rPr>
          <w:rFonts w:asciiTheme="minorHAnsi" w:hAnsiTheme="minorHAnsi" w:cstheme="minorHAnsi"/>
          <w:color w:val="auto"/>
          <w:sz w:val="20"/>
          <w:szCs w:val="20"/>
        </w:rPr>
        <w:t xml:space="preserve">warning lights and sign </w:t>
      </w:r>
      <w:r w:rsidR="007F4D2F" w:rsidRPr="00E70F1E">
        <w:rPr>
          <w:rFonts w:asciiTheme="minorHAnsi" w:hAnsiTheme="minorHAnsi" w:cstheme="minorHAnsi"/>
          <w:color w:val="auto"/>
          <w:sz w:val="20"/>
          <w:szCs w:val="20"/>
        </w:rPr>
        <w:t>requirements</w:t>
      </w:r>
      <w:r w:rsidR="00E70F1E">
        <w:rPr>
          <w:rFonts w:asciiTheme="minorHAnsi" w:hAnsiTheme="minorHAnsi" w:cstheme="minorHAnsi"/>
          <w:color w:val="auto"/>
          <w:sz w:val="20"/>
          <w:szCs w:val="20"/>
        </w:rPr>
        <w:t xml:space="preserve"> equivalent to current Victorian requirements under</w:t>
      </w:r>
      <w:r w:rsidR="007F4D2F" w:rsidRPr="00E70F1E">
        <w:rPr>
          <w:rFonts w:asciiTheme="minorHAnsi" w:hAnsiTheme="minorHAnsi" w:cstheme="minorHAnsi"/>
          <w:color w:val="auto"/>
          <w:sz w:val="20"/>
          <w:szCs w:val="20"/>
        </w:rPr>
        <w:t xml:space="preserve"> the current Bus Safety Regulations</w:t>
      </w:r>
      <w:r w:rsidR="00E70F1E">
        <w:rPr>
          <w:rFonts w:asciiTheme="minorHAnsi" w:hAnsiTheme="minorHAnsi" w:cstheme="minorHAnsi"/>
          <w:color w:val="auto"/>
          <w:sz w:val="20"/>
          <w:szCs w:val="20"/>
        </w:rPr>
        <w:t xml:space="preserve"> </w:t>
      </w:r>
    </w:p>
    <w:p w14:paraId="23049AB6" w14:textId="705F8DC6" w:rsidR="007F4D2F" w:rsidRPr="00E70F1E" w:rsidRDefault="00FD5402" w:rsidP="00842F5A">
      <w:pPr>
        <w:pStyle w:val="ListParagraph"/>
        <w:numPr>
          <w:ilvl w:val="0"/>
          <w:numId w:val="22"/>
        </w:numPr>
        <w:rPr>
          <w:rFonts w:asciiTheme="minorHAnsi" w:hAnsiTheme="minorHAnsi" w:cstheme="minorHAnsi"/>
          <w:color w:val="auto"/>
          <w:sz w:val="20"/>
          <w:szCs w:val="20"/>
        </w:rPr>
      </w:pPr>
      <w:r w:rsidRPr="00E70F1E">
        <w:rPr>
          <w:rFonts w:asciiTheme="minorHAnsi" w:eastAsiaTheme="minorHAnsi" w:hAnsiTheme="minorHAnsi" w:cstheme="minorHAnsi"/>
          <w:color w:val="auto"/>
          <w:sz w:val="20"/>
          <w:szCs w:val="20"/>
        </w:rPr>
        <w:lastRenderedPageBreak/>
        <w:t>O</w:t>
      </w:r>
      <w:r w:rsidR="007F4D2F" w:rsidRPr="00E70F1E">
        <w:rPr>
          <w:rFonts w:asciiTheme="minorHAnsi" w:eastAsiaTheme="minorHAnsi" w:hAnsiTheme="minorHAnsi" w:cstheme="minorHAnsi"/>
          <w:color w:val="auto"/>
          <w:sz w:val="20"/>
          <w:szCs w:val="20"/>
        </w:rPr>
        <w:t>ption</w:t>
      </w:r>
      <w:r w:rsidR="007F4D2F" w:rsidRPr="00E70F1E">
        <w:rPr>
          <w:rFonts w:asciiTheme="minorHAnsi" w:hAnsiTheme="minorHAnsi" w:cstheme="minorHAnsi"/>
          <w:color w:val="auto"/>
          <w:sz w:val="20"/>
          <w:szCs w:val="20"/>
        </w:rPr>
        <w:t xml:space="preserve"> 2: adopt </w:t>
      </w:r>
      <w:r w:rsidR="00631D49">
        <w:rPr>
          <w:rFonts w:asciiTheme="minorHAnsi" w:hAnsiTheme="minorHAnsi" w:cstheme="minorHAnsi"/>
          <w:color w:val="auto"/>
          <w:sz w:val="20"/>
          <w:szCs w:val="20"/>
        </w:rPr>
        <w:t xml:space="preserve">warning lights and sign </w:t>
      </w:r>
      <w:r w:rsidR="007F4D2F" w:rsidRPr="00E70F1E">
        <w:rPr>
          <w:rFonts w:asciiTheme="minorHAnsi" w:hAnsiTheme="minorHAnsi" w:cstheme="minorHAnsi"/>
          <w:color w:val="auto"/>
          <w:sz w:val="20"/>
          <w:szCs w:val="20"/>
        </w:rPr>
        <w:t>requirements to align with NSW standards for school bus</w:t>
      </w:r>
      <w:r w:rsidR="00631D49">
        <w:rPr>
          <w:rFonts w:asciiTheme="minorHAnsi" w:hAnsiTheme="minorHAnsi" w:cstheme="minorHAnsi"/>
          <w:color w:val="auto"/>
          <w:sz w:val="20"/>
          <w:szCs w:val="20"/>
        </w:rPr>
        <w:t>es</w:t>
      </w:r>
      <w:r w:rsidRPr="00E70F1E">
        <w:rPr>
          <w:rFonts w:asciiTheme="minorHAnsi" w:hAnsiTheme="minorHAnsi" w:cstheme="minorHAnsi"/>
          <w:color w:val="auto"/>
          <w:sz w:val="20"/>
          <w:szCs w:val="20"/>
        </w:rPr>
        <w:t>.</w:t>
      </w:r>
    </w:p>
    <w:p w14:paraId="02B00812" w14:textId="77777777" w:rsidR="007F4D2F" w:rsidRPr="00775098" w:rsidRDefault="007F4D2F" w:rsidP="0095677C">
      <w:pPr>
        <w:pStyle w:val="Heading5"/>
      </w:pPr>
      <w:r w:rsidRPr="00775098">
        <w:t>Expected benefits</w:t>
      </w:r>
    </w:p>
    <w:p w14:paraId="363246BF" w14:textId="1CCEE463" w:rsidR="007F4D2F" w:rsidRDefault="007F4D2F" w:rsidP="007F4D2F">
      <w:r w:rsidRPr="00E70F1E">
        <w:rPr>
          <w:color w:val="auto"/>
        </w:rPr>
        <w:t xml:space="preserve">The purpose of warning lights and sign equipment </w:t>
      </w:r>
      <w:r>
        <w:t xml:space="preserve">is to alert road users to the presence of children around a bus that has stopped to pick up </w:t>
      </w:r>
      <w:r w:rsidR="006274D3">
        <w:t>or</w:t>
      </w:r>
      <w:r>
        <w:t xml:space="preserve"> drop off children. </w:t>
      </w:r>
      <w:r w:rsidRPr="001D1C72">
        <w:t xml:space="preserve">The benefits of </w:t>
      </w:r>
      <w:r>
        <w:t>such equipment</w:t>
      </w:r>
      <w:r w:rsidRPr="001D1C72">
        <w:t xml:space="preserve"> </w:t>
      </w:r>
      <w:r w:rsidR="006274D3">
        <w:t>are</w:t>
      </w:r>
      <w:r w:rsidRPr="001D1C72">
        <w:t xml:space="preserve"> to reduce the </w:t>
      </w:r>
      <w:r>
        <w:t>incidence</w:t>
      </w:r>
      <w:r w:rsidRPr="001D1C72">
        <w:t xml:space="preserve"> of motorists colliding with children</w:t>
      </w:r>
      <w:r>
        <w:t>. Children may not take as much care and precautions around the road</w:t>
      </w:r>
      <w:r w:rsidR="006274D3">
        <w:t xml:space="preserve"> as adults</w:t>
      </w:r>
      <w:r w:rsidRPr="001D1C72">
        <w:t>.</w:t>
      </w:r>
      <w:r>
        <w:t xml:space="preserve"> </w:t>
      </w:r>
      <w:r w:rsidRPr="001D1C72">
        <w:t xml:space="preserve">Warning lights </w:t>
      </w:r>
      <w:r>
        <w:t xml:space="preserve">and signs </w:t>
      </w:r>
      <w:r w:rsidRPr="001D1C72">
        <w:t xml:space="preserve">help to alert motorists to the possibility of children in and around a bus when the bus is either picking up or </w:t>
      </w:r>
      <w:r>
        <w:t>dropping off</w:t>
      </w:r>
      <w:r w:rsidRPr="001D1C72">
        <w:t xml:space="preserve"> children.</w:t>
      </w:r>
      <w:r>
        <w:t xml:space="preserve"> </w:t>
      </w:r>
      <w:r w:rsidRPr="001D1C72">
        <w:t xml:space="preserve">This will mitigate the risk of </w:t>
      </w:r>
      <w:r>
        <w:t xml:space="preserve">a </w:t>
      </w:r>
      <w:r w:rsidRPr="001D1C72">
        <w:t>collision</w:t>
      </w:r>
      <w:r>
        <w:t xml:space="preserve"> between a child and a motor vehicle.</w:t>
      </w:r>
      <w:r w:rsidRPr="001D1C72">
        <w:t xml:space="preserve"> </w:t>
      </w:r>
      <w:r>
        <w:t>Both options fulfil this function, so D</w:t>
      </w:r>
      <w:r w:rsidR="00BE2244">
        <w:t>o</w:t>
      </w:r>
      <w:r>
        <w:t xml:space="preserve">T expects there to be a reduction in fatalities and serious injuries to children compared to a scenario of no requirements to install and operate warning lights and signs. </w:t>
      </w:r>
      <w:r w:rsidR="009D720B">
        <w:t xml:space="preserve">While </w:t>
      </w:r>
      <w:r>
        <w:t>D</w:t>
      </w:r>
      <w:r w:rsidR="00BE2244">
        <w:t>o</w:t>
      </w:r>
      <w:r>
        <w:t xml:space="preserve">T does not have data to estimate the likely rate of fatalities and serious injuries under a scenario of no regulations, </w:t>
      </w:r>
      <w:r w:rsidR="009D720B">
        <w:t xml:space="preserve">DoT expects the benefits to be moderate, given these requirements would not apply to the whole fleet of buses in the industry. </w:t>
      </w:r>
      <w:r>
        <w:t xml:space="preserve"> </w:t>
      </w:r>
    </w:p>
    <w:p w14:paraId="41D0EDAC" w14:textId="76406162" w:rsidR="007F4D2F" w:rsidRPr="001D1C72" w:rsidRDefault="007F4D2F" w:rsidP="007F4D2F">
      <w:r>
        <w:t xml:space="preserve">There may be some differences in the quantum of benefits attributable to the two options being considered. The first option </w:t>
      </w:r>
      <w:r w:rsidRPr="001D1C72">
        <w:t>require</w:t>
      </w:r>
      <w:r>
        <w:t>s</w:t>
      </w:r>
      <w:r w:rsidRPr="001D1C72">
        <w:t xml:space="preserve"> school buses </w:t>
      </w:r>
      <w:r w:rsidR="00E81874">
        <w:t>be</w:t>
      </w:r>
      <w:r w:rsidR="00E81874" w:rsidRPr="001D1C72">
        <w:t xml:space="preserve"> </w:t>
      </w:r>
      <w:r w:rsidRPr="001D1C72">
        <w:t>fitted with complying warning lights and signs, consistent with the Vehicle Regulations for school buses.</w:t>
      </w:r>
      <w:r>
        <w:t xml:space="preserve"> In comparison, the NSW standards also requires</w:t>
      </w:r>
      <w:r w:rsidR="00D72528">
        <w:t>, in addition to the Vehicle Regulations,</w:t>
      </w:r>
      <w:r>
        <w:t xml:space="preserve"> headlights to flash while warning lights and signs are in operation. </w:t>
      </w:r>
      <w:r w:rsidR="008246CB">
        <w:t>NSW s</w:t>
      </w:r>
      <w:r>
        <w:t>chool buses are also required to display a speed limit sign of 40 km/h. Motorists slowing down to 40 km/h will reduce the likelihood of a collision involving a child. D</w:t>
      </w:r>
      <w:r w:rsidR="00EB2752">
        <w:t>o</w:t>
      </w:r>
      <w:r>
        <w:t xml:space="preserve">T notes that in school areas the speed limit is already 40 km/h at times when children are starting and finishing school. </w:t>
      </w:r>
      <w:r w:rsidR="00DF77C7">
        <w:t>Therefore</w:t>
      </w:r>
      <w:r w:rsidR="00D621EF">
        <w:t>,</w:t>
      </w:r>
      <w:r w:rsidR="00DF77C7">
        <w:t xml:space="preserve"> the benefits of display</w:t>
      </w:r>
      <w:r w:rsidR="00D621EF">
        <w:t>ing</w:t>
      </w:r>
      <w:r w:rsidR="00DF77C7">
        <w:t xml:space="preserve"> a 40km/h sign on a school bus will be </w:t>
      </w:r>
      <w:r w:rsidR="00D621EF">
        <w:t xml:space="preserve">greater in </w:t>
      </w:r>
      <w:r w:rsidR="00DF77C7">
        <w:t xml:space="preserve">pick-up and </w:t>
      </w:r>
      <w:r w:rsidR="00D621EF">
        <w:t>drop-off</w:t>
      </w:r>
      <w:r w:rsidR="00DF77C7">
        <w:t xml:space="preserve"> points outside of t</w:t>
      </w:r>
      <w:r w:rsidR="00D621EF">
        <w:t xml:space="preserve">hese </w:t>
      </w:r>
      <w:r w:rsidR="004C04CC">
        <w:t xml:space="preserve">40km/h </w:t>
      </w:r>
      <w:r w:rsidR="00D621EF">
        <w:t xml:space="preserve">school </w:t>
      </w:r>
      <w:r w:rsidR="005F6DB2">
        <w:t>area</w:t>
      </w:r>
      <w:r w:rsidR="00624D8F">
        <w:t>s and lesser in school area</w:t>
      </w:r>
      <w:r w:rsidR="00ED728A">
        <w:t>s</w:t>
      </w:r>
      <w:r>
        <w:t xml:space="preserve">. </w:t>
      </w:r>
      <w:r w:rsidRPr="001D1C72">
        <w:t xml:space="preserve"> </w:t>
      </w:r>
    </w:p>
    <w:p w14:paraId="073AB9A0" w14:textId="1AB154A8" w:rsidR="007F4D2F" w:rsidRPr="001C2DC0" w:rsidRDefault="007F4D2F" w:rsidP="0095677C">
      <w:pPr>
        <w:pStyle w:val="Heading5"/>
      </w:pPr>
      <w:r w:rsidRPr="001C2DC0">
        <w:t>Expected costs</w:t>
      </w:r>
    </w:p>
    <w:p w14:paraId="19BE4283" w14:textId="7FA2A41D" w:rsidR="00931C3D" w:rsidRDefault="007F4D2F" w:rsidP="007F4D2F">
      <w:r>
        <w:t xml:space="preserve">The primary compliance costs associated with this requirement is the cost of purchasing </w:t>
      </w:r>
      <w:r w:rsidR="000C7B46">
        <w:t xml:space="preserve">and installing </w:t>
      </w:r>
      <w:r>
        <w:t xml:space="preserve">the </w:t>
      </w:r>
      <w:r w:rsidR="000C7B46">
        <w:t xml:space="preserve">warning </w:t>
      </w:r>
      <w:r>
        <w:t>lights and signs.</w:t>
      </w:r>
      <w:r w:rsidR="00980FDC">
        <w:t xml:space="preserve"> DoT, based on an analysis of market prices, estimates the costs of school bus </w:t>
      </w:r>
      <w:r w:rsidR="000C7B46">
        <w:t xml:space="preserve">warning lights and </w:t>
      </w:r>
      <w:r w:rsidR="00980FDC">
        <w:t xml:space="preserve">signs </w:t>
      </w:r>
      <w:r w:rsidR="000C7B46">
        <w:t>to be</w:t>
      </w:r>
      <w:r w:rsidR="00980FDC">
        <w:t xml:space="preserve"> approximately $600 to $700 (this includes 2 signs at $50 each, 2 lights at $100 each, and devices and other fittings for flashing the warning lights at $300 to $400).</w:t>
      </w:r>
      <w:r>
        <w:t xml:space="preserve"> D</w:t>
      </w:r>
      <w:r w:rsidR="005878C4">
        <w:t>o</w:t>
      </w:r>
      <w:r>
        <w:t xml:space="preserve">T notes that all current buses used to provide a school bus service are fitted with the correct </w:t>
      </w:r>
      <w:r w:rsidR="000C7B46">
        <w:t xml:space="preserve">warning </w:t>
      </w:r>
      <w:r>
        <w:t xml:space="preserve">lights and signs, and therefore would comply with </w:t>
      </w:r>
      <w:r w:rsidR="00FB599E">
        <w:t>O</w:t>
      </w:r>
      <w:r>
        <w:t>ption 1.</w:t>
      </w:r>
      <w:r w:rsidR="004656B8">
        <w:t xml:space="preserve"> </w:t>
      </w:r>
      <w:r>
        <w:t>Therefore, for the purposes of this analysis, D</w:t>
      </w:r>
      <w:r w:rsidR="005878C4">
        <w:t>o</w:t>
      </w:r>
      <w:r>
        <w:t>T will assume that no new compliance costs will be incurred under this option. D</w:t>
      </w:r>
      <w:r w:rsidR="005878C4">
        <w:t>o</w:t>
      </w:r>
      <w:r>
        <w:t xml:space="preserve">T also notes that </w:t>
      </w:r>
      <w:r w:rsidR="00FB599E">
        <w:t>O</w:t>
      </w:r>
      <w:r>
        <w:t>ption 1</w:t>
      </w:r>
      <w:r w:rsidRPr="0096189C">
        <w:t xml:space="preserve"> </w:t>
      </w:r>
      <w:r>
        <w:t xml:space="preserve">is </w:t>
      </w:r>
      <w:r w:rsidRPr="0096189C">
        <w:t>consistent with the</w:t>
      </w:r>
      <w:r>
        <w:t xml:space="preserve"> Road Safety</w:t>
      </w:r>
      <w:r w:rsidRPr="0096189C">
        <w:t xml:space="preserve"> </w:t>
      </w:r>
      <w:r>
        <w:t>(</w:t>
      </w:r>
      <w:r w:rsidRPr="0096189C">
        <w:t>Vehicle</w:t>
      </w:r>
      <w:r>
        <w:t>s)</w:t>
      </w:r>
      <w:r w:rsidRPr="0096189C">
        <w:t xml:space="preserve"> Regulations for complying lights to be fitted to school buses. </w:t>
      </w:r>
      <w:r w:rsidR="003A2199">
        <w:t xml:space="preserve">There will be new buses </w:t>
      </w:r>
      <w:r w:rsidR="003457E2">
        <w:t xml:space="preserve">that would need to </w:t>
      </w:r>
      <w:r w:rsidR="00602DC0">
        <w:t xml:space="preserve">have </w:t>
      </w:r>
      <w:r w:rsidR="00F3624E">
        <w:t>warning</w:t>
      </w:r>
      <w:r w:rsidR="00602DC0">
        <w:t xml:space="preserve"> lights and signs </w:t>
      </w:r>
      <w:r w:rsidR="003457E2">
        <w:t>instal</w:t>
      </w:r>
      <w:r w:rsidR="00602DC0">
        <w:t>l</w:t>
      </w:r>
      <w:r w:rsidR="003457E2">
        <w:t>e</w:t>
      </w:r>
      <w:r w:rsidR="00602DC0">
        <w:t>d in the vehicle.</w:t>
      </w:r>
      <w:r w:rsidR="00A3241C">
        <w:t xml:space="preserve"> Based on the expected growth in the sector (approximately 1 per cent per annum)</w:t>
      </w:r>
      <w:r w:rsidR="00147F2C">
        <w:t>, DoT estimates that 6</w:t>
      </w:r>
      <w:r w:rsidR="00207806">
        <w:t xml:space="preserve"> to</w:t>
      </w:r>
      <w:r w:rsidR="00AE4D6B">
        <w:t xml:space="preserve"> </w:t>
      </w:r>
      <w:r w:rsidR="00147F2C">
        <w:t>7 buses would incur such costs</w:t>
      </w:r>
      <w:r w:rsidR="00931F79">
        <w:t xml:space="preserve"> each year</w:t>
      </w:r>
      <w:r w:rsidR="00147F2C">
        <w:t xml:space="preserve">. Installation of </w:t>
      </w:r>
      <w:r w:rsidR="00D4674C">
        <w:t>the lights and signs is assumed to</w:t>
      </w:r>
      <w:r w:rsidR="00935EE5">
        <w:t xml:space="preserve"> take up to 30 minutes</w:t>
      </w:r>
      <w:r w:rsidR="00127E3F">
        <w:t xml:space="preserve"> (equivalent to $38.19 in labour costs)</w:t>
      </w:r>
      <w:r w:rsidR="00935EE5">
        <w:t>.</w:t>
      </w:r>
      <w:r w:rsidR="00931F79">
        <w:t xml:space="preserve"> Therefore, </w:t>
      </w:r>
      <w:r w:rsidR="00842D87">
        <w:t xml:space="preserve">operators would incur approximately $638.19 to $738.19 </w:t>
      </w:r>
      <w:r w:rsidR="00931F79">
        <w:t xml:space="preserve">for each bus </w:t>
      </w:r>
      <w:r w:rsidR="00FA7128">
        <w:t>to comply with the requirement.</w:t>
      </w:r>
      <w:r w:rsidR="002A1604">
        <w:t xml:space="preserve"> </w:t>
      </w:r>
    </w:p>
    <w:p w14:paraId="1816A78B" w14:textId="3B0A3055" w:rsidR="00D14F9A" w:rsidRDefault="007F4D2F" w:rsidP="007F4D2F">
      <w:r>
        <w:t xml:space="preserve">In the case of </w:t>
      </w:r>
      <w:r w:rsidR="00923278">
        <w:t>O</w:t>
      </w:r>
      <w:r>
        <w:t>ption 2, all bus operators who provide a school bus service would need to fit additional equipment to the bus. That is, a device to flash headlights while the other lights and signs are in operation and speed sign displaying a “40”.</w:t>
      </w:r>
      <w:r w:rsidR="007C69B8">
        <w:t xml:space="preserve"> All buses </w:t>
      </w:r>
      <w:r w:rsidR="000B274C">
        <w:t xml:space="preserve">used to provide a school bus service </w:t>
      </w:r>
      <w:r w:rsidR="007C69B8">
        <w:t xml:space="preserve">would need to be fitted </w:t>
      </w:r>
      <w:r w:rsidR="000B274C">
        <w:t xml:space="preserve">with this equipment. </w:t>
      </w:r>
      <w:r w:rsidR="006D2374">
        <w:t xml:space="preserve">Based on an analysis of market </w:t>
      </w:r>
      <w:r w:rsidR="009C7473">
        <w:t>prices</w:t>
      </w:r>
      <w:r w:rsidR="006D2374">
        <w:t xml:space="preserve"> for equipment, t</w:t>
      </w:r>
      <w:r w:rsidR="00D14F9A">
        <w:t xml:space="preserve">he costs of purchasing an additional sign </w:t>
      </w:r>
      <w:r w:rsidR="002F331D">
        <w:t xml:space="preserve">and </w:t>
      </w:r>
      <w:r w:rsidR="00316809">
        <w:t xml:space="preserve">a </w:t>
      </w:r>
      <w:r w:rsidR="002F331D">
        <w:t xml:space="preserve">device </w:t>
      </w:r>
      <w:r w:rsidR="004A22AA">
        <w:t>to flash headlights</w:t>
      </w:r>
      <w:r w:rsidR="00316809">
        <w:t xml:space="preserve"> (to ensure compliance</w:t>
      </w:r>
      <w:r w:rsidR="002E314D">
        <w:t xml:space="preserve"> with the NSW standards</w:t>
      </w:r>
      <w:r w:rsidR="00316809">
        <w:t>)</w:t>
      </w:r>
      <w:r w:rsidR="004A22AA">
        <w:t xml:space="preserve"> is </w:t>
      </w:r>
      <w:r w:rsidR="00772C8D">
        <w:t>estimated</w:t>
      </w:r>
      <w:r w:rsidR="00337FA9">
        <w:t xml:space="preserve"> </w:t>
      </w:r>
      <w:r w:rsidR="00A74EC6">
        <w:t>to be</w:t>
      </w:r>
      <w:r w:rsidR="00337FA9">
        <w:t xml:space="preserve"> $350 ($50 for the sign and $300 for the device to flash headlights)</w:t>
      </w:r>
      <w:r w:rsidR="006905F7">
        <w:t>.</w:t>
      </w:r>
      <w:r w:rsidR="00906437" w:rsidRPr="00906437">
        <w:t xml:space="preserve"> </w:t>
      </w:r>
      <w:r w:rsidR="00906437">
        <w:t xml:space="preserve">DoT estimates that the number of buses </w:t>
      </w:r>
      <w:r w:rsidR="007A24BF">
        <w:t xml:space="preserve">that would need to upgrade signs </w:t>
      </w:r>
      <w:r w:rsidR="00906437">
        <w:t>is in the order of 700 buses</w:t>
      </w:r>
      <w:r w:rsidR="005F0F14">
        <w:t>, with the growth rate of such buses at 1 per cent reflecting the demand for those services</w:t>
      </w:r>
      <w:r w:rsidR="00906437">
        <w:t>.</w:t>
      </w:r>
      <w:r w:rsidR="0078498C">
        <w:t xml:space="preserve"> </w:t>
      </w:r>
      <w:r w:rsidR="00FE6F8D">
        <w:t>The</w:t>
      </w:r>
      <w:r w:rsidR="005F6D26">
        <w:t xml:space="preserve"> </w:t>
      </w:r>
      <w:r w:rsidR="00D403A9">
        <w:t>assumptions</w:t>
      </w:r>
      <w:r w:rsidR="00556920">
        <w:t xml:space="preserve"> for</w:t>
      </w:r>
      <w:r w:rsidR="005F6D26">
        <w:t xml:space="preserve"> Options 2</w:t>
      </w:r>
      <w:r w:rsidR="00546E36">
        <w:t>, which represent costs additional to what is required under Option 1</w:t>
      </w:r>
      <w:r w:rsidR="00552583">
        <w:t xml:space="preserve"> (status quo)</w:t>
      </w:r>
      <w:r w:rsidR="00546E36">
        <w:t xml:space="preserve">, is outlined </w:t>
      </w:r>
      <w:r w:rsidR="00FE6F8D">
        <w:t xml:space="preserve">in </w:t>
      </w:r>
      <w:r w:rsidR="00FE6F8D">
        <w:fldChar w:fldCharType="begin"/>
      </w:r>
      <w:r w:rsidR="00FE6F8D">
        <w:instrText xml:space="preserve"> REF _Ref43294905 \h </w:instrText>
      </w:r>
      <w:r w:rsidR="0011544F">
        <w:instrText xml:space="preserve"> \* MERGEFORMAT </w:instrText>
      </w:r>
      <w:r w:rsidR="00FE6F8D">
        <w:fldChar w:fldCharType="separate"/>
      </w:r>
      <w:r w:rsidR="00277F6E" w:rsidRPr="00277F6E">
        <w:t>Table 7</w:t>
      </w:r>
      <w:r w:rsidR="00277F6E" w:rsidRPr="00277F6E">
        <w:noBreakHyphen/>
        <w:t>18</w:t>
      </w:r>
      <w:r w:rsidR="00FE6F8D">
        <w:fldChar w:fldCharType="end"/>
      </w:r>
      <w:r w:rsidR="00FE6F8D">
        <w:t xml:space="preserve"> below.</w:t>
      </w:r>
    </w:p>
    <w:p w14:paraId="0BB5F31C" w14:textId="5FAFF50A" w:rsidR="007F4D2F" w:rsidRPr="0096189C" w:rsidRDefault="007F4D2F" w:rsidP="007F4D2F">
      <w:r>
        <w:t>There may be some minor costs incurred in the operation of the lights under both options</w:t>
      </w:r>
      <w:r w:rsidR="00191009">
        <w:t>, although this is expected to be relatively negligible</w:t>
      </w:r>
      <w:r>
        <w:t>.</w:t>
      </w:r>
    </w:p>
    <w:p w14:paraId="33CB0EB3" w14:textId="57E4363B" w:rsidR="0051522E" w:rsidRPr="006B56EF" w:rsidRDefault="0051522E" w:rsidP="007620AA">
      <w:pPr>
        <w:pStyle w:val="Caption"/>
        <w:keepNext/>
        <w:spacing w:after="60"/>
        <w:rPr>
          <w:b/>
          <w:bCs/>
          <w:i w:val="0"/>
          <w:iCs w:val="0"/>
        </w:rPr>
      </w:pPr>
      <w:bookmarkStart w:id="755" w:name="_Toc44437388"/>
      <w:bookmarkStart w:id="756" w:name="_Toc44597459"/>
      <w:bookmarkStart w:id="757" w:name="_Toc44597523"/>
      <w:bookmarkStart w:id="758" w:name="_Toc44600093"/>
      <w:bookmarkStart w:id="759" w:name="_Toc44600548"/>
      <w:bookmarkStart w:id="760" w:name="_Toc44600715"/>
      <w:bookmarkStart w:id="761" w:name="_Toc44601212"/>
      <w:bookmarkStart w:id="762" w:name="_Toc44601265"/>
      <w:bookmarkStart w:id="763" w:name="_Toc44603413"/>
      <w:bookmarkStart w:id="764" w:name="_Toc45704461"/>
      <w:r w:rsidRPr="00C40C50">
        <w:rPr>
          <w:b/>
          <w:i w:val="0"/>
        </w:rPr>
        <w:lastRenderedPageBreak/>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16</w:t>
      </w:r>
      <w:r w:rsidR="00D2483C">
        <w:rPr>
          <w:b/>
          <w:i w:val="0"/>
        </w:rPr>
        <w:fldChar w:fldCharType="end"/>
      </w:r>
      <w:r w:rsidRPr="00C40C50">
        <w:rPr>
          <w:b/>
          <w:i w:val="0"/>
        </w:rPr>
        <w:t xml:space="preserve">: </w:t>
      </w:r>
      <w:r w:rsidR="001D21F5">
        <w:rPr>
          <w:b/>
          <w:i w:val="0"/>
        </w:rPr>
        <w:t>School bus c</w:t>
      </w:r>
      <w:r w:rsidR="00714D4A">
        <w:rPr>
          <w:b/>
          <w:i w:val="0"/>
        </w:rPr>
        <w:t xml:space="preserve">ost </w:t>
      </w:r>
      <w:r w:rsidR="003E003D">
        <w:rPr>
          <w:b/>
          <w:i w:val="0"/>
        </w:rPr>
        <w:t xml:space="preserve">parameters </w:t>
      </w:r>
      <w:r w:rsidR="000C1209">
        <w:rPr>
          <w:b/>
          <w:i w:val="0"/>
        </w:rPr>
        <w:t>of</w:t>
      </w:r>
      <w:r w:rsidR="00714D4A">
        <w:rPr>
          <w:b/>
          <w:i w:val="0"/>
        </w:rPr>
        <w:t xml:space="preserve"> </w:t>
      </w:r>
      <w:r w:rsidR="001D21F5">
        <w:rPr>
          <w:b/>
          <w:i w:val="0"/>
        </w:rPr>
        <w:t>NSW standards (</w:t>
      </w:r>
      <w:r w:rsidR="00714D4A">
        <w:rPr>
          <w:b/>
          <w:i w:val="0"/>
        </w:rPr>
        <w:t>Option 2</w:t>
      </w:r>
      <w:r w:rsidR="001D21F5">
        <w:rPr>
          <w:b/>
          <w:i w:val="0"/>
        </w:rPr>
        <w:t>)</w:t>
      </w:r>
      <w:r w:rsidR="00714D4A">
        <w:rPr>
          <w:b/>
          <w:i w:val="0"/>
        </w:rPr>
        <w:t xml:space="preserve"> </w:t>
      </w:r>
      <w:r w:rsidR="00CA0349">
        <w:rPr>
          <w:b/>
          <w:i w:val="0"/>
        </w:rPr>
        <w:t xml:space="preserve">that are </w:t>
      </w:r>
      <w:r w:rsidR="00401F64">
        <w:rPr>
          <w:b/>
          <w:i w:val="0"/>
        </w:rPr>
        <w:t>additional to w</w:t>
      </w:r>
      <w:r w:rsidR="00714D4A">
        <w:rPr>
          <w:b/>
          <w:i w:val="0"/>
        </w:rPr>
        <w:t xml:space="preserve">hat is </w:t>
      </w:r>
      <w:r w:rsidR="00F22C59">
        <w:rPr>
          <w:b/>
          <w:i w:val="0"/>
        </w:rPr>
        <w:t>r</w:t>
      </w:r>
      <w:r w:rsidR="00714D4A">
        <w:rPr>
          <w:b/>
          <w:i w:val="0"/>
        </w:rPr>
        <w:t xml:space="preserve">equired under </w:t>
      </w:r>
      <w:r w:rsidR="001D21F5">
        <w:rPr>
          <w:b/>
          <w:i w:val="0"/>
        </w:rPr>
        <w:t>current Victorian standards (</w:t>
      </w:r>
      <w:r w:rsidR="00714D4A" w:rsidRPr="007620AA">
        <w:rPr>
          <w:b/>
          <w:bCs/>
          <w:i w:val="0"/>
          <w:iCs w:val="0"/>
        </w:rPr>
        <w:t>Option</w:t>
      </w:r>
      <w:r w:rsidR="00714D4A">
        <w:rPr>
          <w:b/>
          <w:i w:val="0"/>
        </w:rPr>
        <w:t xml:space="preserve"> 1</w:t>
      </w:r>
      <w:bookmarkEnd w:id="755"/>
      <w:bookmarkEnd w:id="756"/>
      <w:bookmarkEnd w:id="757"/>
      <w:r w:rsidR="001D21F5">
        <w:rPr>
          <w:b/>
          <w:i w:val="0"/>
        </w:rPr>
        <w:t>)</w:t>
      </w:r>
      <w:bookmarkEnd w:id="758"/>
      <w:bookmarkEnd w:id="759"/>
      <w:bookmarkEnd w:id="760"/>
      <w:bookmarkEnd w:id="761"/>
      <w:bookmarkEnd w:id="762"/>
      <w:bookmarkEnd w:id="763"/>
      <w:bookmarkEnd w:id="764"/>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86"/>
        <w:gridCol w:w="1822"/>
        <w:gridCol w:w="1791"/>
        <w:gridCol w:w="1797"/>
        <w:gridCol w:w="1819"/>
      </w:tblGrid>
      <w:tr w:rsidR="0051522E" w:rsidRPr="00C40C50" w14:paraId="3AD9F0BD" w14:textId="77777777" w:rsidTr="009303EB">
        <w:trPr>
          <w:cantSplit/>
        </w:trPr>
        <w:tc>
          <w:tcPr>
            <w:tcW w:w="1897" w:type="dxa"/>
            <w:shd w:val="clear" w:color="auto" w:fill="D6ECED"/>
            <w:vAlign w:val="center"/>
          </w:tcPr>
          <w:p w14:paraId="0FFFB2AF" w14:textId="77777777" w:rsidR="0051522E" w:rsidRPr="005B6578" w:rsidRDefault="0051522E" w:rsidP="009303EB">
            <w:pPr>
              <w:keepNext/>
              <w:spacing w:before="60" w:after="60"/>
              <w:jc w:val="center"/>
              <w:rPr>
                <w:b/>
                <w:bCs/>
                <w:sz w:val="18"/>
              </w:rPr>
            </w:pPr>
            <w:r>
              <w:rPr>
                <w:b/>
                <w:bCs/>
                <w:sz w:val="18"/>
              </w:rPr>
              <w:t>Bus type</w:t>
            </w:r>
          </w:p>
        </w:tc>
        <w:tc>
          <w:tcPr>
            <w:tcW w:w="1901" w:type="dxa"/>
            <w:shd w:val="clear" w:color="auto" w:fill="D6ECED"/>
            <w:vAlign w:val="center"/>
          </w:tcPr>
          <w:p w14:paraId="5F76AC41" w14:textId="5981C776" w:rsidR="0051522E" w:rsidRPr="000E7D05" w:rsidRDefault="0051522E" w:rsidP="009303EB">
            <w:pPr>
              <w:keepNext/>
              <w:spacing w:before="60" w:after="60"/>
              <w:jc w:val="center"/>
              <w:rPr>
                <w:b/>
                <w:sz w:val="18"/>
              </w:rPr>
            </w:pPr>
            <w:r w:rsidRPr="001420D5">
              <w:rPr>
                <w:b/>
                <w:sz w:val="18"/>
              </w:rPr>
              <w:t>Number of buses</w:t>
            </w:r>
            <w:r w:rsidRPr="00C50CC7">
              <w:rPr>
                <w:b/>
                <w:sz w:val="18"/>
              </w:rPr>
              <w:t xml:space="preserve"> (</w:t>
            </w:r>
            <w:r w:rsidR="007E4F11">
              <w:rPr>
                <w:b/>
                <w:sz w:val="18"/>
              </w:rPr>
              <w:t xml:space="preserve">estimated </w:t>
            </w:r>
            <w:r w:rsidRPr="00C50CC7">
              <w:rPr>
                <w:b/>
                <w:sz w:val="18"/>
              </w:rPr>
              <w:t xml:space="preserve">as </w:t>
            </w:r>
            <w:r w:rsidR="0050110B">
              <w:rPr>
                <w:b/>
                <w:sz w:val="18"/>
              </w:rPr>
              <w:t>of</w:t>
            </w:r>
            <w:r w:rsidRPr="00C50CC7">
              <w:rPr>
                <w:b/>
                <w:sz w:val="18"/>
              </w:rPr>
              <w:t xml:space="preserve"> 31 December 2019)</w:t>
            </w:r>
          </w:p>
        </w:tc>
        <w:tc>
          <w:tcPr>
            <w:tcW w:w="1899" w:type="dxa"/>
            <w:shd w:val="clear" w:color="auto" w:fill="D6ECED"/>
            <w:vAlign w:val="center"/>
          </w:tcPr>
          <w:p w14:paraId="66BB1ACB" w14:textId="77777777" w:rsidR="0051522E" w:rsidRPr="00CF557D" w:rsidRDefault="0051522E" w:rsidP="009303EB">
            <w:pPr>
              <w:keepNext/>
              <w:spacing w:before="60" w:after="60"/>
              <w:jc w:val="center"/>
              <w:rPr>
                <w:b/>
                <w:sz w:val="18"/>
              </w:rPr>
            </w:pPr>
            <w:r w:rsidRPr="0033276F">
              <w:rPr>
                <w:b/>
                <w:sz w:val="18"/>
              </w:rPr>
              <w:t>Annual growth rate of buses</w:t>
            </w:r>
          </w:p>
        </w:tc>
        <w:tc>
          <w:tcPr>
            <w:tcW w:w="1899" w:type="dxa"/>
            <w:shd w:val="clear" w:color="auto" w:fill="D6ECED"/>
            <w:vAlign w:val="center"/>
          </w:tcPr>
          <w:p w14:paraId="32FFCE24" w14:textId="77777777" w:rsidR="0051522E" w:rsidRPr="00B566BB" w:rsidRDefault="0051522E" w:rsidP="009303EB">
            <w:pPr>
              <w:keepNext/>
              <w:spacing w:before="60" w:after="60"/>
              <w:jc w:val="center"/>
              <w:rPr>
                <w:b/>
                <w:sz w:val="18"/>
              </w:rPr>
            </w:pPr>
            <w:r w:rsidRPr="000837E7">
              <w:rPr>
                <w:b/>
                <w:sz w:val="18"/>
              </w:rPr>
              <w:t>Labour cost</w:t>
            </w:r>
          </w:p>
        </w:tc>
        <w:tc>
          <w:tcPr>
            <w:tcW w:w="1897" w:type="dxa"/>
            <w:shd w:val="clear" w:color="auto" w:fill="D6ECED"/>
            <w:vAlign w:val="center"/>
          </w:tcPr>
          <w:p w14:paraId="1A94003D" w14:textId="5118AE39" w:rsidR="0051522E" w:rsidRPr="00415E54" w:rsidRDefault="0051522E" w:rsidP="009303EB">
            <w:pPr>
              <w:keepNext/>
              <w:spacing w:before="60" w:after="60"/>
              <w:jc w:val="center"/>
              <w:rPr>
                <w:b/>
                <w:sz w:val="18"/>
              </w:rPr>
            </w:pPr>
            <w:r w:rsidRPr="00D7407E">
              <w:rPr>
                <w:b/>
                <w:sz w:val="18"/>
              </w:rPr>
              <w:t>C</w:t>
            </w:r>
            <w:r w:rsidRPr="00CA1477">
              <w:rPr>
                <w:b/>
                <w:sz w:val="18"/>
              </w:rPr>
              <w:t>ost</w:t>
            </w:r>
            <w:r w:rsidRPr="00BA57C6">
              <w:rPr>
                <w:b/>
                <w:sz w:val="18"/>
              </w:rPr>
              <w:t xml:space="preserve"> of </w:t>
            </w:r>
            <w:r w:rsidR="00F77ED2">
              <w:rPr>
                <w:b/>
                <w:sz w:val="18"/>
              </w:rPr>
              <w:t>equipment</w:t>
            </w:r>
          </w:p>
        </w:tc>
      </w:tr>
      <w:tr w:rsidR="0051522E" w:rsidRPr="00C40C50" w14:paraId="0D5D7405" w14:textId="77777777" w:rsidTr="009303EB">
        <w:trPr>
          <w:cantSplit/>
        </w:trPr>
        <w:tc>
          <w:tcPr>
            <w:tcW w:w="1897" w:type="dxa"/>
            <w:vAlign w:val="center"/>
          </w:tcPr>
          <w:p w14:paraId="55F54E90" w14:textId="43CB17DD" w:rsidR="0051522E" w:rsidRPr="00C40C50" w:rsidRDefault="00F77ED2" w:rsidP="009303EB">
            <w:pPr>
              <w:keepNext/>
              <w:spacing w:before="60" w:after="60"/>
              <w:jc w:val="center"/>
              <w:rPr>
                <w:sz w:val="18"/>
              </w:rPr>
            </w:pPr>
            <w:r>
              <w:rPr>
                <w:sz w:val="18"/>
              </w:rPr>
              <w:t xml:space="preserve">Buses used to provide </w:t>
            </w:r>
            <w:r w:rsidR="002566A3">
              <w:rPr>
                <w:sz w:val="18"/>
              </w:rPr>
              <w:t>a school bus service</w:t>
            </w:r>
          </w:p>
        </w:tc>
        <w:tc>
          <w:tcPr>
            <w:tcW w:w="1901" w:type="dxa"/>
            <w:vAlign w:val="center"/>
          </w:tcPr>
          <w:p w14:paraId="3ED3C43A" w14:textId="707A71F9" w:rsidR="0051522E" w:rsidRPr="00C40C50" w:rsidRDefault="0051522E" w:rsidP="009303EB">
            <w:pPr>
              <w:keepNext/>
              <w:spacing w:before="60" w:after="60"/>
              <w:jc w:val="center"/>
              <w:rPr>
                <w:sz w:val="18"/>
              </w:rPr>
            </w:pPr>
            <w:r w:rsidRPr="00C40C50">
              <w:rPr>
                <w:sz w:val="18"/>
              </w:rPr>
              <w:t>7</w:t>
            </w:r>
            <w:r w:rsidR="002A4C3A">
              <w:rPr>
                <w:sz w:val="18"/>
              </w:rPr>
              <w:t>00</w:t>
            </w:r>
          </w:p>
        </w:tc>
        <w:tc>
          <w:tcPr>
            <w:tcW w:w="1899" w:type="dxa"/>
            <w:vAlign w:val="center"/>
          </w:tcPr>
          <w:p w14:paraId="5D1BBDB6" w14:textId="091D0873" w:rsidR="0051522E" w:rsidRPr="00C40C50" w:rsidRDefault="0051522E" w:rsidP="009303EB">
            <w:pPr>
              <w:keepNext/>
              <w:spacing w:before="60" w:after="60"/>
              <w:jc w:val="center"/>
              <w:rPr>
                <w:sz w:val="18"/>
              </w:rPr>
            </w:pPr>
            <w:r w:rsidRPr="00C40C50">
              <w:rPr>
                <w:sz w:val="18"/>
              </w:rPr>
              <w:t>1%</w:t>
            </w:r>
          </w:p>
        </w:tc>
        <w:tc>
          <w:tcPr>
            <w:tcW w:w="1899" w:type="dxa"/>
            <w:vAlign w:val="center"/>
          </w:tcPr>
          <w:p w14:paraId="0C49C464" w14:textId="0817FCB7" w:rsidR="0051522E" w:rsidRDefault="006C4EC2" w:rsidP="009303EB">
            <w:pPr>
              <w:keepNext/>
              <w:spacing w:before="60" w:after="60"/>
              <w:jc w:val="center"/>
              <w:rPr>
                <w:sz w:val="18"/>
              </w:rPr>
            </w:pPr>
            <w:r>
              <w:rPr>
                <w:sz w:val="18"/>
              </w:rPr>
              <w:t>3</w:t>
            </w:r>
            <w:r w:rsidR="0051522E" w:rsidRPr="00C40C50">
              <w:rPr>
                <w:sz w:val="18"/>
              </w:rPr>
              <w:t>0</w:t>
            </w:r>
            <w:r w:rsidR="0051522E">
              <w:rPr>
                <w:sz w:val="18"/>
              </w:rPr>
              <w:t xml:space="preserve"> minutes</w:t>
            </w:r>
          </w:p>
          <w:p w14:paraId="04FFD892" w14:textId="2944A068" w:rsidR="0051522E" w:rsidRPr="00C40C50" w:rsidRDefault="0051522E" w:rsidP="009303EB">
            <w:pPr>
              <w:keepNext/>
              <w:spacing w:before="60" w:after="60"/>
              <w:jc w:val="center"/>
              <w:rPr>
                <w:sz w:val="18"/>
              </w:rPr>
            </w:pPr>
            <w:r>
              <w:rPr>
                <w:sz w:val="18"/>
              </w:rPr>
              <w:t>(</w:t>
            </w:r>
            <w:r w:rsidRPr="00C40C50">
              <w:rPr>
                <w:sz w:val="18"/>
              </w:rPr>
              <w:t>$</w:t>
            </w:r>
            <w:r w:rsidR="00F77ED2">
              <w:rPr>
                <w:sz w:val="18"/>
              </w:rPr>
              <w:t>38.19</w:t>
            </w:r>
            <w:r>
              <w:rPr>
                <w:sz w:val="18"/>
              </w:rPr>
              <w:t>)</w:t>
            </w:r>
          </w:p>
        </w:tc>
        <w:tc>
          <w:tcPr>
            <w:tcW w:w="1897" w:type="dxa"/>
            <w:vAlign w:val="center"/>
          </w:tcPr>
          <w:p w14:paraId="6623FAE8" w14:textId="7A31F75C" w:rsidR="0051522E" w:rsidRPr="00C40C50" w:rsidRDefault="0051522E" w:rsidP="009303EB">
            <w:pPr>
              <w:keepNext/>
              <w:spacing w:before="60" w:after="60"/>
              <w:jc w:val="center"/>
              <w:rPr>
                <w:sz w:val="18"/>
              </w:rPr>
            </w:pPr>
            <w:r w:rsidRPr="00C40C50">
              <w:rPr>
                <w:sz w:val="18"/>
              </w:rPr>
              <w:t>$</w:t>
            </w:r>
            <w:r w:rsidR="00F77ED2">
              <w:rPr>
                <w:sz w:val="18"/>
              </w:rPr>
              <w:t>300 - $350</w:t>
            </w:r>
          </w:p>
        </w:tc>
      </w:tr>
    </w:tbl>
    <w:p w14:paraId="248C872A" w14:textId="76871A69" w:rsidR="00B15552" w:rsidRDefault="00B15552" w:rsidP="00B15552">
      <w:r w:rsidRPr="00C40C50">
        <w:t xml:space="preserve">Based on a real discount rate of 4 per cent, the 10-year NPV and EAC for </w:t>
      </w:r>
      <w:r>
        <w:t xml:space="preserve">installing additional equipment to comply with the NSW </w:t>
      </w:r>
      <w:r w:rsidR="001129C2">
        <w:t>standards for school bus lights and signs</w:t>
      </w:r>
      <w:r w:rsidRPr="00C40C50">
        <w:t xml:space="preserve"> </w:t>
      </w:r>
      <w:r w:rsidR="001A0BF4">
        <w:t xml:space="preserve">is </w:t>
      </w:r>
      <w:r w:rsidR="00586D43">
        <w:t xml:space="preserve">between </w:t>
      </w:r>
      <w:r w:rsidRPr="00C40C50">
        <w:t>$0.</w:t>
      </w:r>
      <w:r w:rsidR="006C2179">
        <w:t>26</w:t>
      </w:r>
      <w:r w:rsidRPr="00C40C50">
        <w:t xml:space="preserve"> million </w:t>
      </w:r>
      <w:r w:rsidR="00586D43">
        <w:t xml:space="preserve">to $0.3 million </w:t>
      </w:r>
      <w:r w:rsidRPr="00C40C50">
        <w:t>and</w:t>
      </w:r>
      <w:r w:rsidR="00586D43">
        <w:t xml:space="preserve"> between</w:t>
      </w:r>
      <w:r w:rsidRPr="00C40C50">
        <w:t xml:space="preserve"> $0.0</w:t>
      </w:r>
      <w:r w:rsidR="006C2179">
        <w:t>31</w:t>
      </w:r>
      <w:r w:rsidRPr="00C40C50">
        <w:t xml:space="preserve"> million </w:t>
      </w:r>
      <w:r w:rsidR="00586D43">
        <w:t xml:space="preserve">to $0.036 million </w:t>
      </w:r>
      <w:r w:rsidRPr="00C40C50">
        <w:t xml:space="preserve">respectively, as outlined in </w:t>
      </w:r>
      <w:r w:rsidR="006C2179" w:rsidRPr="003A2199">
        <w:fldChar w:fldCharType="begin"/>
      </w:r>
      <w:r w:rsidR="006C2179" w:rsidRPr="00E92C5D">
        <w:instrText xml:space="preserve"> REF _Ref42254256 \h  \* MERGEFORMAT </w:instrText>
      </w:r>
      <w:r w:rsidR="006C2179" w:rsidRPr="003A2199">
        <w:fldChar w:fldCharType="separate"/>
      </w:r>
      <w:r w:rsidR="00277F6E" w:rsidRPr="00277F6E">
        <w:t xml:space="preserve">Table </w:t>
      </w:r>
      <w:r w:rsidR="00277F6E" w:rsidRPr="00277F6E">
        <w:rPr>
          <w:noProof/>
        </w:rPr>
        <w:t>7</w:t>
      </w:r>
      <w:r w:rsidR="00277F6E" w:rsidRPr="00277F6E">
        <w:rPr>
          <w:noProof/>
        </w:rPr>
        <w:noBreakHyphen/>
        <w:t>17</w:t>
      </w:r>
      <w:r w:rsidR="006C2179" w:rsidRPr="003A2199">
        <w:fldChar w:fldCharType="end"/>
      </w:r>
      <w:r w:rsidR="006C2179">
        <w:t xml:space="preserve"> </w:t>
      </w:r>
      <w:r>
        <w:t xml:space="preserve">below. </w:t>
      </w:r>
    </w:p>
    <w:p w14:paraId="3E2A14D3" w14:textId="0C8E33CF" w:rsidR="00B15552" w:rsidRPr="002E6534" w:rsidRDefault="00B15552" w:rsidP="007620AA">
      <w:pPr>
        <w:pStyle w:val="Caption"/>
        <w:keepNext/>
        <w:spacing w:after="60"/>
        <w:rPr>
          <w:b/>
          <w:bCs/>
          <w:i w:val="0"/>
          <w:iCs w:val="0"/>
        </w:rPr>
      </w:pPr>
      <w:bookmarkStart w:id="765" w:name="_Ref42254256"/>
      <w:bookmarkStart w:id="766" w:name="_Toc44437389"/>
      <w:bookmarkStart w:id="767" w:name="_Toc44597460"/>
      <w:bookmarkStart w:id="768" w:name="_Toc44597524"/>
      <w:bookmarkStart w:id="769" w:name="_Toc44600094"/>
      <w:bookmarkStart w:id="770" w:name="_Toc44600549"/>
      <w:bookmarkStart w:id="771" w:name="_Toc44600716"/>
      <w:bookmarkStart w:id="772" w:name="_Toc44601213"/>
      <w:bookmarkStart w:id="773" w:name="_Toc44601266"/>
      <w:bookmarkStart w:id="774" w:name="_Toc44603414"/>
      <w:bookmarkStart w:id="775" w:name="_Toc45704462"/>
      <w:r w:rsidRPr="00C40C50">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17</w:t>
      </w:r>
      <w:r w:rsidR="00D2483C">
        <w:rPr>
          <w:b/>
          <w:i w:val="0"/>
        </w:rPr>
        <w:fldChar w:fldCharType="end"/>
      </w:r>
      <w:bookmarkEnd w:id="765"/>
      <w:r w:rsidRPr="00C40C50">
        <w:rPr>
          <w:b/>
          <w:i w:val="0"/>
        </w:rPr>
        <w:t xml:space="preserve">: NPV and EAC </w:t>
      </w:r>
      <w:r>
        <w:rPr>
          <w:b/>
          <w:i w:val="0"/>
        </w:rPr>
        <w:t xml:space="preserve">for </w:t>
      </w:r>
      <w:r w:rsidR="00F03DAB">
        <w:rPr>
          <w:b/>
          <w:i w:val="0"/>
        </w:rPr>
        <w:t xml:space="preserve">compliance </w:t>
      </w:r>
      <w:r w:rsidR="00F03DAB" w:rsidRPr="007620AA">
        <w:rPr>
          <w:b/>
          <w:bCs/>
          <w:i w:val="0"/>
          <w:iCs w:val="0"/>
        </w:rPr>
        <w:t>with</w:t>
      </w:r>
      <w:r w:rsidR="00F03DAB">
        <w:rPr>
          <w:b/>
          <w:i w:val="0"/>
        </w:rPr>
        <w:t xml:space="preserve"> NSW</w:t>
      </w:r>
      <w:r w:rsidR="006C2179">
        <w:rPr>
          <w:b/>
          <w:i w:val="0"/>
        </w:rPr>
        <w:t xml:space="preserve"> standards for school bus lights and signs</w:t>
      </w:r>
      <w:bookmarkEnd w:id="766"/>
      <w:bookmarkEnd w:id="767"/>
      <w:bookmarkEnd w:id="768"/>
      <w:bookmarkEnd w:id="769"/>
      <w:bookmarkEnd w:id="770"/>
      <w:bookmarkEnd w:id="771"/>
      <w:bookmarkEnd w:id="772"/>
      <w:bookmarkEnd w:id="773"/>
      <w:bookmarkEnd w:id="774"/>
      <w:bookmarkEnd w:id="775"/>
    </w:p>
    <w:tbl>
      <w:tblPr>
        <w:tblW w:w="6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0"/>
        <w:gridCol w:w="2231"/>
        <w:gridCol w:w="2230"/>
      </w:tblGrid>
      <w:tr w:rsidR="00B15552" w:rsidRPr="00117CB8" w14:paraId="551047AA" w14:textId="77777777" w:rsidTr="009303EB">
        <w:trPr>
          <w:cantSplit/>
          <w:trHeight w:val="288"/>
        </w:trPr>
        <w:tc>
          <w:tcPr>
            <w:tcW w:w="1912" w:type="dxa"/>
            <w:shd w:val="clear" w:color="auto" w:fill="D6ECED"/>
            <w:noWrap/>
            <w:vAlign w:val="bottom"/>
            <w:hideMark/>
          </w:tcPr>
          <w:p w14:paraId="6F6DAFD3" w14:textId="77777777" w:rsidR="00B15552" w:rsidRPr="00117CB8" w:rsidRDefault="00B15552" w:rsidP="009303EB">
            <w:pPr>
              <w:keepNext/>
              <w:spacing w:before="60" w:after="60"/>
              <w:jc w:val="center"/>
              <w:rPr>
                <w:rFonts w:eastAsia="Times New Roman" w:cstheme="minorHAnsi"/>
                <w:b/>
                <w:bCs/>
                <w:color w:val="000000"/>
                <w:sz w:val="18"/>
                <w:lang w:eastAsia="en-AU"/>
              </w:rPr>
            </w:pPr>
            <w:r w:rsidRPr="00117CB8">
              <w:rPr>
                <w:b/>
                <w:bCs/>
                <w:sz w:val="18"/>
              </w:rPr>
              <w:t>Activity</w:t>
            </w:r>
          </w:p>
        </w:tc>
        <w:tc>
          <w:tcPr>
            <w:tcW w:w="1913" w:type="dxa"/>
            <w:shd w:val="clear" w:color="auto" w:fill="D6ECED"/>
            <w:noWrap/>
            <w:hideMark/>
          </w:tcPr>
          <w:p w14:paraId="5DFF354D" w14:textId="77777777" w:rsidR="00B15552" w:rsidRPr="00117CB8" w:rsidRDefault="00B15552" w:rsidP="009303EB">
            <w:pPr>
              <w:keepNext/>
              <w:spacing w:before="60" w:after="60"/>
              <w:jc w:val="center"/>
              <w:rPr>
                <w:rFonts w:eastAsia="Times New Roman" w:cstheme="minorHAnsi"/>
                <w:b/>
                <w:bCs/>
                <w:color w:val="000000"/>
                <w:sz w:val="18"/>
                <w:lang w:eastAsia="en-AU"/>
              </w:rPr>
            </w:pPr>
            <w:r>
              <w:rPr>
                <w:b/>
                <w:bCs/>
                <w:sz w:val="18"/>
              </w:rPr>
              <w:t>NPV</w:t>
            </w:r>
          </w:p>
        </w:tc>
        <w:tc>
          <w:tcPr>
            <w:tcW w:w="1912" w:type="dxa"/>
            <w:shd w:val="clear" w:color="auto" w:fill="D6ECED"/>
            <w:noWrap/>
            <w:hideMark/>
          </w:tcPr>
          <w:p w14:paraId="22ACAA5C" w14:textId="77777777" w:rsidR="00B15552" w:rsidRPr="00117CB8" w:rsidRDefault="00B15552" w:rsidP="009303EB">
            <w:pPr>
              <w:keepNext/>
              <w:spacing w:before="60" w:after="60"/>
              <w:jc w:val="center"/>
              <w:rPr>
                <w:rFonts w:eastAsia="Times New Roman" w:cstheme="minorHAnsi"/>
                <w:b/>
                <w:bCs/>
                <w:color w:val="000000"/>
                <w:sz w:val="18"/>
                <w:lang w:eastAsia="en-AU"/>
              </w:rPr>
            </w:pPr>
            <w:r>
              <w:rPr>
                <w:b/>
                <w:bCs/>
                <w:sz w:val="18"/>
              </w:rPr>
              <w:t>EAC</w:t>
            </w:r>
          </w:p>
        </w:tc>
      </w:tr>
      <w:tr w:rsidR="00B15552" w:rsidRPr="00117CB8" w14:paraId="032E6077" w14:textId="77777777" w:rsidTr="009303EB">
        <w:trPr>
          <w:cantSplit/>
          <w:trHeight w:val="288"/>
        </w:trPr>
        <w:tc>
          <w:tcPr>
            <w:tcW w:w="1912" w:type="dxa"/>
            <w:shd w:val="clear" w:color="auto" w:fill="auto"/>
            <w:noWrap/>
            <w:hideMark/>
          </w:tcPr>
          <w:p w14:paraId="6C9A2018" w14:textId="3609126A" w:rsidR="00B15552" w:rsidRPr="00117CB8" w:rsidRDefault="00F03DAB" w:rsidP="009303EB">
            <w:pPr>
              <w:keepNext/>
              <w:spacing w:before="60" w:after="60"/>
              <w:jc w:val="center"/>
              <w:rPr>
                <w:rFonts w:eastAsia="Times New Roman" w:cstheme="minorHAnsi"/>
                <w:color w:val="000000"/>
                <w:sz w:val="18"/>
                <w:lang w:eastAsia="en-AU"/>
              </w:rPr>
            </w:pPr>
            <w:r>
              <w:rPr>
                <w:rFonts w:cstheme="minorHAnsi"/>
                <w:color w:val="auto"/>
                <w:sz w:val="18"/>
              </w:rPr>
              <w:t>Compliance with NSW standards for school bus lights and signs</w:t>
            </w:r>
          </w:p>
        </w:tc>
        <w:tc>
          <w:tcPr>
            <w:tcW w:w="1913" w:type="dxa"/>
            <w:shd w:val="clear" w:color="auto" w:fill="auto"/>
            <w:noWrap/>
            <w:vAlign w:val="center"/>
          </w:tcPr>
          <w:p w14:paraId="6FCE22AA" w14:textId="4413E58F" w:rsidR="00B15552" w:rsidRPr="00117CB8" w:rsidRDefault="00B15552"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w:t>
            </w:r>
            <w:r w:rsidR="00863EEF">
              <w:rPr>
                <w:rFonts w:eastAsia="Times New Roman" w:cstheme="minorHAnsi"/>
                <w:color w:val="000000"/>
                <w:sz w:val="18"/>
                <w:lang w:eastAsia="en-AU"/>
              </w:rPr>
              <w:t>26</w:t>
            </w:r>
            <w:r>
              <w:rPr>
                <w:rFonts w:eastAsia="Times New Roman" w:cstheme="minorHAnsi"/>
                <w:color w:val="000000"/>
                <w:sz w:val="18"/>
                <w:lang w:eastAsia="en-AU"/>
              </w:rPr>
              <w:t>m</w:t>
            </w:r>
            <w:r w:rsidR="00557EF0">
              <w:rPr>
                <w:rFonts w:eastAsia="Times New Roman" w:cstheme="minorHAnsi"/>
                <w:color w:val="000000"/>
                <w:sz w:val="18"/>
                <w:lang w:eastAsia="en-AU"/>
              </w:rPr>
              <w:t xml:space="preserve"> - $0.3m</w:t>
            </w:r>
          </w:p>
        </w:tc>
        <w:tc>
          <w:tcPr>
            <w:tcW w:w="1912" w:type="dxa"/>
            <w:shd w:val="clear" w:color="auto" w:fill="auto"/>
            <w:noWrap/>
            <w:vAlign w:val="center"/>
          </w:tcPr>
          <w:p w14:paraId="5214CDF7" w14:textId="070F4ADB" w:rsidR="00B15552" w:rsidRPr="00117CB8" w:rsidRDefault="00B15552"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$0.0</w:t>
            </w:r>
            <w:r w:rsidR="006C2179">
              <w:rPr>
                <w:rFonts w:eastAsia="Times New Roman" w:cstheme="minorHAnsi"/>
                <w:color w:val="000000"/>
                <w:sz w:val="18"/>
                <w:lang w:eastAsia="en-AU"/>
              </w:rPr>
              <w:t>31</w:t>
            </w:r>
            <w:r>
              <w:rPr>
                <w:rFonts w:eastAsia="Times New Roman" w:cstheme="minorHAnsi"/>
                <w:color w:val="000000"/>
                <w:sz w:val="18"/>
                <w:lang w:eastAsia="en-AU"/>
              </w:rPr>
              <w:t>m</w:t>
            </w:r>
            <w:r w:rsidR="00557EF0">
              <w:rPr>
                <w:rFonts w:eastAsia="Times New Roman" w:cstheme="minorHAnsi"/>
                <w:color w:val="000000"/>
                <w:sz w:val="18"/>
                <w:lang w:eastAsia="en-AU"/>
              </w:rPr>
              <w:t xml:space="preserve"> - $0.036</w:t>
            </w:r>
          </w:p>
        </w:tc>
      </w:tr>
    </w:tbl>
    <w:p w14:paraId="5E3C3DE1" w14:textId="66C486B1" w:rsidR="007F4D2F" w:rsidRDefault="007F4D2F" w:rsidP="007F4D2F">
      <w:r>
        <w:t>The</w:t>
      </w:r>
      <w:r w:rsidR="00D40E9F">
        <w:t xml:space="preserve"> proposed</w:t>
      </w:r>
      <w:r>
        <w:t xml:space="preserve"> </w:t>
      </w:r>
      <w:r w:rsidRPr="0096189C">
        <w:t>regulations</w:t>
      </w:r>
      <w:r>
        <w:t xml:space="preserve"> would</w:t>
      </w:r>
      <w:r w:rsidRPr="0096189C">
        <w:t xml:space="preserve"> require that the driver ensures the lights or hazard warning devices operate when the bus is stationary on a highway for the purposes of picking up and setting down school children. </w:t>
      </w:r>
      <w:r>
        <w:t>As the standards for the lights and signs under the Road Safety (Vehicles) Regulations require the</w:t>
      </w:r>
      <w:r w:rsidR="00C61D23">
        <w:t xml:space="preserve"> warning</w:t>
      </w:r>
      <w:r>
        <w:t xml:space="preserve"> lights and devices to operate automatically (unless switched off by the driver), there are no compliance costs imposed on drivers to ensure the </w:t>
      </w:r>
      <w:r w:rsidR="00DE23E7">
        <w:t xml:space="preserve">warning </w:t>
      </w:r>
      <w:r>
        <w:t xml:space="preserve">lights and devices are operating.  </w:t>
      </w:r>
    </w:p>
    <w:p w14:paraId="61274C10" w14:textId="4902CC75" w:rsidR="007F4D2F" w:rsidRDefault="007F4D2F" w:rsidP="007F4D2F">
      <w:r>
        <w:t xml:space="preserve">The driver must also cease to operate the vehicle if the </w:t>
      </w:r>
      <w:r w:rsidR="00DE23E7">
        <w:t xml:space="preserve">warning </w:t>
      </w:r>
      <w:r>
        <w:t>lights or device fails, which may add costs to the industry, as there will be costs to the industry to seek a replacement bus for the bus to continu</w:t>
      </w:r>
      <w:r w:rsidR="00C657E0">
        <w:t>e</w:t>
      </w:r>
      <w:r>
        <w:t xml:space="preserve"> operating the bus service, as well as disruptions to passengers who must wait for a new bus with operational lights and devices to transport them. However, D</w:t>
      </w:r>
      <w:r w:rsidR="009F5253">
        <w:t>o</w:t>
      </w:r>
      <w:r>
        <w:t xml:space="preserve">T notes that any costs associated with equipment failure can be mitigated by the bus operator by undertaking regular checks and maintenance of equipment installed in the bus. For this reason, it is not counted as a cost. </w:t>
      </w:r>
    </w:p>
    <w:p w14:paraId="3B9DD97B" w14:textId="77777777" w:rsidR="007F4D2F" w:rsidRPr="001C2DC0" w:rsidRDefault="007F4D2F" w:rsidP="0095677C">
      <w:pPr>
        <w:pStyle w:val="Heading5"/>
      </w:pPr>
      <w:r w:rsidRPr="001C2DC0">
        <w:t>Summary</w:t>
      </w:r>
    </w:p>
    <w:p w14:paraId="31AD0B17" w14:textId="6D750CD1" w:rsidR="007F4D2F" w:rsidRDefault="007F4D2F" w:rsidP="007F4D2F">
      <w:r>
        <w:t>D</w:t>
      </w:r>
      <w:r w:rsidR="009F5253">
        <w:t>o</w:t>
      </w:r>
      <w:r>
        <w:t>T expects that requiring specific</w:t>
      </w:r>
      <w:r w:rsidR="00361BEA">
        <w:t xml:space="preserve"> warning</w:t>
      </w:r>
      <w:r>
        <w:t xml:space="preserve"> lights and signs to be displayed on a bus when transporting children will reduce the incidence of crashes involving children around buses. Both options under consideration achieve this aim. However, </w:t>
      </w:r>
      <w:r w:rsidR="004D0BF5">
        <w:t>O</w:t>
      </w:r>
      <w:r>
        <w:t xml:space="preserve">ption 2 involves adopting a new standard for </w:t>
      </w:r>
      <w:r w:rsidR="00285741">
        <w:t xml:space="preserve">warning </w:t>
      </w:r>
      <w:r>
        <w:t>lights and signs, which means that an additional burden would be placed on operators in installing new lights and signs</w:t>
      </w:r>
      <w:r w:rsidR="00162A1A">
        <w:t xml:space="preserve"> in the order of $0.26 million </w:t>
      </w:r>
      <w:r w:rsidR="00115839">
        <w:t xml:space="preserve">to $0.3 million </w:t>
      </w:r>
      <w:r w:rsidR="001A2AEA">
        <w:t>over the life of the regulations</w:t>
      </w:r>
      <w:r>
        <w:t>. D</w:t>
      </w:r>
      <w:r w:rsidR="004D0BF5">
        <w:t>o</w:t>
      </w:r>
      <w:r>
        <w:t xml:space="preserve">T does not have data to establish whether the NSW standard for </w:t>
      </w:r>
      <w:r w:rsidR="00285741">
        <w:t xml:space="preserve">warning </w:t>
      </w:r>
      <w:r>
        <w:t xml:space="preserve">lights and signs will achieve further reductions in fatalities or serious injuries involving children around buses compared to </w:t>
      </w:r>
      <w:r w:rsidR="004D0BF5">
        <w:t>O</w:t>
      </w:r>
      <w:r>
        <w:t xml:space="preserve">ption 1. </w:t>
      </w:r>
      <w:r w:rsidR="00FE1F66">
        <w:t xml:space="preserve">In comparison to Option 2, DoT notes that </w:t>
      </w:r>
      <w:r>
        <w:t xml:space="preserve">Option 1 </w:t>
      </w:r>
      <w:r w:rsidR="00FE1F66">
        <w:t xml:space="preserve">imposes relatively less </w:t>
      </w:r>
      <w:r>
        <w:t>compliance burden on existing operators.</w:t>
      </w:r>
    </w:p>
    <w:p w14:paraId="568F4F2A" w14:textId="357304E3" w:rsidR="007F4D2F" w:rsidRPr="00A175E3" w:rsidRDefault="007F4D2F" w:rsidP="007F4D2F">
      <w:r>
        <w:t>For these reasons, D</w:t>
      </w:r>
      <w:r w:rsidR="00E146F5">
        <w:t>o</w:t>
      </w:r>
      <w:r>
        <w:t xml:space="preserve">T recommends </w:t>
      </w:r>
      <w:r w:rsidR="00E146F5">
        <w:t>O</w:t>
      </w:r>
      <w:r>
        <w:t>ption 1 which is to continue with the current standard for lights and signs for school buses.</w:t>
      </w:r>
    </w:p>
    <w:p w14:paraId="40B0D602" w14:textId="4E757829" w:rsidR="0066302C" w:rsidRDefault="00470C8D" w:rsidP="0066302C">
      <w:pPr>
        <w:pStyle w:val="Heading2"/>
      </w:pPr>
      <w:bookmarkStart w:id="776" w:name="_Ref41819690"/>
      <w:bookmarkStart w:id="777" w:name="_Ref41985035"/>
      <w:bookmarkStart w:id="778" w:name="_Toc45704378"/>
      <w:r>
        <w:t>Notifiable incidents</w:t>
      </w:r>
      <w:bookmarkEnd w:id="776"/>
      <w:bookmarkEnd w:id="777"/>
      <w:bookmarkEnd w:id="778"/>
    </w:p>
    <w:p w14:paraId="3B7740C1" w14:textId="68C9CB57" w:rsidR="00E62D49" w:rsidRDefault="00E62D49" w:rsidP="00E62D49">
      <w:pPr>
        <w:overflowPunct w:val="0"/>
        <w:autoSpaceDE w:val="0"/>
        <w:autoSpaceDN w:val="0"/>
        <w:adjustRightInd w:val="0"/>
        <w:spacing w:before="120" w:after="120"/>
        <w:textAlignment w:val="baseline"/>
        <w:rPr>
          <w:lang w:val="en-US"/>
        </w:rPr>
      </w:pPr>
      <w:r>
        <w:rPr>
          <w:lang w:val="en-US"/>
        </w:rPr>
        <w:t xml:space="preserve">This section </w:t>
      </w:r>
      <w:r w:rsidR="00925339">
        <w:rPr>
          <w:lang w:val="en-US"/>
        </w:rPr>
        <w:t>considers the impacts</w:t>
      </w:r>
      <w:r>
        <w:rPr>
          <w:lang w:val="en-US"/>
        </w:rPr>
        <w:t xml:space="preserve"> of prescribing certain incidents as a notifiable incident under the </w:t>
      </w:r>
      <w:r w:rsidR="003A2F6F">
        <w:rPr>
          <w:lang w:val="en-US"/>
        </w:rPr>
        <w:t>Bus Safety Act</w:t>
      </w:r>
      <w:r>
        <w:rPr>
          <w:lang w:val="en-US"/>
        </w:rPr>
        <w:t xml:space="preserve">. </w:t>
      </w:r>
      <w:r w:rsidR="006742C5">
        <w:rPr>
          <w:lang w:val="en-US"/>
        </w:rPr>
        <w:t xml:space="preserve">As described in Section </w:t>
      </w:r>
      <w:r w:rsidR="00977A4F">
        <w:rPr>
          <w:lang w:val="en-US"/>
        </w:rPr>
        <w:fldChar w:fldCharType="begin"/>
      </w:r>
      <w:r w:rsidR="00977A4F">
        <w:rPr>
          <w:lang w:val="en-US"/>
        </w:rPr>
        <w:instrText xml:space="preserve"> REF _Ref43298181 \r \h </w:instrText>
      </w:r>
      <w:r w:rsidR="00977A4F">
        <w:rPr>
          <w:lang w:val="en-US"/>
        </w:rPr>
      </w:r>
      <w:r w:rsidR="00977A4F">
        <w:rPr>
          <w:lang w:val="en-US"/>
        </w:rPr>
        <w:fldChar w:fldCharType="separate"/>
      </w:r>
      <w:r w:rsidR="00277F6E">
        <w:rPr>
          <w:lang w:val="en-US"/>
        </w:rPr>
        <w:t>6.3</w:t>
      </w:r>
      <w:r w:rsidR="00977A4F">
        <w:rPr>
          <w:lang w:val="en-US"/>
        </w:rPr>
        <w:fldChar w:fldCharType="end"/>
      </w:r>
      <w:r w:rsidR="00BA5BA4">
        <w:rPr>
          <w:lang w:val="en-US"/>
        </w:rPr>
        <w:t xml:space="preserve">, </w:t>
      </w:r>
      <w:r w:rsidR="00F152BA">
        <w:rPr>
          <w:lang w:val="en-US"/>
        </w:rPr>
        <w:t>a</w:t>
      </w:r>
      <w:r>
        <w:rPr>
          <w:lang w:val="en-US"/>
        </w:rPr>
        <w:t xml:space="preserve"> notifiable incident </w:t>
      </w:r>
      <w:r w:rsidR="00C27A2C">
        <w:rPr>
          <w:lang w:val="en-US"/>
        </w:rPr>
        <w:t>under this option</w:t>
      </w:r>
      <w:r w:rsidR="00DC44F7">
        <w:rPr>
          <w:lang w:val="en-US"/>
        </w:rPr>
        <w:t xml:space="preserve"> </w:t>
      </w:r>
      <w:r>
        <w:rPr>
          <w:lang w:val="en-US"/>
        </w:rPr>
        <w:t xml:space="preserve">is </w:t>
      </w:r>
      <w:r w:rsidR="007863B9">
        <w:rPr>
          <w:lang w:val="en-US"/>
        </w:rPr>
        <w:t>an incident which</w:t>
      </w:r>
      <w:r>
        <w:rPr>
          <w:lang w:val="en-US"/>
        </w:rPr>
        <w:t xml:space="preserve"> resulted, or had the potential to result</w:t>
      </w:r>
      <w:r w:rsidR="008A1BCA">
        <w:rPr>
          <w:lang w:val="en-US"/>
        </w:rPr>
        <w:t>,</w:t>
      </w:r>
      <w:r>
        <w:rPr>
          <w:lang w:val="en-US"/>
        </w:rPr>
        <w:t xml:space="preserve"> in:</w:t>
      </w:r>
    </w:p>
    <w:p w14:paraId="68FBEEDF" w14:textId="77777777" w:rsidR="00E62D49" w:rsidRPr="00672E0A" w:rsidRDefault="00E62D49"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the death of, or serious injury to, any person</w:t>
      </w:r>
    </w:p>
    <w:p w14:paraId="5F677B11" w14:textId="167F386E" w:rsidR="00342464" w:rsidRPr="00672E0A" w:rsidRDefault="00342464"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 xml:space="preserve">damage to </w:t>
      </w:r>
      <w:r w:rsidR="006371A2" w:rsidRPr="00672E0A">
        <w:rPr>
          <w:rFonts w:asciiTheme="minorHAnsi" w:hAnsiTheme="minorHAnsi" w:cstheme="minorHAnsi"/>
          <w:color w:val="auto"/>
          <w:sz w:val="20"/>
          <w:szCs w:val="20"/>
        </w:rPr>
        <w:t xml:space="preserve">any </w:t>
      </w:r>
      <w:r w:rsidRPr="00672E0A">
        <w:rPr>
          <w:rFonts w:asciiTheme="minorHAnsi" w:hAnsiTheme="minorHAnsi" w:cstheme="minorHAnsi"/>
          <w:color w:val="auto"/>
          <w:sz w:val="20"/>
          <w:szCs w:val="20"/>
        </w:rPr>
        <w:t>property</w:t>
      </w:r>
    </w:p>
    <w:p w14:paraId="2407DB26" w14:textId="4B53D213" w:rsidR="00E62D49" w:rsidRPr="00672E0A" w:rsidRDefault="00E62D49"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a loss of control of the bus</w:t>
      </w:r>
    </w:p>
    <w:p w14:paraId="280B7AEA" w14:textId="6EC49F2B" w:rsidR="00E62D49" w:rsidRPr="00672E0A" w:rsidRDefault="00E62D49"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a person requiring immediate treatment as an in-patient in a hospital</w:t>
      </w:r>
    </w:p>
    <w:p w14:paraId="4F553396" w14:textId="21E92F16" w:rsidR="00C47479" w:rsidRPr="00672E0A" w:rsidRDefault="00C47479"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lastRenderedPageBreak/>
        <w:t>attendance by a polic</w:t>
      </w:r>
      <w:r w:rsidR="006371A2" w:rsidRPr="00672E0A">
        <w:rPr>
          <w:rFonts w:asciiTheme="minorHAnsi" w:hAnsiTheme="minorHAnsi" w:cstheme="minorHAnsi"/>
          <w:color w:val="auto"/>
          <w:sz w:val="20"/>
          <w:szCs w:val="20"/>
        </w:rPr>
        <w:t>e</w:t>
      </w:r>
      <w:r w:rsidRPr="00672E0A">
        <w:rPr>
          <w:rFonts w:asciiTheme="minorHAnsi" w:hAnsiTheme="minorHAnsi" w:cstheme="minorHAnsi"/>
          <w:color w:val="auto"/>
          <w:sz w:val="20"/>
          <w:szCs w:val="20"/>
        </w:rPr>
        <w:t xml:space="preserve"> officer or hea</w:t>
      </w:r>
      <w:r w:rsidR="00430419" w:rsidRPr="00672E0A">
        <w:rPr>
          <w:rFonts w:asciiTheme="minorHAnsi" w:hAnsiTheme="minorHAnsi" w:cstheme="minorHAnsi"/>
          <w:color w:val="auto"/>
          <w:sz w:val="20"/>
          <w:szCs w:val="20"/>
        </w:rPr>
        <w:t>l</w:t>
      </w:r>
      <w:r w:rsidRPr="00672E0A">
        <w:rPr>
          <w:rFonts w:asciiTheme="minorHAnsi" w:hAnsiTheme="minorHAnsi" w:cstheme="minorHAnsi"/>
          <w:color w:val="auto"/>
          <w:sz w:val="20"/>
          <w:szCs w:val="20"/>
        </w:rPr>
        <w:t>th professional</w:t>
      </w:r>
    </w:p>
    <w:p w14:paraId="07DC28B7" w14:textId="77777777" w:rsidR="00E62D49" w:rsidRPr="00AD6E3F" w:rsidRDefault="00E62D49" w:rsidP="00E62D49">
      <w:pPr>
        <w:overflowPunct w:val="0"/>
        <w:autoSpaceDE w:val="0"/>
        <w:autoSpaceDN w:val="0"/>
        <w:adjustRightInd w:val="0"/>
        <w:spacing w:before="120" w:after="120"/>
        <w:textAlignment w:val="baseline"/>
        <w:rPr>
          <w:lang w:val="en-US"/>
        </w:rPr>
      </w:pPr>
      <w:r>
        <w:rPr>
          <w:lang w:val="en-US"/>
        </w:rPr>
        <w:t>Under this option, a</w:t>
      </w:r>
      <w:r w:rsidRPr="00AD6E3F">
        <w:rPr>
          <w:lang w:val="en-US"/>
        </w:rPr>
        <w:t xml:space="preserve"> notifiable incident includes, but is not limited to:</w:t>
      </w:r>
    </w:p>
    <w:p w14:paraId="2412AD81" w14:textId="184708A2" w:rsidR="00E62D49" w:rsidRPr="00672E0A" w:rsidRDefault="00E62D49"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 xml:space="preserve">collision </w:t>
      </w:r>
      <w:r w:rsidR="007863B9" w:rsidRPr="00672E0A">
        <w:rPr>
          <w:rFonts w:asciiTheme="minorHAnsi" w:hAnsiTheme="minorHAnsi" w:cstheme="minorHAnsi"/>
          <w:color w:val="auto"/>
          <w:sz w:val="20"/>
          <w:szCs w:val="20"/>
        </w:rPr>
        <w:t xml:space="preserve">between the bus and </w:t>
      </w:r>
      <w:r w:rsidRPr="00672E0A">
        <w:rPr>
          <w:rFonts w:asciiTheme="minorHAnsi" w:hAnsiTheme="minorHAnsi" w:cstheme="minorHAnsi"/>
          <w:color w:val="auto"/>
          <w:sz w:val="20"/>
          <w:szCs w:val="20"/>
        </w:rPr>
        <w:t xml:space="preserve">any person, vehicle, infrastructure, </w:t>
      </w:r>
      <w:r w:rsidR="007863B9" w:rsidRPr="00672E0A">
        <w:rPr>
          <w:rFonts w:asciiTheme="minorHAnsi" w:hAnsiTheme="minorHAnsi" w:cstheme="minorHAnsi"/>
          <w:color w:val="auto"/>
          <w:sz w:val="20"/>
          <w:szCs w:val="20"/>
        </w:rPr>
        <w:t>or other property</w:t>
      </w:r>
    </w:p>
    <w:p w14:paraId="7B96EA1A" w14:textId="7822E89E" w:rsidR="00E62D49" w:rsidRPr="00672E0A" w:rsidRDefault="00E62D49"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implosion, explosion or fire</w:t>
      </w:r>
    </w:p>
    <w:p w14:paraId="39FEECEF" w14:textId="51811C70" w:rsidR="00624F91" w:rsidRPr="00672E0A" w:rsidRDefault="00E62D49"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mechanical failure</w:t>
      </w:r>
    </w:p>
    <w:p w14:paraId="7CC01A76" w14:textId="783663F4" w:rsidR="00E62D49" w:rsidRPr="00672E0A" w:rsidRDefault="00E62D49"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divergence from the highway</w:t>
      </w:r>
    </w:p>
    <w:p w14:paraId="59A579E8" w14:textId="3C429345" w:rsidR="00B13601" w:rsidRPr="00672E0A" w:rsidRDefault="00B13601"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uncontrolled movement of a bus</w:t>
      </w:r>
    </w:p>
    <w:p w14:paraId="16FEC269" w14:textId="540C871C" w:rsidR="00A75A8C" w:rsidRPr="00672E0A" w:rsidRDefault="00A75A8C"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an incident involving the threat of terrorism</w:t>
      </w:r>
    </w:p>
    <w:p w14:paraId="7FA82F6F" w14:textId="7970F0D7" w:rsidR="00492E2E" w:rsidRPr="00672E0A" w:rsidRDefault="00492E2E"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alleged assault</w:t>
      </w:r>
    </w:p>
    <w:p w14:paraId="59228B25" w14:textId="2E7B974F" w:rsidR="00B47AE2" w:rsidRPr="00672E0A" w:rsidRDefault="00B47AE2"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suspected or attempted self-harm</w:t>
      </w:r>
    </w:p>
    <w:p w14:paraId="566881F2" w14:textId="3CC71666" w:rsidR="00DA662C" w:rsidRPr="00672E0A" w:rsidRDefault="00DA662C"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terrorist attack</w:t>
      </w:r>
    </w:p>
    <w:p w14:paraId="70C421E4" w14:textId="1A1703CC" w:rsidR="00E62D49" w:rsidRPr="00672E0A" w:rsidRDefault="00D456D7"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a circumstance where the driver of the bus is in contravention of the bus operators’ alcohol and drug management policy</w:t>
      </w:r>
      <w:r w:rsidR="00E62D49" w:rsidRPr="00672E0A">
        <w:rPr>
          <w:rFonts w:asciiTheme="minorHAnsi" w:hAnsiTheme="minorHAnsi" w:cstheme="minorHAnsi"/>
          <w:color w:val="auto"/>
          <w:sz w:val="20"/>
          <w:szCs w:val="20"/>
        </w:rPr>
        <w:t>.</w:t>
      </w:r>
    </w:p>
    <w:p w14:paraId="00931351" w14:textId="306091FB" w:rsidR="005C24C2" w:rsidRDefault="009807AA" w:rsidP="00191009">
      <w:pPr>
        <w:rPr>
          <w:lang w:val="en-US"/>
        </w:rPr>
      </w:pPr>
      <w:r>
        <w:rPr>
          <w:lang w:val="en-US"/>
        </w:rPr>
        <w:t xml:space="preserve">The </w:t>
      </w:r>
      <w:r w:rsidR="005C24C2" w:rsidRPr="000B7BB9">
        <w:rPr>
          <w:lang w:val="en-US"/>
        </w:rPr>
        <w:t>types of incidents or situations</w:t>
      </w:r>
      <w:r>
        <w:rPr>
          <w:lang w:val="en-US"/>
        </w:rPr>
        <w:t xml:space="preserve"> in</w:t>
      </w:r>
      <w:r w:rsidR="005C24C2" w:rsidRPr="000B7BB9">
        <w:rPr>
          <w:lang w:val="en-US"/>
        </w:rPr>
        <w:t xml:space="preserve"> which a bus safety incident must be reported </w:t>
      </w:r>
      <w:r>
        <w:rPr>
          <w:lang w:val="en-US"/>
        </w:rPr>
        <w:t>under this option</w:t>
      </w:r>
      <w:r w:rsidR="008B4157">
        <w:rPr>
          <w:lang w:val="en-US"/>
        </w:rPr>
        <w:t xml:space="preserve"> is broadly </w:t>
      </w:r>
      <w:r w:rsidR="000B4231">
        <w:rPr>
          <w:lang w:val="en-US"/>
        </w:rPr>
        <w:t>equivalent to</w:t>
      </w:r>
      <w:r w:rsidR="008B4157">
        <w:rPr>
          <w:lang w:val="en-US"/>
        </w:rPr>
        <w:t xml:space="preserve"> the status quo</w:t>
      </w:r>
      <w:r w:rsidR="005C24C2">
        <w:rPr>
          <w:lang w:val="en-US"/>
        </w:rPr>
        <w:t xml:space="preserve">. As such, the expected </w:t>
      </w:r>
      <w:r w:rsidR="005D7106">
        <w:rPr>
          <w:lang w:val="en-US"/>
        </w:rPr>
        <w:t xml:space="preserve">impacts of the </w:t>
      </w:r>
      <w:r w:rsidR="005C24C2">
        <w:rPr>
          <w:lang w:val="en-US"/>
        </w:rPr>
        <w:t xml:space="preserve">notifiable incidents </w:t>
      </w:r>
      <w:r w:rsidR="00A0329E">
        <w:rPr>
          <w:lang w:val="en-US"/>
        </w:rPr>
        <w:t>are</w:t>
      </w:r>
      <w:r w:rsidR="005C24C2">
        <w:rPr>
          <w:lang w:val="en-US"/>
        </w:rPr>
        <w:t xml:space="preserve"> based on the assessment of the current benefits and costs of notifiable </w:t>
      </w:r>
      <w:r w:rsidR="005C24C2" w:rsidRPr="005C24C2">
        <w:t>incidents</w:t>
      </w:r>
      <w:r w:rsidR="005C24C2">
        <w:rPr>
          <w:lang w:val="en-US"/>
        </w:rPr>
        <w:t xml:space="preserve">.  </w:t>
      </w:r>
    </w:p>
    <w:p w14:paraId="12530F9B" w14:textId="64437CAE" w:rsidR="000065ED" w:rsidRDefault="000065ED" w:rsidP="000065ED">
      <w:r>
        <w:t>DoT will further consider the impacts of subcategorising when an incident needs to be notified to the Safety Director, based on the seriousness of the incidents, as follows:</w:t>
      </w:r>
    </w:p>
    <w:p w14:paraId="178A6894" w14:textId="20B56E61" w:rsidR="000065ED" w:rsidRPr="00672E0A" w:rsidRDefault="000065ED"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oral notification, as well as written notification within 72 hours (status quo</w:t>
      </w:r>
      <w:r w:rsidR="00862EE2" w:rsidRPr="00672E0A">
        <w:rPr>
          <w:rFonts w:asciiTheme="minorHAnsi" w:hAnsiTheme="minorHAnsi" w:cstheme="minorHAnsi"/>
          <w:color w:val="auto"/>
          <w:sz w:val="20"/>
          <w:szCs w:val="20"/>
        </w:rPr>
        <w:t xml:space="preserve">, but for </w:t>
      </w:r>
      <w:r w:rsidRPr="00672E0A">
        <w:rPr>
          <w:rFonts w:asciiTheme="minorHAnsi" w:hAnsiTheme="minorHAnsi" w:cstheme="minorHAnsi"/>
          <w:color w:val="auto"/>
          <w:sz w:val="20"/>
          <w:szCs w:val="20"/>
        </w:rPr>
        <w:t xml:space="preserve">all </w:t>
      </w:r>
      <w:r w:rsidR="00862EE2" w:rsidRPr="00672E0A">
        <w:rPr>
          <w:rFonts w:asciiTheme="minorHAnsi" w:hAnsiTheme="minorHAnsi" w:cstheme="minorHAnsi"/>
          <w:color w:val="auto"/>
          <w:sz w:val="20"/>
          <w:szCs w:val="20"/>
        </w:rPr>
        <w:t>incidents</w:t>
      </w:r>
      <w:r w:rsidRPr="00672E0A">
        <w:rPr>
          <w:rFonts w:asciiTheme="minorHAnsi" w:hAnsiTheme="minorHAnsi" w:cstheme="minorHAnsi"/>
          <w:color w:val="auto"/>
          <w:sz w:val="20"/>
          <w:szCs w:val="20"/>
        </w:rPr>
        <w:t>)</w:t>
      </w:r>
    </w:p>
    <w:p w14:paraId="33DAC33E" w14:textId="77777777" w:rsidR="000065ED" w:rsidRPr="00672E0A" w:rsidRDefault="000065ED"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written notification within 72 hours</w:t>
      </w:r>
    </w:p>
    <w:p w14:paraId="6A80F451" w14:textId="77777777" w:rsidR="000065ED" w:rsidRPr="00672E0A" w:rsidRDefault="000065ED"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written notification on a monthly reporting basis.</w:t>
      </w:r>
    </w:p>
    <w:p w14:paraId="2F551FF1" w14:textId="77777777" w:rsidR="00E62D49" w:rsidRPr="001C2DC0" w:rsidRDefault="00E62D49" w:rsidP="0095677C">
      <w:pPr>
        <w:pStyle w:val="Heading5"/>
      </w:pPr>
      <w:r w:rsidRPr="001C2DC0">
        <w:t>Expected benefits</w:t>
      </w:r>
    </w:p>
    <w:p w14:paraId="6FB71A9E" w14:textId="77777777" w:rsidR="00E62D49" w:rsidRDefault="00E62D49" w:rsidP="00E62D49">
      <w:r w:rsidRPr="00381268">
        <w:t>The expecte</w:t>
      </w:r>
      <w:r>
        <w:t>d benefits of the requirement to notify the Safety Director of an incident is that it:</w:t>
      </w:r>
    </w:p>
    <w:p w14:paraId="5E8516D5" w14:textId="77777777" w:rsidR="00E62D49" w:rsidRPr="00672E0A" w:rsidRDefault="00E62D49"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enables the Safety Director to respond to and investigate incidents involving bus services in a timely manner</w:t>
      </w:r>
    </w:p>
    <w:p w14:paraId="32C9D7E6" w14:textId="7FF95816" w:rsidR="00E62D49" w:rsidRPr="00672E0A" w:rsidRDefault="00E62D49"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provides the Safety Director with data to implement a risk-based regulatory compliance monitoring and enforcement regime,</w:t>
      </w:r>
    </w:p>
    <w:p w14:paraId="69E0FECC" w14:textId="77777777" w:rsidR="002160AF" w:rsidRPr="00672E0A" w:rsidRDefault="00E62D49"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helps inform future policy development</w:t>
      </w:r>
      <w:r w:rsidR="002160AF" w:rsidRPr="00672E0A">
        <w:rPr>
          <w:rFonts w:asciiTheme="minorHAnsi" w:hAnsiTheme="minorHAnsi" w:cstheme="minorHAnsi"/>
          <w:color w:val="auto"/>
          <w:sz w:val="20"/>
          <w:szCs w:val="20"/>
        </w:rPr>
        <w:t>, and</w:t>
      </w:r>
    </w:p>
    <w:p w14:paraId="046C6953" w14:textId="4CF9A51E" w:rsidR="00E62D49" w:rsidRPr="00672E0A" w:rsidRDefault="002160AF" w:rsidP="00672E0A">
      <w:pPr>
        <w:pStyle w:val="ListParagraph"/>
        <w:numPr>
          <w:ilvl w:val="0"/>
          <w:numId w:val="22"/>
        </w:numPr>
        <w:rPr>
          <w:rFonts w:asciiTheme="minorHAnsi" w:hAnsiTheme="minorHAnsi" w:cstheme="minorHAnsi"/>
          <w:color w:val="auto"/>
          <w:sz w:val="20"/>
          <w:szCs w:val="20"/>
        </w:rPr>
      </w:pPr>
      <w:r w:rsidRPr="00672E0A">
        <w:rPr>
          <w:rFonts w:asciiTheme="minorHAnsi" w:hAnsiTheme="minorHAnsi" w:cstheme="minorHAnsi"/>
          <w:color w:val="auto"/>
          <w:sz w:val="20"/>
          <w:szCs w:val="20"/>
        </w:rPr>
        <w:t xml:space="preserve">acts as a disincentive </w:t>
      </w:r>
      <w:r w:rsidR="006A4C98" w:rsidRPr="00672E0A">
        <w:rPr>
          <w:rFonts w:asciiTheme="minorHAnsi" w:hAnsiTheme="minorHAnsi" w:cstheme="minorHAnsi"/>
          <w:color w:val="auto"/>
          <w:sz w:val="20"/>
          <w:szCs w:val="20"/>
        </w:rPr>
        <w:t xml:space="preserve">for bus operators </w:t>
      </w:r>
      <w:r w:rsidRPr="00672E0A">
        <w:rPr>
          <w:rFonts w:asciiTheme="minorHAnsi" w:hAnsiTheme="minorHAnsi" w:cstheme="minorHAnsi"/>
          <w:color w:val="auto"/>
          <w:sz w:val="20"/>
          <w:szCs w:val="20"/>
        </w:rPr>
        <w:t>to operate unsafely</w:t>
      </w:r>
      <w:r w:rsidR="00E62D49" w:rsidRPr="00672E0A">
        <w:rPr>
          <w:rFonts w:asciiTheme="minorHAnsi" w:hAnsiTheme="minorHAnsi" w:cstheme="minorHAnsi"/>
          <w:color w:val="auto"/>
          <w:sz w:val="20"/>
          <w:szCs w:val="20"/>
        </w:rPr>
        <w:t xml:space="preserve">. </w:t>
      </w:r>
    </w:p>
    <w:p w14:paraId="4E1155AA" w14:textId="77777777" w:rsidR="00E62D49" w:rsidRDefault="00E62D49" w:rsidP="00E62D49">
      <w:r>
        <w:t xml:space="preserve">By receiving information about an incident in a timely manner, the Safety Director has the option of further investigating an incident. In addition, under the current regulations, the Safety Director may also require the operator to conduct their own investigation into the incident. </w:t>
      </w:r>
    </w:p>
    <w:p w14:paraId="0A1043A9" w14:textId="77777777" w:rsidR="00E62D49" w:rsidRDefault="00E62D49" w:rsidP="00E62D49">
      <w:r>
        <w:t>In addition, the information collected on incidents will in aggregate provide the Safety Director with data to implement risk-based regulatory compliance monitoring and enforcement activities. For example, should the regulator observe that a number of safety incidents are occurring with a certain bus sector (e.g. tour and charter or community bus service) or associated with a certain bus operator, then the Safety Director can target its resources to address safety issues where they are needed most. The data may also reveal certain trends across the industry.</w:t>
      </w:r>
    </w:p>
    <w:p w14:paraId="2D006943" w14:textId="77777777" w:rsidR="00E62D49" w:rsidRDefault="00E62D49" w:rsidP="00E62D49">
      <w:r>
        <w:t xml:space="preserve">Reported incidents may also help inform future policy development, such as the development of codes of practice to target incidents perceived as higher risk or the development of regulations. </w:t>
      </w:r>
    </w:p>
    <w:p w14:paraId="03D2F208" w14:textId="5BED2257" w:rsidR="00E62D49" w:rsidRDefault="00E62D49" w:rsidP="00E62D49">
      <w:r>
        <w:t>Incident notification requirement</w:t>
      </w:r>
      <w:r w:rsidR="00487B04">
        <w:t>s</w:t>
      </w:r>
      <w:r>
        <w:t xml:space="preserve"> may give rise to ancillary safety benefits. A requirement for bus operators to notify the Safety Director of bus incidents may also change the behaviour of a bus operator. For example, a bus operator may actively try to reduce the likelihood of a prescribed incident occurring more than other types of safety </w:t>
      </w:r>
      <w:r w:rsidR="008F39F4">
        <w:t>incidents not prescribed</w:t>
      </w:r>
      <w:r>
        <w:t xml:space="preserve">, in order to avoid having to report on the incident to the Safety Director. </w:t>
      </w:r>
    </w:p>
    <w:p w14:paraId="4E9BC358" w14:textId="1978B4D9" w:rsidR="00E62D49" w:rsidRDefault="00E62D49" w:rsidP="00E62D49">
      <w:r>
        <w:t xml:space="preserve">DoT notes that non-compliance with this requirement may affect the level of benefits achievable. It is possible that some bus operators may avoid reporting on an incident if, for example, the person has committed an offence. A consequence of not being notified </w:t>
      </w:r>
      <w:r w:rsidR="00E146DF">
        <w:t>promptly</w:t>
      </w:r>
      <w:r>
        <w:t xml:space="preserve"> is that the Safety Director would not be able to undertake a timely investigation. This risk is mitigated, in part, by the Safety Director </w:t>
      </w:r>
      <w:r>
        <w:lastRenderedPageBreak/>
        <w:t xml:space="preserve">relying on alternative sources of information, such as reports and information through information sharing arrangements with Victoria Police. </w:t>
      </w:r>
    </w:p>
    <w:p w14:paraId="46BEA6CC" w14:textId="334B4144" w:rsidR="00707FF3" w:rsidRDefault="00707FF3" w:rsidP="00E62D49">
      <w:r>
        <w:t>Based on the considerations outlined above,</w:t>
      </w:r>
      <w:r w:rsidR="00825696">
        <w:t xml:space="preserve"> the greatest</w:t>
      </w:r>
      <w:r w:rsidR="00AE6D44">
        <w:t xml:space="preserve"> beneficial</w:t>
      </w:r>
      <w:r w:rsidR="00825696">
        <w:t xml:space="preserve"> impacts on </w:t>
      </w:r>
      <w:r w:rsidR="00DB7A8E">
        <w:t xml:space="preserve">bus </w:t>
      </w:r>
      <w:r w:rsidR="00825696">
        <w:t>safety are largely indirect</w:t>
      </w:r>
      <w:r w:rsidR="003F08AC">
        <w:t xml:space="preserve">. The </w:t>
      </w:r>
      <w:r w:rsidR="004B4EAD">
        <w:t xml:space="preserve">effects </w:t>
      </w:r>
      <w:r w:rsidR="003F08AC">
        <w:t xml:space="preserve">of notifiable incidents </w:t>
      </w:r>
      <w:r w:rsidR="004B4EAD">
        <w:t xml:space="preserve">are largely </w:t>
      </w:r>
      <w:r w:rsidR="0047006B">
        <w:t>derived</w:t>
      </w:r>
      <w:r w:rsidR="004B4EAD">
        <w:t xml:space="preserve"> from impacts relating to </w:t>
      </w:r>
      <w:r w:rsidR="00825696">
        <w:t>compliance monitoring and enforcement of safety</w:t>
      </w:r>
      <w:r w:rsidR="00647153">
        <w:t xml:space="preserve">, </w:t>
      </w:r>
      <w:r w:rsidR="009955A3">
        <w:t>ensuring any breaches in bus safety are detected and compliance by operators with requirements that improve safety is increased. This, in turn,</w:t>
      </w:r>
      <w:r w:rsidR="00647153">
        <w:t xml:space="preserve"> </w:t>
      </w:r>
      <w:r w:rsidR="006E2E04">
        <w:t>may improve</w:t>
      </w:r>
      <w:r w:rsidR="00647153">
        <w:t xml:space="preserve"> safety outcomes overall for the bus industry</w:t>
      </w:r>
      <w:r w:rsidR="00302795">
        <w:t>.</w:t>
      </w:r>
      <w:r w:rsidR="002E6462">
        <w:t xml:space="preserve"> </w:t>
      </w:r>
      <w:r w:rsidR="006E2E04">
        <w:t xml:space="preserve">The direct benefits of improvements to safety through incentivising bus operators to operate safely so as to avoid the need to </w:t>
      </w:r>
      <w:r w:rsidR="00AA7350">
        <w:t>report</w:t>
      </w:r>
      <w:r w:rsidR="006E2E04">
        <w:t xml:space="preserve"> on the incident to the Safety Director</w:t>
      </w:r>
      <w:r w:rsidR="00A84CB8">
        <w:t xml:space="preserve"> is likely to be relatively smaller. </w:t>
      </w:r>
      <w:r w:rsidR="00E46DEE">
        <w:t xml:space="preserve">Overall, </w:t>
      </w:r>
      <w:r>
        <w:t xml:space="preserve">DoT expected that there will be a moderate </w:t>
      </w:r>
      <w:r w:rsidR="00DB7A8E">
        <w:t>impact</w:t>
      </w:r>
      <w:r>
        <w:t xml:space="preserve"> o</w:t>
      </w:r>
      <w:r w:rsidR="00D762EB">
        <w:t>n</w:t>
      </w:r>
      <w:r>
        <w:t xml:space="preserve"> </w:t>
      </w:r>
      <w:r w:rsidR="00F63AE3">
        <w:t>benefits</w:t>
      </w:r>
      <w:r>
        <w:t xml:space="preserve"> in reducing bus safety incidents, fatalities and serious injuries. </w:t>
      </w:r>
    </w:p>
    <w:p w14:paraId="48A1E7C7" w14:textId="77777777" w:rsidR="00E62D49" w:rsidRPr="001C2DC0" w:rsidRDefault="00E62D49" w:rsidP="0095677C">
      <w:pPr>
        <w:pStyle w:val="Heading5"/>
      </w:pPr>
      <w:r w:rsidRPr="001C2DC0">
        <w:t>Expected costs</w:t>
      </w:r>
    </w:p>
    <w:p w14:paraId="06458AD9" w14:textId="77777777" w:rsidR="00E62D49" w:rsidRDefault="00E62D49" w:rsidP="00E62D49">
      <w:r>
        <w:t xml:space="preserve">In general, there are costs associated with implementing the notification systems, and ongoing costs associated with notifying the regulator. </w:t>
      </w:r>
    </w:p>
    <w:p w14:paraId="34EC5A3C" w14:textId="7E71B2B6" w:rsidR="00E62D49" w:rsidRDefault="00E62D49" w:rsidP="00E62D49">
      <w:r>
        <w:t>D</w:t>
      </w:r>
      <w:r w:rsidR="00A011F2">
        <w:t>o</w:t>
      </w:r>
      <w:r>
        <w:t xml:space="preserve">T considers that the implementation costs incurred by TSV are expected to be minor. The reason for this assessment is that the main implementation costs have already been incurred as there is already a requirement to notify the regulator of certain incidents. However, there may be some adjustments to existing systems necessary to implement the proposed regulations. TSV may be required to implement changes to its current website. In addition, the regulator may also need to provide additional scripts to call-centre employees enabling the new information to be recorded. </w:t>
      </w:r>
    </w:p>
    <w:p w14:paraId="6A4E7A80" w14:textId="6913A97D" w:rsidR="00E62D49" w:rsidRDefault="00E62D49" w:rsidP="00E62D49">
      <w:r>
        <w:t>The main ongoing costs associated with this option are the costs of providing information to the regulator when a prescribed incident occurs. These costs are incurred by the industry when involved in a notifiable incident. The compliance costs depend on and are affected by the frequency of reporting and the ease of making a notification.</w:t>
      </w:r>
    </w:p>
    <w:p w14:paraId="5FBE5E02" w14:textId="6AE1F75C" w:rsidR="00E62D49" w:rsidRDefault="00E62D49" w:rsidP="00E62D49">
      <w:r>
        <w:t xml:space="preserve">The costs of providing information is also influenced by the type and amount of information required to be provided </w:t>
      </w:r>
      <w:r w:rsidR="00E6003D">
        <w:t>to</w:t>
      </w:r>
      <w:r>
        <w:t xml:space="preserve"> the regulator. At a minimum, the regulator will require sufficient information to be able to identify the parties involved in the incident and the circumstances of the incident, such as the information outlined earlier in this section.</w:t>
      </w:r>
    </w:p>
    <w:p w14:paraId="252966F1" w14:textId="7DF11D25" w:rsidR="00E62D49" w:rsidRPr="00CC7F47" w:rsidRDefault="00E62D49" w:rsidP="00E62D49">
      <w:pPr>
        <w:rPr>
          <w:color w:val="auto"/>
        </w:rPr>
      </w:pPr>
      <w:r>
        <w:t xml:space="preserve">Ongoing costs relating to the notification of incidents will depend on the time taken for each notification as well as the number of notifications made by the industry per year. </w:t>
      </w:r>
      <w:r w:rsidRPr="00CC7F47">
        <w:rPr>
          <w:color w:val="auto"/>
        </w:rPr>
        <w:t xml:space="preserve">Currently, TSV require the following information to be provided in </w:t>
      </w:r>
      <w:r w:rsidR="005F05A4">
        <w:rPr>
          <w:color w:val="auto"/>
        </w:rPr>
        <w:t>a</w:t>
      </w:r>
      <w:r w:rsidRPr="00CC7F47">
        <w:rPr>
          <w:color w:val="auto"/>
        </w:rPr>
        <w:t xml:space="preserve"> web-based notification form:</w:t>
      </w:r>
    </w:p>
    <w:p w14:paraId="405EFAD3"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sidRPr="00CC7F47">
        <w:rPr>
          <w:rFonts w:asciiTheme="minorHAnsi" w:eastAsiaTheme="minorHAnsi" w:hAnsiTheme="minorHAnsi" w:cstheme="minorHAnsi"/>
          <w:color w:val="auto"/>
          <w:sz w:val="20"/>
          <w:szCs w:val="20"/>
        </w:rPr>
        <w:t>Name of bus operator</w:t>
      </w:r>
    </w:p>
    <w:p w14:paraId="16C9513D"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sidRPr="00CC7F47">
        <w:rPr>
          <w:rFonts w:asciiTheme="minorHAnsi" w:eastAsiaTheme="minorHAnsi" w:hAnsiTheme="minorHAnsi" w:cstheme="minorHAnsi"/>
          <w:color w:val="auto"/>
          <w:sz w:val="20"/>
          <w:szCs w:val="20"/>
        </w:rPr>
        <w:t>Accreditation/</w:t>
      </w:r>
      <w:r>
        <w:rPr>
          <w:rFonts w:asciiTheme="minorHAnsi" w:eastAsiaTheme="minorHAnsi" w:hAnsiTheme="minorHAnsi" w:cstheme="minorHAnsi"/>
          <w:color w:val="auto"/>
          <w:sz w:val="20"/>
          <w:szCs w:val="20"/>
        </w:rPr>
        <w:t>r</w:t>
      </w:r>
      <w:r w:rsidRPr="00CC7F47">
        <w:rPr>
          <w:rFonts w:asciiTheme="minorHAnsi" w:eastAsiaTheme="minorHAnsi" w:hAnsiTheme="minorHAnsi" w:cstheme="minorHAnsi"/>
          <w:color w:val="auto"/>
          <w:sz w:val="20"/>
          <w:szCs w:val="20"/>
        </w:rPr>
        <w:t>egistration number</w:t>
      </w:r>
    </w:p>
    <w:p w14:paraId="443E49CE"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sidRPr="00CC7F47">
        <w:rPr>
          <w:rFonts w:asciiTheme="minorHAnsi" w:eastAsiaTheme="minorHAnsi" w:hAnsiTheme="minorHAnsi" w:cstheme="minorHAnsi"/>
          <w:color w:val="auto"/>
          <w:sz w:val="20"/>
          <w:szCs w:val="20"/>
        </w:rPr>
        <w:t>Description of events leading up to the incident and the incident itself</w:t>
      </w:r>
    </w:p>
    <w:p w14:paraId="24A249F7"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sidRPr="00CC7F47">
        <w:rPr>
          <w:rFonts w:asciiTheme="minorHAnsi" w:eastAsiaTheme="minorHAnsi" w:hAnsiTheme="minorHAnsi" w:cstheme="minorHAnsi"/>
          <w:color w:val="auto"/>
          <w:sz w:val="20"/>
          <w:szCs w:val="20"/>
        </w:rPr>
        <w:t>Vehicle registration number</w:t>
      </w:r>
    </w:p>
    <w:p w14:paraId="00FC5250"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sidRPr="00CC7F47">
        <w:rPr>
          <w:rFonts w:asciiTheme="minorHAnsi" w:eastAsiaTheme="minorHAnsi" w:hAnsiTheme="minorHAnsi" w:cstheme="minorHAnsi"/>
          <w:color w:val="auto"/>
          <w:sz w:val="20"/>
          <w:szCs w:val="20"/>
        </w:rPr>
        <w:t xml:space="preserve">When </w:t>
      </w:r>
      <w:r>
        <w:rPr>
          <w:rFonts w:asciiTheme="minorHAnsi" w:eastAsiaTheme="minorHAnsi" w:hAnsiTheme="minorHAnsi" w:cstheme="minorHAnsi"/>
          <w:color w:val="auto"/>
          <w:sz w:val="20"/>
          <w:szCs w:val="20"/>
        </w:rPr>
        <w:t>the incident happened</w:t>
      </w:r>
    </w:p>
    <w:p w14:paraId="6AEE88C6" w14:textId="77777777" w:rsidR="00E62D49" w:rsidRPr="00CC7F47" w:rsidRDefault="00E62D49" w:rsidP="00E62D49">
      <w:pPr>
        <w:rPr>
          <w:rFonts w:cstheme="minorHAnsi"/>
          <w:color w:val="auto"/>
          <w:szCs w:val="20"/>
        </w:rPr>
      </w:pPr>
      <w:r w:rsidRPr="00CC7F47">
        <w:rPr>
          <w:color w:val="auto"/>
        </w:rPr>
        <w:t xml:space="preserve">Other information </w:t>
      </w:r>
      <w:r>
        <w:rPr>
          <w:color w:val="auto"/>
        </w:rPr>
        <w:t>that may be provided include</w:t>
      </w:r>
      <w:r w:rsidRPr="00CC7F47">
        <w:rPr>
          <w:color w:val="auto"/>
        </w:rPr>
        <w:t>:</w:t>
      </w:r>
    </w:p>
    <w:p w14:paraId="5C01F93C"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sidRPr="00CC7F47">
        <w:rPr>
          <w:rFonts w:asciiTheme="minorHAnsi" w:eastAsiaTheme="minorHAnsi" w:hAnsiTheme="minorHAnsi" w:cstheme="minorHAnsi"/>
          <w:color w:val="auto"/>
          <w:sz w:val="20"/>
          <w:szCs w:val="20"/>
        </w:rPr>
        <w:t xml:space="preserve">Where the bus </w:t>
      </w:r>
      <w:r>
        <w:rPr>
          <w:rFonts w:asciiTheme="minorHAnsi" w:eastAsiaTheme="minorHAnsi" w:hAnsiTheme="minorHAnsi" w:cstheme="minorHAnsi"/>
          <w:color w:val="auto"/>
          <w:sz w:val="20"/>
          <w:szCs w:val="20"/>
        </w:rPr>
        <w:t xml:space="preserve">was </w:t>
      </w:r>
      <w:r w:rsidRPr="00CC7F47">
        <w:rPr>
          <w:rFonts w:asciiTheme="minorHAnsi" w:eastAsiaTheme="minorHAnsi" w:hAnsiTheme="minorHAnsi" w:cstheme="minorHAnsi"/>
          <w:color w:val="auto"/>
          <w:sz w:val="20"/>
          <w:szCs w:val="20"/>
        </w:rPr>
        <w:t>travelling from</w:t>
      </w:r>
    </w:p>
    <w:p w14:paraId="52C347FD" w14:textId="696631AA"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sidRPr="00CC7F47">
        <w:rPr>
          <w:rFonts w:asciiTheme="minorHAnsi" w:eastAsiaTheme="minorHAnsi" w:hAnsiTheme="minorHAnsi" w:cstheme="minorHAnsi"/>
          <w:color w:val="auto"/>
          <w:sz w:val="20"/>
          <w:szCs w:val="20"/>
        </w:rPr>
        <w:t>Where the bus</w:t>
      </w:r>
      <w:r>
        <w:rPr>
          <w:rFonts w:asciiTheme="minorHAnsi" w:eastAsiaTheme="minorHAnsi" w:hAnsiTheme="minorHAnsi" w:cstheme="minorHAnsi"/>
          <w:color w:val="auto"/>
          <w:sz w:val="20"/>
          <w:szCs w:val="20"/>
        </w:rPr>
        <w:t xml:space="preserve"> was</w:t>
      </w:r>
      <w:r w:rsidRPr="00CC7F47">
        <w:rPr>
          <w:rFonts w:asciiTheme="minorHAnsi" w:eastAsiaTheme="minorHAnsi" w:hAnsiTheme="minorHAnsi" w:cstheme="minorHAnsi"/>
          <w:color w:val="auto"/>
          <w:sz w:val="20"/>
          <w:szCs w:val="20"/>
        </w:rPr>
        <w:t xml:space="preserve"> travelling to</w:t>
      </w:r>
    </w:p>
    <w:p w14:paraId="28ADA2E8"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sidRPr="00CC7F47">
        <w:rPr>
          <w:rFonts w:asciiTheme="minorHAnsi" w:eastAsiaTheme="minorHAnsi" w:hAnsiTheme="minorHAnsi" w:cstheme="minorHAnsi"/>
          <w:color w:val="auto"/>
          <w:sz w:val="20"/>
          <w:szCs w:val="20"/>
        </w:rPr>
        <w:t>What services attended (</w:t>
      </w:r>
      <w:r>
        <w:rPr>
          <w:rFonts w:asciiTheme="minorHAnsi" w:eastAsiaTheme="minorHAnsi" w:hAnsiTheme="minorHAnsi" w:cstheme="minorHAnsi"/>
          <w:color w:val="auto"/>
          <w:sz w:val="20"/>
          <w:szCs w:val="20"/>
        </w:rPr>
        <w:t>e.g. a</w:t>
      </w:r>
      <w:r w:rsidRPr="00CC7F47">
        <w:rPr>
          <w:rFonts w:asciiTheme="minorHAnsi" w:eastAsiaTheme="minorHAnsi" w:hAnsiTheme="minorHAnsi" w:cstheme="minorHAnsi"/>
          <w:color w:val="auto"/>
          <w:sz w:val="20"/>
          <w:szCs w:val="20"/>
        </w:rPr>
        <w:t xml:space="preserve">mbulance, </w:t>
      </w:r>
      <w:r>
        <w:rPr>
          <w:rFonts w:asciiTheme="minorHAnsi" w:eastAsiaTheme="minorHAnsi" w:hAnsiTheme="minorHAnsi" w:cstheme="minorHAnsi"/>
          <w:color w:val="auto"/>
          <w:sz w:val="20"/>
          <w:szCs w:val="20"/>
        </w:rPr>
        <w:t>p</w:t>
      </w:r>
      <w:r w:rsidRPr="00CC7F47">
        <w:rPr>
          <w:rFonts w:asciiTheme="minorHAnsi" w:eastAsiaTheme="minorHAnsi" w:hAnsiTheme="minorHAnsi" w:cstheme="minorHAnsi"/>
          <w:color w:val="auto"/>
          <w:sz w:val="20"/>
          <w:szCs w:val="20"/>
        </w:rPr>
        <w:t xml:space="preserve">olice, </w:t>
      </w:r>
      <w:r>
        <w:rPr>
          <w:rFonts w:asciiTheme="minorHAnsi" w:eastAsiaTheme="minorHAnsi" w:hAnsiTheme="minorHAnsi" w:cstheme="minorHAnsi"/>
          <w:color w:val="auto"/>
          <w:sz w:val="20"/>
          <w:szCs w:val="20"/>
        </w:rPr>
        <w:t>f</w:t>
      </w:r>
      <w:r w:rsidRPr="00CC7F47">
        <w:rPr>
          <w:rFonts w:asciiTheme="minorHAnsi" w:eastAsiaTheme="minorHAnsi" w:hAnsiTheme="minorHAnsi" w:cstheme="minorHAnsi"/>
          <w:color w:val="auto"/>
          <w:sz w:val="20"/>
          <w:szCs w:val="20"/>
        </w:rPr>
        <w:t xml:space="preserve">ire </w:t>
      </w:r>
      <w:r>
        <w:rPr>
          <w:rFonts w:asciiTheme="minorHAnsi" w:eastAsiaTheme="minorHAnsi" w:hAnsiTheme="minorHAnsi" w:cstheme="minorHAnsi"/>
          <w:color w:val="auto"/>
          <w:sz w:val="20"/>
          <w:szCs w:val="20"/>
        </w:rPr>
        <w:t>b</w:t>
      </w:r>
      <w:r w:rsidRPr="00CC7F47">
        <w:rPr>
          <w:rFonts w:asciiTheme="minorHAnsi" w:eastAsiaTheme="minorHAnsi" w:hAnsiTheme="minorHAnsi" w:cstheme="minorHAnsi"/>
          <w:color w:val="auto"/>
          <w:sz w:val="20"/>
          <w:szCs w:val="20"/>
        </w:rPr>
        <w:t>rigade)</w:t>
      </w:r>
    </w:p>
    <w:p w14:paraId="284F6AA3"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Pr>
          <w:rFonts w:asciiTheme="minorHAnsi" w:eastAsiaTheme="minorHAnsi" w:hAnsiTheme="minorHAnsi" w:cstheme="minorHAnsi"/>
          <w:color w:val="auto"/>
          <w:sz w:val="20"/>
          <w:szCs w:val="20"/>
        </w:rPr>
        <w:t xml:space="preserve">Type of </w:t>
      </w:r>
      <w:r w:rsidRPr="00CC7F47">
        <w:rPr>
          <w:rFonts w:asciiTheme="minorHAnsi" w:eastAsiaTheme="minorHAnsi" w:hAnsiTheme="minorHAnsi" w:cstheme="minorHAnsi"/>
          <w:color w:val="auto"/>
          <w:sz w:val="20"/>
          <w:szCs w:val="20"/>
        </w:rPr>
        <w:t>incident (</w:t>
      </w:r>
      <w:r>
        <w:rPr>
          <w:rFonts w:asciiTheme="minorHAnsi" w:eastAsiaTheme="minorHAnsi" w:hAnsiTheme="minorHAnsi" w:cstheme="minorHAnsi"/>
          <w:color w:val="auto"/>
          <w:sz w:val="20"/>
          <w:szCs w:val="20"/>
        </w:rPr>
        <w:t>e.g. c</w:t>
      </w:r>
      <w:r w:rsidRPr="00CC7F47">
        <w:rPr>
          <w:rFonts w:asciiTheme="minorHAnsi" w:eastAsiaTheme="minorHAnsi" w:hAnsiTheme="minorHAnsi" w:cstheme="minorHAnsi"/>
          <w:color w:val="auto"/>
          <w:sz w:val="20"/>
          <w:szCs w:val="20"/>
        </w:rPr>
        <w:t>ollision, slip</w:t>
      </w:r>
      <w:r>
        <w:rPr>
          <w:rFonts w:asciiTheme="minorHAnsi" w:eastAsiaTheme="minorHAnsi" w:hAnsiTheme="minorHAnsi" w:cstheme="minorHAnsi"/>
          <w:color w:val="auto"/>
          <w:sz w:val="20"/>
          <w:szCs w:val="20"/>
        </w:rPr>
        <w:t>,</w:t>
      </w:r>
      <w:r w:rsidRPr="00CC7F47">
        <w:rPr>
          <w:rFonts w:asciiTheme="minorHAnsi" w:eastAsiaTheme="minorHAnsi" w:hAnsiTheme="minorHAnsi" w:cstheme="minorHAnsi"/>
          <w:color w:val="auto"/>
          <w:sz w:val="20"/>
          <w:szCs w:val="20"/>
        </w:rPr>
        <w:t xml:space="preserve"> t</w:t>
      </w:r>
      <w:r>
        <w:rPr>
          <w:rFonts w:asciiTheme="minorHAnsi" w:eastAsiaTheme="minorHAnsi" w:hAnsiTheme="minorHAnsi" w:cstheme="minorHAnsi"/>
          <w:color w:val="auto"/>
          <w:sz w:val="20"/>
          <w:szCs w:val="20"/>
        </w:rPr>
        <w:t>rip</w:t>
      </w:r>
      <w:r w:rsidRPr="00CC7F47">
        <w:rPr>
          <w:rFonts w:asciiTheme="minorHAnsi" w:eastAsiaTheme="minorHAnsi" w:hAnsiTheme="minorHAnsi" w:cstheme="minorHAnsi"/>
          <w:color w:val="auto"/>
          <w:sz w:val="20"/>
          <w:szCs w:val="20"/>
        </w:rPr>
        <w:t xml:space="preserve"> or fall, mechanical failure etc.)</w:t>
      </w:r>
    </w:p>
    <w:p w14:paraId="09BAA637"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sidRPr="00CC7F47">
        <w:rPr>
          <w:rFonts w:asciiTheme="minorHAnsi" w:eastAsiaTheme="minorHAnsi" w:hAnsiTheme="minorHAnsi" w:cstheme="minorHAnsi"/>
          <w:color w:val="auto"/>
          <w:sz w:val="20"/>
          <w:szCs w:val="20"/>
        </w:rPr>
        <w:t>Type of bus service (</w:t>
      </w:r>
      <w:r>
        <w:rPr>
          <w:rFonts w:asciiTheme="minorHAnsi" w:eastAsiaTheme="minorHAnsi" w:hAnsiTheme="minorHAnsi" w:cstheme="minorHAnsi"/>
          <w:color w:val="auto"/>
          <w:sz w:val="20"/>
          <w:szCs w:val="20"/>
        </w:rPr>
        <w:t>e.g. c</w:t>
      </w:r>
      <w:r w:rsidRPr="00CC7F47">
        <w:rPr>
          <w:rFonts w:asciiTheme="minorHAnsi" w:eastAsiaTheme="minorHAnsi" w:hAnsiTheme="minorHAnsi" w:cstheme="minorHAnsi"/>
          <w:color w:val="auto"/>
          <w:sz w:val="20"/>
          <w:szCs w:val="20"/>
        </w:rPr>
        <w:t>ommercial</w:t>
      </w:r>
      <w:r>
        <w:rPr>
          <w:rFonts w:asciiTheme="minorHAnsi" w:eastAsiaTheme="minorHAnsi" w:hAnsiTheme="minorHAnsi" w:cstheme="minorHAnsi"/>
          <w:color w:val="auto"/>
          <w:sz w:val="20"/>
          <w:szCs w:val="20"/>
        </w:rPr>
        <w:t>, c</w:t>
      </w:r>
      <w:r w:rsidRPr="00CC7F47">
        <w:rPr>
          <w:rFonts w:asciiTheme="minorHAnsi" w:eastAsiaTheme="minorHAnsi" w:hAnsiTheme="minorHAnsi" w:cstheme="minorHAnsi"/>
          <w:color w:val="auto"/>
          <w:sz w:val="20"/>
          <w:szCs w:val="20"/>
        </w:rPr>
        <w:t>ommunity</w:t>
      </w:r>
      <w:r>
        <w:rPr>
          <w:rFonts w:asciiTheme="minorHAnsi" w:eastAsiaTheme="minorHAnsi" w:hAnsiTheme="minorHAnsi" w:cstheme="minorHAnsi"/>
          <w:color w:val="auto"/>
          <w:sz w:val="20"/>
          <w:szCs w:val="20"/>
        </w:rPr>
        <w:t xml:space="preserve">, </w:t>
      </w:r>
      <w:r w:rsidRPr="00CC7F47">
        <w:rPr>
          <w:rFonts w:asciiTheme="minorHAnsi" w:eastAsiaTheme="minorHAnsi" w:hAnsiTheme="minorHAnsi" w:cstheme="minorHAnsi"/>
          <w:color w:val="auto"/>
          <w:sz w:val="20"/>
          <w:szCs w:val="20"/>
        </w:rPr>
        <w:t>private</w:t>
      </w:r>
      <w:r>
        <w:rPr>
          <w:rFonts w:asciiTheme="minorHAnsi" w:eastAsiaTheme="minorHAnsi" w:hAnsiTheme="minorHAnsi" w:cstheme="minorHAnsi"/>
          <w:color w:val="auto"/>
          <w:sz w:val="20"/>
          <w:szCs w:val="20"/>
        </w:rPr>
        <w:t>, local, hire and driver courtesy etc.</w:t>
      </w:r>
      <w:r w:rsidRPr="00CC7F47">
        <w:rPr>
          <w:rFonts w:asciiTheme="minorHAnsi" w:eastAsiaTheme="minorHAnsi" w:hAnsiTheme="minorHAnsi" w:cstheme="minorHAnsi"/>
          <w:color w:val="auto"/>
          <w:sz w:val="20"/>
          <w:szCs w:val="20"/>
        </w:rPr>
        <w:t>)</w:t>
      </w:r>
    </w:p>
    <w:p w14:paraId="58874BE5"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Pr>
          <w:rFonts w:asciiTheme="minorHAnsi" w:eastAsiaTheme="minorHAnsi" w:hAnsiTheme="minorHAnsi" w:cstheme="minorHAnsi"/>
          <w:color w:val="auto"/>
          <w:sz w:val="20"/>
          <w:szCs w:val="20"/>
        </w:rPr>
        <w:t>Location of incident</w:t>
      </w:r>
      <w:r w:rsidRPr="00CC7F47">
        <w:rPr>
          <w:rFonts w:asciiTheme="minorHAnsi" w:eastAsiaTheme="minorHAnsi" w:hAnsiTheme="minorHAnsi" w:cstheme="minorHAnsi"/>
          <w:color w:val="auto"/>
          <w:sz w:val="20"/>
          <w:szCs w:val="20"/>
        </w:rPr>
        <w:t xml:space="preserve"> </w:t>
      </w:r>
    </w:p>
    <w:p w14:paraId="597767B5"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Pr>
          <w:rFonts w:asciiTheme="minorHAnsi" w:eastAsiaTheme="minorHAnsi" w:hAnsiTheme="minorHAnsi" w:cstheme="minorHAnsi"/>
          <w:color w:val="auto"/>
          <w:sz w:val="20"/>
          <w:szCs w:val="20"/>
        </w:rPr>
        <w:t>Whether</w:t>
      </w:r>
      <w:r w:rsidRPr="00CC7F47">
        <w:rPr>
          <w:rFonts w:asciiTheme="minorHAnsi" w:eastAsiaTheme="minorHAnsi" w:hAnsiTheme="minorHAnsi" w:cstheme="minorHAnsi"/>
          <w:color w:val="auto"/>
          <w:sz w:val="20"/>
          <w:szCs w:val="20"/>
        </w:rPr>
        <w:t xml:space="preserve"> any persons</w:t>
      </w:r>
      <w:r>
        <w:rPr>
          <w:rFonts w:asciiTheme="minorHAnsi" w:eastAsiaTheme="minorHAnsi" w:hAnsiTheme="minorHAnsi" w:cstheme="minorHAnsi"/>
          <w:color w:val="auto"/>
          <w:sz w:val="20"/>
          <w:szCs w:val="20"/>
        </w:rPr>
        <w:t xml:space="preserve"> were</w:t>
      </w:r>
      <w:r w:rsidRPr="00CC7F47">
        <w:rPr>
          <w:rFonts w:asciiTheme="minorHAnsi" w:eastAsiaTheme="minorHAnsi" w:hAnsiTheme="minorHAnsi" w:cstheme="minorHAnsi"/>
          <w:color w:val="auto"/>
          <w:sz w:val="20"/>
          <w:szCs w:val="20"/>
        </w:rPr>
        <w:t xml:space="preserve"> killed or seriously injured as a result of the incident</w:t>
      </w:r>
    </w:p>
    <w:p w14:paraId="54D26A96"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Pr>
          <w:rFonts w:asciiTheme="minorHAnsi" w:eastAsiaTheme="minorHAnsi" w:hAnsiTheme="minorHAnsi" w:cstheme="minorHAnsi"/>
          <w:color w:val="auto"/>
          <w:sz w:val="20"/>
          <w:szCs w:val="20"/>
        </w:rPr>
        <w:t xml:space="preserve">Whether there was </w:t>
      </w:r>
      <w:r w:rsidRPr="00CC7F47">
        <w:rPr>
          <w:rFonts w:asciiTheme="minorHAnsi" w:eastAsiaTheme="minorHAnsi" w:hAnsiTheme="minorHAnsi" w:cstheme="minorHAnsi"/>
          <w:color w:val="auto"/>
          <w:sz w:val="20"/>
          <w:szCs w:val="20"/>
        </w:rPr>
        <w:t>a loss of control of the bus or significant damage to property</w:t>
      </w:r>
    </w:p>
    <w:p w14:paraId="274FE28C"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Pr>
          <w:rFonts w:asciiTheme="minorHAnsi" w:eastAsiaTheme="minorHAnsi" w:hAnsiTheme="minorHAnsi" w:cstheme="minorHAnsi"/>
          <w:color w:val="auto"/>
          <w:sz w:val="20"/>
          <w:szCs w:val="20"/>
        </w:rPr>
        <w:t>Whether</w:t>
      </w:r>
      <w:r w:rsidRPr="00CC7F47">
        <w:rPr>
          <w:rFonts w:asciiTheme="minorHAnsi" w:eastAsiaTheme="minorHAnsi" w:hAnsiTheme="minorHAnsi" w:cstheme="minorHAnsi"/>
          <w:color w:val="auto"/>
          <w:sz w:val="20"/>
          <w:szCs w:val="20"/>
        </w:rPr>
        <w:t xml:space="preserve"> an alcohol and/or drug test </w:t>
      </w:r>
      <w:r>
        <w:rPr>
          <w:rFonts w:asciiTheme="minorHAnsi" w:eastAsiaTheme="minorHAnsi" w:hAnsiTheme="minorHAnsi" w:cstheme="minorHAnsi"/>
          <w:color w:val="auto"/>
          <w:sz w:val="20"/>
          <w:szCs w:val="20"/>
        </w:rPr>
        <w:t xml:space="preserve">was </w:t>
      </w:r>
      <w:r w:rsidRPr="00CC7F47">
        <w:rPr>
          <w:rFonts w:asciiTheme="minorHAnsi" w:eastAsiaTheme="minorHAnsi" w:hAnsiTheme="minorHAnsi" w:cstheme="minorHAnsi"/>
          <w:color w:val="auto"/>
          <w:sz w:val="20"/>
          <w:szCs w:val="20"/>
        </w:rPr>
        <w:t>conducted on the driver/employee</w:t>
      </w:r>
    </w:p>
    <w:p w14:paraId="3EB2D779" w14:textId="77777777" w:rsidR="00E62D49" w:rsidRPr="00CC7F47" w:rsidRDefault="00E62D49" w:rsidP="00842F5A">
      <w:pPr>
        <w:pStyle w:val="ListParagraph"/>
        <w:numPr>
          <w:ilvl w:val="0"/>
          <w:numId w:val="21"/>
        </w:numPr>
        <w:rPr>
          <w:rFonts w:asciiTheme="minorHAnsi" w:eastAsiaTheme="minorHAnsi" w:hAnsiTheme="minorHAnsi" w:cstheme="minorHAnsi"/>
          <w:color w:val="auto"/>
          <w:sz w:val="20"/>
          <w:szCs w:val="20"/>
        </w:rPr>
      </w:pPr>
      <w:r>
        <w:rPr>
          <w:rFonts w:asciiTheme="minorHAnsi" w:eastAsiaTheme="minorHAnsi" w:hAnsiTheme="minorHAnsi" w:cstheme="minorHAnsi"/>
          <w:color w:val="auto"/>
          <w:sz w:val="20"/>
          <w:szCs w:val="20"/>
        </w:rPr>
        <w:t xml:space="preserve">Whether the </w:t>
      </w:r>
      <w:r w:rsidRPr="00CC7F47">
        <w:rPr>
          <w:rFonts w:asciiTheme="minorHAnsi" w:eastAsiaTheme="minorHAnsi" w:hAnsiTheme="minorHAnsi" w:cstheme="minorHAnsi"/>
          <w:color w:val="auto"/>
          <w:sz w:val="20"/>
          <w:szCs w:val="20"/>
        </w:rPr>
        <w:t>bus operator</w:t>
      </w:r>
      <w:r>
        <w:rPr>
          <w:rFonts w:asciiTheme="minorHAnsi" w:eastAsiaTheme="minorHAnsi" w:hAnsiTheme="minorHAnsi" w:cstheme="minorHAnsi"/>
          <w:color w:val="auto"/>
          <w:sz w:val="20"/>
          <w:szCs w:val="20"/>
        </w:rPr>
        <w:t xml:space="preserve"> has or will</w:t>
      </w:r>
      <w:r w:rsidRPr="00CC7F47">
        <w:rPr>
          <w:rFonts w:asciiTheme="minorHAnsi" w:eastAsiaTheme="minorHAnsi" w:hAnsiTheme="minorHAnsi" w:cstheme="minorHAnsi"/>
          <w:color w:val="auto"/>
          <w:sz w:val="20"/>
          <w:szCs w:val="20"/>
        </w:rPr>
        <w:t xml:space="preserve"> convene an investigation into the incident</w:t>
      </w:r>
    </w:p>
    <w:p w14:paraId="6E0102CA" w14:textId="6B986956" w:rsidR="00E62D49" w:rsidRPr="00CC7F47" w:rsidRDefault="00E62D49" w:rsidP="00E62D49">
      <w:pPr>
        <w:rPr>
          <w:color w:val="auto"/>
        </w:rPr>
      </w:pPr>
      <w:r>
        <w:t xml:space="preserve">Based on the information required on the online notification of bus incident form, DoT estimates that it would take </w:t>
      </w:r>
      <w:r w:rsidRPr="00EE7F70">
        <w:t>between 15 minutes to 30 minutes per incident</w:t>
      </w:r>
      <w:r>
        <w:t xml:space="preserve"> to notify the Safety Director. The time taken takes into account the fact that different incidents may require different levels of </w:t>
      </w:r>
      <w:r w:rsidRPr="00CC7F47">
        <w:rPr>
          <w:color w:val="auto"/>
        </w:rPr>
        <w:t>effort to report (e.g.</w:t>
      </w:r>
      <w:r>
        <w:rPr>
          <w:color w:val="auto"/>
        </w:rPr>
        <w:t xml:space="preserve"> an operator may find it easier to provide details to the Safety Director relating to a person </w:t>
      </w:r>
      <w:r>
        <w:rPr>
          <w:color w:val="auto"/>
        </w:rPr>
        <w:lastRenderedPageBreak/>
        <w:t xml:space="preserve">tripping or falling inside a bus than providing details relating to a </w:t>
      </w:r>
      <w:r w:rsidRPr="00CC7F47">
        <w:rPr>
          <w:color w:val="auto"/>
        </w:rPr>
        <w:t>collision</w:t>
      </w:r>
      <w:r>
        <w:rPr>
          <w:color w:val="auto"/>
        </w:rPr>
        <w:t>, which may involve multiple vehicles and/or multiple injuries</w:t>
      </w:r>
      <w:r w:rsidR="00FF7F03">
        <w:rPr>
          <w:color w:val="auto"/>
        </w:rPr>
        <w:t>)</w:t>
      </w:r>
      <w:r>
        <w:rPr>
          <w:color w:val="auto"/>
        </w:rPr>
        <w:t>.</w:t>
      </w:r>
      <w:r w:rsidRPr="00CC7F47">
        <w:rPr>
          <w:color w:val="auto"/>
        </w:rPr>
        <w:t xml:space="preserve">  </w:t>
      </w:r>
    </w:p>
    <w:p w14:paraId="37D4E450" w14:textId="39DBF3FD" w:rsidR="00E62D49" w:rsidRDefault="009C6AFB" w:rsidP="00E62D49">
      <w:r>
        <w:t xml:space="preserve">In order to </w:t>
      </w:r>
      <w:r w:rsidR="00A77827">
        <w:t>est</w:t>
      </w:r>
      <w:r w:rsidR="00CB290D">
        <w:t>imate</w:t>
      </w:r>
      <w:r>
        <w:t xml:space="preserve"> the number of </w:t>
      </w:r>
      <w:r w:rsidR="00A77827">
        <w:t>notifications</w:t>
      </w:r>
      <w:r>
        <w:t xml:space="preserve"> that will be made in future years, this RIS assesses the current level of incidents and notifications, as well as possible future trends </w:t>
      </w:r>
      <w:r w:rsidR="000C7ECD">
        <w:t xml:space="preserve">in incidents. </w:t>
      </w:r>
      <w:r w:rsidR="00E62D49">
        <w:t xml:space="preserve">During the </w:t>
      </w:r>
      <w:r w:rsidR="00E62D49" w:rsidRPr="00174A51">
        <w:t xml:space="preserve">period </w:t>
      </w:r>
      <w:r w:rsidR="00FF5BD3">
        <w:t xml:space="preserve">from </w:t>
      </w:r>
      <w:r w:rsidR="00E62D49" w:rsidRPr="00174A51">
        <w:t>2011</w:t>
      </w:r>
      <w:r w:rsidR="00E62D49">
        <w:t xml:space="preserve"> to </w:t>
      </w:r>
      <w:r w:rsidR="00E62D49" w:rsidRPr="00174A51">
        <w:t>2019,</w:t>
      </w:r>
      <w:r w:rsidR="00E62D49">
        <w:t xml:space="preserve"> an average of </w:t>
      </w:r>
      <w:r w:rsidR="00E62D49" w:rsidRPr="008153F7">
        <w:t>406 incidents</w:t>
      </w:r>
      <w:r w:rsidR="00E62D49">
        <w:t xml:space="preserve"> occurred per year</w:t>
      </w:r>
      <w:r w:rsidR="00787D86">
        <w:t xml:space="preserve"> </w:t>
      </w:r>
      <w:r w:rsidR="00453BEC">
        <w:t>(</w:t>
      </w:r>
      <w:r w:rsidR="00787D86">
        <w:t xml:space="preserve">see </w:t>
      </w:r>
      <w:r w:rsidR="00787D86" w:rsidRPr="00453BEC">
        <w:fldChar w:fldCharType="begin"/>
      </w:r>
      <w:r w:rsidR="00787D86" w:rsidRPr="00453BEC">
        <w:instrText xml:space="preserve"> REF _Ref24967234 \h </w:instrText>
      </w:r>
      <w:r w:rsidR="00453BEC" w:rsidRPr="00453BEC">
        <w:instrText xml:space="preserve"> \* MERGEFORMAT </w:instrText>
      </w:r>
      <w:r w:rsidR="00787D86" w:rsidRPr="00453BEC">
        <w:fldChar w:fldCharType="separate"/>
      </w:r>
      <w:r w:rsidR="00277F6E" w:rsidRPr="00277F6E">
        <w:t xml:space="preserve">Table </w:t>
      </w:r>
      <w:r w:rsidR="00277F6E" w:rsidRPr="00277F6E">
        <w:rPr>
          <w:noProof/>
        </w:rPr>
        <w:t>3</w:t>
      </w:r>
      <w:r w:rsidR="00277F6E" w:rsidRPr="00277F6E">
        <w:rPr>
          <w:noProof/>
        </w:rPr>
        <w:noBreakHyphen/>
        <w:t>2</w:t>
      </w:r>
      <w:r w:rsidR="00787D86" w:rsidRPr="00453BEC">
        <w:fldChar w:fldCharType="end"/>
      </w:r>
      <w:r w:rsidR="00453BEC" w:rsidRPr="00453BEC">
        <w:t>)</w:t>
      </w:r>
      <w:r w:rsidR="00E62D49">
        <w:t xml:space="preserve">. All incidents recorded by TSV are made through notifications required under the current regulations. </w:t>
      </w:r>
      <w:r w:rsidR="00453BEC">
        <w:t xml:space="preserve">Based on </w:t>
      </w:r>
      <w:r w:rsidR="00453BEC" w:rsidRPr="00453BEC">
        <w:fldChar w:fldCharType="begin"/>
      </w:r>
      <w:r w:rsidR="00453BEC" w:rsidRPr="00453BEC">
        <w:instrText xml:space="preserve"> REF _Ref24967234 \h  \* MERGEFORMAT </w:instrText>
      </w:r>
      <w:r w:rsidR="00453BEC" w:rsidRPr="00453BEC">
        <w:fldChar w:fldCharType="separate"/>
      </w:r>
      <w:r w:rsidR="00277F6E" w:rsidRPr="00277F6E">
        <w:t>Table 3</w:t>
      </w:r>
      <w:r w:rsidR="00277F6E" w:rsidRPr="00277F6E">
        <w:noBreakHyphen/>
        <w:t>2</w:t>
      </w:r>
      <w:r w:rsidR="00453BEC" w:rsidRPr="00453BEC">
        <w:fldChar w:fldCharType="end"/>
      </w:r>
      <w:r w:rsidR="00453BEC">
        <w:t>,</w:t>
      </w:r>
      <w:r w:rsidR="00453BEC">
        <w:rPr>
          <w:noProof/>
        </w:rPr>
        <w:t xml:space="preserve"> t</w:t>
      </w:r>
      <w:r w:rsidR="00453BEC">
        <w:t>here does not appear to be any clear long-term trend in terms of the total number of bus incident</w:t>
      </w:r>
      <w:r w:rsidR="00FF5BD3">
        <w:t>s</w:t>
      </w:r>
      <w:r w:rsidR="00453BEC">
        <w:t xml:space="preserve"> over the last 10 years, although the number of incidents did appear to decrease over the last four years.</w:t>
      </w:r>
      <w:r w:rsidR="00FA6B7A">
        <w:t xml:space="preserve"> </w:t>
      </w:r>
      <w:r w:rsidR="00CE15E6">
        <w:t xml:space="preserve">Successful measures to improve safety, such as </w:t>
      </w:r>
      <w:r w:rsidR="009C4711">
        <w:t>effective</w:t>
      </w:r>
      <w:r w:rsidR="00CE15E6">
        <w:t xml:space="preserve"> regulations that targets safety</w:t>
      </w:r>
      <w:r w:rsidR="00B402C1">
        <w:t xml:space="preserve"> and</w:t>
      </w:r>
      <w:r w:rsidR="009C4711">
        <w:t xml:space="preserve"> </w:t>
      </w:r>
      <w:r w:rsidR="00B402C1">
        <w:t xml:space="preserve">improvement </w:t>
      </w:r>
      <w:r w:rsidR="00EC3C94">
        <w:t xml:space="preserve">in </w:t>
      </w:r>
      <w:r w:rsidR="00B062E5">
        <w:t xml:space="preserve">an </w:t>
      </w:r>
      <w:r w:rsidR="00EC3C94">
        <w:t>operator</w:t>
      </w:r>
      <w:r w:rsidR="009979CE">
        <w:t>’s system for managing safety</w:t>
      </w:r>
      <w:r w:rsidR="00B402C1">
        <w:t xml:space="preserve">, </w:t>
      </w:r>
      <w:r w:rsidR="00766631">
        <w:t xml:space="preserve">may </w:t>
      </w:r>
      <w:r w:rsidR="000A6DDD">
        <w:t xml:space="preserve">contribute to a decrease in the number of incidents in the future. On the other hand, </w:t>
      </w:r>
      <w:r w:rsidR="000C2114">
        <w:t>a growth in the bus industry</w:t>
      </w:r>
      <w:r w:rsidR="00556434">
        <w:t xml:space="preserve"> could result in more bus safety incidents</w:t>
      </w:r>
      <w:r w:rsidR="00331408">
        <w:t>, as more buses could result in more incidents</w:t>
      </w:r>
      <w:r w:rsidR="00AD6624">
        <w:t xml:space="preserve"> reported</w:t>
      </w:r>
      <w:r w:rsidR="00556434">
        <w:t>.</w:t>
      </w:r>
      <w:r w:rsidR="009F12C1">
        <w:t xml:space="preserve"> Given this uncertainty</w:t>
      </w:r>
      <w:r w:rsidR="00E62D49">
        <w:t>, for the purposes of this RIS, the number of notifications in future years</w:t>
      </w:r>
      <w:r w:rsidR="00F30506">
        <w:t xml:space="preserve"> will be based on the historical </w:t>
      </w:r>
      <w:r w:rsidR="00C12946">
        <w:t>average of</w:t>
      </w:r>
      <w:r w:rsidR="00F30506">
        <w:t xml:space="preserve"> 406 </w:t>
      </w:r>
      <w:r w:rsidR="004D5631">
        <w:t>notification</w:t>
      </w:r>
      <w:r w:rsidR="00F30506">
        <w:t xml:space="preserve"> </w:t>
      </w:r>
      <w:r w:rsidR="004D5631">
        <w:t>per year</w:t>
      </w:r>
      <w:r w:rsidR="00E62D49">
        <w:t xml:space="preserve">. </w:t>
      </w:r>
    </w:p>
    <w:p w14:paraId="7D479E4F" w14:textId="2979D895" w:rsidR="00E62D49" w:rsidRPr="008153F7" w:rsidRDefault="00E62D49" w:rsidP="007620AA">
      <w:pPr>
        <w:pStyle w:val="Caption"/>
        <w:keepNext/>
        <w:spacing w:after="60"/>
        <w:rPr>
          <w:b/>
          <w:i w:val="0"/>
        </w:rPr>
      </w:pPr>
      <w:bookmarkStart w:id="779" w:name="_Ref43294905"/>
      <w:bookmarkStart w:id="780" w:name="_Toc44437390"/>
      <w:bookmarkStart w:id="781" w:name="_Toc44597461"/>
      <w:bookmarkStart w:id="782" w:name="_Toc44597525"/>
      <w:bookmarkStart w:id="783" w:name="_Toc44600095"/>
      <w:bookmarkStart w:id="784" w:name="_Toc44600550"/>
      <w:bookmarkStart w:id="785" w:name="_Toc44600717"/>
      <w:bookmarkStart w:id="786" w:name="_Toc44601214"/>
      <w:bookmarkStart w:id="787" w:name="_Toc44601267"/>
      <w:bookmarkStart w:id="788" w:name="_Toc44603415"/>
      <w:bookmarkStart w:id="789" w:name="_Toc45704463"/>
      <w:r w:rsidRPr="008153F7">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18</w:t>
      </w:r>
      <w:r w:rsidR="00D2483C">
        <w:rPr>
          <w:b/>
          <w:i w:val="0"/>
        </w:rPr>
        <w:fldChar w:fldCharType="end"/>
      </w:r>
      <w:bookmarkEnd w:id="779"/>
      <w:r w:rsidRPr="008153F7">
        <w:rPr>
          <w:b/>
          <w:bCs/>
          <w:i w:val="0"/>
          <w:iCs w:val="0"/>
        </w:rPr>
        <w:t>: Notification cost parameters for all operators</w:t>
      </w:r>
      <w:bookmarkEnd w:id="780"/>
      <w:bookmarkEnd w:id="781"/>
      <w:bookmarkEnd w:id="782"/>
      <w:bookmarkEnd w:id="783"/>
      <w:bookmarkEnd w:id="784"/>
      <w:bookmarkEnd w:id="785"/>
      <w:bookmarkEnd w:id="786"/>
      <w:bookmarkEnd w:id="787"/>
      <w:bookmarkEnd w:id="788"/>
      <w:bookmarkEnd w:id="789"/>
    </w:p>
    <w:tbl>
      <w:tblPr>
        <w:tblW w:w="6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8"/>
        <w:gridCol w:w="2233"/>
        <w:gridCol w:w="2230"/>
      </w:tblGrid>
      <w:tr w:rsidR="00E62D49" w:rsidRPr="005B6578" w14:paraId="38F94414" w14:textId="77777777" w:rsidTr="009303EB">
        <w:trPr>
          <w:cantSplit/>
        </w:trPr>
        <w:tc>
          <w:tcPr>
            <w:tcW w:w="1897" w:type="dxa"/>
            <w:shd w:val="clear" w:color="auto" w:fill="D6ECED"/>
            <w:vAlign w:val="center"/>
          </w:tcPr>
          <w:p w14:paraId="3F914751" w14:textId="77777777" w:rsidR="00E62D49" w:rsidRPr="005B6578" w:rsidRDefault="00E62D49" w:rsidP="009303EB">
            <w:pPr>
              <w:keepNext/>
              <w:spacing w:before="60" w:after="60"/>
              <w:jc w:val="center"/>
              <w:rPr>
                <w:b/>
                <w:bCs/>
                <w:sz w:val="18"/>
              </w:rPr>
            </w:pPr>
            <w:r>
              <w:rPr>
                <w:b/>
                <w:bCs/>
                <w:sz w:val="18"/>
              </w:rPr>
              <w:t>Activity</w:t>
            </w:r>
          </w:p>
        </w:tc>
        <w:tc>
          <w:tcPr>
            <w:tcW w:w="1901" w:type="dxa"/>
            <w:shd w:val="clear" w:color="auto" w:fill="D6ECED"/>
            <w:vAlign w:val="center"/>
          </w:tcPr>
          <w:p w14:paraId="4369C9C3" w14:textId="0FD08065" w:rsidR="00E62D49" w:rsidRPr="005B6578" w:rsidRDefault="00E62D49" w:rsidP="009303EB">
            <w:pPr>
              <w:keepNext/>
              <w:spacing w:before="60" w:after="60"/>
              <w:jc w:val="center"/>
              <w:rPr>
                <w:b/>
                <w:bCs/>
                <w:sz w:val="18"/>
              </w:rPr>
            </w:pPr>
            <w:r>
              <w:rPr>
                <w:b/>
                <w:bCs/>
                <w:sz w:val="18"/>
              </w:rPr>
              <w:t>Average n</w:t>
            </w:r>
            <w:r w:rsidRPr="005B6578">
              <w:rPr>
                <w:b/>
                <w:bCs/>
                <w:sz w:val="18"/>
              </w:rPr>
              <w:t xml:space="preserve">umber of </w:t>
            </w:r>
            <w:r>
              <w:rPr>
                <w:b/>
                <w:bCs/>
                <w:sz w:val="18"/>
              </w:rPr>
              <w:t>notifications per year</w:t>
            </w:r>
          </w:p>
        </w:tc>
        <w:tc>
          <w:tcPr>
            <w:tcW w:w="1899" w:type="dxa"/>
            <w:shd w:val="clear" w:color="auto" w:fill="D6ECED"/>
            <w:vAlign w:val="center"/>
          </w:tcPr>
          <w:p w14:paraId="4C6E27CA" w14:textId="77777777" w:rsidR="00E62D49" w:rsidRPr="005B6578" w:rsidRDefault="00E62D49" w:rsidP="009303EB">
            <w:pPr>
              <w:keepNext/>
              <w:spacing w:before="60" w:after="60"/>
              <w:jc w:val="center"/>
              <w:rPr>
                <w:b/>
                <w:bCs/>
                <w:sz w:val="18"/>
              </w:rPr>
            </w:pPr>
            <w:r w:rsidRPr="005B6578">
              <w:rPr>
                <w:b/>
                <w:bCs/>
                <w:sz w:val="18"/>
              </w:rPr>
              <w:t>Labour cost</w:t>
            </w:r>
          </w:p>
        </w:tc>
      </w:tr>
      <w:tr w:rsidR="00E62D49" w:rsidRPr="005B6578" w14:paraId="69A41985" w14:textId="77777777" w:rsidTr="009303EB">
        <w:trPr>
          <w:cantSplit/>
        </w:trPr>
        <w:tc>
          <w:tcPr>
            <w:tcW w:w="1897" w:type="dxa"/>
            <w:vAlign w:val="center"/>
          </w:tcPr>
          <w:p w14:paraId="4DB588FC" w14:textId="77777777" w:rsidR="00E62D49" w:rsidRPr="005B6578" w:rsidRDefault="00E62D49" w:rsidP="009303EB">
            <w:pPr>
              <w:keepNext/>
              <w:spacing w:before="60" w:after="60"/>
              <w:jc w:val="center"/>
              <w:rPr>
                <w:sz w:val="18"/>
              </w:rPr>
            </w:pPr>
            <w:r>
              <w:rPr>
                <w:sz w:val="18"/>
              </w:rPr>
              <w:t>Notifications</w:t>
            </w:r>
          </w:p>
        </w:tc>
        <w:tc>
          <w:tcPr>
            <w:tcW w:w="1901" w:type="dxa"/>
            <w:vAlign w:val="center"/>
          </w:tcPr>
          <w:p w14:paraId="4854FD98" w14:textId="388C1984" w:rsidR="00E62D49" w:rsidRPr="005B6578" w:rsidRDefault="00E62D49" w:rsidP="009303EB">
            <w:pPr>
              <w:keepNext/>
              <w:spacing w:before="60" w:after="60"/>
              <w:jc w:val="center"/>
              <w:rPr>
                <w:sz w:val="18"/>
              </w:rPr>
            </w:pPr>
            <w:r>
              <w:rPr>
                <w:sz w:val="18"/>
              </w:rPr>
              <w:t>406</w:t>
            </w:r>
          </w:p>
        </w:tc>
        <w:tc>
          <w:tcPr>
            <w:tcW w:w="1899" w:type="dxa"/>
            <w:vAlign w:val="center"/>
          </w:tcPr>
          <w:p w14:paraId="45ECE76C" w14:textId="77777777" w:rsidR="00AE7FDC" w:rsidRDefault="00E62D49" w:rsidP="009303EB">
            <w:pPr>
              <w:keepNext/>
              <w:spacing w:before="60" w:after="60"/>
              <w:jc w:val="center"/>
              <w:rPr>
                <w:sz w:val="18"/>
              </w:rPr>
            </w:pPr>
            <w:r>
              <w:rPr>
                <w:sz w:val="18"/>
              </w:rPr>
              <w:t>15 to 30 minutes</w:t>
            </w:r>
          </w:p>
          <w:p w14:paraId="0CD1D9FB" w14:textId="1F4F729E" w:rsidR="00E62D49" w:rsidRPr="005B6578" w:rsidRDefault="0000300C" w:rsidP="009303EB">
            <w:pPr>
              <w:keepNext/>
              <w:spacing w:before="60" w:after="60"/>
              <w:jc w:val="center"/>
              <w:rPr>
                <w:sz w:val="18"/>
              </w:rPr>
            </w:pPr>
            <w:r>
              <w:rPr>
                <w:sz w:val="18"/>
              </w:rPr>
              <w:t>(</w:t>
            </w:r>
            <w:r w:rsidR="00E62D49" w:rsidRPr="005B6578">
              <w:rPr>
                <w:sz w:val="18"/>
              </w:rPr>
              <w:t>$</w:t>
            </w:r>
            <w:r w:rsidR="00E62D49">
              <w:rPr>
                <w:sz w:val="18"/>
              </w:rPr>
              <w:t>19.09 to $38.19</w:t>
            </w:r>
            <w:r>
              <w:rPr>
                <w:sz w:val="18"/>
              </w:rPr>
              <w:t>)</w:t>
            </w:r>
          </w:p>
        </w:tc>
      </w:tr>
    </w:tbl>
    <w:p w14:paraId="5773EB04" w14:textId="3F9C8739" w:rsidR="00E62D49" w:rsidRPr="007A3B9A" w:rsidRDefault="00E62D49" w:rsidP="00E62D49">
      <w:pPr>
        <w:rPr>
          <w:szCs w:val="20"/>
        </w:rPr>
      </w:pPr>
      <w:r>
        <w:t xml:space="preserve">As shown in </w:t>
      </w:r>
      <w:r>
        <w:fldChar w:fldCharType="begin"/>
      </w:r>
      <w:r>
        <w:instrText xml:space="preserve"> REF _Ref35943846 \h  \* MERGEFORMAT </w:instrText>
      </w:r>
      <w:r>
        <w:fldChar w:fldCharType="separate"/>
      </w:r>
      <w:r w:rsidR="00277F6E" w:rsidRPr="00277F6E">
        <w:t>Table 7</w:t>
      </w:r>
      <w:r w:rsidR="00277F6E" w:rsidRPr="00277F6E">
        <w:noBreakHyphen/>
        <w:t>19</w:t>
      </w:r>
      <w:r>
        <w:fldChar w:fldCharType="end"/>
      </w:r>
      <w:r>
        <w:t xml:space="preserve"> below, based on a real discount rate of 4 per cent, the 10-year NPV for all operators to comply with the proposed notifications requirement </w:t>
      </w:r>
      <w:r w:rsidRPr="007A3B9A">
        <w:rPr>
          <w:szCs w:val="20"/>
        </w:rPr>
        <w:t>is estimated to be approximately $0.06</w:t>
      </w:r>
      <w:r w:rsidR="00E2459C">
        <w:rPr>
          <w:szCs w:val="20"/>
        </w:rPr>
        <w:t>5</w:t>
      </w:r>
      <w:r w:rsidRPr="007A3B9A">
        <w:rPr>
          <w:szCs w:val="20"/>
        </w:rPr>
        <w:t xml:space="preserve"> million to $0.1</w:t>
      </w:r>
      <w:r w:rsidR="00E2459C">
        <w:rPr>
          <w:szCs w:val="20"/>
        </w:rPr>
        <w:t>3</w:t>
      </w:r>
      <w:r w:rsidRPr="007A3B9A">
        <w:rPr>
          <w:szCs w:val="20"/>
        </w:rPr>
        <w:t xml:space="preserve"> million. The EAC is estimated to be approximately </w:t>
      </w:r>
      <w:r w:rsidRPr="00432552">
        <w:rPr>
          <w:rFonts w:eastAsia="Times New Roman" w:cstheme="minorHAnsi"/>
          <w:color w:val="000000"/>
          <w:szCs w:val="20"/>
          <w:lang w:eastAsia="en-AU"/>
        </w:rPr>
        <w:t>$0.00</w:t>
      </w:r>
      <w:r w:rsidR="00E2459C">
        <w:rPr>
          <w:rFonts w:eastAsia="Times New Roman" w:cstheme="minorHAnsi"/>
          <w:color w:val="000000"/>
          <w:szCs w:val="20"/>
          <w:lang w:eastAsia="en-AU"/>
        </w:rPr>
        <w:t>8</w:t>
      </w:r>
      <w:r w:rsidRPr="00432552">
        <w:rPr>
          <w:rFonts w:eastAsia="Times New Roman" w:cstheme="minorHAnsi"/>
          <w:color w:val="000000"/>
          <w:szCs w:val="20"/>
          <w:lang w:eastAsia="en-AU"/>
        </w:rPr>
        <w:t xml:space="preserve"> million to $0.02 million. </w:t>
      </w:r>
    </w:p>
    <w:p w14:paraId="150BE148" w14:textId="74FA8B8C" w:rsidR="00E62D49" w:rsidRPr="002E6534" w:rsidRDefault="00E62D49" w:rsidP="007620AA">
      <w:pPr>
        <w:pStyle w:val="Caption"/>
        <w:keepNext/>
        <w:spacing w:after="60"/>
        <w:rPr>
          <w:b/>
          <w:bCs/>
          <w:i w:val="0"/>
          <w:iCs w:val="0"/>
        </w:rPr>
      </w:pPr>
      <w:bookmarkStart w:id="790" w:name="_Ref35943846"/>
      <w:bookmarkStart w:id="791" w:name="_Toc44437391"/>
      <w:bookmarkStart w:id="792" w:name="_Toc44597462"/>
      <w:bookmarkStart w:id="793" w:name="_Toc44597526"/>
      <w:bookmarkStart w:id="794" w:name="_Toc44600096"/>
      <w:bookmarkStart w:id="795" w:name="_Toc44600551"/>
      <w:bookmarkStart w:id="796" w:name="_Toc44600718"/>
      <w:bookmarkStart w:id="797" w:name="_Toc44601215"/>
      <w:bookmarkStart w:id="798" w:name="_Toc44601268"/>
      <w:bookmarkStart w:id="799" w:name="_Toc44603416"/>
      <w:bookmarkStart w:id="800" w:name="_Toc45704464"/>
      <w:r w:rsidRPr="008153F7">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19</w:t>
      </w:r>
      <w:r w:rsidR="00D2483C">
        <w:rPr>
          <w:b/>
          <w:i w:val="0"/>
        </w:rPr>
        <w:fldChar w:fldCharType="end"/>
      </w:r>
      <w:bookmarkEnd w:id="790"/>
      <w:r w:rsidRPr="008153F7">
        <w:rPr>
          <w:b/>
          <w:bCs/>
          <w:i w:val="0"/>
          <w:iCs w:val="0"/>
        </w:rPr>
        <w:t>: NPV and EAC for notifications</w:t>
      </w:r>
      <w:bookmarkEnd w:id="791"/>
      <w:bookmarkEnd w:id="792"/>
      <w:bookmarkEnd w:id="793"/>
      <w:bookmarkEnd w:id="794"/>
      <w:bookmarkEnd w:id="795"/>
      <w:bookmarkEnd w:id="796"/>
      <w:bookmarkEnd w:id="797"/>
      <w:bookmarkEnd w:id="798"/>
      <w:bookmarkEnd w:id="799"/>
      <w:bookmarkEnd w:id="800"/>
    </w:p>
    <w:tbl>
      <w:tblPr>
        <w:tblW w:w="6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0"/>
        <w:gridCol w:w="2231"/>
        <w:gridCol w:w="2230"/>
      </w:tblGrid>
      <w:tr w:rsidR="00E62D49" w:rsidRPr="00117CB8" w14:paraId="351F6CBA" w14:textId="77777777" w:rsidTr="009303EB">
        <w:trPr>
          <w:cantSplit/>
          <w:trHeight w:val="288"/>
        </w:trPr>
        <w:tc>
          <w:tcPr>
            <w:tcW w:w="1912" w:type="dxa"/>
            <w:shd w:val="clear" w:color="auto" w:fill="D6ECED"/>
            <w:noWrap/>
            <w:vAlign w:val="bottom"/>
            <w:hideMark/>
          </w:tcPr>
          <w:p w14:paraId="03CE3F0F" w14:textId="77777777" w:rsidR="00E62D49" w:rsidRPr="00117CB8" w:rsidRDefault="00E62D49" w:rsidP="009303EB">
            <w:pPr>
              <w:keepNext/>
              <w:spacing w:before="60" w:after="60"/>
              <w:jc w:val="center"/>
              <w:rPr>
                <w:rFonts w:eastAsia="Times New Roman" w:cstheme="minorHAnsi"/>
                <w:b/>
                <w:bCs/>
                <w:color w:val="000000"/>
                <w:sz w:val="18"/>
                <w:lang w:eastAsia="en-AU"/>
              </w:rPr>
            </w:pPr>
            <w:r w:rsidRPr="00117CB8">
              <w:rPr>
                <w:b/>
                <w:bCs/>
                <w:sz w:val="18"/>
              </w:rPr>
              <w:t>Activity</w:t>
            </w:r>
          </w:p>
        </w:tc>
        <w:tc>
          <w:tcPr>
            <w:tcW w:w="1913" w:type="dxa"/>
            <w:shd w:val="clear" w:color="auto" w:fill="D6ECED"/>
            <w:noWrap/>
            <w:hideMark/>
          </w:tcPr>
          <w:p w14:paraId="1A55C2E5" w14:textId="465945E6" w:rsidR="00E62D49" w:rsidRPr="00117CB8" w:rsidRDefault="00E62D49" w:rsidP="009303EB">
            <w:pPr>
              <w:keepNext/>
              <w:spacing w:before="60" w:after="60"/>
              <w:jc w:val="center"/>
              <w:rPr>
                <w:rFonts w:eastAsia="Times New Roman" w:cstheme="minorHAnsi"/>
                <w:b/>
                <w:bCs/>
                <w:color w:val="000000"/>
                <w:sz w:val="18"/>
                <w:lang w:eastAsia="en-AU"/>
              </w:rPr>
            </w:pPr>
            <w:r>
              <w:rPr>
                <w:b/>
                <w:bCs/>
                <w:sz w:val="18"/>
              </w:rPr>
              <w:t>NPV</w:t>
            </w:r>
          </w:p>
        </w:tc>
        <w:tc>
          <w:tcPr>
            <w:tcW w:w="1912" w:type="dxa"/>
            <w:shd w:val="clear" w:color="auto" w:fill="D6ECED"/>
            <w:noWrap/>
            <w:hideMark/>
          </w:tcPr>
          <w:p w14:paraId="6722979E" w14:textId="77777777" w:rsidR="00E62D49" w:rsidRPr="00117CB8" w:rsidRDefault="00E62D49" w:rsidP="009303EB">
            <w:pPr>
              <w:keepNext/>
              <w:spacing w:before="60" w:after="60"/>
              <w:jc w:val="center"/>
              <w:rPr>
                <w:rFonts w:eastAsia="Times New Roman" w:cstheme="minorHAnsi"/>
                <w:b/>
                <w:bCs/>
                <w:color w:val="000000"/>
                <w:sz w:val="18"/>
                <w:lang w:eastAsia="en-AU"/>
              </w:rPr>
            </w:pPr>
            <w:r>
              <w:rPr>
                <w:b/>
                <w:bCs/>
                <w:sz w:val="18"/>
              </w:rPr>
              <w:t>EAC</w:t>
            </w:r>
          </w:p>
        </w:tc>
      </w:tr>
      <w:tr w:rsidR="00E62D49" w:rsidRPr="00117CB8" w14:paraId="5D8FD529" w14:textId="77777777" w:rsidTr="009303EB">
        <w:trPr>
          <w:cantSplit/>
          <w:trHeight w:val="288"/>
        </w:trPr>
        <w:tc>
          <w:tcPr>
            <w:tcW w:w="1912" w:type="dxa"/>
            <w:shd w:val="clear" w:color="auto" w:fill="auto"/>
            <w:noWrap/>
            <w:hideMark/>
          </w:tcPr>
          <w:p w14:paraId="119AFDBB" w14:textId="77777777" w:rsidR="00E62D49" w:rsidRPr="00117CB8" w:rsidRDefault="00E62D49" w:rsidP="009303EB">
            <w:pPr>
              <w:keepNext/>
              <w:spacing w:before="60" w:after="60"/>
              <w:jc w:val="center"/>
              <w:rPr>
                <w:rFonts w:eastAsia="Times New Roman" w:cstheme="minorHAnsi"/>
                <w:color w:val="000000"/>
                <w:sz w:val="18"/>
                <w:lang w:eastAsia="en-AU"/>
              </w:rPr>
            </w:pPr>
            <w:r>
              <w:rPr>
                <w:rFonts w:cstheme="minorHAnsi"/>
                <w:color w:val="auto"/>
                <w:sz w:val="18"/>
              </w:rPr>
              <w:t>Notifications</w:t>
            </w:r>
          </w:p>
        </w:tc>
        <w:tc>
          <w:tcPr>
            <w:tcW w:w="1913" w:type="dxa"/>
            <w:shd w:val="clear" w:color="auto" w:fill="auto"/>
            <w:noWrap/>
          </w:tcPr>
          <w:p w14:paraId="0204A077" w14:textId="40E8474E" w:rsidR="00E62D49" w:rsidRPr="00117CB8" w:rsidRDefault="00E62D49"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$0.06</w:t>
            </w:r>
            <w:r w:rsidR="00600F52">
              <w:rPr>
                <w:rFonts w:eastAsia="Times New Roman" w:cstheme="minorHAnsi"/>
                <w:color w:val="000000"/>
                <w:sz w:val="18"/>
                <w:lang w:eastAsia="en-AU"/>
              </w:rPr>
              <w:t>5</w:t>
            </w:r>
            <w:r>
              <w:rPr>
                <w:rFonts w:eastAsia="Times New Roman" w:cstheme="minorHAnsi"/>
                <w:color w:val="000000"/>
                <w:sz w:val="18"/>
                <w:lang w:eastAsia="en-AU"/>
              </w:rPr>
              <w:t>m – $0.1</w:t>
            </w:r>
            <w:r w:rsidR="00600F52">
              <w:rPr>
                <w:rFonts w:eastAsia="Times New Roman" w:cstheme="minorHAnsi"/>
                <w:color w:val="000000"/>
                <w:sz w:val="18"/>
                <w:lang w:eastAsia="en-AU"/>
              </w:rPr>
              <w:t>3</w:t>
            </w:r>
            <w:r>
              <w:rPr>
                <w:rFonts w:eastAsia="Times New Roman" w:cstheme="minorHAnsi"/>
                <w:color w:val="000000"/>
                <w:sz w:val="18"/>
                <w:lang w:eastAsia="en-AU"/>
              </w:rPr>
              <w:t>m</w:t>
            </w:r>
          </w:p>
        </w:tc>
        <w:tc>
          <w:tcPr>
            <w:tcW w:w="1912" w:type="dxa"/>
            <w:shd w:val="clear" w:color="auto" w:fill="auto"/>
            <w:noWrap/>
          </w:tcPr>
          <w:p w14:paraId="068CAB2F" w14:textId="59B9B288" w:rsidR="00E62D49" w:rsidRPr="00117CB8" w:rsidRDefault="00E62D49"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$0.00</w:t>
            </w:r>
            <w:r w:rsidR="00600F52">
              <w:rPr>
                <w:rFonts w:eastAsia="Times New Roman" w:cstheme="minorHAnsi"/>
                <w:color w:val="000000"/>
                <w:sz w:val="18"/>
                <w:lang w:eastAsia="en-AU"/>
              </w:rPr>
              <w:t>8</w:t>
            </w:r>
            <w:r>
              <w:rPr>
                <w:rFonts w:eastAsia="Times New Roman" w:cstheme="minorHAnsi"/>
                <w:color w:val="000000"/>
                <w:sz w:val="18"/>
                <w:lang w:eastAsia="en-AU"/>
              </w:rPr>
              <w:t>m – $0.02m</w:t>
            </w:r>
          </w:p>
        </w:tc>
      </w:tr>
    </w:tbl>
    <w:p w14:paraId="71F1615F" w14:textId="5603058D" w:rsidR="00E62D49" w:rsidRDefault="00E62D49" w:rsidP="00E62D49">
      <w:r>
        <w:t>One of the changes proposed in the draft regulations</w:t>
      </w:r>
      <w:r w:rsidR="00A770C0">
        <w:t xml:space="preserve"> and introduced in Section </w:t>
      </w:r>
      <w:r w:rsidR="00A770C0">
        <w:fldChar w:fldCharType="begin"/>
      </w:r>
      <w:r w:rsidR="00A770C0">
        <w:instrText xml:space="preserve"> REF _Ref41835908 \r \h </w:instrText>
      </w:r>
      <w:r w:rsidR="00A770C0">
        <w:fldChar w:fldCharType="separate"/>
      </w:r>
      <w:r w:rsidR="00277F6E">
        <w:t>6.3</w:t>
      </w:r>
      <w:r w:rsidR="00A770C0">
        <w:fldChar w:fldCharType="end"/>
      </w:r>
      <w:r>
        <w:t>, is to permit operators to report certain incidents on a monthly basis. There may be some reductions in cost (compared to the status quo) associated with allowing bus operator</w:t>
      </w:r>
      <w:r w:rsidR="00C66885">
        <w:t>s</w:t>
      </w:r>
      <w:r>
        <w:t xml:space="preserve"> to report on incidents on a monthly basis, as bulk reporting mean</w:t>
      </w:r>
      <w:r w:rsidR="00F65C77">
        <w:t>s</w:t>
      </w:r>
      <w:r>
        <w:t xml:space="preserve"> that several incidents can be reported at once. DoT considers monthly reporting may reduce the compliance costs</w:t>
      </w:r>
      <w:r w:rsidR="00297FD7">
        <w:t xml:space="preserve"> by allowing for economies of scale</w:t>
      </w:r>
      <w:r w:rsidR="00BD6F73">
        <w:t xml:space="preserve"> when writing notification</w:t>
      </w:r>
      <w:r w:rsidR="00DF7D81">
        <w:t>s</w:t>
      </w:r>
      <w:r w:rsidR="009F2162">
        <w:t xml:space="preserve">, </w:t>
      </w:r>
      <w:r w:rsidR="005370A6">
        <w:t xml:space="preserve">however given that the general information required per incidents will be the same regardless of when the incident is reported, the </w:t>
      </w:r>
      <w:r w:rsidR="009F2162">
        <w:t>size of t</w:t>
      </w:r>
      <w:r w:rsidR="005370A6">
        <w:t>he</w:t>
      </w:r>
      <w:r w:rsidR="009F2162">
        <w:t xml:space="preserve"> reduction</w:t>
      </w:r>
      <w:r w:rsidR="005370A6">
        <w:t xml:space="preserve"> in compliance costs</w:t>
      </w:r>
      <w:r w:rsidR="009F2162">
        <w:t xml:space="preserve"> will be low</w:t>
      </w:r>
      <w:r>
        <w:t>.</w:t>
      </w:r>
    </w:p>
    <w:p w14:paraId="5431621C" w14:textId="40652438" w:rsidR="00E62D49" w:rsidRPr="001C2DC0" w:rsidRDefault="00E62D49" w:rsidP="0095677C">
      <w:pPr>
        <w:pStyle w:val="Heading5"/>
      </w:pPr>
      <w:r w:rsidRPr="001C2DC0">
        <w:t>Summary</w:t>
      </w:r>
    </w:p>
    <w:p w14:paraId="058DBBE5" w14:textId="4F5B14C3" w:rsidR="00E62D49" w:rsidRPr="009C1653" w:rsidRDefault="00E62D49" w:rsidP="00E62D49">
      <w:r>
        <w:t>Incident notifications are intended to improve the level of information available to the regulator in order for it to undertake its functions. D</w:t>
      </w:r>
      <w:r w:rsidR="00360102">
        <w:t>o</w:t>
      </w:r>
      <w:r>
        <w:t>T estimates that the compliance costs associated with incident reporting is in the range of $0.06</w:t>
      </w:r>
      <w:r w:rsidR="00600F52">
        <w:t>5</w:t>
      </w:r>
      <w:r>
        <w:t xml:space="preserve"> </w:t>
      </w:r>
      <w:r w:rsidR="00D518EE">
        <w:t xml:space="preserve">million </w:t>
      </w:r>
      <w:r>
        <w:t>to $0.1</w:t>
      </w:r>
      <w:r w:rsidR="00600F52">
        <w:t>3</w:t>
      </w:r>
      <w:r>
        <w:t xml:space="preserve"> million</w:t>
      </w:r>
      <w:r w:rsidR="008848D4">
        <w:t xml:space="preserve"> over the life of the regulations</w:t>
      </w:r>
      <w:r>
        <w:t>. Since the compliance costs are relatively low, D</w:t>
      </w:r>
      <w:r w:rsidR="003F7701">
        <w:t>o</w:t>
      </w:r>
      <w:r>
        <w:t xml:space="preserve">T is recommending that the </w:t>
      </w:r>
      <w:r w:rsidR="003F7701">
        <w:t xml:space="preserve">proposed </w:t>
      </w:r>
      <w:r>
        <w:t>regulations be made.</w:t>
      </w:r>
    </w:p>
    <w:p w14:paraId="2D3293B8" w14:textId="4DBFFDE5" w:rsidR="00D83745" w:rsidRDefault="00D83745" w:rsidP="00D83745">
      <w:pPr>
        <w:pStyle w:val="Heading2"/>
      </w:pPr>
      <w:bookmarkStart w:id="801" w:name="_Ref41819719"/>
      <w:bookmarkStart w:id="802" w:name="_Toc45704379"/>
      <w:r>
        <w:t xml:space="preserve">Bus </w:t>
      </w:r>
      <w:r w:rsidR="005B3C0C">
        <w:t>i</w:t>
      </w:r>
      <w:r>
        <w:t xml:space="preserve">ncident </w:t>
      </w:r>
      <w:r w:rsidR="005B3C0C">
        <w:t>i</w:t>
      </w:r>
      <w:r>
        <w:t>nvestigation</w:t>
      </w:r>
      <w:bookmarkEnd w:id="802"/>
    </w:p>
    <w:p w14:paraId="0859CBAB" w14:textId="5A78CD85" w:rsidR="00D83745" w:rsidRDefault="00457744" w:rsidP="00D83745">
      <w:r>
        <w:t>This section considers the impacts of the proposed powers to</w:t>
      </w:r>
      <w:r w:rsidR="00D83745">
        <w:t xml:space="preserve"> the Safety Director to direct bus operators to investigate a bus safety incident</w:t>
      </w:r>
      <w:r w:rsidR="006E7715">
        <w:t xml:space="preserve"> (status quo)</w:t>
      </w:r>
      <w:r w:rsidR="005B3C0C">
        <w:t xml:space="preserve">, </w:t>
      </w:r>
      <w:r w:rsidR="00470BFC">
        <w:t>based on consideration</w:t>
      </w:r>
      <w:r w:rsidR="0012777B">
        <w:t>s</w:t>
      </w:r>
      <w:r w:rsidR="00470BFC">
        <w:t xml:space="preserve"> discussed in </w:t>
      </w:r>
      <w:r w:rsidR="005B3C0C">
        <w:t xml:space="preserve">Section </w:t>
      </w:r>
      <w:r w:rsidR="005B3C0C">
        <w:fldChar w:fldCharType="begin"/>
      </w:r>
      <w:r w:rsidR="005B3C0C">
        <w:instrText xml:space="preserve"> REF _Ref41981459 \r \h </w:instrText>
      </w:r>
      <w:r w:rsidR="005B3C0C">
        <w:fldChar w:fldCharType="separate"/>
      </w:r>
      <w:r w:rsidR="00277F6E">
        <w:t>6.4</w:t>
      </w:r>
      <w:r w:rsidR="005B3C0C">
        <w:fldChar w:fldCharType="end"/>
      </w:r>
      <w:r w:rsidR="00D83745">
        <w:t>.</w:t>
      </w:r>
    </w:p>
    <w:p w14:paraId="77E72015" w14:textId="77777777" w:rsidR="00D83745" w:rsidRDefault="00D83745" w:rsidP="0095677C">
      <w:pPr>
        <w:pStyle w:val="Heading5"/>
      </w:pPr>
      <w:r w:rsidRPr="00006F42">
        <w:t>Expected benefits</w:t>
      </w:r>
    </w:p>
    <w:p w14:paraId="2F5B0825" w14:textId="2ACDF498" w:rsidR="004E4E8A" w:rsidRDefault="00D83745" w:rsidP="00D83745">
      <w:r>
        <w:t xml:space="preserve">Bus incident investigation powers may be exercised following an incident and the purpose of such investigations is to complement the Safety Director’s own investigative work. Investigations, effectively, support the operator’s compliance with their general safety duties under the Bus Safety Act. DoT expects that a bus operator’s investigation would determine the causes of an incident and reveal potential measures to mitigate or eliminate risks to safety in the bus operator’s operations. It </w:t>
      </w:r>
      <w:r>
        <w:lastRenderedPageBreak/>
        <w:t xml:space="preserve">enables operators to review their policies and procedures to minimise the occurrence of similar bus safety incidents in the future. </w:t>
      </w:r>
    </w:p>
    <w:p w14:paraId="78C6B1F9" w14:textId="4085B803" w:rsidR="00D83745" w:rsidRDefault="00D83745" w:rsidP="00D83745">
      <w:r>
        <w:t>Accordingly, DoT expects safety to be improved as threats to safety are mitigated or eliminated. It also assists with informing the Safety Director of safety matters to consider in future as a result of the investigation</w:t>
      </w:r>
      <w:r w:rsidR="00AD76B2">
        <w:t xml:space="preserve">. This is </w:t>
      </w:r>
      <w:r w:rsidR="00362A3B">
        <w:t>expected to drive safety improvements</w:t>
      </w:r>
      <w:r w:rsidR="00AB7BA3">
        <w:t xml:space="preserve"> in the industry</w:t>
      </w:r>
      <w:r w:rsidR="001C0B17">
        <w:t xml:space="preserve"> and r</w:t>
      </w:r>
      <w:r w:rsidR="00300D35">
        <w:t>educe</w:t>
      </w:r>
      <w:r w:rsidR="001C0B17">
        <w:t xml:space="preserve"> regulator costs</w:t>
      </w:r>
      <w:r w:rsidR="00EC549A">
        <w:t xml:space="preserve"> by directing regulator resources </w:t>
      </w:r>
      <w:r w:rsidR="00AA61BC">
        <w:t xml:space="preserve">to </w:t>
      </w:r>
      <w:r w:rsidR="007D1150">
        <w:t xml:space="preserve">safety matters </w:t>
      </w:r>
      <w:r w:rsidR="00DA78E6">
        <w:t>considered</w:t>
      </w:r>
      <w:r w:rsidR="007D1150">
        <w:t xml:space="preserve"> higher risk</w:t>
      </w:r>
      <w:r>
        <w:t>.</w:t>
      </w:r>
    </w:p>
    <w:p w14:paraId="23E27D70" w14:textId="3A968BA3" w:rsidR="00D83745" w:rsidRPr="00786B17" w:rsidRDefault="00D83745" w:rsidP="00D83745">
      <w:r>
        <w:t xml:space="preserve">However, since the specific requirements will be directed at a particular </w:t>
      </w:r>
      <w:r w:rsidR="00931525">
        <w:t xml:space="preserve">operator </w:t>
      </w:r>
      <w:r>
        <w:t>(at the direction of the Safety Director), the improvements to safety is expected to be relatively low overall.</w:t>
      </w:r>
      <w:r w:rsidR="004E4E8A">
        <w:t xml:space="preserve"> In addition, in the absence of the regulations, operators may already have an incentive to investigate bus safety incidents to ensure the safety, as required under the Bus Safety Act, so the benefits of </w:t>
      </w:r>
      <w:r w:rsidR="004B4AEE">
        <w:t>investigations</w:t>
      </w:r>
      <w:r w:rsidR="009C75D9">
        <w:t xml:space="preserve"> conducted by bus operators</w:t>
      </w:r>
      <w:r w:rsidR="004E4E8A">
        <w:t xml:space="preserve"> cannot be entirely attributed to the proposed Regulations. </w:t>
      </w:r>
    </w:p>
    <w:p w14:paraId="79A69078" w14:textId="77777777" w:rsidR="00D83745" w:rsidRDefault="00D83745" w:rsidP="0095677C">
      <w:pPr>
        <w:pStyle w:val="Heading5"/>
      </w:pPr>
      <w:r w:rsidRPr="00006F42">
        <w:t>Expected costs</w:t>
      </w:r>
    </w:p>
    <w:p w14:paraId="060144E8" w14:textId="52B51A0E" w:rsidR="00D83745" w:rsidRDefault="00D83745" w:rsidP="00D83745">
      <w:r>
        <w:t xml:space="preserve">Bus incident investigations only occur when the Safety Director exercises the power to direct an operator to investigate an incident. Therefore, the costs associated with conducting bus incident investigations are only borne by those who have been directed. </w:t>
      </w:r>
    </w:p>
    <w:p w14:paraId="79BD2EC0" w14:textId="5EB7B95D" w:rsidR="00D83745" w:rsidRPr="009C12F5" w:rsidRDefault="00D83745" w:rsidP="00D83745">
      <w:pPr>
        <w:rPr>
          <w:highlight w:val="yellow"/>
        </w:rPr>
      </w:pPr>
      <w:r>
        <w:t xml:space="preserve">Currently, bus incident investigations are conducted by TSV officers (internal) or by the bus operator </w:t>
      </w:r>
      <w:r w:rsidRPr="009C12F5">
        <w:t xml:space="preserve">(external). </w:t>
      </w:r>
      <w:r w:rsidR="00612799">
        <w:fldChar w:fldCharType="begin"/>
      </w:r>
      <w:r w:rsidR="00612799">
        <w:instrText xml:space="preserve"> REF _Ref42009001 \h  \* MERGEFORMAT </w:instrText>
      </w:r>
      <w:r w:rsidR="00612799">
        <w:fldChar w:fldCharType="separate"/>
      </w:r>
      <w:r w:rsidR="00277F6E" w:rsidRPr="00277F6E">
        <w:t>Table 7</w:t>
      </w:r>
      <w:r w:rsidR="00277F6E" w:rsidRPr="00277F6E">
        <w:noBreakHyphen/>
        <w:t>20</w:t>
      </w:r>
      <w:r w:rsidR="00612799">
        <w:fldChar w:fldCharType="end"/>
      </w:r>
      <w:r>
        <w:t xml:space="preserve"> </w:t>
      </w:r>
      <w:r w:rsidRPr="009C12F5">
        <w:t xml:space="preserve">shows the number of bus investigations conducted </w:t>
      </w:r>
      <w:r>
        <w:t xml:space="preserve">by operators </w:t>
      </w:r>
      <w:r w:rsidRPr="009C12F5">
        <w:t>per year during the period 2011 to 2019. The average number of investigations during th</w:t>
      </w:r>
      <w:r>
        <w:t>is</w:t>
      </w:r>
      <w:r w:rsidRPr="009C12F5">
        <w:t xml:space="preserve"> period is </w:t>
      </w:r>
      <w:r>
        <w:t>27</w:t>
      </w:r>
      <w:r w:rsidRPr="009C12F5">
        <w:t xml:space="preserve"> investigations per year. </w:t>
      </w:r>
    </w:p>
    <w:p w14:paraId="69B77DF9" w14:textId="15835E76" w:rsidR="00D83745" w:rsidRPr="009C12F5" w:rsidRDefault="00D83745" w:rsidP="007620AA">
      <w:pPr>
        <w:pStyle w:val="Caption"/>
        <w:keepNext/>
        <w:spacing w:after="60"/>
        <w:rPr>
          <w:b/>
          <w:bCs/>
          <w:i w:val="0"/>
          <w:iCs w:val="0"/>
        </w:rPr>
      </w:pPr>
      <w:bookmarkStart w:id="803" w:name="_Ref42009001"/>
      <w:bookmarkStart w:id="804" w:name="_Toc44437392"/>
      <w:bookmarkStart w:id="805" w:name="_Toc44597463"/>
      <w:bookmarkStart w:id="806" w:name="_Toc44597527"/>
      <w:bookmarkStart w:id="807" w:name="_Toc44600097"/>
      <w:bookmarkStart w:id="808" w:name="_Toc44600552"/>
      <w:bookmarkStart w:id="809" w:name="_Toc44600719"/>
      <w:bookmarkStart w:id="810" w:name="_Toc44601216"/>
      <w:bookmarkStart w:id="811" w:name="_Toc44601269"/>
      <w:bookmarkStart w:id="812" w:name="_Toc44603417"/>
      <w:bookmarkStart w:id="813" w:name="_Toc45704465"/>
      <w:r w:rsidRPr="00EB7998">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20</w:t>
      </w:r>
      <w:r w:rsidR="00D2483C">
        <w:rPr>
          <w:b/>
          <w:i w:val="0"/>
        </w:rPr>
        <w:fldChar w:fldCharType="end"/>
      </w:r>
      <w:bookmarkEnd w:id="803"/>
      <w:r w:rsidRPr="00EB7998">
        <w:rPr>
          <w:b/>
          <w:bCs/>
          <w:i w:val="0"/>
          <w:iCs w:val="0"/>
        </w:rPr>
        <w:t>: Total bus investigations per year – 2011-2019</w:t>
      </w:r>
      <w:bookmarkEnd w:id="804"/>
      <w:bookmarkEnd w:id="805"/>
      <w:bookmarkEnd w:id="806"/>
      <w:bookmarkEnd w:id="807"/>
      <w:bookmarkEnd w:id="808"/>
      <w:bookmarkEnd w:id="809"/>
      <w:bookmarkEnd w:id="810"/>
      <w:bookmarkEnd w:id="811"/>
      <w:bookmarkEnd w:id="812"/>
      <w:bookmarkEnd w:id="813"/>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4"/>
        <w:gridCol w:w="983"/>
        <w:gridCol w:w="983"/>
        <w:gridCol w:w="983"/>
        <w:gridCol w:w="983"/>
        <w:gridCol w:w="983"/>
        <w:gridCol w:w="983"/>
        <w:gridCol w:w="983"/>
      </w:tblGrid>
      <w:tr w:rsidR="00D83745" w:rsidRPr="00616C9C" w14:paraId="55B5F71E" w14:textId="77777777" w:rsidTr="009303EB">
        <w:trPr>
          <w:cantSplit/>
          <w:trHeight w:val="288"/>
        </w:trPr>
        <w:tc>
          <w:tcPr>
            <w:tcW w:w="1644" w:type="dxa"/>
            <w:shd w:val="clear" w:color="auto" w:fill="D6ECED"/>
            <w:noWrap/>
            <w:vAlign w:val="bottom"/>
            <w:hideMark/>
          </w:tcPr>
          <w:p w14:paraId="3F68ADF9" w14:textId="77777777" w:rsidR="00D83745" w:rsidRPr="00616C9C" w:rsidRDefault="00D83745" w:rsidP="009303EB">
            <w:pPr>
              <w:keepNext/>
              <w:spacing w:before="60" w:after="60"/>
              <w:jc w:val="center"/>
              <w:rPr>
                <w:rFonts w:eastAsia="Times New Roman" w:cstheme="minorHAnsi"/>
                <w:b/>
                <w:bCs/>
                <w:color w:val="000000"/>
                <w:sz w:val="18"/>
                <w:lang w:eastAsia="en-AU"/>
              </w:rPr>
            </w:pPr>
            <w:r>
              <w:rPr>
                <w:rFonts w:eastAsia="Times New Roman" w:cstheme="minorHAnsi"/>
                <w:b/>
                <w:bCs/>
                <w:color w:val="000000"/>
                <w:sz w:val="18"/>
                <w:lang w:eastAsia="en-AU"/>
              </w:rPr>
              <w:t>Investigations</w:t>
            </w:r>
          </w:p>
        </w:tc>
        <w:tc>
          <w:tcPr>
            <w:tcW w:w="757" w:type="dxa"/>
            <w:shd w:val="clear" w:color="auto" w:fill="D6ECED"/>
            <w:noWrap/>
            <w:vAlign w:val="bottom"/>
            <w:hideMark/>
          </w:tcPr>
          <w:p w14:paraId="2DE6EE3E"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2015</w:t>
            </w:r>
          </w:p>
        </w:tc>
        <w:tc>
          <w:tcPr>
            <w:tcW w:w="757" w:type="dxa"/>
            <w:shd w:val="clear" w:color="auto" w:fill="D6ECED"/>
            <w:noWrap/>
            <w:vAlign w:val="bottom"/>
            <w:hideMark/>
          </w:tcPr>
          <w:p w14:paraId="0F4E90A0"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2016</w:t>
            </w:r>
          </w:p>
        </w:tc>
        <w:tc>
          <w:tcPr>
            <w:tcW w:w="757" w:type="dxa"/>
            <w:shd w:val="clear" w:color="auto" w:fill="D6ECED"/>
            <w:noWrap/>
            <w:vAlign w:val="bottom"/>
            <w:hideMark/>
          </w:tcPr>
          <w:p w14:paraId="540F0445"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2017</w:t>
            </w:r>
          </w:p>
        </w:tc>
        <w:tc>
          <w:tcPr>
            <w:tcW w:w="757" w:type="dxa"/>
            <w:shd w:val="clear" w:color="auto" w:fill="D6ECED"/>
            <w:noWrap/>
            <w:vAlign w:val="bottom"/>
            <w:hideMark/>
          </w:tcPr>
          <w:p w14:paraId="5F23A31B"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2018</w:t>
            </w:r>
          </w:p>
        </w:tc>
        <w:tc>
          <w:tcPr>
            <w:tcW w:w="757" w:type="dxa"/>
            <w:shd w:val="clear" w:color="auto" w:fill="D6ECED"/>
            <w:noWrap/>
            <w:vAlign w:val="bottom"/>
            <w:hideMark/>
          </w:tcPr>
          <w:p w14:paraId="75352D0E"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2019</w:t>
            </w:r>
          </w:p>
        </w:tc>
        <w:tc>
          <w:tcPr>
            <w:tcW w:w="757" w:type="dxa"/>
            <w:shd w:val="clear" w:color="auto" w:fill="D6ECED"/>
            <w:noWrap/>
            <w:vAlign w:val="bottom"/>
            <w:hideMark/>
          </w:tcPr>
          <w:p w14:paraId="140E61A8"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Total</w:t>
            </w:r>
          </w:p>
        </w:tc>
        <w:tc>
          <w:tcPr>
            <w:tcW w:w="757" w:type="dxa"/>
            <w:shd w:val="clear" w:color="auto" w:fill="D6ECED"/>
          </w:tcPr>
          <w:p w14:paraId="06C52F58" w14:textId="77777777" w:rsidR="00D83745" w:rsidRDefault="00D83745" w:rsidP="009303EB">
            <w:pPr>
              <w:keepNext/>
              <w:spacing w:before="60" w:after="60"/>
              <w:jc w:val="center"/>
              <w:rPr>
                <w:rFonts w:eastAsia="Times New Roman" w:cstheme="minorHAnsi"/>
                <w:b/>
                <w:bCs/>
                <w:color w:val="000000"/>
                <w:sz w:val="18"/>
                <w:lang w:eastAsia="en-AU"/>
              </w:rPr>
            </w:pPr>
            <w:r>
              <w:rPr>
                <w:rFonts w:eastAsia="Times New Roman" w:cstheme="minorHAnsi"/>
                <w:b/>
                <w:bCs/>
                <w:color w:val="000000"/>
                <w:sz w:val="18"/>
                <w:lang w:eastAsia="en-AU"/>
              </w:rPr>
              <w:t>Ave.</w:t>
            </w:r>
          </w:p>
        </w:tc>
      </w:tr>
      <w:tr w:rsidR="00D83745" w:rsidRPr="00616C9C" w14:paraId="6BD1CD86" w14:textId="77777777" w:rsidTr="009303EB">
        <w:trPr>
          <w:cantSplit/>
          <w:trHeight w:val="288"/>
        </w:trPr>
        <w:tc>
          <w:tcPr>
            <w:tcW w:w="1644" w:type="dxa"/>
            <w:shd w:val="clear" w:color="auto" w:fill="auto"/>
            <w:noWrap/>
            <w:vAlign w:val="bottom"/>
          </w:tcPr>
          <w:p w14:paraId="40D623EC" w14:textId="77777777" w:rsidR="00D83745" w:rsidRPr="00F33606" w:rsidRDefault="00D83745" w:rsidP="009303EB">
            <w:pPr>
              <w:keepNext/>
              <w:spacing w:before="60" w:after="60"/>
              <w:jc w:val="center"/>
              <w:rPr>
                <w:rFonts w:eastAsia="Times New Roman" w:cstheme="minorHAnsi"/>
                <w:b/>
                <w:bCs/>
                <w:color w:val="000000"/>
                <w:sz w:val="18"/>
                <w:lang w:eastAsia="en-AU"/>
              </w:rPr>
            </w:pPr>
            <w:r>
              <w:rPr>
                <w:rFonts w:eastAsia="Times New Roman" w:cstheme="minorHAnsi"/>
                <w:b/>
                <w:bCs/>
                <w:color w:val="000000"/>
                <w:sz w:val="18"/>
                <w:lang w:eastAsia="en-AU"/>
              </w:rPr>
              <w:t>Count</w:t>
            </w:r>
          </w:p>
        </w:tc>
        <w:tc>
          <w:tcPr>
            <w:tcW w:w="757" w:type="dxa"/>
            <w:shd w:val="clear" w:color="auto" w:fill="auto"/>
            <w:noWrap/>
            <w:vAlign w:val="bottom"/>
          </w:tcPr>
          <w:p w14:paraId="722CEF65" w14:textId="77777777" w:rsidR="00D83745" w:rsidRDefault="00D83745"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23</w:t>
            </w:r>
          </w:p>
        </w:tc>
        <w:tc>
          <w:tcPr>
            <w:tcW w:w="757" w:type="dxa"/>
            <w:shd w:val="clear" w:color="auto" w:fill="auto"/>
            <w:noWrap/>
            <w:vAlign w:val="bottom"/>
          </w:tcPr>
          <w:p w14:paraId="40E8EDA7" w14:textId="77777777" w:rsidR="00D83745" w:rsidRDefault="00D83745"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25</w:t>
            </w:r>
          </w:p>
        </w:tc>
        <w:tc>
          <w:tcPr>
            <w:tcW w:w="757" w:type="dxa"/>
            <w:shd w:val="clear" w:color="auto" w:fill="auto"/>
            <w:noWrap/>
            <w:vAlign w:val="bottom"/>
          </w:tcPr>
          <w:p w14:paraId="42F1F22A" w14:textId="77777777" w:rsidR="00D83745" w:rsidRPr="00616C9C" w:rsidRDefault="00D83745"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30</w:t>
            </w:r>
          </w:p>
        </w:tc>
        <w:tc>
          <w:tcPr>
            <w:tcW w:w="757" w:type="dxa"/>
            <w:shd w:val="clear" w:color="auto" w:fill="auto"/>
            <w:noWrap/>
            <w:vAlign w:val="bottom"/>
          </w:tcPr>
          <w:p w14:paraId="56E40E92" w14:textId="77777777" w:rsidR="00D83745" w:rsidRPr="00616C9C" w:rsidRDefault="00D83745"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32</w:t>
            </w:r>
          </w:p>
        </w:tc>
        <w:tc>
          <w:tcPr>
            <w:tcW w:w="757" w:type="dxa"/>
            <w:shd w:val="clear" w:color="auto" w:fill="auto"/>
            <w:noWrap/>
            <w:vAlign w:val="bottom"/>
          </w:tcPr>
          <w:p w14:paraId="060FE4AA" w14:textId="77777777" w:rsidR="00D83745" w:rsidRDefault="00D83745"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28</w:t>
            </w:r>
          </w:p>
        </w:tc>
        <w:tc>
          <w:tcPr>
            <w:tcW w:w="757" w:type="dxa"/>
            <w:shd w:val="clear" w:color="auto" w:fill="auto"/>
            <w:noWrap/>
            <w:vAlign w:val="bottom"/>
          </w:tcPr>
          <w:p w14:paraId="2AC3F745" w14:textId="77777777" w:rsidR="00D83745" w:rsidRPr="00310BF3" w:rsidRDefault="00D83745" w:rsidP="009303EB">
            <w:pPr>
              <w:keepNext/>
              <w:spacing w:before="60" w:after="60"/>
              <w:jc w:val="center"/>
              <w:rPr>
                <w:rFonts w:eastAsia="Times New Roman" w:cstheme="minorHAnsi"/>
                <w:b/>
                <w:bCs/>
                <w:color w:val="000000"/>
                <w:sz w:val="18"/>
                <w:lang w:eastAsia="en-AU"/>
              </w:rPr>
            </w:pPr>
            <w:r>
              <w:rPr>
                <w:rFonts w:eastAsia="Times New Roman" w:cstheme="minorHAnsi"/>
                <w:b/>
                <w:bCs/>
                <w:color w:val="000000"/>
                <w:sz w:val="18"/>
                <w:lang w:eastAsia="en-AU"/>
              </w:rPr>
              <w:t>138</w:t>
            </w:r>
          </w:p>
        </w:tc>
        <w:tc>
          <w:tcPr>
            <w:tcW w:w="757" w:type="dxa"/>
          </w:tcPr>
          <w:p w14:paraId="3AF1DDAB" w14:textId="77777777" w:rsidR="00D83745" w:rsidRDefault="00D83745" w:rsidP="009303EB">
            <w:pPr>
              <w:keepNext/>
              <w:spacing w:before="60" w:after="60"/>
              <w:jc w:val="center"/>
              <w:rPr>
                <w:rFonts w:eastAsia="Times New Roman" w:cstheme="minorHAnsi"/>
                <w:b/>
                <w:bCs/>
                <w:color w:val="000000"/>
                <w:sz w:val="18"/>
                <w:lang w:eastAsia="en-AU"/>
              </w:rPr>
            </w:pPr>
            <w:r>
              <w:rPr>
                <w:rFonts w:eastAsia="Times New Roman" w:cstheme="minorHAnsi"/>
                <w:b/>
                <w:bCs/>
                <w:color w:val="000000"/>
                <w:sz w:val="18"/>
                <w:lang w:eastAsia="en-AU"/>
              </w:rPr>
              <w:t>27</w:t>
            </w:r>
          </w:p>
        </w:tc>
      </w:tr>
    </w:tbl>
    <w:p w14:paraId="7A124149" w14:textId="2493A630" w:rsidR="002E56DE" w:rsidRPr="002E56DE" w:rsidRDefault="002E56DE" w:rsidP="002E56DE">
      <w:pPr>
        <w:spacing w:before="40"/>
        <w:rPr>
          <w:sz w:val="16"/>
          <w:szCs w:val="16"/>
        </w:rPr>
      </w:pPr>
      <w:r w:rsidRPr="002E56DE">
        <w:rPr>
          <w:sz w:val="16"/>
          <w:szCs w:val="16"/>
        </w:rPr>
        <w:t>Source: TSV</w:t>
      </w:r>
    </w:p>
    <w:p w14:paraId="6AC676CD" w14:textId="4F5197E8" w:rsidR="00D83745" w:rsidRPr="002E6314" w:rsidRDefault="00612799" w:rsidP="00D83745">
      <w:r>
        <w:fldChar w:fldCharType="begin"/>
      </w:r>
      <w:r>
        <w:instrText xml:space="preserve"> REF _Ref24967234 \h  \* MERGEFORMAT </w:instrText>
      </w:r>
      <w:r>
        <w:fldChar w:fldCharType="separate"/>
      </w:r>
      <w:r w:rsidR="00277F6E" w:rsidRPr="00277F6E">
        <w:t>Table 3</w:t>
      </w:r>
      <w:r w:rsidR="00277F6E" w:rsidRPr="00277F6E">
        <w:noBreakHyphen/>
        <w:t>2</w:t>
      </w:r>
      <w:r>
        <w:fldChar w:fldCharType="end"/>
      </w:r>
      <w:r>
        <w:t xml:space="preserve"> </w:t>
      </w:r>
      <w:r w:rsidR="00D83745">
        <w:t xml:space="preserve">shows that incidents relating to vehicle safety (i.e. mechanical failures and fires) make up almost </w:t>
      </w:r>
      <w:r w:rsidR="005A4DC5">
        <w:t>seven</w:t>
      </w:r>
      <w:r w:rsidR="00D83745" w:rsidRPr="00EB7998">
        <w:t xml:space="preserve"> per cent</w:t>
      </w:r>
      <w:r w:rsidR="00D83745">
        <w:t xml:space="preserve"> of total incidents. Incidents relating to bus operational factors (i.e. incidents as a result of human factors), make up the remaining </w:t>
      </w:r>
      <w:r w:rsidR="00D83745" w:rsidRPr="00EB7998">
        <w:t>93 per cent</w:t>
      </w:r>
      <w:r w:rsidR="00D83745">
        <w:t xml:space="preserve"> of incidents.  </w:t>
      </w:r>
      <w:r w:rsidR="00FC090C">
        <w:t xml:space="preserve">Based on </w:t>
      </w:r>
      <w:r w:rsidR="00D83745">
        <w:t xml:space="preserve">an average of </w:t>
      </w:r>
      <w:r w:rsidR="00D83745" w:rsidRPr="00EE7F70">
        <w:t>27 operator-conducted investigations</w:t>
      </w:r>
      <w:r w:rsidR="00D83745" w:rsidRPr="001B3638">
        <w:t xml:space="preserve"> conducted per year, </w:t>
      </w:r>
      <w:r w:rsidR="00FC090C">
        <w:t xml:space="preserve">DoT assumes that </w:t>
      </w:r>
      <w:r w:rsidR="00D83745" w:rsidRPr="001B3638">
        <w:t>an average of</w:t>
      </w:r>
      <w:r w:rsidR="00D83745" w:rsidRPr="0033276F">
        <w:t xml:space="preserve"> one to two investigations per ye</w:t>
      </w:r>
      <w:r w:rsidR="00D83745" w:rsidRPr="00CF557D">
        <w:t>ar</w:t>
      </w:r>
      <w:r w:rsidR="00D83745" w:rsidRPr="00733EF6">
        <w:t xml:space="preserve"> involve investigations of mechanical failures, and the</w:t>
      </w:r>
      <w:r w:rsidR="00D83745">
        <w:t xml:space="preserve"> remaining 25</w:t>
      </w:r>
      <w:r w:rsidR="005A4DC5">
        <w:t xml:space="preserve"> to</w:t>
      </w:r>
      <w:r w:rsidR="009C0B02">
        <w:t xml:space="preserve"> </w:t>
      </w:r>
      <w:r w:rsidR="00D83745">
        <w:t xml:space="preserve">26 investigations involve reviews of operational and safety policies. </w:t>
      </w:r>
    </w:p>
    <w:p w14:paraId="5AC890AE" w14:textId="77777777" w:rsidR="00D83745" w:rsidRDefault="00D83745" w:rsidP="00D83745">
      <w:r>
        <w:t xml:space="preserve">The costs of an investigation may vary depending on the type of investigation that is required. In the case of investigations of incidents as a result of mechanical failure (e.g. brake failures, fire etc.), the costs of the investigations may include the cost of hiring engineers and mechanics to investigate and rectify any defects or issues. </w:t>
      </w:r>
    </w:p>
    <w:p w14:paraId="5B6346F0" w14:textId="77777777" w:rsidR="00D83745" w:rsidRDefault="00D83745" w:rsidP="00D83745">
      <w:r>
        <w:t>Investigations of incidents that relate to the operational aspects of the bus service (e.g. collisions, bus rollaway, assaults, drug and alcohol etc.) may include costs associated with operators interviewing staff, examining records and reviewing safety policies and procedures in place to determine the cause of the incident and way to prevent similar incidents occurring in future.</w:t>
      </w:r>
      <w:r w:rsidRPr="00707D59">
        <w:t xml:space="preserve"> Larger operators</w:t>
      </w:r>
      <w:r>
        <w:t xml:space="preserve"> usually have </w:t>
      </w:r>
      <w:r w:rsidRPr="00707D59">
        <w:t>OH</w:t>
      </w:r>
      <w:r>
        <w:t>&amp;</w:t>
      </w:r>
      <w:r w:rsidRPr="00707D59">
        <w:t>S advisers to conduct investigations.</w:t>
      </w:r>
    </w:p>
    <w:p w14:paraId="0AA55C54" w14:textId="77777777" w:rsidR="00D83745" w:rsidRDefault="00D83745" w:rsidP="0095677C">
      <w:pPr>
        <w:pStyle w:val="Heading5"/>
      </w:pPr>
      <w:r>
        <w:t>Summary</w:t>
      </w:r>
    </w:p>
    <w:p w14:paraId="04D3AEA7" w14:textId="323B1996" w:rsidR="00D83745" w:rsidRDefault="00D83745" w:rsidP="00D83745">
      <w:r>
        <w:t xml:space="preserve">DoT notes that it is difficult to appropriately quantify the costs associated with this regulation, despite the availability of information relating to the number and type of investigations that may occur during any given year. </w:t>
      </w:r>
      <w:r w:rsidRPr="00ED63F5">
        <w:t>TSV</w:t>
      </w:r>
      <w:r>
        <w:t xml:space="preserve"> has advised </w:t>
      </w:r>
      <w:r w:rsidRPr="00ED63F5">
        <w:t xml:space="preserve">that investigations </w:t>
      </w:r>
      <w:r>
        <w:t>are</w:t>
      </w:r>
      <w:r w:rsidRPr="00ED63F5">
        <w:t xml:space="preserve"> not overly onerous</w:t>
      </w:r>
      <w:r>
        <w:t>, particularly for registered operators. It should also be noted that a bus safety investigation acts as a means to address potential safety issues and minimise safety risk</w:t>
      </w:r>
      <w:r w:rsidR="00C85EFC">
        <w:t>s</w:t>
      </w:r>
      <w:r>
        <w:t xml:space="preserve"> in the operations of bus services. Therefore, DoT considers the burden imposed cannot be absolutely attributed to the regulations alone – investigations inform a considerable part of the general bus safety duties under the Bus Safety Act in ensuring that bus services are safe.</w:t>
      </w:r>
    </w:p>
    <w:p w14:paraId="47DFEF9E" w14:textId="77777777" w:rsidR="00D83745" w:rsidRDefault="00D83745" w:rsidP="00D83745">
      <w:r>
        <w:t>Notwithstanding the uncertainty as to the compliance costs attributable to the regulations, DoT is recommending that the regulations be made.</w:t>
      </w:r>
    </w:p>
    <w:p w14:paraId="74F86E04" w14:textId="77777777" w:rsidR="00D83745" w:rsidRDefault="00D83745" w:rsidP="00D83745">
      <w:pPr>
        <w:pStyle w:val="Heading2"/>
      </w:pPr>
      <w:bookmarkStart w:id="814" w:name="_Ref42010080"/>
      <w:bookmarkStart w:id="815" w:name="_Toc45704380"/>
      <w:r>
        <w:lastRenderedPageBreak/>
        <w:t>Requirements for accreditation and registration</w:t>
      </w:r>
      <w:bookmarkEnd w:id="814"/>
      <w:bookmarkEnd w:id="815"/>
    </w:p>
    <w:p w14:paraId="79A185B0" w14:textId="3D0861A5" w:rsidR="00D83745" w:rsidRDefault="00D83745" w:rsidP="00D83745">
      <w:r>
        <w:t xml:space="preserve">This section </w:t>
      </w:r>
      <w:r w:rsidR="003C1C8F">
        <w:t xml:space="preserve">considers the impacts of </w:t>
      </w:r>
      <w:r>
        <w:t>regulations to support the accreditation and registration scheme</w:t>
      </w:r>
      <w:r w:rsidR="00533A7B">
        <w:t xml:space="preserve"> based on considerations discussed in Section </w:t>
      </w:r>
      <w:r w:rsidR="00533A7B">
        <w:fldChar w:fldCharType="begin"/>
      </w:r>
      <w:r w:rsidR="00533A7B">
        <w:instrText xml:space="preserve"> REF _Ref42001112 \r \h </w:instrText>
      </w:r>
      <w:r w:rsidR="00533A7B">
        <w:fldChar w:fldCharType="separate"/>
      </w:r>
      <w:r w:rsidR="00277F6E">
        <w:t>6.5</w:t>
      </w:r>
      <w:r w:rsidR="00533A7B">
        <w:fldChar w:fldCharType="end"/>
      </w:r>
      <w:r>
        <w:t>. Specific requirements include powers for the Safety Director to collect information and documents relating to the application for bus operator accreditation and registration</w:t>
      </w:r>
      <w:r w:rsidR="00044A54">
        <w:t xml:space="preserve"> (status quo)</w:t>
      </w:r>
      <w:r>
        <w:t xml:space="preserve">. </w:t>
      </w:r>
    </w:p>
    <w:p w14:paraId="4492A30E" w14:textId="23D5C846" w:rsidR="00D83745" w:rsidRDefault="00D83745" w:rsidP="00D83745">
      <w:r>
        <w:t>Both accreditation and registration are requirements imposed under the Bus Safety Act and the matters that must be considered before granting either accreditation or registration are also specified in the Bus Safety Act. For this reason, DoT will assess the likely administrative burden imposed as a result of the proposed regulations.</w:t>
      </w:r>
    </w:p>
    <w:p w14:paraId="48861C23" w14:textId="77777777" w:rsidR="00D83745" w:rsidRDefault="00D83745" w:rsidP="0095677C">
      <w:pPr>
        <w:pStyle w:val="Heading5"/>
      </w:pPr>
      <w:r w:rsidRPr="00C143D1">
        <w:t>Expected benefits</w:t>
      </w:r>
    </w:p>
    <w:p w14:paraId="5BF25290" w14:textId="1134EB23" w:rsidR="00D83745" w:rsidRDefault="00D83745" w:rsidP="00D83745">
      <w:r>
        <w:t xml:space="preserve">The benefits of regulations to support an accreditation and registration scheme for bus operators is to ensure that the information or </w:t>
      </w:r>
      <w:r w:rsidRPr="00BE5AFC">
        <w:t>procedural requirement</w:t>
      </w:r>
      <w:r>
        <w:t>s relevant to the application is provided to the Safety Director. In the case of an application for accreditation, the Safety Director must consider whether the applicant has the competence and capacity to operate a bus service safely. For an application for registration, the Safety Director must grant the application unless the applicant is already accredited or should be accredited instead of registered. The benefits are therefore the improved effectiveness and efficiency of administering bus safety laws</w:t>
      </w:r>
      <w:r w:rsidR="000E29E9">
        <w:t xml:space="preserve"> which may reduce the costs of regulatory activities by the regulator</w:t>
      </w:r>
      <w:r>
        <w:t xml:space="preserve">. </w:t>
      </w:r>
      <w:r w:rsidR="002F7A38">
        <w:t>While t</w:t>
      </w:r>
      <w:r>
        <w:t>hese benefits are unable to be reasonably quantified</w:t>
      </w:r>
      <w:r w:rsidR="002F7A38">
        <w:t>, the overall effects on safety is expected to be low relative to other measures relating to safety</w:t>
      </w:r>
      <w:r>
        <w:t xml:space="preserve">. </w:t>
      </w:r>
    </w:p>
    <w:p w14:paraId="7A565512" w14:textId="77777777" w:rsidR="00D83745" w:rsidRDefault="00D83745" w:rsidP="0095677C">
      <w:pPr>
        <w:pStyle w:val="Heading5"/>
      </w:pPr>
      <w:r w:rsidRPr="00BF41B9">
        <w:t>Expected costs</w:t>
      </w:r>
    </w:p>
    <w:p w14:paraId="5D0A8FEB" w14:textId="77777777" w:rsidR="00D83745" w:rsidRDefault="00D83745" w:rsidP="00D83745">
      <w:r w:rsidRPr="002C7EF9">
        <w:t xml:space="preserve">All </w:t>
      </w:r>
      <w:r>
        <w:t xml:space="preserve">bus operators are required to be either accredited or registered. Since accreditation and registration is perpetual, once accredited or registered, there is no requirement for renewal of accreditation or registration.  </w:t>
      </w:r>
    </w:p>
    <w:p w14:paraId="7940184A" w14:textId="66E18FCD" w:rsidR="00D83745" w:rsidRPr="009C12F5" w:rsidRDefault="00D83745" w:rsidP="007620AA">
      <w:pPr>
        <w:pStyle w:val="Caption"/>
        <w:keepNext/>
        <w:spacing w:after="60"/>
        <w:rPr>
          <w:b/>
          <w:bCs/>
          <w:i w:val="0"/>
          <w:iCs w:val="0"/>
        </w:rPr>
      </w:pPr>
      <w:bookmarkStart w:id="816" w:name="_Toc44437393"/>
      <w:bookmarkStart w:id="817" w:name="_Toc44597464"/>
      <w:bookmarkStart w:id="818" w:name="_Toc44597528"/>
      <w:bookmarkStart w:id="819" w:name="_Toc44600098"/>
      <w:bookmarkStart w:id="820" w:name="_Toc44600553"/>
      <w:bookmarkStart w:id="821" w:name="_Toc44600720"/>
      <w:bookmarkStart w:id="822" w:name="_Toc44601217"/>
      <w:bookmarkStart w:id="823" w:name="_Toc44601270"/>
      <w:bookmarkStart w:id="824" w:name="_Toc44603418"/>
      <w:bookmarkStart w:id="825" w:name="_Toc45704466"/>
      <w:r w:rsidRPr="0033276F">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21</w:t>
      </w:r>
      <w:r w:rsidR="00D2483C">
        <w:rPr>
          <w:b/>
          <w:i w:val="0"/>
        </w:rPr>
        <w:fldChar w:fldCharType="end"/>
      </w:r>
      <w:r w:rsidRPr="0033276F">
        <w:rPr>
          <w:b/>
          <w:i w:val="0"/>
        </w:rPr>
        <w:t xml:space="preserve">: </w:t>
      </w:r>
      <w:r w:rsidRPr="007620AA">
        <w:rPr>
          <w:b/>
          <w:bCs/>
          <w:i w:val="0"/>
          <w:iCs w:val="0"/>
        </w:rPr>
        <w:t>Number</w:t>
      </w:r>
      <w:r w:rsidRPr="0033276F">
        <w:rPr>
          <w:b/>
          <w:i w:val="0"/>
        </w:rPr>
        <w:t xml:space="preserve"> of </w:t>
      </w:r>
      <w:r w:rsidR="00147BCC">
        <w:rPr>
          <w:b/>
          <w:i w:val="0"/>
        </w:rPr>
        <w:t xml:space="preserve">accreditation and registration </w:t>
      </w:r>
      <w:r w:rsidRPr="0033276F">
        <w:rPr>
          <w:b/>
          <w:i w:val="0"/>
        </w:rPr>
        <w:t>applications granted per year – 2011-2019</w:t>
      </w:r>
      <w:bookmarkEnd w:id="816"/>
      <w:bookmarkEnd w:id="817"/>
      <w:bookmarkEnd w:id="818"/>
      <w:bookmarkEnd w:id="819"/>
      <w:bookmarkEnd w:id="820"/>
      <w:bookmarkEnd w:id="821"/>
      <w:bookmarkEnd w:id="822"/>
      <w:bookmarkEnd w:id="823"/>
      <w:bookmarkEnd w:id="824"/>
      <w:bookmarkEnd w:id="825"/>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757"/>
        <w:gridCol w:w="757"/>
        <w:gridCol w:w="757"/>
        <w:gridCol w:w="757"/>
        <w:gridCol w:w="757"/>
        <w:gridCol w:w="757"/>
        <w:gridCol w:w="757"/>
        <w:gridCol w:w="757"/>
        <w:gridCol w:w="757"/>
        <w:gridCol w:w="757"/>
      </w:tblGrid>
      <w:tr w:rsidR="00D83745" w:rsidRPr="00616C9C" w14:paraId="335EB7C6" w14:textId="77777777" w:rsidTr="009303EB">
        <w:trPr>
          <w:cantSplit/>
          <w:trHeight w:val="288"/>
        </w:trPr>
        <w:tc>
          <w:tcPr>
            <w:tcW w:w="1644" w:type="dxa"/>
            <w:shd w:val="clear" w:color="auto" w:fill="D6ECED"/>
            <w:noWrap/>
            <w:vAlign w:val="bottom"/>
            <w:hideMark/>
          </w:tcPr>
          <w:p w14:paraId="2AF0BAA2"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Operator type</w:t>
            </w:r>
          </w:p>
        </w:tc>
        <w:tc>
          <w:tcPr>
            <w:tcW w:w="757" w:type="dxa"/>
            <w:shd w:val="clear" w:color="auto" w:fill="D6ECED"/>
            <w:noWrap/>
            <w:vAlign w:val="bottom"/>
            <w:hideMark/>
          </w:tcPr>
          <w:p w14:paraId="7034941E"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2011</w:t>
            </w:r>
          </w:p>
        </w:tc>
        <w:tc>
          <w:tcPr>
            <w:tcW w:w="757" w:type="dxa"/>
            <w:shd w:val="clear" w:color="auto" w:fill="D6ECED"/>
            <w:noWrap/>
            <w:vAlign w:val="bottom"/>
            <w:hideMark/>
          </w:tcPr>
          <w:p w14:paraId="2C2336BD"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2012</w:t>
            </w:r>
          </w:p>
        </w:tc>
        <w:tc>
          <w:tcPr>
            <w:tcW w:w="757" w:type="dxa"/>
            <w:shd w:val="clear" w:color="auto" w:fill="D6ECED"/>
            <w:noWrap/>
            <w:vAlign w:val="bottom"/>
            <w:hideMark/>
          </w:tcPr>
          <w:p w14:paraId="5DF7C39B"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2013</w:t>
            </w:r>
          </w:p>
        </w:tc>
        <w:tc>
          <w:tcPr>
            <w:tcW w:w="757" w:type="dxa"/>
            <w:shd w:val="clear" w:color="auto" w:fill="D6ECED"/>
            <w:noWrap/>
            <w:vAlign w:val="bottom"/>
            <w:hideMark/>
          </w:tcPr>
          <w:p w14:paraId="0517EE13"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2014</w:t>
            </w:r>
          </w:p>
        </w:tc>
        <w:tc>
          <w:tcPr>
            <w:tcW w:w="757" w:type="dxa"/>
            <w:shd w:val="clear" w:color="auto" w:fill="D6ECED"/>
            <w:noWrap/>
            <w:vAlign w:val="bottom"/>
            <w:hideMark/>
          </w:tcPr>
          <w:p w14:paraId="0214FD70"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2015</w:t>
            </w:r>
          </w:p>
        </w:tc>
        <w:tc>
          <w:tcPr>
            <w:tcW w:w="757" w:type="dxa"/>
            <w:shd w:val="clear" w:color="auto" w:fill="D6ECED"/>
            <w:noWrap/>
            <w:vAlign w:val="bottom"/>
            <w:hideMark/>
          </w:tcPr>
          <w:p w14:paraId="7A4B5D71"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2016</w:t>
            </w:r>
          </w:p>
        </w:tc>
        <w:tc>
          <w:tcPr>
            <w:tcW w:w="757" w:type="dxa"/>
            <w:shd w:val="clear" w:color="auto" w:fill="D6ECED"/>
            <w:noWrap/>
            <w:vAlign w:val="bottom"/>
            <w:hideMark/>
          </w:tcPr>
          <w:p w14:paraId="384CBB41"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2017</w:t>
            </w:r>
          </w:p>
        </w:tc>
        <w:tc>
          <w:tcPr>
            <w:tcW w:w="757" w:type="dxa"/>
            <w:shd w:val="clear" w:color="auto" w:fill="D6ECED"/>
            <w:noWrap/>
            <w:vAlign w:val="bottom"/>
            <w:hideMark/>
          </w:tcPr>
          <w:p w14:paraId="72B8791D"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2018</w:t>
            </w:r>
          </w:p>
        </w:tc>
        <w:tc>
          <w:tcPr>
            <w:tcW w:w="757" w:type="dxa"/>
            <w:shd w:val="clear" w:color="auto" w:fill="D6ECED"/>
            <w:noWrap/>
            <w:vAlign w:val="bottom"/>
            <w:hideMark/>
          </w:tcPr>
          <w:p w14:paraId="2A0B38D6"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2019</w:t>
            </w:r>
          </w:p>
        </w:tc>
        <w:tc>
          <w:tcPr>
            <w:tcW w:w="757" w:type="dxa"/>
            <w:shd w:val="clear" w:color="auto" w:fill="D6ECED"/>
            <w:noWrap/>
            <w:vAlign w:val="bottom"/>
            <w:hideMark/>
          </w:tcPr>
          <w:p w14:paraId="0B90216B"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Total</w:t>
            </w:r>
          </w:p>
        </w:tc>
      </w:tr>
      <w:tr w:rsidR="00D83745" w:rsidRPr="00616C9C" w14:paraId="5D8CBBCC" w14:textId="77777777" w:rsidTr="009303EB">
        <w:trPr>
          <w:cantSplit/>
          <w:trHeight w:val="288"/>
        </w:trPr>
        <w:tc>
          <w:tcPr>
            <w:tcW w:w="1644" w:type="dxa"/>
            <w:shd w:val="clear" w:color="auto" w:fill="auto"/>
            <w:noWrap/>
            <w:vAlign w:val="bottom"/>
            <w:hideMark/>
          </w:tcPr>
          <w:p w14:paraId="53BCFFB8" w14:textId="77777777" w:rsidR="00D83745" w:rsidRPr="0093397F" w:rsidRDefault="00D83745" w:rsidP="009303EB">
            <w:pPr>
              <w:keepNext/>
              <w:spacing w:before="60" w:after="60"/>
              <w:jc w:val="center"/>
              <w:rPr>
                <w:rFonts w:eastAsia="Times New Roman" w:cstheme="minorHAnsi"/>
                <w:color w:val="000000"/>
                <w:sz w:val="18"/>
                <w:lang w:eastAsia="en-AU"/>
              </w:rPr>
            </w:pPr>
            <w:r w:rsidRPr="0093397F">
              <w:rPr>
                <w:rFonts w:eastAsia="Times New Roman" w:cstheme="minorHAnsi"/>
                <w:color w:val="000000"/>
                <w:sz w:val="18"/>
                <w:lang w:eastAsia="en-AU"/>
              </w:rPr>
              <w:t>Accredited</w:t>
            </w:r>
          </w:p>
        </w:tc>
        <w:tc>
          <w:tcPr>
            <w:tcW w:w="757" w:type="dxa"/>
            <w:shd w:val="clear" w:color="auto" w:fill="auto"/>
            <w:noWrap/>
            <w:vAlign w:val="bottom"/>
            <w:hideMark/>
          </w:tcPr>
          <w:p w14:paraId="14AB190D"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5</w:t>
            </w:r>
          </w:p>
        </w:tc>
        <w:tc>
          <w:tcPr>
            <w:tcW w:w="757" w:type="dxa"/>
            <w:shd w:val="clear" w:color="auto" w:fill="auto"/>
            <w:noWrap/>
            <w:vAlign w:val="bottom"/>
            <w:hideMark/>
          </w:tcPr>
          <w:p w14:paraId="02ECCE16"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28</w:t>
            </w:r>
          </w:p>
        </w:tc>
        <w:tc>
          <w:tcPr>
            <w:tcW w:w="757" w:type="dxa"/>
            <w:shd w:val="clear" w:color="auto" w:fill="auto"/>
            <w:noWrap/>
            <w:vAlign w:val="bottom"/>
            <w:hideMark/>
          </w:tcPr>
          <w:p w14:paraId="51AAC49C"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70</w:t>
            </w:r>
          </w:p>
        </w:tc>
        <w:tc>
          <w:tcPr>
            <w:tcW w:w="757" w:type="dxa"/>
            <w:shd w:val="clear" w:color="auto" w:fill="auto"/>
            <w:noWrap/>
            <w:vAlign w:val="bottom"/>
            <w:hideMark/>
          </w:tcPr>
          <w:p w14:paraId="1F456B5E"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160</w:t>
            </w:r>
          </w:p>
        </w:tc>
        <w:tc>
          <w:tcPr>
            <w:tcW w:w="757" w:type="dxa"/>
            <w:shd w:val="clear" w:color="auto" w:fill="auto"/>
            <w:noWrap/>
            <w:vAlign w:val="bottom"/>
            <w:hideMark/>
          </w:tcPr>
          <w:p w14:paraId="4534C5B2"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291</w:t>
            </w:r>
          </w:p>
        </w:tc>
        <w:tc>
          <w:tcPr>
            <w:tcW w:w="757" w:type="dxa"/>
            <w:shd w:val="clear" w:color="auto" w:fill="auto"/>
            <w:noWrap/>
            <w:vAlign w:val="bottom"/>
            <w:hideMark/>
          </w:tcPr>
          <w:p w14:paraId="1491219F"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42</w:t>
            </w:r>
          </w:p>
        </w:tc>
        <w:tc>
          <w:tcPr>
            <w:tcW w:w="757" w:type="dxa"/>
            <w:shd w:val="clear" w:color="auto" w:fill="auto"/>
            <w:noWrap/>
            <w:vAlign w:val="bottom"/>
            <w:hideMark/>
          </w:tcPr>
          <w:p w14:paraId="1EC39014"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41</w:t>
            </w:r>
          </w:p>
        </w:tc>
        <w:tc>
          <w:tcPr>
            <w:tcW w:w="757" w:type="dxa"/>
            <w:shd w:val="clear" w:color="auto" w:fill="auto"/>
            <w:noWrap/>
            <w:vAlign w:val="bottom"/>
            <w:hideMark/>
          </w:tcPr>
          <w:p w14:paraId="4F7B1566"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43</w:t>
            </w:r>
          </w:p>
        </w:tc>
        <w:tc>
          <w:tcPr>
            <w:tcW w:w="757" w:type="dxa"/>
            <w:shd w:val="clear" w:color="auto" w:fill="auto"/>
            <w:noWrap/>
            <w:vAlign w:val="bottom"/>
            <w:hideMark/>
          </w:tcPr>
          <w:p w14:paraId="3FF0C47E"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40</w:t>
            </w:r>
          </w:p>
        </w:tc>
        <w:tc>
          <w:tcPr>
            <w:tcW w:w="757" w:type="dxa"/>
            <w:shd w:val="clear" w:color="auto" w:fill="auto"/>
            <w:noWrap/>
            <w:vAlign w:val="bottom"/>
            <w:hideMark/>
          </w:tcPr>
          <w:p w14:paraId="12AEF8D5" w14:textId="77777777" w:rsidR="00D83745" w:rsidRPr="00A830B7" w:rsidRDefault="00D83745" w:rsidP="009303EB">
            <w:pPr>
              <w:keepNext/>
              <w:spacing w:before="60" w:after="60"/>
              <w:jc w:val="center"/>
              <w:rPr>
                <w:rFonts w:eastAsia="Times New Roman" w:cstheme="minorHAnsi"/>
                <w:b/>
                <w:bCs/>
                <w:color w:val="000000"/>
                <w:sz w:val="18"/>
                <w:lang w:eastAsia="en-AU"/>
              </w:rPr>
            </w:pPr>
            <w:r w:rsidRPr="00A830B7">
              <w:rPr>
                <w:rFonts w:eastAsia="Times New Roman" w:cstheme="minorHAnsi"/>
                <w:b/>
                <w:bCs/>
                <w:color w:val="000000"/>
                <w:sz w:val="18"/>
                <w:lang w:eastAsia="en-AU"/>
              </w:rPr>
              <w:t>720</w:t>
            </w:r>
          </w:p>
        </w:tc>
      </w:tr>
      <w:tr w:rsidR="00D83745" w:rsidRPr="00616C9C" w14:paraId="3D0B127E" w14:textId="77777777" w:rsidTr="009303EB">
        <w:trPr>
          <w:cantSplit/>
          <w:trHeight w:val="288"/>
        </w:trPr>
        <w:tc>
          <w:tcPr>
            <w:tcW w:w="1644" w:type="dxa"/>
            <w:shd w:val="clear" w:color="auto" w:fill="auto"/>
            <w:noWrap/>
            <w:vAlign w:val="bottom"/>
            <w:hideMark/>
          </w:tcPr>
          <w:p w14:paraId="7B0D78B1" w14:textId="77777777" w:rsidR="00D83745" w:rsidRPr="0093397F" w:rsidRDefault="00D83745" w:rsidP="009303EB">
            <w:pPr>
              <w:keepNext/>
              <w:spacing w:before="60" w:after="60"/>
              <w:jc w:val="center"/>
              <w:rPr>
                <w:rFonts w:eastAsia="Times New Roman" w:cstheme="minorHAnsi"/>
                <w:color w:val="000000"/>
                <w:sz w:val="18"/>
                <w:lang w:eastAsia="en-AU"/>
              </w:rPr>
            </w:pPr>
            <w:r w:rsidRPr="0093397F">
              <w:rPr>
                <w:rFonts w:eastAsia="Times New Roman" w:cstheme="minorHAnsi"/>
                <w:color w:val="000000"/>
                <w:sz w:val="18"/>
                <w:lang w:eastAsia="en-AU"/>
              </w:rPr>
              <w:t>Registered</w:t>
            </w:r>
          </w:p>
        </w:tc>
        <w:tc>
          <w:tcPr>
            <w:tcW w:w="757" w:type="dxa"/>
            <w:shd w:val="clear" w:color="auto" w:fill="auto"/>
            <w:noWrap/>
            <w:vAlign w:val="bottom"/>
            <w:hideMark/>
          </w:tcPr>
          <w:p w14:paraId="4EDC1A9B"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829</w:t>
            </w:r>
          </w:p>
        </w:tc>
        <w:tc>
          <w:tcPr>
            <w:tcW w:w="757" w:type="dxa"/>
            <w:shd w:val="clear" w:color="auto" w:fill="auto"/>
            <w:noWrap/>
            <w:vAlign w:val="bottom"/>
            <w:hideMark/>
          </w:tcPr>
          <w:p w14:paraId="6CF59355"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636</w:t>
            </w:r>
          </w:p>
        </w:tc>
        <w:tc>
          <w:tcPr>
            <w:tcW w:w="757" w:type="dxa"/>
            <w:shd w:val="clear" w:color="auto" w:fill="auto"/>
            <w:noWrap/>
            <w:vAlign w:val="bottom"/>
            <w:hideMark/>
          </w:tcPr>
          <w:p w14:paraId="24221AB8"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126</w:t>
            </w:r>
          </w:p>
        </w:tc>
        <w:tc>
          <w:tcPr>
            <w:tcW w:w="757" w:type="dxa"/>
            <w:shd w:val="clear" w:color="auto" w:fill="auto"/>
            <w:noWrap/>
            <w:vAlign w:val="bottom"/>
            <w:hideMark/>
          </w:tcPr>
          <w:p w14:paraId="4B67BB9E"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113</w:t>
            </w:r>
          </w:p>
        </w:tc>
        <w:tc>
          <w:tcPr>
            <w:tcW w:w="757" w:type="dxa"/>
            <w:shd w:val="clear" w:color="auto" w:fill="auto"/>
            <w:noWrap/>
            <w:vAlign w:val="bottom"/>
            <w:hideMark/>
          </w:tcPr>
          <w:p w14:paraId="65956DC5"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160</w:t>
            </w:r>
          </w:p>
        </w:tc>
        <w:tc>
          <w:tcPr>
            <w:tcW w:w="757" w:type="dxa"/>
            <w:shd w:val="clear" w:color="auto" w:fill="auto"/>
            <w:noWrap/>
            <w:vAlign w:val="bottom"/>
            <w:hideMark/>
          </w:tcPr>
          <w:p w14:paraId="30A10272"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213</w:t>
            </w:r>
          </w:p>
        </w:tc>
        <w:tc>
          <w:tcPr>
            <w:tcW w:w="757" w:type="dxa"/>
            <w:shd w:val="clear" w:color="auto" w:fill="auto"/>
            <w:noWrap/>
            <w:vAlign w:val="bottom"/>
            <w:hideMark/>
          </w:tcPr>
          <w:p w14:paraId="2BE7AE20"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183</w:t>
            </w:r>
          </w:p>
        </w:tc>
        <w:tc>
          <w:tcPr>
            <w:tcW w:w="757" w:type="dxa"/>
            <w:shd w:val="clear" w:color="auto" w:fill="auto"/>
            <w:noWrap/>
            <w:vAlign w:val="bottom"/>
            <w:hideMark/>
          </w:tcPr>
          <w:p w14:paraId="720FCBE0"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131</w:t>
            </w:r>
          </w:p>
        </w:tc>
        <w:tc>
          <w:tcPr>
            <w:tcW w:w="757" w:type="dxa"/>
            <w:shd w:val="clear" w:color="auto" w:fill="auto"/>
            <w:noWrap/>
            <w:vAlign w:val="bottom"/>
            <w:hideMark/>
          </w:tcPr>
          <w:p w14:paraId="630D50CD" w14:textId="77777777" w:rsidR="00D83745" w:rsidRPr="00616C9C" w:rsidRDefault="00D83745" w:rsidP="009303EB">
            <w:pPr>
              <w:keepNext/>
              <w:spacing w:before="60" w:after="60"/>
              <w:jc w:val="center"/>
              <w:rPr>
                <w:rFonts w:eastAsia="Times New Roman" w:cstheme="minorHAnsi"/>
                <w:color w:val="000000"/>
                <w:sz w:val="18"/>
                <w:lang w:eastAsia="en-AU"/>
              </w:rPr>
            </w:pPr>
            <w:r w:rsidRPr="00616C9C">
              <w:rPr>
                <w:rFonts w:eastAsia="Times New Roman" w:cstheme="minorHAnsi"/>
                <w:color w:val="000000"/>
                <w:sz w:val="18"/>
                <w:lang w:eastAsia="en-AU"/>
              </w:rPr>
              <w:t>157</w:t>
            </w:r>
          </w:p>
        </w:tc>
        <w:tc>
          <w:tcPr>
            <w:tcW w:w="757" w:type="dxa"/>
            <w:shd w:val="clear" w:color="auto" w:fill="auto"/>
            <w:noWrap/>
            <w:vAlign w:val="bottom"/>
            <w:hideMark/>
          </w:tcPr>
          <w:p w14:paraId="10E1AF34" w14:textId="77777777" w:rsidR="00D83745" w:rsidRPr="00A830B7" w:rsidRDefault="00D83745" w:rsidP="009303EB">
            <w:pPr>
              <w:keepNext/>
              <w:spacing w:before="60" w:after="60"/>
              <w:jc w:val="center"/>
              <w:rPr>
                <w:rFonts w:eastAsia="Times New Roman" w:cstheme="minorHAnsi"/>
                <w:b/>
                <w:bCs/>
                <w:color w:val="000000"/>
                <w:sz w:val="18"/>
                <w:lang w:eastAsia="en-AU"/>
              </w:rPr>
            </w:pPr>
            <w:r w:rsidRPr="00A830B7">
              <w:rPr>
                <w:rFonts w:eastAsia="Times New Roman" w:cstheme="minorHAnsi"/>
                <w:b/>
                <w:bCs/>
                <w:color w:val="000000"/>
                <w:sz w:val="18"/>
                <w:lang w:eastAsia="en-AU"/>
              </w:rPr>
              <w:t>2,548</w:t>
            </w:r>
          </w:p>
        </w:tc>
      </w:tr>
      <w:tr w:rsidR="00D83745" w:rsidRPr="00616C9C" w14:paraId="24163DAE" w14:textId="77777777" w:rsidTr="009303EB">
        <w:trPr>
          <w:cantSplit/>
          <w:trHeight w:val="288"/>
        </w:trPr>
        <w:tc>
          <w:tcPr>
            <w:tcW w:w="1644" w:type="dxa"/>
            <w:shd w:val="clear" w:color="auto" w:fill="D6ECED"/>
            <w:noWrap/>
            <w:vAlign w:val="bottom"/>
            <w:hideMark/>
          </w:tcPr>
          <w:p w14:paraId="6CD132E1"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Total</w:t>
            </w:r>
          </w:p>
        </w:tc>
        <w:tc>
          <w:tcPr>
            <w:tcW w:w="757" w:type="dxa"/>
            <w:shd w:val="clear" w:color="auto" w:fill="D6ECED"/>
            <w:noWrap/>
            <w:vAlign w:val="bottom"/>
            <w:hideMark/>
          </w:tcPr>
          <w:p w14:paraId="3099CA0A"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834</w:t>
            </w:r>
          </w:p>
        </w:tc>
        <w:tc>
          <w:tcPr>
            <w:tcW w:w="757" w:type="dxa"/>
            <w:shd w:val="clear" w:color="auto" w:fill="D6ECED"/>
            <w:noWrap/>
            <w:vAlign w:val="bottom"/>
            <w:hideMark/>
          </w:tcPr>
          <w:p w14:paraId="16E8B57B"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664</w:t>
            </w:r>
          </w:p>
        </w:tc>
        <w:tc>
          <w:tcPr>
            <w:tcW w:w="757" w:type="dxa"/>
            <w:shd w:val="clear" w:color="auto" w:fill="D6ECED"/>
            <w:noWrap/>
            <w:vAlign w:val="bottom"/>
            <w:hideMark/>
          </w:tcPr>
          <w:p w14:paraId="7886ECF9"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196</w:t>
            </w:r>
          </w:p>
        </w:tc>
        <w:tc>
          <w:tcPr>
            <w:tcW w:w="757" w:type="dxa"/>
            <w:shd w:val="clear" w:color="auto" w:fill="D6ECED"/>
            <w:noWrap/>
            <w:vAlign w:val="bottom"/>
            <w:hideMark/>
          </w:tcPr>
          <w:p w14:paraId="6B3DFC9F"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273</w:t>
            </w:r>
          </w:p>
        </w:tc>
        <w:tc>
          <w:tcPr>
            <w:tcW w:w="757" w:type="dxa"/>
            <w:shd w:val="clear" w:color="auto" w:fill="D6ECED"/>
            <w:noWrap/>
            <w:vAlign w:val="bottom"/>
            <w:hideMark/>
          </w:tcPr>
          <w:p w14:paraId="44115CD1"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451</w:t>
            </w:r>
          </w:p>
        </w:tc>
        <w:tc>
          <w:tcPr>
            <w:tcW w:w="757" w:type="dxa"/>
            <w:shd w:val="clear" w:color="auto" w:fill="D6ECED"/>
            <w:noWrap/>
            <w:vAlign w:val="bottom"/>
            <w:hideMark/>
          </w:tcPr>
          <w:p w14:paraId="69229DE8"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255</w:t>
            </w:r>
          </w:p>
        </w:tc>
        <w:tc>
          <w:tcPr>
            <w:tcW w:w="757" w:type="dxa"/>
            <w:shd w:val="clear" w:color="auto" w:fill="D6ECED"/>
            <w:noWrap/>
            <w:vAlign w:val="bottom"/>
            <w:hideMark/>
          </w:tcPr>
          <w:p w14:paraId="7010C145"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224</w:t>
            </w:r>
          </w:p>
        </w:tc>
        <w:tc>
          <w:tcPr>
            <w:tcW w:w="757" w:type="dxa"/>
            <w:shd w:val="clear" w:color="auto" w:fill="D6ECED"/>
            <w:noWrap/>
            <w:vAlign w:val="bottom"/>
            <w:hideMark/>
          </w:tcPr>
          <w:p w14:paraId="4DD354CC"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174</w:t>
            </w:r>
          </w:p>
        </w:tc>
        <w:tc>
          <w:tcPr>
            <w:tcW w:w="757" w:type="dxa"/>
            <w:shd w:val="clear" w:color="auto" w:fill="D6ECED"/>
            <w:noWrap/>
            <w:vAlign w:val="bottom"/>
            <w:hideMark/>
          </w:tcPr>
          <w:p w14:paraId="3F690321"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197</w:t>
            </w:r>
          </w:p>
        </w:tc>
        <w:tc>
          <w:tcPr>
            <w:tcW w:w="757" w:type="dxa"/>
            <w:shd w:val="clear" w:color="auto" w:fill="D6ECED"/>
            <w:noWrap/>
            <w:vAlign w:val="bottom"/>
            <w:hideMark/>
          </w:tcPr>
          <w:p w14:paraId="3AA9EDD8" w14:textId="77777777" w:rsidR="00D83745" w:rsidRPr="00616C9C" w:rsidRDefault="00D83745" w:rsidP="009303EB">
            <w:pPr>
              <w:keepNext/>
              <w:spacing w:before="60" w:after="60"/>
              <w:jc w:val="center"/>
              <w:rPr>
                <w:rFonts w:eastAsia="Times New Roman" w:cstheme="minorHAnsi"/>
                <w:b/>
                <w:bCs/>
                <w:color w:val="000000"/>
                <w:sz w:val="18"/>
                <w:lang w:eastAsia="en-AU"/>
              </w:rPr>
            </w:pPr>
            <w:r w:rsidRPr="00616C9C">
              <w:rPr>
                <w:rFonts w:eastAsia="Times New Roman" w:cstheme="minorHAnsi"/>
                <w:b/>
                <w:bCs/>
                <w:color w:val="000000"/>
                <w:sz w:val="18"/>
                <w:lang w:eastAsia="en-AU"/>
              </w:rPr>
              <w:t>3</w:t>
            </w:r>
            <w:r>
              <w:rPr>
                <w:rFonts w:eastAsia="Times New Roman" w:cstheme="minorHAnsi"/>
                <w:b/>
                <w:bCs/>
                <w:color w:val="000000"/>
                <w:sz w:val="18"/>
                <w:lang w:eastAsia="en-AU"/>
              </w:rPr>
              <w:t>,</w:t>
            </w:r>
            <w:r w:rsidRPr="00616C9C">
              <w:rPr>
                <w:rFonts w:eastAsia="Times New Roman" w:cstheme="minorHAnsi"/>
                <w:b/>
                <w:bCs/>
                <w:color w:val="000000"/>
                <w:sz w:val="18"/>
                <w:lang w:eastAsia="en-AU"/>
              </w:rPr>
              <w:t>268</w:t>
            </w:r>
          </w:p>
        </w:tc>
      </w:tr>
    </w:tbl>
    <w:p w14:paraId="2D44891D" w14:textId="63BDD245" w:rsidR="00147BCC" w:rsidRPr="00147BCC" w:rsidRDefault="00147BCC" w:rsidP="00147BCC">
      <w:pPr>
        <w:spacing w:before="40"/>
        <w:rPr>
          <w:sz w:val="16"/>
          <w:szCs w:val="16"/>
        </w:rPr>
      </w:pPr>
      <w:r w:rsidRPr="00147BCC">
        <w:rPr>
          <w:sz w:val="16"/>
          <w:szCs w:val="16"/>
        </w:rPr>
        <w:t>Source: TSV</w:t>
      </w:r>
    </w:p>
    <w:p w14:paraId="0448F742" w14:textId="7888A590" w:rsidR="00D83745" w:rsidRDefault="00D83745" w:rsidP="00D83745">
      <w:r>
        <w:t xml:space="preserve">The average number of applications for accreditations from 2016 to 2019 is </w:t>
      </w:r>
      <w:r w:rsidRPr="00E05AD0">
        <w:t>40</w:t>
      </w:r>
      <w:r>
        <w:t xml:space="preserve"> applications per year.</w:t>
      </w:r>
      <w:r>
        <w:rPr>
          <w:rStyle w:val="FootnoteReference"/>
        </w:rPr>
        <w:footnoteReference w:id="22"/>
      </w:r>
      <w:r>
        <w:t xml:space="preserve"> The average number of applications for registration from 2016 to 2019 is </w:t>
      </w:r>
      <w:r w:rsidRPr="00E05AD0">
        <w:t>171</w:t>
      </w:r>
      <w:r>
        <w:t xml:space="preserve"> applications per year.</w:t>
      </w:r>
      <w:r>
        <w:rPr>
          <w:rStyle w:val="FootnoteReference"/>
        </w:rPr>
        <w:footnoteReference w:id="23"/>
      </w:r>
      <w:r>
        <w:t xml:space="preserve"> </w:t>
      </w:r>
    </w:p>
    <w:p w14:paraId="7E42578B" w14:textId="77777777" w:rsidR="00D83745" w:rsidRPr="00105D99" w:rsidRDefault="00D83745" w:rsidP="00D83745">
      <w:pPr>
        <w:rPr>
          <w:i/>
          <w:iCs/>
        </w:rPr>
      </w:pPr>
      <w:r w:rsidRPr="00105D99">
        <w:rPr>
          <w:i/>
          <w:iCs/>
        </w:rPr>
        <w:t>Costs associated with making an application for bus operator accreditation</w:t>
      </w:r>
    </w:p>
    <w:p w14:paraId="52257504" w14:textId="77777777" w:rsidR="00D83745" w:rsidRDefault="00D83745" w:rsidP="00D83745">
      <w:r w:rsidRPr="00D1332F">
        <w:t>The application</w:t>
      </w:r>
      <w:r>
        <w:t xml:space="preserve"> for accreditation</w:t>
      </w:r>
      <w:r w:rsidRPr="00D1332F">
        <w:t xml:space="preserve"> is required to be accompanied by the following information (in the case of an application on behalf of a company):</w:t>
      </w:r>
    </w:p>
    <w:p w14:paraId="02070EAC" w14:textId="77777777" w:rsidR="00D83745" w:rsidRPr="002C7EF9" w:rsidRDefault="00D83745" w:rsidP="00842F5A">
      <w:pPr>
        <w:numPr>
          <w:ilvl w:val="0"/>
          <w:numId w:val="19"/>
        </w:numPr>
        <w:spacing w:before="0" w:after="0"/>
      </w:pPr>
      <w:r>
        <w:t>c</w:t>
      </w:r>
      <w:r w:rsidRPr="00D1332F">
        <w:t>ompany incorporation details and names of directors</w:t>
      </w:r>
    </w:p>
    <w:p w14:paraId="63CA8565" w14:textId="77777777" w:rsidR="00D83745" w:rsidRPr="002C7EF9" w:rsidRDefault="00D83745" w:rsidP="00842F5A">
      <w:pPr>
        <w:numPr>
          <w:ilvl w:val="0"/>
          <w:numId w:val="19"/>
        </w:numPr>
        <w:spacing w:before="0" w:after="0"/>
      </w:pPr>
      <w:r w:rsidRPr="00D1332F">
        <w:t>copies of roadworthiness certificates for each bus to be operated</w:t>
      </w:r>
    </w:p>
    <w:p w14:paraId="6B6C5446" w14:textId="77777777" w:rsidR="00D83745" w:rsidRDefault="00D83745" w:rsidP="00842F5A">
      <w:pPr>
        <w:numPr>
          <w:ilvl w:val="0"/>
          <w:numId w:val="19"/>
        </w:numPr>
        <w:spacing w:before="0" w:after="0"/>
      </w:pPr>
      <w:r w:rsidRPr="00D1332F">
        <w:t xml:space="preserve">dates of any previous </w:t>
      </w:r>
      <w:r>
        <w:t xml:space="preserve">licence, </w:t>
      </w:r>
      <w:r w:rsidRPr="00D1332F">
        <w:t>registrations or accreditations held</w:t>
      </w:r>
      <w:r>
        <w:t xml:space="preserve"> in relation to the operation of a bus service</w:t>
      </w:r>
    </w:p>
    <w:p w14:paraId="35E9F771" w14:textId="77777777" w:rsidR="00D83745" w:rsidRDefault="00D83745" w:rsidP="00842F5A">
      <w:pPr>
        <w:numPr>
          <w:ilvl w:val="0"/>
          <w:numId w:val="19"/>
        </w:numPr>
        <w:spacing w:before="0" w:after="0"/>
      </w:pPr>
      <w:r>
        <w:t>copy of the applicant’s MIS</w:t>
      </w:r>
    </w:p>
    <w:p w14:paraId="6BC6872F" w14:textId="77777777" w:rsidR="00D83745" w:rsidRDefault="00D83745" w:rsidP="00842F5A">
      <w:pPr>
        <w:numPr>
          <w:ilvl w:val="0"/>
          <w:numId w:val="19"/>
        </w:numPr>
        <w:spacing w:before="0" w:after="0"/>
      </w:pPr>
      <w:r>
        <w:lastRenderedPageBreak/>
        <w:t>copy of the applicant’s MMS</w:t>
      </w:r>
    </w:p>
    <w:p w14:paraId="3A3D0DCF" w14:textId="77777777" w:rsidR="00D83745" w:rsidRDefault="00D83745" w:rsidP="00842F5A">
      <w:pPr>
        <w:numPr>
          <w:ilvl w:val="0"/>
          <w:numId w:val="19"/>
        </w:numPr>
        <w:spacing w:before="0" w:after="0"/>
      </w:pPr>
      <w:r>
        <w:t>documentary evidence of completion of approved training course, if applicable</w:t>
      </w:r>
    </w:p>
    <w:p w14:paraId="5347A23A" w14:textId="77777777" w:rsidR="00D83745" w:rsidRDefault="00D83745" w:rsidP="00842F5A">
      <w:pPr>
        <w:numPr>
          <w:ilvl w:val="0"/>
          <w:numId w:val="19"/>
        </w:numPr>
        <w:spacing w:before="0" w:after="0"/>
      </w:pPr>
      <w:r>
        <w:t>evidence as to whether applicant has been found guilty of a tier 1, tier 2 or tier 3 disqualifying offence</w:t>
      </w:r>
    </w:p>
    <w:p w14:paraId="7E2777B6" w14:textId="77777777" w:rsidR="00D83745" w:rsidRDefault="00D83745" w:rsidP="00842F5A">
      <w:pPr>
        <w:numPr>
          <w:ilvl w:val="0"/>
          <w:numId w:val="19"/>
        </w:numPr>
        <w:spacing w:before="0" w:after="0"/>
      </w:pPr>
      <w:r>
        <w:t xml:space="preserve">evidence as to whether the application is subject to reporting obligations under the </w:t>
      </w:r>
      <w:r w:rsidRPr="001936C1">
        <w:rPr>
          <w:i/>
          <w:iCs/>
        </w:rPr>
        <w:t>Working with Children Act 2005</w:t>
      </w:r>
    </w:p>
    <w:p w14:paraId="4B288FDB" w14:textId="77777777" w:rsidR="00D83745" w:rsidRDefault="00D83745" w:rsidP="00842F5A">
      <w:pPr>
        <w:numPr>
          <w:ilvl w:val="0"/>
          <w:numId w:val="19"/>
        </w:numPr>
        <w:spacing w:before="0" w:after="0"/>
      </w:pPr>
      <w:r>
        <w:t>evidence relating to the applicant’s insolvency, and</w:t>
      </w:r>
    </w:p>
    <w:p w14:paraId="6E239F72" w14:textId="77777777" w:rsidR="00D83745" w:rsidRPr="002C7EF9" w:rsidRDefault="00D83745" w:rsidP="00842F5A">
      <w:pPr>
        <w:numPr>
          <w:ilvl w:val="0"/>
          <w:numId w:val="19"/>
        </w:numPr>
        <w:spacing w:before="0"/>
        <w:ind w:left="714" w:hanging="357"/>
      </w:pPr>
      <w:r>
        <w:t xml:space="preserve">whether the applicant has been accredited to operate bus services in another State or territory. </w:t>
      </w:r>
    </w:p>
    <w:p w14:paraId="67A8BEEA" w14:textId="6BBEF3B3" w:rsidR="00D83745" w:rsidRDefault="00D83745" w:rsidP="00D83745">
      <w:r>
        <w:t xml:space="preserve">DoT </w:t>
      </w:r>
      <w:r w:rsidRPr="00CA18BF">
        <w:t>estimate</w:t>
      </w:r>
      <w:r>
        <w:t>s</w:t>
      </w:r>
      <w:r w:rsidRPr="00CA18BF">
        <w:t xml:space="preserve"> </w:t>
      </w:r>
      <w:r>
        <w:t xml:space="preserve">the </w:t>
      </w:r>
      <w:r w:rsidRPr="00CA18BF">
        <w:t>time it takes to complete an application for accreditation is</w:t>
      </w:r>
      <w:r>
        <w:t xml:space="preserve"> up to</w:t>
      </w:r>
      <w:r w:rsidRPr="00CA18BF">
        <w:t xml:space="preserve"> 8 hours. </w:t>
      </w:r>
      <w:r>
        <w:t xml:space="preserve">The amount of time required is likely to increase or decrease with the size of the operator (e.g. </w:t>
      </w:r>
      <w:r w:rsidR="001936C1">
        <w:t xml:space="preserve">larger operators will be required to provide </w:t>
      </w:r>
      <w:r>
        <w:t>more information)</w:t>
      </w:r>
      <w:r w:rsidR="001936C1">
        <w:t>.</w:t>
      </w:r>
    </w:p>
    <w:p w14:paraId="4FB1036E" w14:textId="34D06889" w:rsidR="00D83745" w:rsidRDefault="00D83745" w:rsidP="00D83745">
      <w:r w:rsidRPr="00CA18BF">
        <w:t>The administrati</w:t>
      </w:r>
      <w:r>
        <w:t>ve</w:t>
      </w:r>
      <w:r w:rsidRPr="00CA18BF">
        <w:t xml:space="preserve"> costs include the costs of obtaining and collating required documentation, completing and submitting forms, responding to any queries from </w:t>
      </w:r>
      <w:r>
        <w:t>a</w:t>
      </w:r>
      <w:r w:rsidRPr="00CA18BF">
        <w:t xml:space="preserve"> letter </w:t>
      </w:r>
      <w:r>
        <w:t>from the</w:t>
      </w:r>
      <w:r w:rsidRPr="00CA18BF">
        <w:t xml:space="preserve"> regulator etc. </w:t>
      </w:r>
      <w:r>
        <w:t xml:space="preserve">Most of the information required to be provided should be information already available to the applicant. </w:t>
      </w:r>
      <w:r w:rsidRPr="00CA18BF">
        <w:t>The</w:t>
      </w:r>
      <w:r>
        <w:t xml:space="preserve"> costs of making an application</w:t>
      </w:r>
      <w:r w:rsidRPr="00CA18BF">
        <w:t xml:space="preserve"> do not include the </w:t>
      </w:r>
      <w:r>
        <w:t xml:space="preserve">compliance </w:t>
      </w:r>
      <w:r w:rsidRPr="00CA18BF">
        <w:t xml:space="preserve">costs </w:t>
      </w:r>
      <w:r>
        <w:t xml:space="preserve">associated </w:t>
      </w:r>
      <w:r w:rsidRPr="00CA18BF">
        <w:t xml:space="preserve">with the legislative and regulatory requirements for accreditation. For example, the substantive requirements relating to complying with the MIS and MMS requirements are not counted under </w:t>
      </w:r>
      <w:r w:rsidR="00EF47B4">
        <w:t xml:space="preserve">the accreditation and registration component of </w:t>
      </w:r>
      <w:r w:rsidRPr="00CA18BF">
        <w:t xml:space="preserve">the </w:t>
      </w:r>
      <w:r>
        <w:t>proposed</w:t>
      </w:r>
      <w:r w:rsidRPr="00CA18BF">
        <w:t xml:space="preserve"> regulations – these are considered under the Vehicle Safety and Safety of Bus Operations sections of this RIS. </w:t>
      </w:r>
    </w:p>
    <w:p w14:paraId="54DD666E" w14:textId="545892CB" w:rsidR="00D83745" w:rsidRDefault="00D83745" w:rsidP="00D83745">
      <w:r>
        <w:t xml:space="preserve">In order to provide evidence of whether the applicant has been found guilty of a disqualifying offence, the applicant may need to be subjected to a background police check. </w:t>
      </w:r>
      <w:r w:rsidRPr="00CA18BF">
        <w:t xml:space="preserve">The cost </w:t>
      </w:r>
      <w:r>
        <w:t xml:space="preserve">of a </w:t>
      </w:r>
      <w:r w:rsidRPr="00144AC0">
        <w:t xml:space="preserve">Police Records Check </w:t>
      </w:r>
      <w:r>
        <w:t xml:space="preserve">is </w:t>
      </w:r>
      <w:r w:rsidRPr="00BA3C48">
        <w:t>$48.90</w:t>
      </w:r>
      <w:r w:rsidR="00AD071A">
        <w:rPr>
          <w:rStyle w:val="FootnoteReference"/>
        </w:rPr>
        <w:footnoteReference w:id="24"/>
      </w:r>
      <w:r>
        <w:t>.</w:t>
      </w:r>
      <w:r w:rsidRPr="00144AC0">
        <w:t xml:space="preserve"> </w:t>
      </w:r>
    </w:p>
    <w:p w14:paraId="4CAF7123" w14:textId="5384E057" w:rsidR="00D83745" w:rsidRPr="00105D99" w:rsidRDefault="00D83745" w:rsidP="00D83745">
      <w:pPr>
        <w:rPr>
          <w:i/>
          <w:iCs/>
        </w:rPr>
      </w:pPr>
      <w:r>
        <w:rPr>
          <w:i/>
          <w:iCs/>
        </w:rPr>
        <w:t>Costs associated with making an application for bus operator registration</w:t>
      </w:r>
    </w:p>
    <w:p w14:paraId="01942A21" w14:textId="17981669" w:rsidR="00D83745" w:rsidRPr="002C7EF9" w:rsidRDefault="00D83745" w:rsidP="00D83745">
      <w:r>
        <w:t>In contrast, t</w:t>
      </w:r>
      <w:r w:rsidRPr="00D1332F">
        <w:t xml:space="preserve">he process </w:t>
      </w:r>
      <w:r w:rsidR="001936C1">
        <w:t>for</w:t>
      </w:r>
      <w:r w:rsidRPr="00D1332F">
        <w:t xml:space="preserve"> application for registration is </w:t>
      </w:r>
      <w:r>
        <w:t xml:space="preserve">simpler than applications for accreditation. Since less information is </w:t>
      </w:r>
      <w:r w:rsidRPr="00D1332F">
        <w:t>requir</w:t>
      </w:r>
      <w:r>
        <w:t xml:space="preserve">ed to be provided, the </w:t>
      </w:r>
      <w:r w:rsidRPr="00D1332F">
        <w:t>time for completi</w:t>
      </w:r>
      <w:r>
        <w:t>ng an application for registration is likely to be less onerous</w:t>
      </w:r>
      <w:r w:rsidRPr="00D1332F">
        <w:t>. The application</w:t>
      </w:r>
      <w:r>
        <w:t xml:space="preserve"> for registration</w:t>
      </w:r>
      <w:r w:rsidRPr="00D1332F">
        <w:t xml:space="preserve"> is required to be accompanied by the following information (in the case of an application on behalf of a company):</w:t>
      </w:r>
    </w:p>
    <w:p w14:paraId="2C20E25F" w14:textId="77777777" w:rsidR="00D83745" w:rsidRPr="002C7EF9" w:rsidRDefault="00D83745" w:rsidP="00842F5A">
      <w:pPr>
        <w:numPr>
          <w:ilvl w:val="0"/>
          <w:numId w:val="19"/>
        </w:numPr>
        <w:spacing w:before="0" w:after="0"/>
      </w:pPr>
      <w:r>
        <w:t>c</w:t>
      </w:r>
      <w:r w:rsidRPr="00D1332F">
        <w:t>ompany incorporation details and names of directors</w:t>
      </w:r>
    </w:p>
    <w:p w14:paraId="04991AB4" w14:textId="77777777" w:rsidR="00D83745" w:rsidRPr="002C7EF9" w:rsidRDefault="00D83745" w:rsidP="00842F5A">
      <w:pPr>
        <w:numPr>
          <w:ilvl w:val="0"/>
          <w:numId w:val="19"/>
        </w:numPr>
        <w:spacing w:before="0" w:after="0"/>
      </w:pPr>
      <w:r w:rsidRPr="00D1332F">
        <w:t>name of a contact person involved in the bus operations, with whom the Safety Director is entitled to communicate</w:t>
      </w:r>
    </w:p>
    <w:p w14:paraId="00A20F3F" w14:textId="77777777" w:rsidR="00D83745" w:rsidRPr="002C7EF9" w:rsidRDefault="00D83745" w:rsidP="00842F5A">
      <w:pPr>
        <w:numPr>
          <w:ilvl w:val="0"/>
          <w:numId w:val="19"/>
        </w:numPr>
        <w:spacing w:before="0" w:after="0"/>
      </w:pPr>
      <w:r w:rsidRPr="00D1332F">
        <w:t>copies of roadworthiness certificates for each bus to be operated</w:t>
      </w:r>
    </w:p>
    <w:p w14:paraId="642FA748" w14:textId="77777777" w:rsidR="00D83745" w:rsidRPr="002C7EF9" w:rsidRDefault="00D83745" w:rsidP="00842F5A">
      <w:pPr>
        <w:numPr>
          <w:ilvl w:val="0"/>
          <w:numId w:val="19"/>
        </w:numPr>
        <w:spacing w:before="0" w:after="0"/>
      </w:pPr>
      <w:r w:rsidRPr="00D1332F">
        <w:t>dates of any previous registrations or accreditations held.</w:t>
      </w:r>
    </w:p>
    <w:p w14:paraId="133170FB" w14:textId="40A081B4" w:rsidR="00D83745" w:rsidRDefault="00D83745" w:rsidP="00D83745">
      <w:r w:rsidRPr="00D1332F">
        <w:t xml:space="preserve">Given the </w:t>
      </w:r>
      <w:r>
        <w:t>nature of the</w:t>
      </w:r>
      <w:r w:rsidRPr="00D1332F">
        <w:t xml:space="preserve"> information that will be required to be included on an application for registration, </w:t>
      </w:r>
      <w:r>
        <w:t>DoT</w:t>
      </w:r>
      <w:r w:rsidRPr="00D1332F">
        <w:t xml:space="preserve"> believes that gathering and submitting the above materials will </w:t>
      </w:r>
      <w:r w:rsidR="00841694">
        <w:t>take</w:t>
      </w:r>
      <w:r w:rsidR="00841694" w:rsidRPr="00D1332F">
        <w:t xml:space="preserve"> </w:t>
      </w:r>
      <w:r w:rsidRPr="007E7B87">
        <w:t>one hour</w:t>
      </w:r>
      <w:r>
        <w:t xml:space="preserve"> to complete,</w:t>
      </w:r>
      <w:r w:rsidRPr="00D1332F">
        <w:t xml:space="preserve"> on average. It should be noted, in this context, that the great majority of operators seeking registration </w:t>
      </w:r>
      <w:r>
        <w:t>are likely to</w:t>
      </w:r>
      <w:r w:rsidRPr="00D1332F">
        <w:t xml:space="preserve"> be</w:t>
      </w:r>
      <w:r>
        <w:t xml:space="preserve"> smaller</w:t>
      </w:r>
      <w:r w:rsidRPr="00D1332F">
        <w:t xml:space="preserve"> operators of only one bus, while the remaining group will also operate only a small number of buses in most cases. </w:t>
      </w:r>
    </w:p>
    <w:p w14:paraId="6AC7FF29" w14:textId="4D3783C4" w:rsidR="00D83745" w:rsidRPr="002C7EF9" w:rsidRDefault="00D83745" w:rsidP="00D83745">
      <w:r>
        <w:t>T</w:t>
      </w:r>
      <w:r w:rsidRPr="00D1332F">
        <w:t xml:space="preserve">he </w:t>
      </w:r>
      <w:r>
        <w:t>assumptions used to calculate costs of making an application are outlin</w:t>
      </w:r>
      <w:r w:rsidRPr="006D0A1A">
        <w:t>ed in</w:t>
      </w:r>
      <w:r>
        <w:t xml:space="preserve"> </w:t>
      </w:r>
      <w:r w:rsidR="00612799">
        <w:fldChar w:fldCharType="begin"/>
      </w:r>
      <w:r w:rsidR="00612799">
        <w:instrText xml:space="preserve"> REF _Ref42008951 \h  \* MERGEFORMAT </w:instrText>
      </w:r>
      <w:r w:rsidR="00612799">
        <w:fldChar w:fldCharType="separate"/>
      </w:r>
      <w:r w:rsidR="00277F6E" w:rsidRPr="00277F6E">
        <w:t>Table 7</w:t>
      </w:r>
      <w:r w:rsidR="00277F6E" w:rsidRPr="00277F6E">
        <w:noBreakHyphen/>
        <w:t>22</w:t>
      </w:r>
      <w:r w:rsidR="00612799">
        <w:fldChar w:fldCharType="end"/>
      </w:r>
      <w:r>
        <w:t xml:space="preserve"> below. </w:t>
      </w:r>
    </w:p>
    <w:p w14:paraId="1594A7A8" w14:textId="1DE8C4D4" w:rsidR="00D83745" w:rsidRPr="009C12F5" w:rsidRDefault="00D83745" w:rsidP="007620AA">
      <w:pPr>
        <w:pStyle w:val="Caption"/>
        <w:keepNext/>
        <w:spacing w:after="60"/>
        <w:rPr>
          <w:b/>
          <w:bCs/>
          <w:i w:val="0"/>
          <w:iCs w:val="0"/>
        </w:rPr>
      </w:pPr>
      <w:bookmarkStart w:id="826" w:name="_Ref42008951"/>
      <w:bookmarkStart w:id="827" w:name="_Toc44603419"/>
      <w:bookmarkStart w:id="828" w:name="_Toc44437394"/>
      <w:bookmarkStart w:id="829" w:name="_Toc44597465"/>
      <w:bookmarkStart w:id="830" w:name="_Toc44597529"/>
      <w:bookmarkStart w:id="831" w:name="_Toc44600099"/>
      <w:bookmarkStart w:id="832" w:name="_Toc44600554"/>
      <w:bookmarkStart w:id="833" w:name="_Toc44600721"/>
      <w:bookmarkStart w:id="834" w:name="_Toc44601218"/>
      <w:bookmarkStart w:id="835" w:name="_Toc44601271"/>
      <w:bookmarkStart w:id="836" w:name="_Toc45704467"/>
      <w:r w:rsidRPr="0033276F">
        <w:rPr>
          <w:b/>
          <w:i w:val="0"/>
        </w:rPr>
        <w:lastRenderedPageBreak/>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22</w:t>
      </w:r>
      <w:r w:rsidR="00D2483C">
        <w:rPr>
          <w:b/>
          <w:i w:val="0"/>
        </w:rPr>
        <w:fldChar w:fldCharType="end"/>
      </w:r>
      <w:bookmarkEnd w:id="826"/>
      <w:r w:rsidRPr="0033276F">
        <w:rPr>
          <w:b/>
          <w:i w:val="0"/>
        </w:rPr>
        <w:t xml:space="preserve">: </w:t>
      </w:r>
      <w:r w:rsidRPr="007620AA">
        <w:rPr>
          <w:b/>
          <w:bCs/>
          <w:i w:val="0"/>
          <w:iCs w:val="0"/>
        </w:rPr>
        <w:t>Application</w:t>
      </w:r>
      <w:r w:rsidR="000F1292" w:rsidRPr="007620AA">
        <w:rPr>
          <w:b/>
          <w:bCs/>
          <w:i w:val="0"/>
          <w:iCs w:val="0"/>
        </w:rPr>
        <w:t>s</w:t>
      </w:r>
      <w:r w:rsidRPr="0033276F">
        <w:rPr>
          <w:b/>
          <w:i w:val="0"/>
        </w:rPr>
        <w:t xml:space="preserve"> </w:t>
      </w:r>
      <w:r w:rsidR="00EA55C0">
        <w:rPr>
          <w:b/>
          <w:i w:val="0"/>
        </w:rPr>
        <w:t xml:space="preserve">for accreditation </w:t>
      </w:r>
      <w:r w:rsidR="00363315">
        <w:rPr>
          <w:b/>
          <w:i w:val="0"/>
        </w:rPr>
        <w:t>and</w:t>
      </w:r>
      <w:r w:rsidR="00EA55C0">
        <w:rPr>
          <w:b/>
          <w:i w:val="0"/>
        </w:rPr>
        <w:t xml:space="preserve"> registration </w:t>
      </w:r>
      <w:r w:rsidRPr="0033276F">
        <w:rPr>
          <w:b/>
          <w:i w:val="0"/>
        </w:rPr>
        <w:t>cost parameters</w:t>
      </w:r>
      <w:bookmarkEnd w:id="827"/>
      <w:bookmarkEnd w:id="828"/>
      <w:bookmarkEnd w:id="829"/>
      <w:bookmarkEnd w:id="830"/>
      <w:bookmarkEnd w:id="831"/>
      <w:bookmarkEnd w:id="832"/>
      <w:bookmarkEnd w:id="833"/>
      <w:bookmarkEnd w:id="834"/>
      <w:bookmarkEnd w:id="835"/>
      <w:bookmarkEnd w:id="836"/>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4"/>
        <w:gridCol w:w="2254"/>
        <w:gridCol w:w="2254"/>
        <w:gridCol w:w="2253"/>
      </w:tblGrid>
      <w:tr w:rsidR="00D83745" w:rsidRPr="00616C9C" w14:paraId="10C68CB3" w14:textId="77777777" w:rsidTr="009303EB">
        <w:trPr>
          <w:cantSplit/>
          <w:trHeight w:val="288"/>
        </w:trPr>
        <w:tc>
          <w:tcPr>
            <w:tcW w:w="1912" w:type="dxa"/>
            <w:shd w:val="clear" w:color="auto" w:fill="D6ECED"/>
            <w:noWrap/>
            <w:hideMark/>
          </w:tcPr>
          <w:p w14:paraId="02F090E8" w14:textId="77777777" w:rsidR="00D83745" w:rsidRPr="00693F92" w:rsidRDefault="00D83745" w:rsidP="009303EB">
            <w:pPr>
              <w:keepNext/>
              <w:spacing w:before="60" w:after="60"/>
              <w:jc w:val="center"/>
              <w:rPr>
                <w:b/>
                <w:bCs/>
                <w:sz w:val="18"/>
              </w:rPr>
            </w:pPr>
            <w:r w:rsidRPr="00693F92">
              <w:rPr>
                <w:b/>
                <w:bCs/>
                <w:sz w:val="18"/>
              </w:rPr>
              <w:t>Activity</w:t>
            </w:r>
          </w:p>
        </w:tc>
        <w:tc>
          <w:tcPr>
            <w:tcW w:w="1913" w:type="dxa"/>
            <w:shd w:val="clear" w:color="auto" w:fill="D6ECED"/>
          </w:tcPr>
          <w:p w14:paraId="61F3C296" w14:textId="77777777" w:rsidR="00D83745" w:rsidRPr="00693F92" w:rsidRDefault="00D83745" w:rsidP="009303EB">
            <w:pPr>
              <w:keepNext/>
              <w:spacing w:before="60" w:after="60"/>
              <w:jc w:val="center"/>
              <w:rPr>
                <w:b/>
                <w:bCs/>
                <w:sz w:val="18"/>
              </w:rPr>
            </w:pPr>
            <w:r w:rsidRPr="00693F92">
              <w:rPr>
                <w:b/>
                <w:bCs/>
                <w:sz w:val="18"/>
              </w:rPr>
              <w:t xml:space="preserve">Number of applications per year </w:t>
            </w:r>
          </w:p>
        </w:tc>
        <w:tc>
          <w:tcPr>
            <w:tcW w:w="1913" w:type="dxa"/>
            <w:shd w:val="clear" w:color="auto" w:fill="D6ECED"/>
            <w:noWrap/>
            <w:hideMark/>
          </w:tcPr>
          <w:p w14:paraId="5F7CD813" w14:textId="77777777" w:rsidR="00D83745" w:rsidRPr="00693F92" w:rsidRDefault="00D83745" w:rsidP="009303EB">
            <w:pPr>
              <w:keepNext/>
              <w:spacing w:before="60" w:after="60"/>
              <w:jc w:val="center"/>
              <w:rPr>
                <w:b/>
                <w:bCs/>
                <w:sz w:val="18"/>
              </w:rPr>
            </w:pPr>
            <w:r>
              <w:rPr>
                <w:b/>
                <w:bCs/>
                <w:sz w:val="18"/>
              </w:rPr>
              <w:t>Labour</w:t>
            </w:r>
            <w:r w:rsidRPr="00693F92">
              <w:rPr>
                <w:b/>
                <w:bCs/>
                <w:sz w:val="18"/>
              </w:rPr>
              <w:t xml:space="preserve"> cost</w:t>
            </w:r>
            <w:r>
              <w:rPr>
                <w:b/>
                <w:bCs/>
                <w:sz w:val="18"/>
              </w:rPr>
              <w:t>s</w:t>
            </w:r>
          </w:p>
        </w:tc>
        <w:tc>
          <w:tcPr>
            <w:tcW w:w="1912" w:type="dxa"/>
            <w:shd w:val="clear" w:color="auto" w:fill="D6ECED"/>
            <w:noWrap/>
            <w:hideMark/>
          </w:tcPr>
          <w:p w14:paraId="537A2ABE" w14:textId="77777777" w:rsidR="00D83745" w:rsidRPr="00693F92" w:rsidRDefault="00D83745" w:rsidP="009303EB">
            <w:pPr>
              <w:keepNext/>
              <w:spacing w:before="60" w:after="60"/>
              <w:jc w:val="center"/>
              <w:rPr>
                <w:b/>
                <w:bCs/>
                <w:sz w:val="18"/>
              </w:rPr>
            </w:pPr>
            <w:r>
              <w:rPr>
                <w:b/>
                <w:bCs/>
                <w:sz w:val="18"/>
              </w:rPr>
              <w:t>Other</w:t>
            </w:r>
            <w:r w:rsidRPr="00693F92">
              <w:rPr>
                <w:b/>
                <w:bCs/>
                <w:sz w:val="18"/>
              </w:rPr>
              <w:t xml:space="preserve"> cost</w:t>
            </w:r>
            <w:r>
              <w:rPr>
                <w:b/>
                <w:bCs/>
                <w:sz w:val="18"/>
              </w:rPr>
              <w:t>s</w:t>
            </w:r>
          </w:p>
        </w:tc>
      </w:tr>
      <w:tr w:rsidR="00D83745" w:rsidRPr="00616C9C" w14:paraId="332C10BC" w14:textId="77777777" w:rsidTr="009303EB">
        <w:trPr>
          <w:cantSplit/>
          <w:trHeight w:val="288"/>
        </w:trPr>
        <w:tc>
          <w:tcPr>
            <w:tcW w:w="1912" w:type="dxa"/>
            <w:shd w:val="clear" w:color="auto" w:fill="auto"/>
            <w:noWrap/>
            <w:hideMark/>
          </w:tcPr>
          <w:p w14:paraId="2C10620E" w14:textId="77777777" w:rsidR="00D83745" w:rsidRPr="00693F92" w:rsidRDefault="00D83745" w:rsidP="009303EB">
            <w:pPr>
              <w:keepNext/>
              <w:spacing w:before="60" w:after="60"/>
              <w:jc w:val="center"/>
              <w:rPr>
                <w:sz w:val="18"/>
              </w:rPr>
            </w:pPr>
            <w:r w:rsidRPr="001806F3">
              <w:rPr>
                <w:sz w:val="18"/>
              </w:rPr>
              <w:t>Application for accreditation</w:t>
            </w:r>
          </w:p>
        </w:tc>
        <w:tc>
          <w:tcPr>
            <w:tcW w:w="1913" w:type="dxa"/>
          </w:tcPr>
          <w:p w14:paraId="0B8E8151" w14:textId="77777777" w:rsidR="00D83745" w:rsidRPr="00693F92" w:rsidRDefault="00D83745" w:rsidP="009303EB">
            <w:pPr>
              <w:keepNext/>
              <w:spacing w:before="60" w:after="60"/>
              <w:jc w:val="center"/>
              <w:rPr>
                <w:sz w:val="18"/>
              </w:rPr>
            </w:pPr>
            <w:r w:rsidRPr="00693F92">
              <w:rPr>
                <w:sz w:val="18"/>
              </w:rPr>
              <w:t>40</w:t>
            </w:r>
          </w:p>
        </w:tc>
        <w:tc>
          <w:tcPr>
            <w:tcW w:w="1913" w:type="dxa"/>
            <w:shd w:val="clear" w:color="auto" w:fill="auto"/>
            <w:noWrap/>
            <w:hideMark/>
          </w:tcPr>
          <w:p w14:paraId="7503A5D0" w14:textId="77777777" w:rsidR="00D83745" w:rsidRDefault="00D83745" w:rsidP="009303EB">
            <w:pPr>
              <w:keepNext/>
              <w:spacing w:before="60" w:after="60"/>
              <w:jc w:val="center"/>
              <w:rPr>
                <w:sz w:val="18"/>
              </w:rPr>
            </w:pPr>
            <w:r w:rsidRPr="00693F92">
              <w:rPr>
                <w:sz w:val="18"/>
              </w:rPr>
              <w:t>8</w:t>
            </w:r>
            <w:r>
              <w:rPr>
                <w:sz w:val="18"/>
              </w:rPr>
              <w:t xml:space="preserve"> hours</w:t>
            </w:r>
          </w:p>
          <w:p w14:paraId="27FD0EE8" w14:textId="77777777" w:rsidR="00D83745" w:rsidRPr="00693F92" w:rsidRDefault="00D83745" w:rsidP="009303EB">
            <w:pPr>
              <w:keepNext/>
              <w:spacing w:before="60" w:after="60"/>
              <w:jc w:val="center"/>
              <w:rPr>
                <w:sz w:val="18"/>
              </w:rPr>
            </w:pPr>
            <w:r>
              <w:rPr>
                <w:sz w:val="18"/>
              </w:rPr>
              <w:t>(</w:t>
            </w:r>
            <w:r w:rsidRPr="00693F92">
              <w:rPr>
                <w:sz w:val="18"/>
              </w:rPr>
              <w:t>$610.96</w:t>
            </w:r>
            <w:r>
              <w:rPr>
                <w:sz w:val="18"/>
              </w:rPr>
              <w:t>)</w:t>
            </w:r>
          </w:p>
        </w:tc>
        <w:tc>
          <w:tcPr>
            <w:tcW w:w="1912" w:type="dxa"/>
            <w:shd w:val="clear" w:color="auto" w:fill="auto"/>
            <w:noWrap/>
            <w:hideMark/>
          </w:tcPr>
          <w:p w14:paraId="323194F4" w14:textId="77777777" w:rsidR="00D83745" w:rsidRPr="00693F92" w:rsidRDefault="00D83745" w:rsidP="009303EB">
            <w:pPr>
              <w:keepNext/>
              <w:spacing w:before="60" w:after="60"/>
              <w:jc w:val="center"/>
              <w:rPr>
                <w:sz w:val="18"/>
              </w:rPr>
            </w:pPr>
            <w:r w:rsidRPr="00693F92">
              <w:rPr>
                <w:sz w:val="18"/>
              </w:rPr>
              <w:t>$</w:t>
            </w:r>
            <w:r>
              <w:rPr>
                <w:sz w:val="18"/>
              </w:rPr>
              <w:t>48.90</w:t>
            </w:r>
          </w:p>
        </w:tc>
      </w:tr>
      <w:tr w:rsidR="00D83745" w:rsidRPr="00616C9C" w14:paraId="5BA08503" w14:textId="77777777" w:rsidTr="009303EB">
        <w:trPr>
          <w:cantSplit/>
          <w:trHeight w:val="288"/>
        </w:trPr>
        <w:tc>
          <w:tcPr>
            <w:tcW w:w="1912" w:type="dxa"/>
            <w:shd w:val="clear" w:color="auto" w:fill="auto"/>
            <w:noWrap/>
            <w:hideMark/>
          </w:tcPr>
          <w:p w14:paraId="3C8AC9B3" w14:textId="77777777" w:rsidR="00D83745" w:rsidRPr="00693F92" w:rsidRDefault="00D83745" w:rsidP="009303EB">
            <w:pPr>
              <w:keepNext/>
              <w:spacing w:before="60" w:after="60"/>
              <w:jc w:val="center"/>
              <w:rPr>
                <w:sz w:val="18"/>
              </w:rPr>
            </w:pPr>
            <w:r w:rsidRPr="001806F3">
              <w:rPr>
                <w:sz w:val="18"/>
              </w:rPr>
              <w:t xml:space="preserve">Application for registration </w:t>
            </w:r>
          </w:p>
        </w:tc>
        <w:tc>
          <w:tcPr>
            <w:tcW w:w="1913" w:type="dxa"/>
          </w:tcPr>
          <w:p w14:paraId="3368A3DB" w14:textId="77777777" w:rsidR="00D83745" w:rsidRPr="00693F92" w:rsidRDefault="00D83745" w:rsidP="009303EB">
            <w:pPr>
              <w:keepNext/>
              <w:spacing w:before="60" w:after="60"/>
              <w:jc w:val="center"/>
              <w:rPr>
                <w:sz w:val="18"/>
              </w:rPr>
            </w:pPr>
            <w:r w:rsidRPr="00693F92">
              <w:rPr>
                <w:sz w:val="18"/>
              </w:rPr>
              <w:t>171</w:t>
            </w:r>
          </w:p>
        </w:tc>
        <w:tc>
          <w:tcPr>
            <w:tcW w:w="1913" w:type="dxa"/>
            <w:shd w:val="clear" w:color="auto" w:fill="auto"/>
            <w:noWrap/>
            <w:hideMark/>
          </w:tcPr>
          <w:p w14:paraId="5062DB81" w14:textId="77777777" w:rsidR="00D83745" w:rsidRDefault="00D83745" w:rsidP="009303EB">
            <w:pPr>
              <w:keepNext/>
              <w:spacing w:before="60" w:after="60"/>
              <w:jc w:val="center"/>
              <w:rPr>
                <w:sz w:val="18"/>
              </w:rPr>
            </w:pPr>
            <w:r w:rsidRPr="00693F92">
              <w:rPr>
                <w:sz w:val="18"/>
              </w:rPr>
              <w:t>1</w:t>
            </w:r>
            <w:r>
              <w:rPr>
                <w:sz w:val="18"/>
              </w:rPr>
              <w:t xml:space="preserve"> hour</w:t>
            </w:r>
          </w:p>
          <w:p w14:paraId="7B8BC09F" w14:textId="77777777" w:rsidR="00D83745" w:rsidRPr="00693F92" w:rsidRDefault="00D83745" w:rsidP="009303EB">
            <w:pPr>
              <w:keepNext/>
              <w:spacing w:before="60" w:after="60"/>
              <w:jc w:val="center"/>
              <w:rPr>
                <w:sz w:val="18"/>
              </w:rPr>
            </w:pPr>
            <w:r>
              <w:rPr>
                <w:sz w:val="18"/>
              </w:rPr>
              <w:t>(</w:t>
            </w:r>
            <w:r w:rsidRPr="00693F92">
              <w:rPr>
                <w:sz w:val="18"/>
              </w:rPr>
              <w:t>$76.37</w:t>
            </w:r>
            <w:r>
              <w:rPr>
                <w:sz w:val="18"/>
              </w:rPr>
              <w:t>)</w:t>
            </w:r>
          </w:p>
        </w:tc>
        <w:tc>
          <w:tcPr>
            <w:tcW w:w="1912" w:type="dxa"/>
            <w:shd w:val="clear" w:color="auto" w:fill="auto"/>
            <w:noWrap/>
            <w:hideMark/>
          </w:tcPr>
          <w:p w14:paraId="3B698F05" w14:textId="77777777" w:rsidR="00D83745" w:rsidRPr="00693F92" w:rsidRDefault="00D83745" w:rsidP="009303EB">
            <w:pPr>
              <w:keepNext/>
              <w:spacing w:before="60" w:after="60"/>
              <w:jc w:val="center"/>
              <w:rPr>
                <w:sz w:val="18"/>
              </w:rPr>
            </w:pPr>
            <w:r w:rsidRPr="00693F92">
              <w:rPr>
                <w:sz w:val="18"/>
              </w:rPr>
              <w:t>$0</w:t>
            </w:r>
          </w:p>
        </w:tc>
      </w:tr>
    </w:tbl>
    <w:p w14:paraId="381BA7E5" w14:textId="4D08FD47" w:rsidR="00D83745" w:rsidRDefault="00D83745" w:rsidP="00D83745">
      <w:r>
        <w:t xml:space="preserve">Based on a real discount rate of 4 per cent, the 10-year NPV and EAC for applications for accreditation and registrations are outlined in </w:t>
      </w:r>
      <w:r w:rsidR="00612799">
        <w:fldChar w:fldCharType="begin"/>
      </w:r>
      <w:r w:rsidR="00612799">
        <w:instrText xml:space="preserve"> REF _Ref42008870 \h  \* MERGEFORMAT </w:instrText>
      </w:r>
      <w:r w:rsidR="00612799">
        <w:fldChar w:fldCharType="separate"/>
      </w:r>
      <w:r w:rsidR="00277F6E" w:rsidRPr="00277F6E">
        <w:t>Table 7</w:t>
      </w:r>
      <w:r w:rsidR="00277F6E" w:rsidRPr="00277F6E">
        <w:noBreakHyphen/>
        <w:t>23</w:t>
      </w:r>
      <w:r w:rsidR="00612799">
        <w:fldChar w:fldCharType="end"/>
      </w:r>
      <w:r w:rsidR="00612799">
        <w:t xml:space="preserve"> </w:t>
      </w:r>
      <w:r>
        <w:t xml:space="preserve">below. </w:t>
      </w:r>
    </w:p>
    <w:p w14:paraId="1804D3EF" w14:textId="5B350B96" w:rsidR="00D83745" w:rsidRPr="00A6650A" w:rsidRDefault="00D83745" w:rsidP="007620AA">
      <w:pPr>
        <w:pStyle w:val="Caption"/>
        <w:keepNext/>
        <w:spacing w:after="60"/>
        <w:rPr>
          <w:b/>
          <w:i w:val="0"/>
        </w:rPr>
      </w:pPr>
      <w:bookmarkStart w:id="837" w:name="_Ref42008870"/>
      <w:bookmarkStart w:id="838" w:name="_Toc44603420"/>
      <w:bookmarkStart w:id="839" w:name="_Toc44437395"/>
      <w:bookmarkStart w:id="840" w:name="_Toc44597466"/>
      <w:bookmarkStart w:id="841" w:name="_Toc44597530"/>
      <w:bookmarkStart w:id="842" w:name="_Toc44600100"/>
      <w:bookmarkStart w:id="843" w:name="_Toc44600555"/>
      <w:bookmarkStart w:id="844" w:name="_Toc44600722"/>
      <w:bookmarkStart w:id="845" w:name="_Toc44601219"/>
      <w:bookmarkStart w:id="846" w:name="_Toc44601272"/>
      <w:bookmarkStart w:id="847" w:name="_Toc45704468"/>
      <w:r w:rsidRPr="00A6650A">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23</w:t>
      </w:r>
      <w:r w:rsidR="00D2483C">
        <w:rPr>
          <w:b/>
          <w:i w:val="0"/>
        </w:rPr>
        <w:fldChar w:fldCharType="end"/>
      </w:r>
      <w:bookmarkEnd w:id="837"/>
      <w:r w:rsidRPr="00A6650A">
        <w:rPr>
          <w:b/>
          <w:i w:val="0"/>
        </w:rPr>
        <w:t xml:space="preserve">: NPV and EAC for </w:t>
      </w:r>
      <w:r w:rsidR="003F6104">
        <w:rPr>
          <w:b/>
          <w:i w:val="0"/>
        </w:rPr>
        <w:t xml:space="preserve">applications for </w:t>
      </w:r>
      <w:r w:rsidRPr="00A6650A">
        <w:rPr>
          <w:b/>
          <w:i w:val="0"/>
        </w:rPr>
        <w:t>accreditation and registration</w:t>
      </w:r>
      <w:bookmarkEnd w:id="838"/>
      <w:bookmarkEnd w:id="839"/>
      <w:bookmarkEnd w:id="840"/>
      <w:bookmarkEnd w:id="841"/>
      <w:bookmarkEnd w:id="842"/>
      <w:bookmarkEnd w:id="843"/>
      <w:bookmarkEnd w:id="844"/>
      <w:bookmarkEnd w:id="845"/>
      <w:bookmarkEnd w:id="846"/>
      <w:bookmarkEnd w:id="847"/>
    </w:p>
    <w:tbl>
      <w:tblPr>
        <w:tblW w:w="6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0"/>
        <w:gridCol w:w="2231"/>
        <w:gridCol w:w="2230"/>
      </w:tblGrid>
      <w:tr w:rsidR="00D83745" w:rsidRPr="00A6650A" w14:paraId="79CCB4E5" w14:textId="77777777" w:rsidTr="009303EB">
        <w:trPr>
          <w:cantSplit/>
          <w:trHeight w:val="288"/>
        </w:trPr>
        <w:tc>
          <w:tcPr>
            <w:tcW w:w="1912" w:type="dxa"/>
            <w:shd w:val="clear" w:color="auto" w:fill="D6ECED"/>
            <w:noWrap/>
            <w:vAlign w:val="bottom"/>
            <w:hideMark/>
          </w:tcPr>
          <w:p w14:paraId="0C434634" w14:textId="77777777" w:rsidR="00D83745" w:rsidRPr="00117CB8" w:rsidRDefault="00D83745" w:rsidP="009303EB">
            <w:pPr>
              <w:keepNext/>
              <w:spacing w:before="60" w:after="60"/>
              <w:jc w:val="center"/>
              <w:rPr>
                <w:rFonts w:eastAsia="Times New Roman" w:cstheme="minorHAnsi"/>
                <w:b/>
                <w:bCs/>
                <w:color w:val="000000"/>
                <w:sz w:val="18"/>
                <w:lang w:eastAsia="en-AU"/>
              </w:rPr>
            </w:pPr>
            <w:r w:rsidRPr="00117CB8">
              <w:rPr>
                <w:b/>
                <w:bCs/>
                <w:sz w:val="18"/>
              </w:rPr>
              <w:t>Activity</w:t>
            </w:r>
          </w:p>
        </w:tc>
        <w:tc>
          <w:tcPr>
            <w:tcW w:w="1913" w:type="dxa"/>
            <w:shd w:val="clear" w:color="auto" w:fill="D6ECED"/>
            <w:noWrap/>
            <w:hideMark/>
          </w:tcPr>
          <w:p w14:paraId="0BE8EC38" w14:textId="77777777" w:rsidR="00D83745" w:rsidRPr="00733EF6" w:rsidRDefault="00D83745" w:rsidP="009303EB">
            <w:pPr>
              <w:keepNext/>
              <w:spacing w:before="60" w:after="60"/>
              <w:jc w:val="center"/>
              <w:rPr>
                <w:rFonts w:eastAsia="Times New Roman" w:cstheme="minorHAnsi"/>
                <w:b/>
                <w:color w:val="000000"/>
                <w:sz w:val="18"/>
                <w:lang w:eastAsia="en-AU"/>
              </w:rPr>
            </w:pPr>
            <w:r w:rsidRPr="00CF557D">
              <w:rPr>
                <w:b/>
                <w:sz w:val="18"/>
              </w:rPr>
              <w:t>NPV</w:t>
            </w:r>
          </w:p>
        </w:tc>
        <w:tc>
          <w:tcPr>
            <w:tcW w:w="1912" w:type="dxa"/>
            <w:shd w:val="clear" w:color="auto" w:fill="D6ECED"/>
            <w:noWrap/>
            <w:hideMark/>
          </w:tcPr>
          <w:p w14:paraId="01BAE415" w14:textId="77777777" w:rsidR="00D83745" w:rsidRPr="00C569F7" w:rsidRDefault="00D83745" w:rsidP="009303EB">
            <w:pPr>
              <w:keepNext/>
              <w:spacing w:before="60" w:after="60"/>
              <w:jc w:val="center"/>
              <w:rPr>
                <w:rFonts w:eastAsia="Times New Roman" w:cstheme="minorHAnsi"/>
                <w:b/>
                <w:color w:val="000000"/>
                <w:sz w:val="18"/>
                <w:lang w:eastAsia="en-AU"/>
              </w:rPr>
            </w:pPr>
            <w:r w:rsidRPr="00D7407E">
              <w:rPr>
                <w:b/>
                <w:sz w:val="18"/>
              </w:rPr>
              <w:t>EAC</w:t>
            </w:r>
          </w:p>
        </w:tc>
      </w:tr>
      <w:tr w:rsidR="00D83745" w:rsidRPr="00A6650A" w14:paraId="01026372" w14:textId="77777777" w:rsidTr="009303EB">
        <w:trPr>
          <w:cantSplit/>
          <w:trHeight w:val="288"/>
        </w:trPr>
        <w:tc>
          <w:tcPr>
            <w:tcW w:w="1912" w:type="dxa"/>
            <w:shd w:val="clear" w:color="auto" w:fill="auto"/>
            <w:noWrap/>
            <w:hideMark/>
          </w:tcPr>
          <w:p w14:paraId="3D44A909" w14:textId="77777777" w:rsidR="00D83745" w:rsidRPr="00A6650A" w:rsidRDefault="00D83745" w:rsidP="009303EB">
            <w:pPr>
              <w:keepNext/>
              <w:spacing w:before="60" w:after="60"/>
              <w:jc w:val="center"/>
              <w:rPr>
                <w:rFonts w:eastAsia="Times New Roman" w:cstheme="minorHAnsi"/>
                <w:color w:val="000000"/>
                <w:sz w:val="18"/>
                <w:lang w:eastAsia="en-AU"/>
              </w:rPr>
            </w:pPr>
            <w:r w:rsidRPr="00A6650A">
              <w:rPr>
                <w:sz w:val="18"/>
              </w:rPr>
              <w:t>Application for accreditation</w:t>
            </w:r>
          </w:p>
        </w:tc>
        <w:tc>
          <w:tcPr>
            <w:tcW w:w="1913" w:type="dxa"/>
            <w:shd w:val="clear" w:color="auto" w:fill="auto"/>
            <w:noWrap/>
          </w:tcPr>
          <w:p w14:paraId="0E1581C9" w14:textId="77777777" w:rsidR="00D83745" w:rsidRPr="00117CB8" w:rsidRDefault="00D83745" w:rsidP="009303EB">
            <w:pPr>
              <w:keepNext/>
              <w:spacing w:before="60" w:after="60"/>
              <w:jc w:val="center"/>
              <w:rPr>
                <w:rFonts w:eastAsia="Times New Roman" w:cstheme="minorHAnsi"/>
                <w:color w:val="000000"/>
                <w:sz w:val="18"/>
                <w:lang w:eastAsia="en-AU"/>
              </w:rPr>
            </w:pPr>
            <w:r w:rsidRPr="00A6650A">
              <w:rPr>
                <w:sz w:val="18"/>
              </w:rPr>
              <w:t>$0.2m</w:t>
            </w:r>
          </w:p>
        </w:tc>
        <w:tc>
          <w:tcPr>
            <w:tcW w:w="1912" w:type="dxa"/>
            <w:shd w:val="clear" w:color="auto" w:fill="auto"/>
            <w:noWrap/>
          </w:tcPr>
          <w:p w14:paraId="6A20A261" w14:textId="4573CD0D" w:rsidR="00D83745" w:rsidRPr="00117CB8" w:rsidRDefault="00D83745" w:rsidP="009303EB">
            <w:pPr>
              <w:keepNext/>
              <w:spacing w:before="60" w:after="60"/>
              <w:jc w:val="center"/>
              <w:rPr>
                <w:rFonts w:eastAsia="Times New Roman" w:cstheme="minorHAnsi"/>
                <w:color w:val="000000"/>
                <w:sz w:val="18"/>
                <w:lang w:eastAsia="en-AU"/>
              </w:rPr>
            </w:pPr>
            <w:r w:rsidRPr="00A6650A">
              <w:rPr>
                <w:sz w:val="18"/>
              </w:rPr>
              <w:t>$0.0</w:t>
            </w:r>
            <w:r w:rsidR="0011328A">
              <w:rPr>
                <w:sz w:val="18"/>
              </w:rPr>
              <w:t>27</w:t>
            </w:r>
            <w:r w:rsidRPr="00A6650A">
              <w:rPr>
                <w:sz w:val="18"/>
              </w:rPr>
              <w:t>m</w:t>
            </w:r>
          </w:p>
        </w:tc>
      </w:tr>
      <w:tr w:rsidR="00D83745" w:rsidRPr="00117CB8" w14:paraId="29A1C12B" w14:textId="77777777" w:rsidTr="009303EB">
        <w:trPr>
          <w:cantSplit/>
          <w:trHeight w:val="288"/>
        </w:trPr>
        <w:tc>
          <w:tcPr>
            <w:tcW w:w="1912" w:type="dxa"/>
            <w:shd w:val="clear" w:color="auto" w:fill="auto"/>
            <w:noWrap/>
            <w:hideMark/>
          </w:tcPr>
          <w:p w14:paraId="53ADB7B9" w14:textId="77777777" w:rsidR="00D83745" w:rsidRPr="00A6650A" w:rsidRDefault="00D83745" w:rsidP="009303EB">
            <w:pPr>
              <w:keepNext/>
              <w:spacing w:before="60" w:after="60"/>
              <w:jc w:val="center"/>
              <w:rPr>
                <w:rFonts w:eastAsia="Times New Roman" w:cstheme="minorHAnsi"/>
                <w:color w:val="000000"/>
                <w:sz w:val="18"/>
                <w:lang w:eastAsia="en-AU"/>
              </w:rPr>
            </w:pPr>
            <w:r w:rsidRPr="00A6650A">
              <w:rPr>
                <w:sz w:val="18"/>
              </w:rPr>
              <w:t xml:space="preserve">Application for registration </w:t>
            </w:r>
          </w:p>
        </w:tc>
        <w:tc>
          <w:tcPr>
            <w:tcW w:w="1913" w:type="dxa"/>
            <w:shd w:val="clear" w:color="auto" w:fill="auto"/>
            <w:noWrap/>
          </w:tcPr>
          <w:p w14:paraId="4A6E0D99" w14:textId="77777777" w:rsidR="00D83745" w:rsidRPr="00117CB8" w:rsidRDefault="00D83745" w:rsidP="009303EB">
            <w:pPr>
              <w:keepNext/>
              <w:spacing w:before="60" w:after="60"/>
              <w:jc w:val="center"/>
              <w:rPr>
                <w:rFonts w:eastAsia="Times New Roman" w:cstheme="minorHAnsi"/>
                <w:color w:val="000000"/>
                <w:sz w:val="18"/>
                <w:lang w:eastAsia="en-AU"/>
              </w:rPr>
            </w:pPr>
            <w:r w:rsidRPr="00A6650A">
              <w:rPr>
                <w:sz w:val="18"/>
              </w:rPr>
              <w:t>$0.1m</w:t>
            </w:r>
          </w:p>
        </w:tc>
        <w:tc>
          <w:tcPr>
            <w:tcW w:w="1912" w:type="dxa"/>
            <w:shd w:val="clear" w:color="auto" w:fill="auto"/>
            <w:noWrap/>
          </w:tcPr>
          <w:p w14:paraId="7B0C8045" w14:textId="06A25F9C" w:rsidR="00D83745" w:rsidRPr="00117CB8" w:rsidRDefault="00D83745" w:rsidP="009303EB">
            <w:pPr>
              <w:keepNext/>
              <w:spacing w:before="60" w:after="60"/>
              <w:jc w:val="center"/>
              <w:rPr>
                <w:rFonts w:eastAsia="Times New Roman" w:cstheme="minorHAnsi"/>
                <w:color w:val="000000"/>
                <w:sz w:val="18"/>
                <w:lang w:eastAsia="en-AU"/>
              </w:rPr>
            </w:pPr>
            <w:r w:rsidRPr="00A6650A">
              <w:rPr>
                <w:sz w:val="18"/>
              </w:rPr>
              <w:t>$0.01</w:t>
            </w:r>
            <w:r w:rsidR="0011328A">
              <w:rPr>
                <w:sz w:val="18"/>
              </w:rPr>
              <w:t>3</w:t>
            </w:r>
            <w:r w:rsidRPr="00A6650A">
              <w:rPr>
                <w:sz w:val="18"/>
              </w:rPr>
              <w:t>m</w:t>
            </w:r>
          </w:p>
        </w:tc>
      </w:tr>
    </w:tbl>
    <w:p w14:paraId="3D7C49E4" w14:textId="77777777" w:rsidR="00D83745" w:rsidRDefault="00D83745" w:rsidP="0095677C">
      <w:pPr>
        <w:pStyle w:val="Heading5"/>
      </w:pPr>
      <w:r>
        <w:t>Summary</w:t>
      </w:r>
    </w:p>
    <w:p w14:paraId="642B7D4D" w14:textId="77777777" w:rsidR="00D83745" w:rsidRDefault="00D83745" w:rsidP="00D83745">
      <w:r>
        <w:t>Regulations are needed to prescribe what must be included in applications for both accreditation and registration. DoT estimates that the compliance costs of collecting this information totals $0.3 million over the life of the regulations. Since this information is need by the Safety Director in order to decide on applications, DoT is recommending these regulations.</w:t>
      </w:r>
    </w:p>
    <w:p w14:paraId="1AD9A32E" w14:textId="77777777" w:rsidR="00D83745" w:rsidRDefault="00D83745" w:rsidP="00D83745">
      <w:pPr>
        <w:pStyle w:val="Heading2"/>
      </w:pPr>
      <w:bookmarkStart w:id="848" w:name="_Ref43279175"/>
      <w:bookmarkStart w:id="849" w:name="_Toc45704381"/>
      <w:r>
        <w:t>Identification</w:t>
      </w:r>
      <w:bookmarkEnd w:id="848"/>
      <w:bookmarkEnd w:id="849"/>
    </w:p>
    <w:p w14:paraId="2FFB5146" w14:textId="5063CE69" w:rsidR="008B1F03" w:rsidRDefault="00D83745" w:rsidP="00D83745">
      <w:r>
        <w:t>This section</w:t>
      </w:r>
      <w:r w:rsidR="008B6859">
        <w:t xml:space="preserve"> considers the impact</w:t>
      </w:r>
      <w:r>
        <w:t xml:space="preserve"> of regulations requiring the operator to display information relating to the person responsible for the provision of a bus service</w:t>
      </w:r>
      <w:r w:rsidR="004D4A6F">
        <w:t xml:space="preserve">, </w:t>
      </w:r>
      <w:r w:rsidR="0019311E">
        <w:t>based on considerations discussed in S</w:t>
      </w:r>
      <w:r w:rsidR="004D4A6F">
        <w:t xml:space="preserve">ection </w:t>
      </w:r>
      <w:r w:rsidR="004D4A6F">
        <w:fldChar w:fldCharType="begin"/>
      </w:r>
      <w:r w:rsidR="004D4A6F">
        <w:instrText xml:space="preserve"> REF _Ref41992911 \r \h </w:instrText>
      </w:r>
      <w:r w:rsidR="004D4A6F">
        <w:fldChar w:fldCharType="separate"/>
      </w:r>
      <w:r w:rsidR="00277F6E">
        <w:t>6.6</w:t>
      </w:r>
      <w:r w:rsidR="004D4A6F">
        <w:fldChar w:fldCharType="end"/>
      </w:r>
      <w:r>
        <w:t xml:space="preserve">. </w:t>
      </w:r>
      <w:r w:rsidR="008B1F03">
        <w:t>This section considers two options (</w:t>
      </w:r>
      <w:r w:rsidR="00044A54">
        <w:t xml:space="preserve">note that </w:t>
      </w:r>
      <w:r w:rsidR="008B1F03">
        <w:t>these options are not mutually exclusive):</w:t>
      </w:r>
    </w:p>
    <w:p w14:paraId="2A55D27C" w14:textId="1EA24180" w:rsidR="00D83745" w:rsidRPr="008B1F03" w:rsidRDefault="004D48AD" w:rsidP="00842F5A">
      <w:pPr>
        <w:pStyle w:val="ListParagraph"/>
        <w:numPr>
          <w:ilvl w:val="0"/>
          <w:numId w:val="29"/>
        </w:numPr>
        <w:rPr>
          <w:rFonts w:asciiTheme="minorHAnsi" w:hAnsiTheme="minorHAnsi" w:cstheme="minorHAnsi"/>
          <w:color w:val="auto"/>
          <w:sz w:val="20"/>
          <w:szCs w:val="20"/>
        </w:rPr>
      </w:pPr>
      <w:r>
        <w:rPr>
          <w:rFonts w:asciiTheme="minorHAnsi" w:hAnsiTheme="minorHAnsi" w:cstheme="minorHAnsi"/>
          <w:color w:val="auto"/>
          <w:sz w:val="20"/>
          <w:szCs w:val="20"/>
        </w:rPr>
        <w:t xml:space="preserve">All </w:t>
      </w:r>
      <w:r w:rsidR="00A13EFE">
        <w:rPr>
          <w:rFonts w:asciiTheme="minorHAnsi" w:hAnsiTheme="minorHAnsi" w:cstheme="minorHAnsi"/>
          <w:color w:val="auto"/>
          <w:sz w:val="20"/>
          <w:szCs w:val="20"/>
        </w:rPr>
        <w:t xml:space="preserve">bus </w:t>
      </w:r>
      <w:r>
        <w:rPr>
          <w:rFonts w:asciiTheme="minorHAnsi" w:hAnsiTheme="minorHAnsi" w:cstheme="minorHAnsi"/>
          <w:color w:val="auto"/>
          <w:sz w:val="20"/>
          <w:szCs w:val="20"/>
        </w:rPr>
        <w:t>operators are required to display</w:t>
      </w:r>
      <w:r w:rsidR="00290E92">
        <w:rPr>
          <w:rFonts w:asciiTheme="minorHAnsi" w:hAnsiTheme="minorHAnsi" w:cstheme="minorHAnsi"/>
          <w:color w:val="auto"/>
          <w:sz w:val="20"/>
          <w:szCs w:val="20"/>
        </w:rPr>
        <w:t xml:space="preserve"> identification details using a</w:t>
      </w:r>
      <w:r w:rsidR="00D83745" w:rsidRPr="008B1F03">
        <w:rPr>
          <w:rFonts w:asciiTheme="minorHAnsi" w:hAnsiTheme="minorHAnsi" w:cstheme="minorHAnsi"/>
          <w:color w:val="auto"/>
          <w:sz w:val="20"/>
          <w:szCs w:val="20"/>
        </w:rPr>
        <w:t xml:space="preserve"> sign, sticker or any other label on the bus</w:t>
      </w:r>
      <w:r w:rsidR="003E04B1">
        <w:rPr>
          <w:rFonts w:asciiTheme="minorHAnsi" w:hAnsiTheme="minorHAnsi" w:cstheme="minorHAnsi"/>
          <w:color w:val="auto"/>
          <w:sz w:val="20"/>
          <w:szCs w:val="20"/>
        </w:rPr>
        <w:t xml:space="preserve"> (new requirement)</w:t>
      </w:r>
      <w:r w:rsidR="00D83745" w:rsidRPr="008B1F03">
        <w:rPr>
          <w:rFonts w:asciiTheme="minorHAnsi" w:hAnsiTheme="minorHAnsi" w:cstheme="minorHAnsi"/>
          <w:color w:val="auto"/>
          <w:sz w:val="20"/>
          <w:szCs w:val="20"/>
        </w:rPr>
        <w:t xml:space="preserve">. </w:t>
      </w:r>
    </w:p>
    <w:p w14:paraId="3978B06B" w14:textId="46B4145A" w:rsidR="00D83745" w:rsidRPr="008B1F03" w:rsidRDefault="00A13EFE" w:rsidP="00842F5A">
      <w:pPr>
        <w:pStyle w:val="ListParagraph"/>
        <w:numPr>
          <w:ilvl w:val="0"/>
          <w:numId w:val="29"/>
        </w:numPr>
        <w:rPr>
          <w:rFonts w:asciiTheme="minorHAnsi" w:hAnsiTheme="minorHAnsi" w:cstheme="minorHAnsi"/>
          <w:color w:val="auto"/>
          <w:sz w:val="20"/>
          <w:szCs w:val="20"/>
        </w:rPr>
      </w:pPr>
      <w:r>
        <w:rPr>
          <w:rFonts w:asciiTheme="minorHAnsi" w:hAnsiTheme="minorHAnsi" w:cstheme="minorHAnsi"/>
          <w:color w:val="auto"/>
          <w:sz w:val="20"/>
          <w:szCs w:val="20"/>
        </w:rPr>
        <w:t>A</w:t>
      </w:r>
      <w:r w:rsidR="00D83745" w:rsidRPr="008B1F03">
        <w:rPr>
          <w:rFonts w:asciiTheme="minorHAnsi" w:hAnsiTheme="minorHAnsi" w:cstheme="minorHAnsi"/>
          <w:color w:val="auto"/>
          <w:sz w:val="20"/>
          <w:szCs w:val="20"/>
        </w:rPr>
        <w:t xml:space="preserve">ccredited bus operators </w:t>
      </w:r>
      <w:r>
        <w:rPr>
          <w:rFonts w:asciiTheme="minorHAnsi" w:hAnsiTheme="minorHAnsi" w:cstheme="minorHAnsi"/>
          <w:color w:val="auto"/>
          <w:sz w:val="20"/>
          <w:szCs w:val="20"/>
        </w:rPr>
        <w:t>are</w:t>
      </w:r>
      <w:r w:rsidRPr="008B1F03">
        <w:rPr>
          <w:rFonts w:asciiTheme="minorHAnsi" w:hAnsiTheme="minorHAnsi" w:cstheme="minorHAnsi"/>
          <w:color w:val="auto"/>
          <w:sz w:val="20"/>
          <w:szCs w:val="20"/>
        </w:rPr>
        <w:t xml:space="preserve"> </w:t>
      </w:r>
      <w:r w:rsidR="00D83745" w:rsidRPr="008B1F03">
        <w:rPr>
          <w:rFonts w:asciiTheme="minorHAnsi" w:hAnsiTheme="minorHAnsi" w:cstheme="minorHAnsi"/>
          <w:color w:val="auto"/>
          <w:sz w:val="20"/>
          <w:szCs w:val="20"/>
        </w:rPr>
        <w:t>required to have bus-specific number plates on buses operated by that operator</w:t>
      </w:r>
      <w:r w:rsidR="003A36C4" w:rsidRPr="008B1F03">
        <w:rPr>
          <w:rFonts w:asciiTheme="minorHAnsi" w:hAnsiTheme="minorHAnsi" w:cstheme="minorHAnsi"/>
          <w:color w:val="auto"/>
          <w:sz w:val="20"/>
          <w:szCs w:val="20"/>
        </w:rPr>
        <w:t xml:space="preserve"> (status quo)</w:t>
      </w:r>
      <w:r w:rsidR="00D83745" w:rsidRPr="008B1F03">
        <w:rPr>
          <w:rFonts w:asciiTheme="minorHAnsi" w:hAnsiTheme="minorHAnsi" w:cstheme="minorHAnsi"/>
          <w:color w:val="auto"/>
          <w:sz w:val="20"/>
          <w:szCs w:val="20"/>
        </w:rPr>
        <w:t xml:space="preserve">. </w:t>
      </w:r>
    </w:p>
    <w:p w14:paraId="6614DCC0" w14:textId="77777777" w:rsidR="00D83745" w:rsidRDefault="00D83745" w:rsidP="0095677C">
      <w:pPr>
        <w:pStyle w:val="Heading5"/>
      </w:pPr>
      <w:r w:rsidRPr="00C143D1">
        <w:t>Expected benefits</w:t>
      </w:r>
    </w:p>
    <w:p w14:paraId="49659076" w14:textId="057DA208" w:rsidR="00D83745" w:rsidRDefault="00D83745" w:rsidP="00D83745">
      <w:r>
        <w:t xml:space="preserve">The display of identifying information is intended to assist TSV in identifying buses being used to provide a bus service (i.e. those buses that are within the scope of the regulatory scheme). Accordingly, it is needed primarily for compliance monitoring and enforcement. It is expected that better identification would improve enforcement efficacy by enabling officers of the regulator to better identify services and who is responsible for those services. It would simplify any enforcement action (such as issuing infringement, improvement or prohibition notices) should any action need to be </w:t>
      </w:r>
      <w:r w:rsidR="00BD5EBC">
        <w:t>taken and</w:t>
      </w:r>
      <w:r w:rsidR="00866309">
        <w:t xml:space="preserve"> will potentially lead to improved safety outcomes</w:t>
      </w:r>
      <w:r w:rsidR="00620B6F">
        <w:t xml:space="preserve"> by </w:t>
      </w:r>
      <w:r w:rsidR="000D3B24">
        <w:t xml:space="preserve">incentivising </w:t>
      </w:r>
      <w:r w:rsidR="00DF3BEC">
        <w:t xml:space="preserve">operators to operate safely since the operator </w:t>
      </w:r>
      <w:r w:rsidR="007A61D5">
        <w:t>can more easily be identified</w:t>
      </w:r>
      <w:r>
        <w:t xml:space="preserve">. </w:t>
      </w:r>
    </w:p>
    <w:p w14:paraId="0A85EC5B" w14:textId="77777777" w:rsidR="00841694" w:rsidRDefault="00D83745" w:rsidP="009F05F3">
      <w:r>
        <w:t xml:space="preserve">There may also be a benefit in the form of increased public confidence in the safety of bus services. The display of a number plate would signal to users of bus services that the bus service is regulated and, by implication, safe. </w:t>
      </w:r>
      <w:r w:rsidR="007809C6" w:rsidRPr="00AB0BA2">
        <w:t xml:space="preserve">There is some limited anecdotal evidence from the commercial passenger vehicle sector that number plates have a value other than for enforcement purposes. As part of the implementation of commercial passenger vehicle reforms in 2017 and 2018, hire car operators posited that the “VHA” number plates that hire cars were required to display has brand value.  The claim was that customers would seek out vehicles with such number plates for passenger transport services with an expectation of higher quality services. In response, the Government made “VH” plates available as an option for commercial passenger vehicle operators. </w:t>
      </w:r>
    </w:p>
    <w:p w14:paraId="149F67FA" w14:textId="51B792C2" w:rsidR="009F05F3" w:rsidRPr="00DA0DE7" w:rsidRDefault="009F05F3" w:rsidP="009F05F3">
      <w:r>
        <w:lastRenderedPageBreak/>
        <w:t>Given these measures are largely to enable improvement in compliance monitoring and enforcement of the bus safety laws, the effects on safety is expected to be low relative to other measures relating to safety.</w:t>
      </w:r>
    </w:p>
    <w:p w14:paraId="07278454" w14:textId="77777777" w:rsidR="00D83745" w:rsidRDefault="00D83745" w:rsidP="0095677C">
      <w:pPr>
        <w:pStyle w:val="Heading5"/>
      </w:pPr>
      <w:r w:rsidRPr="00BF41B9">
        <w:t>Expected costs</w:t>
      </w:r>
    </w:p>
    <w:p w14:paraId="120C4ABB" w14:textId="1C90A5A8" w:rsidR="00D83745" w:rsidRDefault="00D83745" w:rsidP="00D83745">
      <w:r>
        <w:t xml:space="preserve">There are some compliance costs associated with installing a sign, sticker or label on the vehicle. The exact costs will depend on the method employed by the operator to comply with the requirement. A desktop analysis </w:t>
      </w:r>
      <w:r w:rsidR="00CE54C4">
        <w:t xml:space="preserve">of </w:t>
      </w:r>
      <w:r w:rsidR="00040357">
        <w:t xml:space="preserve">quoted </w:t>
      </w:r>
      <w:r w:rsidR="00CE54C4">
        <w:t xml:space="preserve">prices of </w:t>
      </w:r>
      <w:r w:rsidR="00F522E5">
        <w:t xml:space="preserve">vehicle </w:t>
      </w:r>
      <w:r w:rsidR="00CE54C4">
        <w:t>sign</w:t>
      </w:r>
      <w:r w:rsidR="00862589">
        <w:t>s</w:t>
      </w:r>
      <w:r w:rsidR="00CE54C4">
        <w:t xml:space="preserve"> </w:t>
      </w:r>
      <w:r w:rsidR="00040357">
        <w:t xml:space="preserve">advertised </w:t>
      </w:r>
      <w:r w:rsidR="00CE54C4">
        <w:t>on private company website</w:t>
      </w:r>
      <w:r w:rsidR="000340CD">
        <w:t>s</w:t>
      </w:r>
      <w:r w:rsidR="00CE54C4">
        <w:t xml:space="preserve"> </w:t>
      </w:r>
      <w:r>
        <w:t xml:space="preserve">shows the costs of acquiring a sign ranges from </w:t>
      </w:r>
      <w:r w:rsidRPr="00782D16">
        <w:t>$10 to $50 per vehicle</w:t>
      </w:r>
      <w:r>
        <w:t xml:space="preserve">. For the purposes of this RIS, DoT will assess the compliance costs using the mid-point of this range (i.e. </w:t>
      </w:r>
      <w:r w:rsidRPr="00782D16">
        <w:t>$30</w:t>
      </w:r>
      <w:r>
        <w:t xml:space="preserve"> per sign). There also may be costs associated with installing the sign, label or sticker on the vehicle. The labour costs may vary depending on the type of solution employed (e.g. whether temporary or permanent solutions are used). However, for the purposes of the analysis of the costs, D</w:t>
      </w:r>
      <w:r w:rsidR="000357AC">
        <w:t>o</w:t>
      </w:r>
      <w:r>
        <w:t>T will assume that it takes approximately 10 minutes to install a sign. On the basis that each bus will require a sign, the estimated industry costs for this requirement is $0.57 million. D</w:t>
      </w:r>
      <w:r w:rsidR="000357AC">
        <w:t>o</w:t>
      </w:r>
      <w:r>
        <w:t xml:space="preserve">T notes that </w:t>
      </w:r>
      <w:r w:rsidR="00BD5EBC">
        <w:t xml:space="preserve">there may already be some </w:t>
      </w:r>
      <w:r>
        <w:t>buses already compliant with th</w:t>
      </w:r>
      <w:r w:rsidR="00BD5EBC">
        <w:t>e proposed</w:t>
      </w:r>
      <w:r>
        <w:t xml:space="preserve"> requirement</w:t>
      </w:r>
      <w:r w:rsidR="007F7167">
        <w:t xml:space="preserve"> (as a legacy requirement under legislation prior to the </w:t>
      </w:r>
      <w:r w:rsidR="007F7167" w:rsidRPr="00B130CD">
        <w:rPr>
          <w:i/>
          <w:iCs/>
        </w:rPr>
        <w:t>Bus Safety Act 2010</w:t>
      </w:r>
      <w:r w:rsidR="007F7167">
        <w:t>)</w:t>
      </w:r>
      <w:r>
        <w:t xml:space="preserve">, </w:t>
      </w:r>
      <w:r w:rsidR="001E57AB">
        <w:t xml:space="preserve">however, </w:t>
      </w:r>
      <w:r>
        <w:t xml:space="preserve">the estimated costs are </w:t>
      </w:r>
      <w:r w:rsidR="008E1A0D">
        <w:t xml:space="preserve">still </w:t>
      </w:r>
      <w:r>
        <w:t xml:space="preserve">likely to be the upper bound of compliance costs. </w:t>
      </w:r>
    </w:p>
    <w:p w14:paraId="7C9BB4F5" w14:textId="1E719EE7" w:rsidR="00D83745" w:rsidRDefault="00D83745" w:rsidP="00D83745">
      <w:r>
        <w:t xml:space="preserve">New buses entering the industry will also need to comply with this requirement. Based on TSV data, the average annual growth rate for all buses (accredited and registered) is estimated to be approximately </w:t>
      </w:r>
      <w:r w:rsidRPr="00782D16">
        <w:t>3.1 per cent</w:t>
      </w:r>
      <w:r>
        <w:t xml:space="preserve">. </w:t>
      </w:r>
      <w:r w:rsidR="00034BE3">
        <w:fldChar w:fldCharType="begin"/>
      </w:r>
      <w:r w:rsidR="00034BE3">
        <w:instrText xml:space="preserve"> REF _Ref42008763 \h  \* MERGEFORMAT </w:instrText>
      </w:r>
      <w:r w:rsidR="00034BE3">
        <w:fldChar w:fldCharType="separate"/>
      </w:r>
      <w:r w:rsidR="00277F6E" w:rsidRPr="00277F6E">
        <w:t>Table 7</w:t>
      </w:r>
      <w:r w:rsidR="00277F6E" w:rsidRPr="00277F6E">
        <w:noBreakHyphen/>
        <w:t>24</w:t>
      </w:r>
      <w:r w:rsidR="00034BE3">
        <w:fldChar w:fldCharType="end"/>
      </w:r>
      <w:r w:rsidR="00034BE3">
        <w:t xml:space="preserve"> </w:t>
      </w:r>
      <w:r w:rsidRPr="00771254">
        <w:t xml:space="preserve">outlines the </w:t>
      </w:r>
      <w:r>
        <w:t>assumptions for calculating the NPV of costs of the identifying sign requirements.</w:t>
      </w:r>
    </w:p>
    <w:p w14:paraId="7C7A10B7" w14:textId="786BA54A" w:rsidR="00D83745" w:rsidRPr="006B56EF" w:rsidRDefault="00D83745" w:rsidP="007620AA">
      <w:pPr>
        <w:pStyle w:val="Caption"/>
        <w:keepNext/>
        <w:spacing w:after="60"/>
        <w:rPr>
          <w:b/>
          <w:bCs/>
          <w:i w:val="0"/>
          <w:iCs w:val="0"/>
        </w:rPr>
      </w:pPr>
      <w:bookmarkStart w:id="850" w:name="_Ref42008763"/>
      <w:bookmarkStart w:id="851" w:name="_Toc44437396"/>
      <w:bookmarkStart w:id="852" w:name="_Toc44597467"/>
      <w:bookmarkStart w:id="853" w:name="_Toc44597531"/>
      <w:bookmarkStart w:id="854" w:name="_Toc44600101"/>
      <w:bookmarkStart w:id="855" w:name="_Toc44600556"/>
      <w:bookmarkStart w:id="856" w:name="_Toc44600723"/>
      <w:bookmarkStart w:id="857" w:name="_Toc44601220"/>
      <w:bookmarkStart w:id="858" w:name="_Toc44601273"/>
      <w:bookmarkStart w:id="859" w:name="_Toc44603421"/>
      <w:bookmarkStart w:id="860" w:name="_Toc45704469"/>
      <w:r w:rsidRPr="00FF499F">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24</w:t>
      </w:r>
      <w:r w:rsidR="00D2483C">
        <w:rPr>
          <w:b/>
          <w:i w:val="0"/>
        </w:rPr>
        <w:fldChar w:fldCharType="end"/>
      </w:r>
      <w:bookmarkEnd w:id="850"/>
      <w:r w:rsidRPr="00FF499F">
        <w:rPr>
          <w:b/>
          <w:i w:val="0"/>
        </w:rPr>
        <w:t xml:space="preserve">: </w:t>
      </w:r>
      <w:r w:rsidR="005B3202">
        <w:rPr>
          <w:b/>
          <w:bCs/>
          <w:i w:val="0"/>
          <w:iCs w:val="0"/>
        </w:rPr>
        <w:t>I</w:t>
      </w:r>
      <w:r>
        <w:rPr>
          <w:b/>
          <w:bCs/>
          <w:i w:val="0"/>
          <w:iCs w:val="0"/>
        </w:rPr>
        <w:t>dentifying signs</w:t>
      </w:r>
      <w:bookmarkEnd w:id="851"/>
      <w:bookmarkEnd w:id="852"/>
      <w:bookmarkEnd w:id="853"/>
      <w:bookmarkEnd w:id="854"/>
      <w:r w:rsidR="005B3202">
        <w:rPr>
          <w:b/>
          <w:bCs/>
          <w:i w:val="0"/>
          <w:iCs w:val="0"/>
        </w:rPr>
        <w:t xml:space="preserve"> cost parameters for all buses</w:t>
      </w:r>
      <w:bookmarkEnd w:id="855"/>
      <w:bookmarkEnd w:id="856"/>
      <w:bookmarkEnd w:id="857"/>
      <w:bookmarkEnd w:id="858"/>
      <w:bookmarkEnd w:id="859"/>
      <w:bookmarkEnd w:id="860"/>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82"/>
        <w:gridCol w:w="1823"/>
        <w:gridCol w:w="1796"/>
        <w:gridCol w:w="1840"/>
        <w:gridCol w:w="1774"/>
      </w:tblGrid>
      <w:tr w:rsidR="00D83745" w:rsidRPr="005B6578" w14:paraId="6B5E1546" w14:textId="77777777" w:rsidTr="009303EB">
        <w:trPr>
          <w:cantSplit/>
        </w:trPr>
        <w:tc>
          <w:tcPr>
            <w:tcW w:w="1897" w:type="dxa"/>
            <w:shd w:val="clear" w:color="auto" w:fill="D6ECED"/>
            <w:vAlign w:val="center"/>
          </w:tcPr>
          <w:p w14:paraId="71E0241B" w14:textId="77777777" w:rsidR="00D83745" w:rsidRPr="005B6578" w:rsidRDefault="00D83745" w:rsidP="009303EB">
            <w:pPr>
              <w:keepNext/>
              <w:spacing w:before="60" w:after="60"/>
              <w:jc w:val="center"/>
              <w:rPr>
                <w:b/>
                <w:bCs/>
                <w:sz w:val="18"/>
              </w:rPr>
            </w:pPr>
            <w:r>
              <w:rPr>
                <w:b/>
                <w:bCs/>
                <w:sz w:val="18"/>
              </w:rPr>
              <w:t>Bus type</w:t>
            </w:r>
          </w:p>
        </w:tc>
        <w:tc>
          <w:tcPr>
            <w:tcW w:w="1901" w:type="dxa"/>
            <w:shd w:val="clear" w:color="auto" w:fill="D6ECED"/>
            <w:vAlign w:val="center"/>
          </w:tcPr>
          <w:p w14:paraId="3ED601BE" w14:textId="77777777" w:rsidR="00D83745" w:rsidRPr="005B6578" w:rsidRDefault="00D83745" w:rsidP="009303EB">
            <w:pPr>
              <w:keepNext/>
              <w:spacing w:before="60" w:after="60"/>
              <w:jc w:val="center"/>
              <w:rPr>
                <w:b/>
                <w:bCs/>
                <w:sz w:val="18"/>
              </w:rPr>
            </w:pPr>
            <w:r w:rsidRPr="005B6578">
              <w:rPr>
                <w:b/>
                <w:bCs/>
                <w:sz w:val="18"/>
              </w:rPr>
              <w:t>Number of buses</w:t>
            </w:r>
            <w:r>
              <w:rPr>
                <w:b/>
                <w:bCs/>
                <w:sz w:val="18"/>
              </w:rPr>
              <w:t xml:space="preserve"> (as at 31 December 2019)</w:t>
            </w:r>
          </w:p>
        </w:tc>
        <w:tc>
          <w:tcPr>
            <w:tcW w:w="1899" w:type="dxa"/>
            <w:shd w:val="clear" w:color="auto" w:fill="D6ECED"/>
            <w:vAlign w:val="center"/>
          </w:tcPr>
          <w:p w14:paraId="330D9916" w14:textId="77777777" w:rsidR="00D83745" w:rsidRPr="005B6578" w:rsidRDefault="00D83745" w:rsidP="009303EB">
            <w:pPr>
              <w:keepNext/>
              <w:spacing w:before="60" w:after="60"/>
              <w:jc w:val="center"/>
              <w:rPr>
                <w:b/>
                <w:bCs/>
                <w:sz w:val="18"/>
              </w:rPr>
            </w:pPr>
            <w:r w:rsidRPr="005B6578">
              <w:rPr>
                <w:b/>
                <w:bCs/>
                <w:sz w:val="18"/>
              </w:rPr>
              <w:t>Annual growth rate of</w:t>
            </w:r>
            <w:r>
              <w:rPr>
                <w:b/>
                <w:bCs/>
                <w:sz w:val="18"/>
              </w:rPr>
              <w:t xml:space="preserve"> </w:t>
            </w:r>
            <w:r w:rsidRPr="005B6578">
              <w:rPr>
                <w:b/>
                <w:bCs/>
                <w:sz w:val="18"/>
              </w:rPr>
              <w:t>buses</w:t>
            </w:r>
          </w:p>
        </w:tc>
        <w:tc>
          <w:tcPr>
            <w:tcW w:w="1899" w:type="dxa"/>
            <w:shd w:val="clear" w:color="auto" w:fill="D6ECED"/>
            <w:vAlign w:val="center"/>
          </w:tcPr>
          <w:p w14:paraId="2BB6AA46" w14:textId="77777777" w:rsidR="00D83745" w:rsidRPr="005B6578" w:rsidRDefault="00D83745" w:rsidP="009303EB">
            <w:pPr>
              <w:keepNext/>
              <w:spacing w:before="60" w:after="60"/>
              <w:jc w:val="center"/>
              <w:rPr>
                <w:b/>
                <w:bCs/>
                <w:sz w:val="18"/>
              </w:rPr>
            </w:pPr>
            <w:r w:rsidRPr="005B6578">
              <w:rPr>
                <w:b/>
                <w:bCs/>
                <w:sz w:val="18"/>
              </w:rPr>
              <w:t>Labour cost</w:t>
            </w:r>
            <w:r>
              <w:rPr>
                <w:b/>
                <w:bCs/>
                <w:sz w:val="18"/>
              </w:rPr>
              <w:t xml:space="preserve"> (installation)</w:t>
            </w:r>
          </w:p>
        </w:tc>
        <w:tc>
          <w:tcPr>
            <w:tcW w:w="1897" w:type="dxa"/>
            <w:shd w:val="clear" w:color="auto" w:fill="D6ECED"/>
            <w:vAlign w:val="center"/>
          </w:tcPr>
          <w:p w14:paraId="19AF0BA2" w14:textId="77777777" w:rsidR="00D83745" w:rsidRPr="005B6578" w:rsidRDefault="00D83745" w:rsidP="009303EB">
            <w:pPr>
              <w:keepNext/>
              <w:spacing w:before="60" w:after="60"/>
              <w:jc w:val="center"/>
              <w:rPr>
                <w:b/>
                <w:bCs/>
                <w:sz w:val="18"/>
              </w:rPr>
            </w:pPr>
            <w:r>
              <w:rPr>
                <w:b/>
                <w:bCs/>
                <w:sz w:val="18"/>
              </w:rPr>
              <w:t>Cost of sign</w:t>
            </w:r>
          </w:p>
        </w:tc>
      </w:tr>
      <w:tr w:rsidR="00D83745" w:rsidRPr="005B6578" w14:paraId="6CD3C485" w14:textId="77777777" w:rsidTr="009303EB">
        <w:trPr>
          <w:cantSplit/>
        </w:trPr>
        <w:tc>
          <w:tcPr>
            <w:tcW w:w="1897" w:type="dxa"/>
            <w:vAlign w:val="center"/>
          </w:tcPr>
          <w:p w14:paraId="13630CF4" w14:textId="77777777" w:rsidR="00D83745" w:rsidRPr="005B6578" w:rsidRDefault="00D83745" w:rsidP="009303EB">
            <w:pPr>
              <w:keepNext/>
              <w:spacing w:before="60" w:after="60"/>
              <w:jc w:val="center"/>
              <w:rPr>
                <w:sz w:val="18"/>
              </w:rPr>
            </w:pPr>
            <w:r>
              <w:rPr>
                <w:sz w:val="18"/>
              </w:rPr>
              <w:t>All buses</w:t>
            </w:r>
          </w:p>
        </w:tc>
        <w:tc>
          <w:tcPr>
            <w:tcW w:w="1901" w:type="dxa"/>
            <w:vAlign w:val="center"/>
          </w:tcPr>
          <w:p w14:paraId="59F49D1E" w14:textId="77777777" w:rsidR="00D83745" w:rsidRPr="005B6578" w:rsidRDefault="00D83745" w:rsidP="009303EB">
            <w:pPr>
              <w:keepNext/>
              <w:spacing w:before="60" w:after="60"/>
              <w:jc w:val="center"/>
              <w:rPr>
                <w:sz w:val="18"/>
              </w:rPr>
            </w:pPr>
            <w:r>
              <w:rPr>
                <w:sz w:val="18"/>
              </w:rPr>
              <w:t>13,360</w:t>
            </w:r>
          </w:p>
        </w:tc>
        <w:tc>
          <w:tcPr>
            <w:tcW w:w="1899" w:type="dxa"/>
            <w:vAlign w:val="center"/>
          </w:tcPr>
          <w:p w14:paraId="183C75BF" w14:textId="77777777" w:rsidR="00D83745" w:rsidRPr="005B6578" w:rsidRDefault="00D83745" w:rsidP="009303EB">
            <w:pPr>
              <w:keepNext/>
              <w:spacing w:before="60" w:after="60"/>
              <w:jc w:val="center"/>
              <w:rPr>
                <w:sz w:val="18"/>
              </w:rPr>
            </w:pPr>
            <w:r>
              <w:rPr>
                <w:sz w:val="18"/>
              </w:rPr>
              <w:t>3.1%</w:t>
            </w:r>
          </w:p>
        </w:tc>
        <w:tc>
          <w:tcPr>
            <w:tcW w:w="1899" w:type="dxa"/>
            <w:vAlign w:val="center"/>
          </w:tcPr>
          <w:p w14:paraId="627DDECD" w14:textId="77777777" w:rsidR="00D83745" w:rsidRDefault="00D83745" w:rsidP="009303EB">
            <w:pPr>
              <w:keepNext/>
              <w:spacing w:before="60" w:after="60"/>
              <w:jc w:val="center"/>
              <w:rPr>
                <w:sz w:val="18"/>
              </w:rPr>
            </w:pPr>
            <w:r>
              <w:rPr>
                <w:sz w:val="18"/>
              </w:rPr>
              <w:t>10 minutes</w:t>
            </w:r>
            <w:r w:rsidRPr="005B6578">
              <w:rPr>
                <w:sz w:val="18"/>
              </w:rPr>
              <w:t xml:space="preserve"> </w:t>
            </w:r>
          </w:p>
          <w:p w14:paraId="11D94414" w14:textId="77777777" w:rsidR="00D83745" w:rsidRPr="005B6578" w:rsidRDefault="00D83745" w:rsidP="009303EB">
            <w:pPr>
              <w:keepNext/>
              <w:spacing w:before="60" w:after="60"/>
              <w:jc w:val="center"/>
              <w:rPr>
                <w:sz w:val="18"/>
              </w:rPr>
            </w:pPr>
            <w:r>
              <w:rPr>
                <w:sz w:val="18"/>
              </w:rPr>
              <w:t>(</w:t>
            </w:r>
            <w:r w:rsidRPr="005B6578">
              <w:rPr>
                <w:sz w:val="18"/>
              </w:rPr>
              <w:t>$</w:t>
            </w:r>
            <w:r>
              <w:rPr>
                <w:sz w:val="18"/>
              </w:rPr>
              <w:t>12.73)</w:t>
            </w:r>
          </w:p>
        </w:tc>
        <w:tc>
          <w:tcPr>
            <w:tcW w:w="1897" w:type="dxa"/>
            <w:vAlign w:val="center"/>
          </w:tcPr>
          <w:p w14:paraId="5715726E" w14:textId="77777777" w:rsidR="00D83745" w:rsidRPr="005B6578" w:rsidRDefault="00D83745" w:rsidP="009303EB">
            <w:pPr>
              <w:keepNext/>
              <w:spacing w:before="60" w:after="60"/>
              <w:jc w:val="center"/>
              <w:rPr>
                <w:sz w:val="18"/>
              </w:rPr>
            </w:pPr>
            <w:r w:rsidRPr="005B6578">
              <w:rPr>
                <w:sz w:val="18"/>
              </w:rPr>
              <w:t>$</w:t>
            </w:r>
            <w:r>
              <w:rPr>
                <w:sz w:val="18"/>
              </w:rPr>
              <w:t>30</w:t>
            </w:r>
          </w:p>
        </w:tc>
      </w:tr>
    </w:tbl>
    <w:p w14:paraId="13270500" w14:textId="4D4E1069" w:rsidR="00D83745" w:rsidRDefault="00D83745" w:rsidP="00D83745">
      <w:bookmarkStart w:id="861" w:name="_Hlk43375520"/>
      <w:r>
        <w:t>The</w:t>
      </w:r>
      <w:r w:rsidR="007F4EEB">
        <w:t xml:space="preserve"> 10-year</w:t>
      </w:r>
      <w:r>
        <w:t xml:space="preserve"> NPV of the proposed regulations relating to identification is estimated to be approximately </w:t>
      </w:r>
      <w:r w:rsidRPr="00E62795">
        <w:t>$0.7</w:t>
      </w:r>
      <w:r w:rsidR="009B40A4">
        <w:t>4</w:t>
      </w:r>
      <w:r w:rsidRPr="00E62795">
        <w:t xml:space="preserve"> million</w:t>
      </w:r>
      <w:r>
        <w:t xml:space="preserve">, with an EAC of </w:t>
      </w:r>
      <w:r w:rsidRPr="00E62795">
        <w:t>$0.09</w:t>
      </w:r>
      <w:r w:rsidR="009B40A4">
        <w:t>1</w:t>
      </w:r>
      <w:r w:rsidRPr="00E62795">
        <w:t xml:space="preserve"> million</w:t>
      </w:r>
      <w:r>
        <w:t xml:space="preserve">. </w:t>
      </w:r>
    </w:p>
    <w:bookmarkEnd w:id="861"/>
    <w:p w14:paraId="5AF78D04" w14:textId="77777777" w:rsidR="00D83745" w:rsidRDefault="00D83745" w:rsidP="00D83745">
      <w:r>
        <w:t xml:space="preserve">Fees for number plates are set under the Road Safety Act. The fee for a number plate for a bus is $38. Since this is the same fee for a standard issue number plate and all motor vehicles are required to display a number plate, DoT will assume that there are no additional compliance costs with displaying a different number plate. </w:t>
      </w:r>
    </w:p>
    <w:p w14:paraId="65E9BF3F" w14:textId="77777777" w:rsidR="00D83745" w:rsidRDefault="00D83745" w:rsidP="00D83745">
      <w:r>
        <w:t xml:space="preserve">If there are vehicles that are displaying a standard issue number plate and would be required to swap number plates, then there may be some costs associated with removing the existing number plates and then installing the new number plates. </w:t>
      </w:r>
    </w:p>
    <w:p w14:paraId="535ACA33" w14:textId="77777777" w:rsidR="00D83745" w:rsidRDefault="00D83745" w:rsidP="0095677C">
      <w:pPr>
        <w:pStyle w:val="Heading5"/>
      </w:pPr>
      <w:r>
        <w:t>Summary</w:t>
      </w:r>
    </w:p>
    <w:p w14:paraId="5D0BD919" w14:textId="33EEE785" w:rsidR="00D83745" w:rsidRDefault="00D83745" w:rsidP="00D83745">
      <w:r>
        <w:t>DoT is recommending that all bus operators be required to display a sign identifying the operator of the bus while the bus is in service. DoT expects that the benefits, which will improve enforcement efficiency, outweighs the costs of implementing the regulatory requirement.</w:t>
      </w:r>
    </w:p>
    <w:p w14:paraId="2A94745E" w14:textId="29F3390B" w:rsidR="00D83745" w:rsidRPr="004C002D" w:rsidRDefault="00D83745" w:rsidP="00D83745">
      <w:r>
        <w:t xml:space="preserve">In the case of bus specific number plates, DoT notes that if there is identifying information displayed on the vehicle, then bus specific number plates are unlikely to further assist TSV officers in compliance monitoring and enforcement. DoT recognises that there may be some benefit to the community in the form of increased public confidence in the safety of bus services provided in Victoria. DoT has </w:t>
      </w:r>
      <w:r w:rsidR="00CC2A0E">
        <w:t xml:space="preserve">not </w:t>
      </w:r>
      <w:r>
        <w:t xml:space="preserve">included this requirement in the draft regulations for consultation. However, DoT seeks the community’s views on the merits of requiring number plates to be displayed. </w:t>
      </w:r>
    </w:p>
    <w:p w14:paraId="0441A9C6" w14:textId="77777777" w:rsidR="00D83745" w:rsidRDefault="00D83745" w:rsidP="00D83745">
      <w:pPr>
        <w:pStyle w:val="Heading2"/>
      </w:pPr>
      <w:bookmarkStart w:id="862" w:name="_Ref42010214"/>
      <w:bookmarkStart w:id="863" w:name="_Toc45704382"/>
      <w:r>
        <w:lastRenderedPageBreak/>
        <w:t>Records</w:t>
      </w:r>
      <w:bookmarkEnd w:id="862"/>
      <w:bookmarkEnd w:id="863"/>
    </w:p>
    <w:p w14:paraId="661AB2A5" w14:textId="2EB43244" w:rsidR="00D83745" w:rsidRDefault="00D83745" w:rsidP="00D83745">
      <w:r>
        <w:t xml:space="preserve">This section </w:t>
      </w:r>
      <w:r w:rsidR="0025657C">
        <w:t xml:space="preserve">considers the impacts </w:t>
      </w:r>
      <w:r>
        <w:t>relating to requirements for bus operators to keep prescribed records,</w:t>
      </w:r>
      <w:r w:rsidR="00551522">
        <w:t xml:space="preserve"> </w:t>
      </w:r>
      <w:r w:rsidR="00C16F9D">
        <w:t xml:space="preserve">based on considerations discussed </w:t>
      </w:r>
      <w:r w:rsidR="00551522">
        <w:t xml:space="preserve">in Section </w:t>
      </w:r>
      <w:r w:rsidR="00551522">
        <w:fldChar w:fldCharType="begin"/>
      </w:r>
      <w:r w:rsidR="00551522">
        <w:instrText xml:space="preserve"> REF _Ref41992974 \r \h </w:instrText>
      </w:r>
      <w:r w:rsidR="00551522">
        <w:fldChar w:fldCharType="separate"/>
      </w:r>
      <w:r w:rsidR="00277F6E">
        <w:t>6.7</w:t>
      </w:r>
      <w:r w:rsidR="00551522">
        <w:fldChar w:fldCharType="end"/>
      </w:r>
      <w:r w:rsidR="00551522">
        <w:t xml:space="preserve">. </w:t>
      </w:r>
      <w:r>
        <w:t>DoT will consider and assess the following options in relation to record keeping:</w:t>
      </w:r>
    </w:p>
    <w:p w14:paraId="29445A1B" w14:textId="3F8CCBB8" w:rsidR="00D83745" w:rsidRDefault="00D83745" w:rsidP="00842F5A">
      <w:pPr>
        <w:numPr>
          <w:ilvl w:val="0"/>
          <w:numId w:val="19"/>
        </w:numPr>
        <w:spacing w:before="0" w:after="0"/>
      </w:pPr>
      <w:r>
        <w:t>Option 1</w:t>
      </w:r>
      <w:r w:rsidR="00472882">
        <w:t xml:space="preserve"> (status quo)</w:t>
      </w:r>
      <w:r>
        <w:t xml:space="preserve">: </w:t>
      </w:r>
      <w:r w:rsidR="00472882">
        <w:t>O</w:t>
      </w:r>
      <w:r>
        <w:t xml:space="preserve">nly accredited bus operators are required to keep </w:t>
      </w:r>
      <w:r w:rsidR="00472882">
        <w:t xml:space="preserve">a full set of </w:t>
      </w:r>
      <w:r>
        <w:t>records</w:t>
      </w:r>
    </w:p>
    <w:p w14:paraId="72361193" w14:textId="666EF715" w:rsidR="00D83745" w:rsidRDefault="00D83745" w:rsidP="00842F5A">
      <w:pPr>
        <w:numPr>
          <w:ilvl w:val="0"/>
          <w:numId w:val="19"/>
        </w:numPr>
        <w:spacing w:before="0" w:after="0"/>
      </w:pPr>
      <w:r>
        <w:t xml:space="preserve">Option </w:t>
      </w:r>
      <w:r w:rsidR="00C4569B">
        <w:t>2</w:t>
      </w:r>
      <w:r>
        <w:t xml:space="preserve">: </w:t>
      </w:r>
      <w:r w:rsidR="00DF4609">
        <w:t>A</w:t>
      </w:r>
      <w:r>
        <w:t xml:space="preserve">ccredited bus operators </w:t>
      </w:r>
      <w:r w:rsidR="00DF4609">
        <w:t xml:space="preserve">required </w:t>
      </w:r>
      <w:r>
        <w:t xml:space="preserve">to keep full set of records and registered bus operators </w:t>
      </w:r>
      <w:r w:rsidR="00DF4609">
        <w:t xml:space="preserve">required </w:t>
      </w:r>
      <w:r>
        <w:t>to keep limited set of records</w:t>
      </w:r>
      <w:r w:rsidR="00E83B35">
        <w:t xml:space="preserve"> (new requirement for registered operators</w:t>
      </w:r>
      <w:r w:rsidR="00E03191">
        <w:t xml:space="preserve"> to keep a limited set of records</w:t>
      </w:r>
      <w:r w:rsidR="00E83B35">
        <w:t>)</w:t>
      </w:r>
      <w:r>
        <w:t>.</w:t>
      </w:r>
    </w:p>
    <w:p w14:paraId="252BF07E" w14:textId="7EE96A6C" w:rsidR="00C4569B" w:rsidRDefault="00C4569B" w:rsidP="00842F5A">
      <w:pPr>
        <w:numPr>
          <w:ilvl w:val="0"/>
          <w:numId w:val="19"/>
        </w:numPr>
        <w:spacing w:before="0" w:after="0"/>
      </w:pPr>
      <w:r>
        <w:t>Option 3: All bus operators are required to keep a full set of records</w:t>
      </w:r>
      <w:r w:rsidR="00E83B35">
        <w:t xml:space="preserve"> (new requirement for </w:t>
      </w:r>
      <w:r w:rsidR="00E03191">
        <w:t>registered</w:t>
      </w:r>
      <w:r w:rsidR="00E83B35">
        <w:t xml:space="preserve"> operators</w:t>
      </w:r>
      <w:r w:rsidR="00E03191">
        <w:t xml:space="preserve"> to keep a full set of records</w:t>
      </w:r>
      <w:r w:rsidR="00E83B35">
        <w:t>)</w:t>
      </w:r>
      <w:r w:rsidR="00E03191">
        <w:t>.</w:t>
      </w:r>
    </w:p>
    <w:p w14:paraId="69315CEB" w14:textId="4A09CC73" w:rsidR="002B32DC" w:rsidRDefault="002B32DC" w:rsidP="002B32DC">
      <w:r>
        <w:t>All options being considered would require all accredited operators to keep</w:t>
      </w:r>
      <w:r w:rsidR="00B71EDB">
        <w:t xml:space="preserve"> a full set of</w:t>
      </w:r>
      <w:r>
        <w:t xml:space="preserve"> records</w:t>
      </w:r>
      <w:r w:rsidR="00B828AD">
        <w:t xml:space="preserve"> (status quo)</w:t>
      </w:r>
      <w:r w:rsidR="00113E89">
        <w:t>. A full set of records include the</w:t>
      </w:r>
      <w:r>
        <w:t xml:space="preserve"> following: </w:t>
      </w:r>
    </w:p>
    <w:p w14:paraId="25C68DFF" w14:textId="4A7ED0AF" w:rsidR="002B32DC" w:rsidRDefault="00101D71" w:rsidP="00842F5A">
      <w:pPr>
        <w:numPr>
          <w:ilvl w:val="0"/>
          <w:numId w:val="19"/>
        </w:numPr>
        <w:spacing w:before="0" w:after="0"/>
      </w:pPr>
      <w:r>
        <w:t xml:space="preserve">Name, address, driver licence number and driver accreditation </w:t>
      </w:r>
      <w:r w:rsidR="002B32DC">
        <w:t>of each person who drives a bus operated by the operator</w:t>
      </w:r>
    </w:p>
    <w:p w14:paraId="4D423552" w14:textId="7E189B2B" w:rsidR="002B32DC" w:rsidRDefault="002B32DC" w:rsidP="00842F5A">
      <w:pPr>
        <w:numPr>
          <w:ilvl w:val="0"/>
          <w:numId w:val="19"/>
        </w:numPr>
        <w:spacing w:before="0" w:after="0"/>
      </w:pPr>
      <w:r>
        <w:t>record of the details of each bus, including vehicle registration number, vehicle identification number (VIN), and maximum carrying capacity</w:t>
      </w:r>
      <w:r w:rsidR="00AA7F1B">
        <w:t xml:space="preserve"> of each bus</w:t>
      </w:r>
    </w:p>
    <w:p w14:paraId="358A0E1C" w14:textId="0C4C2204" w:rsidR="0089088E" w:rsidRDefault="0089088E" w:rsidP="00842F5A">
      <w:pPr>
        <w:numPr>
          <w:ilvl w:val="0"/>
          <w:numId w:val="19"/>
        </w:numPr>
        <w:spacing w:before="0" w:after="0"/>
      </w:pPr>
      <w:r w:rsidRPr="0054400E">
        <w:t>record of total number of buses in the fleet</w:t>
      </w:r>
    </w:p>
    <w:p w14:paraId="000461C9" w14:textId="1105B969" w:rsidR="002B32DC" w:rsidRDefault="002B32DC" w:rsidP="00842F5A">
      <w:pPr>
        <w:numPr>
          <w:ilvl w:val="0"/>
          <w:numId w:val="19"/>
        </w:numPr>
        <w:spacing w:before="0" w:after="0"/>
      </w:pPr>
      <w:r>
        <w:t>any document required to demonstrate compliance with the conditions of accreditation</w:t>
      </w:r>
      <w:r w:rsidR="009858C0">
        <w:t xml:space="preserve"> or registration </w:t>
      </w:r>
    </w:p>
    <w:p w14:paraId="43280B13" w14:textId="2C13B656" w:rsidR="002B32DC" w:rsidRDefault="002B32DC" w:rsidP="00842F5A">
      <w:pPr>
        <w:numPr>
          <w:ilvl w:val="0"/>
          <w:numId w:val="19"/>
        </w:numPr>
        <w:spacing w:before="0" w:after="0"/>
      </w:pPr>
      <w:r>
        <w:t>any document produced as part of the MIS and MMS</w:t>
      </w:r>
      <w:r w:rsidR="00175E2D">
        <w:t xml:space="preserve"> </w:t>
      </w:r>
      <w:r w:rsidR="002428F4">
        <w:t>(or equivalent</w:t>
      </w:r>
      <w:r w:rsidR="00A57726">
        <w:t xml:space="preserve"> documentation relating to systems to ensure vehicle safety and safety of bus operations</w:t>
      </w:r>
      <w:r w:rsidR="002428F4">
        <w:t>)</w:t>
      </w:r>
    </w:p>
    <w:p w14:paraId="723DB470" w14:textId="23A69D21" w:rsidR="002B32DC" w:rsidRDefault="00150927" w:rsidP="00842F5A">
      <w:pPr>
        <w:numPr>
          <w:ilvl w:val="0"/>
          <w:numId w:val="19"/>
        </w:numPr>
        <w:spacing w:before="0" w:after="0"/>
      </w:pPr>
      <w:r>
        <w:t xml:space="preserve">any </w:t>
      </w:r>
      <w:r w:rsidR="002B32DC">
        <w:t>documents produced as part of</w:t>
      </w:r>
      <w:r>
        <w:t xml:space="preserve"> an</w:t>
      </w:r>
      <w:r w:rsidR="002B32DC">
        <w:t xml:space="preserve"> annual audit of bus service operations</w:t>
      </w:r>
    </w:p>
    <w:p w14:paraId="444020E7" w14:textId="49E6C65E" w:rsidR="002B32DC" w:rsidRDefault="002B32DC" w:rsidP="00842F5A">
      <w:pPr>
        <w:numPr>
          <w:ilvl w:val="0"/>
          <w:numId w:val="19"/>
        </w:numPr>
        <w:spacing w:before="0" w:after="0"/>
      </w:pPr>
      <w:r>
        <w:t xml:space="preserve">evidence of </w:t>
      </w:r>
      <w:r w:rsidR="008A178D">
        <w:t>roadwor</w:t>
      </w:r>
      <w:r w:rsidR="00A720E7">
        <w:t>th</w:t>
      </w:r>
      <w:r w:rsidR="008A178D">
        <w:t>y</w:t>
      </w:r>
      <w:r>
        <w:t xml:space="preserve"> inspections</w:t>
      </w:r>
      <w:r w:rsidR="00A720E7">
        <w:t xml:space="preserve"> for each bus</w:t>
      </w:r>
      <w:r>
        <w:t xml:space="preserve"> </w:t>
      </w:r>
    </w:p>
    <w:p w14:paraId="6B3B0D44" w14:textId="1248566F" w:rsidR="002B32DC" w:rsidRDefault="002B32DC" w:rsidP="00842F5A">
      <w:pPr>
        <w:numPr>
          <w:ilvl w:val="0"/>
          <w:numId w:val="19"/>
        </w:numPr>
        <w:spacing w:before="0" w:after="0"/>
      </w:pPr>
      <w:r>
        <w:t>evidence of any action to rectify bus defect</w:t>
      </w:r>
      <w:r w:rsidR="009E6143">
        <w:t>s identified during a roadworthy inspection</w:t>
      </w:r>
    </w:p>
    <w:p w14:paraId="5378D141" w14:textId="289C9C64" w:rsidR="002B32DC" w:rsidRDefault="002B32DC" w:rsidP="00842F5A">
      <w:pPr>
        <w:numPr>
          <w:ilvl w:val="0"/>
          <w:numId w:val="19"/>
        </w:numPr>
        <w:spacing w:before="0" w:after="0"/>
      </w:pPr>
      <w:r>
        <w:t xml:space="preserve">any other records required as </w:t>
      </w:r>
      <w:r w:rsidR="00090BC5">
        <w:t xml:space="preserve">a </w:t>
      </w:r>
      <w:r>
        <w:t>condition of accreditation</w:t>
      </w:r>
      <w:r w:rsidR="00811D2E">
        <w:t xml:space="preserve"> or registration</w:t>
      </w:r>
      <w:r>
        <w:t xml:space="preserve">. </w:t>
      </w:r>
    </w:p>
    <w:p w14:paraId="00583EDB" w14:textId="3AA6FD8F" w:rsidR="00B71EDB" w:rsidRDefault="00B66D19" w:rsidP="00065705">
      <w:pPr>
        <w:rPr>
          <w:lang w:val="en-US"/>
        </w:rPr>
      </w:pPr>
      <w:r>
        <w:rPr>
          <w:lang w:val="en-US"/>
        </w:rPr>
        <w:t>Option 2 considers</w:t>
      </w:r>
      <w:r w:rsidR="00B71EDB">
        <w:rPr>
          <w:lang w:val="en-US"/>
        </w:rPr>
        <w:t xml:space="preserve"> whether registered operators </w:t>
      </w:r>
      <w:r w:rsidR="007528EF">
        <w:rPr>
          <w:lang w:val="en-US"/>
        </w:rPr>
        <w:t>should keep</w:t>
      </w:r>
      <w:r w:rsidR="00B71EDB">
        <w:rPr>
          <w:lang w:val="en-US"/>
        </w:rPr>
        <w:t xml:space="preserve"> a limited set of records</w:t>
      </w:r>
      <w:r w:rsidR="00A307D5">
        <w:rPr>
          <w:lang w:val="en-US"/>
        </w:rPr>
        <w:t>. The limited set of records</w:t>
      </w:r>
      <w:r w:rsidR="00B71EDB">
        <w:rPr>
          <w:lang w:val="en-US"/>
        </w:rPr>
        <w:t xml:space="preserve"> would include records of the following:</w:t>
      </w:r>
    </w:p>
    <w:p w14:paraId="54700976" w14:textId="77777777" w:rsidR="00B71EDB" w:rsidRPr="00F1587E" w:rsidRDefault="00B71EDB" w:rsidP="00842F5A">
      <w:pPr>
        <w:numPr>
          <w:ilvl w:val="0"/>
          <w:numId w:val="19"/>
        </w:numPr>
        <w:spacing w:before="0" w:after="0"/>
      </w:pPr>
      <w:r w:rsidRPr="00F1587E">
        <w:t>record of vehicle registration number, vehicle identification number, and maximum carrying capacity of each bus</w:t>
      </w:r>
    </w:p>
    <w:p w14:paraId="6927CCA8" w14:textId="27CEF2E2" w:rsidR="00B71EDB" w:rsidRPr="00F1587E" w:rsidRDefault="00B71EDB" w:rsidP="00842F5A">
      <w:pPr>
        <w:numPr>
          <w:ilvl w:val="0"/>
          <w:numId w:val="19"/>
        </w:numPr>
        <w:spacing w:before="0" w:after="0"/>
      </w:pPr>
      <w:r w:rsidRPr="00F1587E">
        <w:t xml:space="preserve">record of total number of buses in the fleet </w:t>
      </w:r>
    </w:p>
    <w:p w14:paraId="36E33AA0" w14:textId="6562F9EF" w:rsidR="00B71EDB" w:rsidRPr="00F1587E" w:rsidRDefault="00B71EDB" w:rsidP="00842F5A">
      <w:pPr>
        <w:numPr>
          <w:ilvl w:val="0"/>
          <w:numId w:val="19"/>
        </w:numPr>
        <w:spacing w:before="0" w:after="0"/>
      </w:pPr>
      <w:r w:rsidRPr="00F1587E">
        <w:t xml:space="preserve">evidence of </w:t>
      </w:r>
      <w:r w:rsidR="008A178D">
        <w:t xml:space="preserve">roadworthy </w:t>
      </w:r>
      <w:r w:rsidRPr="00F1587E">
        <w:t>inspections for each bus</w:t>
      </w:r>
    </w:p>
    <w:p w14:paraId="464CCDB0" w14:textId="4EDAA72D" w:rsidR="00B71EDB" w:rsidRDefault="00B71EDB" w:rsidP="00842F5A">
      <w:pPr>
        <w:numPr>
          <w:ilvl w:val="0"/>
          <w:numId w:val="19"/>
        </w:numPr>
        <w:spacing w:before="0" w:after="0"/>
      </w:pPr>
      <w:r w:rsidRPr="00F1587E">
        <w:t xml:space="preserve">evidence of any action to rectify bus defects </w:t>
      </w:r>
      <w:r w:rsidR="009E6143">
        <w:t xml:space="preserve">identified during </w:t>
      </w:r>
      <w:r w:rsidR="005630B9">
        <w:t xml:space="preserve">the </w:t>
      </w:r>
      <w:r w:rsidR="009E6143">
        <w:t>roadworthy inspection</w:t>
      </w:r>
      <w:r w:rsidRPr="00F1587E">
        <w:t>.</w:t>
      </w:r>
    </w:p>
    <w:p w14:paraId="326EE7D2" w14:textId="58DF88D7" w:rsidR="00E94CB5" w:rsidRDefault="00A307D5" w:rsidP="00456571">
      <w:pPr>
        <w:rPr>
          <w:lang w:val="en-US"/>
        </w:rPr>
      </w:pPr>
      <w:r>
        <w:rPr>
          <w:lang w:val="en-US"/>
        </w:rPr>
        <w:t>Option 3</w:t>
      </w:r>
      <w:r w:rsidR="00E94CB5">
        <w:rPr>
          <w:lang w:val="en-US"/>
        </w:rPr>
        <w:t xml:space="preserve"> considers whether registered operators should keep the full set of records </w:t>
      </w:r>
      <w:r w:rsidR="001B2ABC">
        <w:rPr>
          <w:lang w:val="en-US"/>
        </w:rPr>
        <w:t xml:space="preserve">equivalent to </w:t>
      </w:r>
      <w:r w:rsidR="00C42BC9">
        <w:rPr>
          <w:lang w:val="en-US"/>
        </w:rPr>
        <w:t xml:space="preserve">the full set of records required to be kept by accredited operators </w:t>
      </w:r>
      <w:r w:rsidR="001B2ABC">
        <w:rPr>
          <w:lang w:val="en-US"/>
        </w:rPr>
        <w:t>outline</w:t>
      </w:r>
      <w:r w:rsidR="001C1DFA">
        <w:rPr>
          <w:lang w:val="en-US"/>
        </w:rPr>
        <w:t>d</w:t>
      </w:r>
      <w:r w:rsidR="00E94CB5">
        <w:rPr>
          <w:lang w:val="en-US"/>
        </w:rPr>
        <w:t xml:space="preserve"> above. </w:t>
      </w:r>
    </w:p>
    <w:p w14:paraId="7CC80CD6" w14:textId="7EB10618" w:rsidR="003B6FEA" w:rsidRPr="00456571" w:rsidRDefault="003B6FEA" w:rsidP="00456571">
      <w:pPr>
        <w:rPr>
          <w:lang w:val="en-US"/>
        </w:rPr>
      </w:pPr>
      <w:r>
        <w:t>All options being considered require that records are to be kept in English and a for a minimum of 3 years (status quo).</w:t>
      </w:r>
    </w:p>
    <w:p w14:paraId="1F4D1D28" w14:textId="2DD1A30E" w:rsidR="00D83745" w:rsidRPr="00C143D1" w:rsidRDefault="00D83745" w:rsidP="0095677C">
      <w:pPr>
        <w:pStyle w:val="Heading5"/>
      </w:pPr>
      <w:r w:rsidRPr="00C143D1">
        <w:t>Expected benefits</w:t>
      </w:r>
    </w:p>
    <w:p w14:paraId="6C64389B" w14:textId="12918B8E" w:rsidR="00D83745" w:rsidRDefault="00D83745" w:rsidP="00D83745">
      <w:r>
        <w:t>The primary benefit of the record-keeping requirement is to enable the regulator to access data and information for the purposes of compliance monitoring and enforcement. More effective compliance monitoring and enforcement is expected to improve compliance with regulatory requirements. The intent of the regulatory requirement is to improve safety outcomes for the bus industry.</w:t>
      </w:r>
    </w:p>
    <w:p w14:paraId="5BDC9189" w14:textId="77777777" w:rsidR="00D83745" w:rsidRDefault="00D83745" w:rsidP="00D83745">
      <w:r>
        <w:t>Record keeping will also ensure that accredited bus operators are able to demonstrate compliance with conditions of accreditation as well as their systems for managing safety. The flow-on effect is that it will create an incentive for safety to be appropriately considered by accredited operators, which will improve safety outcomes for the bus industry, as measured by a reduction in the number of incidence of fatalities or injuries.</w:t>
      </w:r>
    </w:p>
    <w:p w14:paraId="37C81F18" w14:textId="77777777" w:rsidR="00D83745" w:rsidRDefault="00D83745" w:rsidP="00D83745">
      <w:r>
        <w:t>The level of benefits may differ across options being considered by DoT. The reason is that different types of records would be required to be kept by different operators under each option.</w:t>
      </w:r>
    </w:p>
    <w:p w14:paraId="15BBB766" w14:textId="77777777" w:rsidR="007A425A" w:rsidRDefault="00D83745" w:rsidP="00D83745">
      <w:r>
        <w:lastRenderedPageBreak/>
        <w:t xml:space="preserve">Option 1, which is equivalent to the current regulations, requires accredited operators to keep records that reflect the regulatory obligations imposed on that cohort of the bus industry. This includes records relating to safety systems implemented by that operator and maintenance, repair and inspection of the vehicle. </w:t>
      </w:r>
    </w:p>
    <w:p w14:paraId="4B7C2AB7" w14:textId="76A62E75" w:rsidR="007A425A" w:rsidRDefault="007A425A" w:rsidP="00D83745">
      <w:r>
        <w:t xml:space="preserve">Option </w:t>
      </w:r>
      <w:r w:rsidR="00C4569B">
        <w:t>2</w:t>
      </w:r>
      <w:r>
        <w:t xml:space="preserve"> would require registered operators to keep some limited set of records, in addition to accredited operators keeping a full set of records. </w:t>
      </w:r>
      <w:r w:rsidR="000615EA">
        <w:t>DoT expects that TSV’s compliance monitoring and enforcement effort would benefit from registered bus operators keeping</w:t>
      </w:r>
      <w:r w:rsidR="0028379F">
        <w:t xml:space="preserve"> at least</w:t>
      </w:r>
      <w:r w:rsidR="000615EA">
        <w:t xml:space="preserve"> records relating to the inspection and maintenance of buses under the control of the operator.</w:t>
      </w:r>
    </w:p>
    <w:p w14:paraId="135DABE5" w14:textId="4E0EEEFB" w:rsidR="00D83745" w:rsidRDefault="00D83745" w:rsidP="00D83745">
      <w:r>
        <w:t xml:space="preserve">In contrast, Option </w:t>
      </w:r>
      <w:r w:rsidR="00C4569B">
        <w:t>3</w:t>
      </w:r>
      <w:r>
        <w:t xml:space="preserve"> extends the </w:t>
      </w:r>
      <w:r w:rsidR="008E48A9">
        <w:t xml:space="preserve">full </w:t>
      </w:r>
      <w:r>
        <w:t xml:space="preserve">records </w:t>
      </w:r>
      <w:r w:rsidR="00FA278C">
        <w:t xml:space="preserve">currently </w:t>
      </w:r>
      <w:r>
        <w:t>required to be kept</w:t>
      </w:r>
      <w:r w:rsidR="00FA278C">
        <w:t xml:space="preserve"> by accredited operators</w:t>
      </w:r>
      <w:r>
        <w:t xml:space="preserve"> to registered bus operators</w:t>
      </w:r>
      <w:r w:rsidR="009B67F7">
        <w:t xml:space="preserve"> (i.e. all bus operators to keep a full set of records)</w:t>
      </w:r>
      <w:r>
        <w:t xml:space="preserve">. There is likely to be little merit in requiring these records to be kept either because the records would not exist (e.g. registered operators </w:t>
      </w:r>
      <w:r w:rsidR="00CA2140">
        <w:t xml:space="preserve">may </w:t>
      </w:r>
      <w:r>
        <w:t xml:space="preserve">not be required to implement the same systems and procedures as accredited operators) or the level of risk attributable to the registered operator would not be the same as for an accredited operator.  </w:t>
      </w:r>
    </w:p>
    <w:p w14:paraId="0B98314F" w14:textId="66E4992F" w:rsidR="00D83745" w:rsidRDefault="00136946" w:rsidP="00D83745">
      <w:r>
        <w:t>While records improve compliance monitoring and safety by ensuring that the regulator has a means to check whether operators are complying with their</w:t>
      </w:r>
      <w:r w:rsidR="0073035E">
        <w:t xml:space="preserve"> obligations under the Bus Safety Act and the </w:t>
      </w:r>
      <w:r w:rsidR="00E17FE7">
        <w:t>proposed</w:t>
      </w:r>
      <w:r w:rsidR="0073035E">
        <w:t xml:space="preserve"> regulations, </w:t>
      </w:r>
      <w:r w:rsidR="00AF1493">
        <w:t>the</w:t>
      </w:r>
      <w:r w:rsidR="00F612AE">
        <w:t xml:space="preserve"> effects o</w:t>
      </w:r>
      <w:r w:rsidR="00E17FE7">
        <w:t>n improving</w:t>
      </w:r>
      <w:r w:rsidR="00F612AE">
        <w:t xml:space="preserve"> safety is expected to be low </w:t>
      </w:r>
      <w:r w:rsidR="007A425A">
        <w:t>relative</w:t>
      </w:r>
      <w:r w:rsidR="00F612AE">
        <w:t xml:space="preserve"> to other measures relating to safety</w:t>
      </w:r>
      <w:r w:rsidR="00865EEC">
        <w:t>.</w:t>
      </w:r>
    </w:p>
    <w:p w14:paraId="68A85141" w14:textId="77777777" w:rsidR="00D83745" w:rsidRPr="00BF41B9" w:rsidRDefault="00D83745" w:rsidP="0095677C">
      <w:pPr>
        <w:pStyle w:val="Heading5"/>
      </w:pPr>
      <w:r w:rsidRPr="00BF41B9">
        <w:t>Expected costs</w:t>
      </w:r>
    </w:p>
    <w:p w14:paraId="7C384DAB" w14:textId="7626F9EA" w:rsidR="005267AC" w:rsidRDefault="00D83745">
      <w:r>
        <w:t xml:space="preserve">The primary costs associated with the record-keeping requirement are the compliance costs of keeping specified records. </w:t>
      </w:r>
    </w:p>
    <w:p w14:paraId="17089EB9" w14:textId="43C03D25" w:rsidR="005267AC" w:rsidRDefault="005267AC" w:rsidP="007F3097">
      <w:pPr>
        <w:spacing w:before="0" w:after="0"/>
      </w:pPr>
      <w:r w:rsidRPr="005267AC">
        <w:t>Having regard to the types of records</w:t>
      </w:r>
      <w:r w:rsidR="00994EFE">
        <w:t xml:space="preserve"> </w:t>
      </w:r>
      <w:r w:rsidR="004329B2">
        <w:t>described under the</w:t>
      </w:r>
      <w:r w:rsidR="00994EFE">
        <w:t xml:space="preserve"> full set of records</w:t>
      </w:r>
      <w:r w:rsidRPr="005267AC">
        <w:t xml:space="preserve"> required to be kept by </w:t>
      </w:r>
      <w:r w:rsidR="00EE4439">
        <w:t xml:space="preserve">accredited </w:t>
      </w:r>
      <w:r w:rsidRPr="005267AC">
        <w:t xml:space="preserve">operators, </w:t>
      </w:r>
      <w:r w:rsidR="00E25563">
        <w:t xml:space="preserve">internal estimates conducted by </w:t>
      </w:r>
      <w:r w:rsidRPr="005267AC">
        <w:t>DoT estimates that the record keeping provisions would impose an admin</w:t>
      </w:r>
      <w:r>
        <w:t xml:space="preserve">istrative cost of approximately </w:t>
      </w:r>
      <w:r w:rsidRPr="00767439">
        <w:t>10 hours</w:t>
      </w:r>
      <w:r>
        <w:t xml:space="preserve"> per </w:t>
      </w:r>
      <w:r w:rsidR="00EE4439">
        <w:t xml:space="preserve">accredited </w:t>
      </w:r>
      <w:r>
        <w:t xml:space="preserve">operator per year. </w:t>
      </w:r>
      <w:r w:rsidR="00EE4439">
        <w:t xml:space="preserve">Given that </w:t>
      </w:r>
      <w:r w:rsidR="00106AEE">
        <w:t xml:space="preserve">registered operators generally have </w:t>
      </w:r>
      <w:r w:rsidR="001E1CB8">
        <w:t xml:space="preserve">a </w:t>
      </w:r>
      <w:r w:rsidR="00106AEE">
        <w:t>smaller fleet</w:t>
      </w:r>
      <w:r w:rsidR="001E1CB8">
        <w:t xml:space="preserve"> of buses</w:t>
      </w:r>
      <w:r w:rsidR="00106AEE">
        <w:t xml:space="preserve"> (and likely </w:t>
      </w:r>
      <w:r w:rsidR="00D92218">
        <w:t>engage</w:t>
      </w:r>
      <w:r w:rsidR="001E1CB8">
        <w:t xml:space="preserve"> less </w:t>
      </w:r>
      <w:r w:rsidR="00106AEE">
        <w:t xml:space="preserve">drivers who drive buses operated by </w:t>
      </w:r>
      <w:r w:rsidR="001E1CB8">
        <w:t>registered</w:t>
      </w:r>
      <w:r w:rsidR="00106AEE">
        <w:t xml:space="preserve"> operators)</w:t>
      </w:r>
      <w:r w:rsidR="00B97203">
        <w:t xml:space="preserve">, DoT estimates that the full record keeping provisions will impose an </w:t>
      </w:r>
      <w:r w:rsidR="005A0FDC">
        <w:t>administrative</w:t>
      </w:r>
      <w:r w:rsidR="00B97203">
        <w:t xml:space="preserve"> cost of approximately 6 to 8 hours per registered operators per year.</w:t>
      </w:r>
      <w:r w:rsidR="00106AEE">
        <w:t xml:space="preserve"> </w:t>
      </w:r>
    </w:p>
    <w:p w14:paraId="749F4CCF" w14:textId="7EC88508" w:rsidR="00D83745" w:rsidRDefault="006E5EDB" w:rsidP="00D83745">
      <w:r>
        <w:t>Having r</w:t>
      </w:r>
      <w:r w:rsidR="00E12C89">
        <w:t>egard</w:t>
      </w:r>
      <w:r>
        <w:t xml:space="preserve"> to the types of records described under the limited set of records required </w:t>
      </w:r>
      <w:r w:rsidR="005C6754">
        <w:t xml:space="preserve">to be kept </w:t>
      </w:r>
      <w:r>
        <w:t xml:space="preserve">by registered </w:t>
      </w:r>
      <w:r w:rsidR="00E12C89">
        <w:t xml:space="preserve">operators, </w:t>
      </w:r>
      <w:r w:rsidR="00E076B0">
        <w:t>internal estimate</w:t>
      </w:r>
      <w:r w:rsidR="00C90A5B">
        <w:t>s</w:t>
      </w:r>
      <w:r w:rsidR="00E076B0">
        <w:t xml:space="preserve"> conducted by </w:t>
      </w:r>
      <w:r w:rsidR="00D83745">
        <w:t xml:space="preserve">DoT estimates that the record keeping provisions for registered operators would impose an administrative cost of approximately </w:t>
      </w:r>
      <w:r w:rsidR="00D83745" w:rsidRPr="00767439">
        <w:t xml:space="preserve">one </w:t>
      </w:r>
      <w:r w:rsidR="008619B7">
        <w:t xml:space="preserve">to two </w:t>
      </w:r>
      <w:r w:rsidR="00D83745" w:rsidRPr="00767439">
        <w:t>hour</w:t>
      </w:r>
      <w:r w:rsidR="008619B7">
        <w:t>s</w:t>
      </w:r>
      <w:r w:rsidR="00D83745">
        <w:t xml:space="preserve"> per operator per year.</w:t>
      </w:r>
      <w:r w:rsidR="00E12C89">
        <w:t xml:space="preserve"> This is having regard </w:t>
      </w:r>
      <w:r w:rsidR="008619B7">
        <w:t xml:space="preserve">to the fewer </w:t>
      </w:r>
      <w:r w:rsidR="00DD1C65">
        <w:t xml:space="preserve">number of records </w:t>
      </w:r>
      <w:r w:rsidR="00DE29E3">
        <w:t xml:space="preserve">required to be kept </w:t>
      </w:r>
      <w:r w:rsidR="0011146D">
        <w:t>for</w:t>
      </w:r>
      <w:r w:rsidR="008619B7">
        <w:t xml:space="preserve"> certain record types (e.g. less buses and drivers to keep records of)</w:t>
      </w:r>
      <w:r w:rsidR="00DD1C65">
        <w:t>,</w:t>
      </w:r>
      <w:r w:rsidR="005A7D5D">
        <w:t xml:space="preserve"> as well as </w:t>
      </w:r>
      <w:r w:rsidR="008619B7">
        <w:t xml:space="preserve">fewer types of </w:t>
      </w:r>
      <w:r w:rsidR="005A7D5D">
        <w:t>types of records required to be kept</w:t>
      </w:r>
      <w:r w:rsidR="008619B7">
        <w:t xml:space="preserve"> </w:t>
      </w:r>
      <w:r w:rsidR="00876593">
        <w:t xml:space="preserve">(e.g. </w:t>
      </w:r>
      <w:r w:rsidR="008619B7">
        <w:t xml:space="preserve">not required to keep records of safety systems or </w:t>
      </w:r>
      <w:r w:rsidR="00836148">
        <w:t>demonstrating</w:t>
      </w:r>
      <w:r w:rsidR="008619B7">
        <w:t xml:space="preserve"> compliance with conditions).</w:t>
      </w:r>
      <w:r w:rsidR="00E12C89">
        <w:t xml:space="preserve"> </w:t>
      </w:r>
      <w:r w:rsidR="00D83745">
        <w:t xml:space="preserve"> </w:t>
      </w:r>
    </w:p>
    <w:p w14:paraId="1E52A9B9" w14:textId="0B937DDF" w:rsidR="00D83745" w:rsidRDefault="00034BE3" w:rsidP="00D83745">
      <w:r>
        <w:fldChar w:fldCharType="begin"/>
      </w:r>
      <w:r>
        <w:instrText xml:space="preserve"> REF _Ref42008807 \h  \* MERGEFORMAT </w:instrText>
      </w:r>
      <w:r>
        <w:fldChar w:fldCharType="separate"/>
      </w:r>
      <w:r w:rsidR="00277F6E" w:rsidRPr="00277F6E">
        <w:t>Table 7</w:t>
      </w:r>
      <w:r w:rsidR="00277F6E" w:rsidRPr="00277F6E">
        <w:noBreakHyphen/>
        <w:t>25</w:t>
      </w:r>
      <w:r>
        <w:fldChar w:fldCharType="end"/>
      </w:r>
      <w:r>
        <w:t xml:space="preserve"> </w:t>
      </w:r>
      <w:r w:rsidR="00D83745">
        <w:t xml:space="preserve">outlines the cost parameters for calculating costs of keeping records for accredited and registered operators. </w:t>
      </w:r>
    </w:p>
    <w:p w14:paraId="6445CFE2" w14:textId="77FB5F63" w:rsidR="00D83745" w:rsidRDefault="00D83745" w:rsidP="007620AA">
      <w:pPr>
        <w:pStyle w:val="Caption"/>
        <w:keepNext/>
        <w:spacing w:after="60"/>
        <w:rPr>
          <w:b/>
          <w:i w:val="0"/>
        </w:rPr>
      </w:pPr>
      <w:bookmarkStart w:id="864" w:name="_Ref42008807"/>
      <w:bookmarkStart w:id="865" w:name="_Toc44603422"/>
      <w:bookmarkStart w:id="866" w:name="_Toc44437397"/>
      <w:bookmarkStart w:id="867" w:name="_Toc44597468"/>
      <w:bookmarkStart w:id="868" w:name="_Toc44597532"/>
      <w:bookmarkStart w:id="869" w:name="_Toc44600102"/>
      <w:bookmarkStart w:id="870" w:name="_Toc44600557"/>
      <w:bookmarkStart w:id="871" w:name="_Toc44600724"/>
      <w:bookmarkStart w:id="872" w:name="_Toc44601221"/>
      <w:bookmarkStart w:id="873" w:name="_Toc44601274"/>
      <w:bookmarkStart w:id="874" w:name="_Toc45704470"/>
      <w:r w:rsidRPr="000837E7">
        <w:rPr>
          <w:b/>
          <w:i w:val="0"/>
        </w:rPr>
        <w:lastRenderedPageBreak/>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25</w:t>
      </w:r>
      <w:r w:rsidR="00D2483C">
        <w:rPr>
          <w:b/>
          <w:i w:val="0"/>
        </w:rPr>
        <w:fldChar w:fldCharType="end"/>
      </w:r>
      <w:bookmarkEnd w:id="864"/>
      <w:r w:rsidRPr="000837E7">
        <w:rPr>
          <w:b/>
          <w:i w:val="0"/>
        </w:rPr>
        <w:t xml:space="preserve">: Record </w:t>
      </w:r>
      <w:r w:rsidR="00DD00CC" w:rsidRPr="007620AA">
        <w:rPr>
          <w:b/>
          <w:bCs/>
          <w:i w:val="0"/>
          <w:iCs w:val="0"/>
        </w:rPr>
        <w:t>keeping</w:t>
      </w:r>
      <w:r w:rsidR="00DD00CC">
        <w:rPr>
          <w:b/>
          <w:i w:val="0"/>
        </w:rPr>
        <w:t xml:space="preserve"> </w:t>
      </w:r>
      <w:r w:rsidRPr="000837E7">
        <w:rPr>
          <w:b/>
          <w:i w:val="0"/>
        </w:rPr>
        <w:t xml:space="preserve">cost parameters for </w:t>
      </w:r>
      <w:r w:rsidR="00D06426">
        <w:rPr>
          <w:b/>
          <w:i w:val="0"/>
        </w:rPr>
        <w:t>accredited and registered operators</w:t>
      </w:r>
      <w:bookmarkEnd w:id="865"/>
      <w:bookmarkEnd w:id="866"/>
      <w:bookmarkEnd w:id="867"/>
      <w:bookmarkEnd w:id="868"/>
      <w:bookmarkEnd w:id="869"/>
      <w:bookmarkEnd w:id="870"/>
      <w:bookmarkEnd w:id="871"/>
      <w:bookmarkEnd w:id="872"/>
      <w:bookmarkEnd w:id="873"/>
      <w:bookmarkEnd w:id="874"/>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7"/>
        <w:gridCol w:w="2369"/>
        <w:gridCol w:w="2369"/>
        <w:gridCol w:w="2370"/>
      </w:tblGrid>
      <w:tr w:rsidR="00D83745" w:rsidRPr="00616C9C" w14:paraId="22575244" w14:textId="77777777" w:rsidTr="009303EB">
        <w:trPr>
          <w:cantSplit/>
          <w:trHeight w:val="288"/>
        </w:trPr>
        <w:tc>
          <w:tcPr>
            <w:tcW w:w="1948" w:type="dxa"/>
            <w:shd w:val="clear" w:color="auto" w:fill="D6ECED"/>
            <w:noWrap/>
            <w:hideMark/>
          </w:tcPr>
          <w:p w14:paraId="6544FB59" w14:textId="77777777" w:rsidR="00D83745" w:rsidRPr="00722C18" w:rsidRDefault="00D83745" w:rsidP="009303EB">
            <w:pPr>
              <w:keepNext/>
              <w:spacing w:before="60" w:after="60"/>
              <w:jc w:val="center"/>
              <w:rPr>
                <w:rFonts w:eastAsia="Times New Roman" w:cstheme="minorHAnsi"/>
                <w:b/>
                <w:bCs/>
                <w:color w:val="000000"/>
                <w:sz w:val="18"/>
                <w:lang w:eastAsia="en-AU"/>
              </w:rPr>
            </w:pPr>
            <w:r>
              <w:rPr>
                <w:b/>
                <w:bCs/>
                <w:sz w:val="18"/>
              </w:rPr>
              <w:t>Option</w:t>
            </w:r>
          </w:p>
        </w:tc>
        <w:tc>
          <w:tcPr>
            <w:tcW w:w="2420" w:type="dxa"/>
            <w:shd w:val="clear" w:color="auto" w:fill="D6ECED"/>
          </w:tcPr>
          <w:p w14:paraId="226B74E7" w14:textId="77777777" w:rsidR="00D83745" w:rsidRPr="00722C18" w:rsidRDefault="00D83745" w:rsidP="009303EB">
            <w:pPr>
              <w:keepNext/>
              <w:spacing w:before="60" w:after="60"/>
              <w:jc w:val="center"/>
              <w:rPr>
                <w:b/>
                <w:bCs/>
                <w:sz w:val="18"/>
              </w:rPr>
            </w:pPr>
            <w:r w:rsidRPr="00722C18">
              <w:rPr>
                <w:b/>
                <w:bCs/>
                <w:sz w:val="18"/>
              </w:rPr>
              <w:t>Number of active operators as of 3</w:t>
            </w:r>
            <w:r>
              <w:rPr>
                <w:b/>
                <w:bCs/>
                <w:sz w:val="18"/>
              </w:rPr>
              <w:t xml:space="preserve">1 </w:t>
            </w:r>
            <w:r w:rsidRPr="00722C18">
              <w:rPr>
                <w:b/>
                <w:bCs/>
                <w:sz w:val="18"/>
              </w:rPr>
              <w:t>December 2019</w:t>
            </w:r>
          </w:p>
        </w:tc>
        <w:tc>
          <w:tcPr>
            <w:tcW w:w="2420" w:type="dxa"/>
            <w:shd w:val="clear" w:color="auto" w:fill="D6ECED"/>
          </w:tcPr>
          <w:p w14:paraId="0F708728" w14:textId="77777777" w:rsidR="00D83745" w:rsidRDefault="00D83745" w:rsidP="009303EB">
            <w:pPr>
              <w:keepNext/>
              <w:spacing w:before="60" w:after="60"/>
              <w:jc w:val="center"/>
              <w:rPr>
                <w:b/>
                <w:bCs/>
                <w:sz w:val="18"/>
              </w:rPr>
            </w:pPr>
            <w:r>
              <w:rPr>
                <w:b/>
                <w:bCs/>
                <w:sz w:val="18"/>
              </w:rPr>
              <w:t>Annual growth rate of operators</w:t>
            </w:r>
          </w:p>
        </w:tc>
        <w:tc>
          <w:tcPr>
            <w:tcW w:w="2421" w:type="dxa"/>
            <w:shd w:val="clear" w:color="auto" w:fill="D6ECED"/>
            <w:noWrap/>
            <w:hideMark/>
          </w:tcPr>
          <w:p w14:paraId="6AFDB6B6" w14:textId="2827B2E0" w:rsidR="00D83745" w:rsidRPr="00722C18" w:rsidRDefault="00D83745" w:rsidP="009303EB">
            <w:pPr>
              <w:keepNext/>
              <w:spacing w:before="60" w:after="60"/>
              <w:jc w:val="center"/>
              <w:rPr>
                <w:rFonts w:eastAsia="Times New Roman" w:cstheme="minorHAnsi"/>
                <w:b/>
                <w:bCs/>
                <w:color w:val="000000"/>
                <w:sz w:val="18"/>
                <w:lang w:eastAsia="en-AU"/>
              </w:rPr>
            </w:pPr>
            <w:r w:rsidRPr="00722C18">
              <w:rPr>
                <w:b/>
                <w:bCs/>
                <w:sz w:val="18"/>
              </w:rPr>
              <w:t>Labour cost</w:t>
            </w:r>
          </w:p>
        </w:tc>
      </w:tr>
      <w:tr w:rsidR="00D83745" w:rsidRPr="00616C9C" w14:paraId="3CAB9F13" w14:textId="77777777" w:rsidTr="009303EB">
        <w:trPr>
          <w:cantSplit/>
          <w:trHeight w:val="341"/>
        </w:trPr>
        <w:tc>
          <w:tcPr>
            <w:tcW w:w="1948" w:type="dxa"/>
            <w:tcBorders>
              <w:bottom w:val="dotted" w:sz="4" w:space="0" w:color="auto"/>
            </w:tcBorders>
            <w:shd w:val="clear" w:color="auto" w:fill="auto"/>
            <w:noWrap/>
            <w:vAlign w:val="center"/>
            <w:hideMark/>
          </w:tcPr>
          <w:p w14:paraId="0AFBAEC8" w14:textId="65D79DE0" w:rsidR="00D83745" w:rsidRPr="00722C18" w:rsidRDefault="00D83745" w:rsidP="009303EB">
            <w:pPr>
              <w:keepNext/>
              <w:spacing w:before="60" w:after="60"/>
              <w:jc w:val="center"/>
              <w:rPr>
                <w:rFonts w:eastAsia="Times New Roman" w:cstheme="minorHAnsi"/>
                <w:color w:val="000000"/>
                <w:sz w:val="18"/>
                <w:lang w:eastAsia="en-AU"/>
              </w:rPr>
            </w:pPr>
            <w:r>
              <w:rPr>
                <w:sz w:val="18"/>
              </w:rPr>
              <w:t>Option 1</w:t>
            </w:r>
            <w:r w:rsidR="00D105B4">
              <w:rPr>
                <w:sz w:val="18"/>
              </w:rPr>
              <w:t xml:space="preserve"> (status quo)</w:t>
            </w:r>
          </w:p>
        </w:tc>
        <w:tc>
          <w:tcPr>
            <w:tcW w:w="2420" w:type="dxa"/>
            <w:tcBorders>
              <w:bottom w:val="dotted" w:sz="4" w:space="0" w:color="auto"/>
            </w:tcBorders>
            <w:vAlign w:val="center"/>
          </w:tcPr>
          <w:p w14:paraId="746CEB58" w14:textId="77777777" w:rsidR="00D83745" w:rsidRPr="00722C18" w:rsidRDefault="00D83745" w:rsidP="009303EB">
            <w:pPr>
              <w:keepNext/>
              <w:spacing w:before="60" w:after="60"/>
              <w:jc w:val="center"/>
              <w:rPr>
                <w:sz w:val="18"/>
              </w:rPr>
            </w:pPr>
            <w:r w:rsidRPr="00722C18">
              <w:rPr>
                <w:sz w:val="18"/>
              </w:rPr>
              <w:t>667</w:t>
            </w:r>
            <w:r>
              <w:rPr>
                <w:sz w:val="18"/>
              </w:rPr>
              <w:t xml:space="preserve"> accredited operators</w:t>
            </w:r>
          </w:p>
        </w:tc>
        <w:tc>
          <w:tcPr>
            <w:tcW w:w="2420" w:type="dxa"/>
            <w:tcBorders>
              <w:bottom w:val="dotted" w:sz="4" w:space="0" w:color="auto"/>
            </w:tcBorders>
          </w:tcPr>
          <w:p w14:paraId="118D941F" w14:textId="77777777" w:rsidR="00D83745" w:rsidRDefault="00D83745" w:rsidP="009303EB">
            <w:pPr>
              <w:keepNext/>
              <w:spacing w:before="60" w:after="60"/>
              <w:jc w:val="center"/>
              <w:rPr>
                <w:sz w:val="18"/>
              </w:rPr>
            </w:pPr>
            <w:r>
              <w:rPr>
                <w:sz w:val="18"/>
              </w:rPr>
              <w:t>1%</w:t>
            </w:r>
          </w:p>
        </w:tc>
        <w:tc>
          <w:tcPr>
            <w:tcW w:w="2421" w:type="dxa"/>
            <w:tcBorders>
              <w:bottom w:val="dotted" w:sz="4" w:space="0" w:color="auto"/>
            </w:tcBorders>
            <w:shd w:val="clear" w:color="auto" w:fill="auto"/>
            <w:noWrap/>
            <w:hideMark/>
          </w:tcPr>
          <w:p w14:paraId="7F781431" w14:textId="77777777" w:rsidR="00D83745" w:rsidRPr="003C1AEE" w:rsidRDefault="00D83745" w:rsidP="009303EB">
            <w:pPr>
              <w:keepNext/>
              <w:spacing w:before="60" w:after="60"/>
              <w:jc w:val="center"/>
              <w:rPr>
                <w:sz w:val="18"/>
              </w:rPr>
            </w:pPr>
            <w:r>
              <w:rPr>
                <w:sz w:val="18"/>
              </w:rPr>
              <w:t xml:space="preserve">Full records: </w:t>
            </w:r>
            <w:r w:rsidRPr="00722C18">
              <w:rPr>
                <w:sz w:val="18"/>
              </w:rPr>
              <w:t xml:space="preserve">10 </w:t>
            </w:r>
            <w:r>
              <w:rPr>
                <w:sz w:val="18"/>
              </w:rPr>
              <w:t>hours</w:t>
            </w:r>
            <w:r w:rsidRPr="00722C18">
              <w:rPr>
                <w:sz w:val="18"/>
              </w:rPr>
              <w:t xml:space="preserve"> </w:t>
            </w:r>
            <w:r>
              <w:rPr>
                <w:sz w:val="18"/>
              </w:rPr>
              <w:t>(</w:t>
            </w:r>
            <w:r w:rsidRPr="00722C18">
              <w:rPr>
                <w:sz w:val="18"/>
              </w:rPr>
              <w:t>$763.70</w:t>
            </w:r>
            <w:r>
              <w:rPr>
                <w:sz w:val="18"/>
              </w:rPr>
              <w:t>)</w:t>
            </w:r>
          </w:p>
        </w:tc>
      </w:tr>
      <w:tr w:rsidR="00D83745" w:rsidRPr="00616C9C" w14:paraId="70DAD518" w14:textId="77777777" w:rsidTr="009303EB">
        <w:trPr>
          <w:cantSplit/>
          <w:trHeight w:val="40"/>
        </w:trPr>
        <w:tc>
          <w:tcPr>
            <w:tcW w:w="1948" w:type="dxa"/>
            <w:tcBorders>
              <w:top w:val="dotted" w:sz="4" w:space="0" w:color="auto"/>
            </w:tcBorders>
            <w:shd w:val="clear" w:color="auto" w:fill="auto"/>
            <w:noWrap/>
            <w:vAlign w:val="center"/>
          </w:tcPr>
          <w:p w14:paraId="1F027EBC" w14:textId="77777777" w:rsidR="00D83745" w:rsidRDefault="00D83745" w:rsidP="009303EB">
            <w:pPr>
              <w:keepNext/>
              <w:spacing w:before="60" w:after="60"/>
              <w:jc w:val="center"/>
              <w:rPr>
                <w:sz w:val="18"/>
              </w:rPr>
            </w:pPr>
          </w:p>
        </w:tc>
        <w:tc>
          <w:tcPr>
            <w:tcW w:w="2420" w:type="dxa"/>
            <w:tcBorders>
              <w:top w:val="dotted" w:sz="4" w:space="0" w:color="auto"/>
            </w:tcBorders>
          </w:tcPr>
          <w:p w14:paraId="3DC4BC2D" w14:textId="77777777" w:rsidR="00D83745" w:rsidRPr="00722C18" w:rsidRDefault="00D83745" w:rsidP="009303EB">
            <w:pPr>
              <w:keepNext/>
              <w:spacing w:before="60" w:after="60"/>
              <w:jc w:val="center"/>
              <w:rPr>
                <w:sz w:val="18"/>
              </w:rPr>
            </w:pPr>
            <w:r w:rsidRPr="00722C18">
              <w:rPr>
                <w:sz w:val="18"/>
              </w:rPr>
              <w:t>2,501</w:t>
            </w:r>
            <w:r>
              <w:rPr>
                <w:sz w:val="18"/>
              </w:rPr>
              <w:t xml:space="preserve"> registered operators</w:t>
            </w:r>
          </w:p>
        </w:tc>
        <w:tc>
          <w:tcPr>
            <w:tcW w:w="2420" w:type="dxa"/>
            <w:tcBorders>
              <w:top w:val="dotted" w:sz="4" w:space="0" w:color="auto"/>
            </w:tcBorders>
          </w:tcPr>
          <w:p w14:paraId="3F73E7EF" w14:textId="77777777" w:rsidR="00D83745" w:rsidRDefault="00D83745" w:rsidP="009303EB">
            <w:pPr>
              <w:keepNext/>
              <w:spacing w:before="60" w:after="60"/>
              <w:jc w:val="center"/>
              <w:rPr>
                <w:sz w:val="18"/>
              </w:rPr>
            </w:pPr>
            <w:r>
              <w:rPr>
                <w:sz w:val="18"/>
              </w:rPr>
              <w:t>4.7%</w:t>
            </w:r>
          </w:p>
        </w:tc>
        <w:tc>
          <w:tcPr>
            <w:tcW w:w="2421" w:type="dxa"/>
            <w:tcBorders>
              <w:top w:val="dotted" w:sz="4" w:space="0" w:color="auto"/>
            </w:tcBorders>
            <w:shd w:val="clear" w:color="auto" w:fill="auto"/>
            <w:noWrap/>
          </w:tcPr>
          <w:p w14:paraId="5C9590A4" w14:textId="77777777" w:rsidR="00D83745" w:rsidRDefault="00D83745" w:rsidP="009303EB">
            <w:pPr>
              <w:keepNext/>
              <w:spacing w:before="60" w:after="60"/>
              <w:jc w:val="center"/>
              <w:rPr>
                <w:sz w:val="18"/>
              </w:rPr>
            </w:pPr>
            <w:r>
              <w:rPr>
                <w:sz w:val="18"/>
              </w:rPr>
              <w:t>No records</w:t>
            </w:r>
          </w:p>
        </w:tc>
      </w:tr>
      <w:tr w:rsidR="005267AC" w:rsidRPr="00616C9C" w14:paraId="50B386C3" w14:textId="77777777" w:rsidTr="009303EB">
        <w:trPr>
          <w:cantSplit/>
          <w:trHeight w:val="40"/>
        </w:trPr>
        <w:tc>
          <w:tcPr>
            <w:tcW w:w="1948" w:type="dxa"/>
            <w:tcBorders>
              <w:top w:val="single" w:sz="4" w:space="0" w:color="auto"/>
              <w:bottom w:val="dotted" w:sz="4" w:space="0" w:color="auto"/>
            </w:tcBorders>
            <w:shd w:val="clear" w:color="auto" w:fill="auto"/>
            <w:noWrap/>
            <w:vAlign w:val="center"/>
          </w:tcPr>
          <w:p w14:paraId="3263B5B6" w14:textId="59173C8B" w:rsidR="005267AC" w:rsidRDefault="005267AC" w:rsidP="009303EB">
            <w:pPr>
              <w:keepNext/>
              <w:spacing w:before="60" w:after="60"/>
              <w:jc w:val="center"/>
              <w:rPr>
                <w:sz w:val="18"/>
              </w:rPr>
            </w:pPr>
            <w:r>
              <w:rPr>
                <w:sz w:val="18"/>
              </w:rPr>
              <w:t>Option 2</w:t>
            </w:r>
          </w:p>
        </w:tc>
        <w:tc>
          <w:tcPr>
            <w:tcW w:w="2420" w:type="dxa"/>
            <w:tcBorders>
              <w:top w:val="single" w:sz="4" w:space="0" w:color="auto"/>
              <w:bottom w:val="dotted" w:sz="4" w:space="0" w:color="auto"/>
            </w:tcBorders>
            <w:vAlign w:val="center"/>
          </w:tcPr>
          <w:p w14:paraId="363EE05C" w14:textId="420C15DF" w:rsidR="005267AC" w:rsidRPr="00722C18" w:rsidRDefault="005267AC" w:rsidP="009303EB">
            <w:pPr>
              <w:keepNext/>
              <w:spacing w:before="60" w:after="60"/>
              <w:jc w:val="center"/>
              <w:rPr>
                <w:sz w:val="18"/>
              </w:rPr>
            </w:pPr>
            <w:r>
              <w:rPr>
                <w:sz w:val="18"/>
              </w:rPr>
              <w:t>667 accredited operators</w:t>
            </w:r>
          </w:p>
        </w:tc>
        <w:tc>
          <w:tcPr>
            <w:tcW w:w="2420" w:type="dxa"/>
            <w:tcBorders>
              <w:top w:val="single" w:sz="4" w:space="0" w:color="auto"/>
              <w:bottom w:val="dotted" w:sz="4" w:space="0" w:color="auto"/>
            </w:tcBorders>
          </w:tcPr>
          <w:p w14:paraId="2531E9B6" w14:textId="64AFDAC2" w:rsidR="005267AC" w:rsidRDefault="005267AC" w:rsidP="009303EB">
            <w:pPr>
              <w:keepNext/>
              <w:spacing w:before="60" w:after="60"/>
              <w:jc w:val="center"/>
              <w:rPr>
                <w:sz w:val="18"/>
              </w:rPr>
            </w:pPr>
            <w:r>
              <w:rPr>
                <w:sz w:val="18"/>
              </w:rPr>
              <w:t>1%</w:t>
            </w:r>
          </w:p>
        </w:tc>
        <w:tc>
          <w:tcPr>
            <w:tcW w:w="2421" w:type="dxa"/>
            <w:tcBorders>
              <w:top w:val="single" w:sz="4" w:space="0" w:color="auto"/>
              <w:bottom w:val="dotted" w:sz="4" w:space="0" w:color="auto"/>
            </w:tcBorders>
            <w:shd w:val="clear" w:color="auto" w:fill="auto"/>
            <w:noWrap/>
          </w:tcPr>
          <w:p w14:paraId="06DFBF1E" w14:textId="49684102" w:rsidR="005267AC" w:rsidRDefault="005267AC" w:rsidP="009303EB">
            <w:pPr>
              <w:keepNext/>
              <w:spacing w:before="60" w:after="60"/>
              <w:jc w:val="center"/>
              <w:rPr>
                <w:sz w:val="18"/>
              </w:rPr>
            </w:pPr>
            <w:r>
              <w:rPr>
                <w:sz w:val="18"/>
              </w:rPr>
              <w:t>Full records: 10 hours</w:t>
            </w:r>
            <w:r w:rsidRPr="00722C18">
              <w:rPr>
                <w:sz w:val="18"/>
              </w:rPr>
              <w:t xml:space="preserve"> </w:t>
            </w:r>
            <w:r>
              <w:rPr>
                <w:sz w:val="18"/>
              </w:rPr>
              <w:t>(</w:t>
            </w:r>
            <w:r w:rsidRPr="00722C18">
              <w:rPr>
                <w:sz w:val="18"/>
              </w:rPr>
              <w:t>$</w:t>
            </w:r>
            <w:r>
              <w:rPr>
                <w:sz w:val="18"/>
              </w:rPr>
              <w:t>763.70)</w:t>
            </w:r>
          </w:p>
        </w:tc>
      </w:tr>
      <w:tr w:rsidR="005267AC" w:rsidRPr="00616C9C" w14:paraId="36AAC820" w14:textId="77777777" w:rsidTr="009303EB">
        <w:trPr>
          <w:cantSplit/>
          <w:trHeight w:val="40"/>
        </w:trPr>
        <w:tc>
          <w:tcPr>
            <w:tcW w:w="1948" w:type="dxa"/>
            <w:tcBorders>
              <w:top w:val="dotted" w:sz="4" w:space="0" w:color="auto"/>
            </w:tcBorders>
            <w:shd w:val="clear" w:color="auto" w:fill="auto"/>
            <w:noWrap/>
            <w:vAlign w:val="center"/>
          </w:tcPr>
          <w:p w14:paraId="1245CEC5" w14:textId="77777777" w:rsidR="005267AC" w:rsidRDefault="005267AC" w:rsidP="009303EB">
            <w:pPr>
              <w:keepNext/>
              <w:spacing w:before="60" w:after="60"/>
              <w:jc w:val="center"/>
              <w:rPr>
                <w:sz w:val="18"/>
              </w:rPr>
            </w:pPr>
          </w:p>
        </w:tc>
        <w:tc>
          <w:tcPr>
            <w:tcW w:w="2420" w:type="dxa"/>
            <w:tcBorders>
              <w:top w:val="dotted" w:sz="4" w:space="0" w:color="auto"/>
            </w:tcBorders>
          </w:tcPr>
          <w:p w14:paraId="1B1A0C92" w14:textId="3F92BF38" w:rsidR="005267AC" w:rsidRPr="00722C18" w:rsidRDefault="005267AC" w:rsidP="009303EB">
            <w:pPr>
              <w:keepNext/>
              <w:spacing w:before="60" w:after="60"/>
              <w:jc w:val="center"/>
              <w:rPr>
                <w:sz w:val="18"/>
              </w:rPr>
            </w:pPr>
            <w:r w:rsidRPr="00722C18">
              <w:rPr>
                <w:sz w:val="18"/>
              </w:rPr>
              <w:t>2,501</w:t>
            </w:r>
            <w:r>
              <w:rPr>
                <w:sz w:val="18"/>
              </w:rPr>
              <w:t xml:space="preserve"> registered operators</w:t>
            </w:r>
          </w:p>
        </w:tc>
        <w:tc>
          <w:tcPr>
            <w:tcW w:w="2420" w:type="dxa"/>
            <w:tcBorders>
              <w:top w:val="dotted" w:sz="4" w:space="0" w:color="auto"/>
            </w:tcBorders>
          </w:tcPr>
          <w:p w14:paraId="51610EEF" w14:textId="7BBEAAD8" w:rsidR="005267AC" w:rsidRDefault="005267AC" w:rsidP="009303EB">
            <w:pPr>
              <w:keepNext/>
              <w:spacing w:before="60" w:after="60"/>
              <w:jc w:val="center"/>
              <w:rPr>
                <w:sz w:val="18"/>
              </w:rPr>
            </w:pPr>
            <w:r>
              <w:rPr>
                <w:sz w:val="18"/>
              </w:rPr>
              <w:t>4.7%</w:t>
            </w:r>
          </w:p>
        </w:tc>
        <w:tc>
          <w:tcPr>
            <w:tcW w:w="2421" w:type="dxa"/>
            <w:tcBorders>
              <w:top w:val="dotted" w:sz="4" w:space="0" w:color="auto"/>
            </w:tcBorders>
            <w:shd w:val="clear" w:color="auto" w:fill="auto"/>
            <w:noWrap/>
          </w:tcPr>
          <w:p w14:paraId="5CAD2910" w14:textId="24D5DDEC" w:rsidR="005267AC" w:rsidRDefault="00181858" w:rsidP="009303EB">
            <w:pPr>
              <w:keepNext/>
              <w:spacing w:before="60" w:after="60"/>
              <w:jc w:val="center"/>
              <w:rPr>
                <w:sz w:val="18"/>
              </w:rPr>
            </w:pPr>
            <w:r>
              <w:rPr>
                <w:sz w:val="18"/>
              </w:rPr>
              <w:t>Limited</w:t>
            </w:r>
            <w:r w:rsidR="005267AC">
              <w:rPr>
                <w:sz w:val="18"/>
              </w:rPr>
              <w:t xml:space="preserve"> records: 1 </w:t>
            </w:r>
            <w:r w:rsidR="003565C6">
              <w:rPr>
                <w:sz w:val="18"/>
              </w:rPr>
              <w:t xml:space="preserve">to 2 </w:t>
            </w:r>
            <w:r w:rsidR="005267AC">
              <w:rPr>
                <w:sz w:val="18"/>
              </w:rPr>
              <w:t>hour</w:t>
            </w:r>
            <w:r w:rsidR="003565C6">
              <w:rPr>
                <w:sz w:val="18"/>
              </w:rPr>
              <w:t>s</w:t>
            </w:r>
          </w:p>
          <w:p w14:paraId="1386D51F" w14:textId="5F219838" w:rsidR="005267AC" w:rsidRDefault="005267AC" w:rsidP="009303EB">
            <w:pPr>
              <w:keepNext/>
              <w:spacing w:before="60" w:after="60"/>
              <w:jc w:val="center"/>
              <w:rPr>
                <w:sz w:val="18"/>
              </w:rPr>
            </w:pPr>
            <w:r>
              <w:rPr>
                <w:sz w:val="18"/>
              </w:rPr>
              <w:t>($76.37</w:t>
            </w:r>
            <w:r w:rsidR="00C4722B">
              <w:rPr>
                <w:sz w:val="18"/>
              </w:rPr>
              <w:t xml:space="preserve"> to $152.74</w:t>
            </w:r>
            <w:r>
              <w:rPr>
                <w:sz w:val="18"/>
              </w:rPr>
              <w:t>)</w:t>
            </w:r>
          </w:p>
        </w:tc>
      </w:tr>
      <w:tr w:rsidR="005267AC" w:rsidRPr="00616C9C" w14:paraId="498ADBA5" w14:textId="77777777" w:rsidTr="009303EB">
        <w:trPr>
          <w:cantSplit/>
          <w:trHeight w:val="40"/>
        </w:trPr>
        <w:tc>
          <w:tcPr>
            <w:tcW w:w="1948" w:type="dxa"/>
            <w:tcBorders>
              <w:bottom w:val="dotted" w:sz="4" w:space="0" w:color="auto"/>
            </w:tcBorders>
            <w:shd w:val="clear" w:color="auto" w:fill="auto"/>
            <w:noWrap/>
            <w:vAlign w:val="center"/>
            <w:hideMark/>
          </w:tcPr>
          <w:p w14:paraId="162DDAAE" w14:textId="3BAF72B6" w:rsidR="005267AC" w:rsidRPr="00722C18" w:rsidRDefault="005267AC" w:rsidP="009303EB">
            <w:pPr>
              <w:keepNext/>
              <w:spacing w:before="60" w:after="60"/>
              <w:jc w:val="center"/>
              <w:rPr>
                <w:rFonts w:eastAsia="Times New Roman" w:cstheme="minorHAnsi"/>
                <w:color w:val="000000"/>
                <w:sz w:val="18"/>
                <w:lang w:eastAsia="en-AU"/>
              </w:rPr>
            </w:pPr>
            <w:r>
              <w:rPr>
                <w:sz w:val="18"/>
              </w:rPr>
              <w:t>Option 3</w:t>
            </w:r>
          </w:p>
        </w:tc>
        <w:tc>
          <w:tcPr>
            <w:tcW w:w="2420" w:type="dxa"/>
            <w:tcBorders>
              <w:bottom w:val="dotted" w:sz="4" w:space="0" w:color="auto"/>
            </w:tcBorders>
            <w:vAlign w:val="center"/>
          </w:tcPr>
          <w:p w14:paraId="782AFA7B" w14:textId="77777777" w:rsidR="005267AC" w:rsidRPr="00722C18" w:rsidRDefault="005267AC" w:rsidP="009303EB">
            <w:pPr>
              <w:keepNext/>
              <w:spacing w:before="60" w:after="60"/>
              <w:jc w:val="center"/>
              <w:rPr>
                <w:sz w:val="18"/>
              </w:rPr>
            </w:pPr>
            <w:r>
              <w:rPr>
                <w:sz w:val="18"/>
              </w:rPr>
              <w:t>667 accredited operators</w:t>
            </w:r>
          </w:p>
        </w:tc>
        <w:tc>
          <w:tcPr>
            <w:tcW w:w="2420" w:type="dxa"/>
            <w:tcBorders>
              <w:bottom w:val="dotted" w:sz="4" w:space="0" w:color="auto"/>
            </w:tcBorders>
          </w:tcPr>
          <w:p w14:paraId="23D84682" w14:textId="77777777" w:rsidR="005267AC" w:rsidRDefault="005267AC" w:rsidP="009303EB">
            <w:pPr>
              <w:keepNext/>
              <w:spacing w:before="60" w:after="60"/>
              <w:jc w:val="center"/>
              <w:rPr>
                <w:sz w:val="18"/>
              </w:rPr>
            </w:pPr>
            <w:r>
              <w:rPr>
                <w:sz w:val="18"/>
              </w:rPr>
              <w:t>1%</w:t>
            </w:r>
          </w:p>
        </w:tc>
        <w:tc>
          <w:tcPr>
            <w:tcW w:w="2421" w:type="dxa"/>
            <w:tcBorders>
              <w:bottom w:val="dotted" w:sz="4" w:space="0" w:color="auto"/>
            </w:tcBorders>
            <w:shd w:val="clear" w:color="auto" w:fill="auto"/>
            <w:noWrap/>
            <w:hideMark/>
          </w:tcPr>
          <w:p w14:paraId="3B15AC96" w14:textId="77777777" w:rsidR="005267AC" w:rsidRPr="003C1AEE" w:rsidRDefault="005267AC" w:rsidP="009303EB">
            <w:pPr>
              <w:keepNext/>
              <w:spacing w:before="60" w:after="60"/>
              <w:jc w:val="center"/>
              <w:rPr>
                <w:sz w:val="18"/>
              </w:rPr>
            </w:pPr>
            <w:r>
              <w:rPr>
                <w:sz w:val="18"/>
              </w:rPr>
              <w:t xml:space="preserve">Full records: </w:t>
            </w:r>
            <w:r w:rsidRPr="00722C18">
              <w:rPr>
                <w:sz w:val="18"/>
              </w:rPr>
              <w:t>1</w:t>
            </w:r>
            <w:r>
              <w:rPr>
                <w:sz w:val="18"/>
              </w:rPr>
              <w:t>0</w:t>
            </w:r>
            <w:r w:rsidRPr="00722C18">
              <w:rPr>
                <w:sz w:val="18"/>
              </w:rPr>
              <w:t xml:space="preserve"> </w:t>
            </w:r>
            <w:r>
              <w:rPr>
                <w:sz w:val="18"/>
              </w:rPr>
              <w:t>hours</w:t>
            </w:r>
            <w:r w:rsidRPr="00722C18">
              <w:rPr>
                <w:sz w:val="18"/>
              </w:rPr>
              <w:t xml:space="preserve"> </w:t>
            </w:r>
            <w:r>
              <w:rPr>
                <w:sz w:val="18"/>
              </w:rPr>
              <w:t>(</w:t>
            </w:r>
            <w:r w:rsidRPr="00722C18">
              <w:rPr>
                <w:sz w:val="18"/>
              </w:rPr>
              <w:t>$763</w:t>
            </w:r>
            <w:r>
              <w:rPr>
                <w:sz w:val="18"/>
              </w:rPr>
              <w:t>.</w:t>
            </w:r>
            <w:r w:rsidRPr="00722C18">
              <w:rPr>
                <w:sz w:val="18"/>
              </w:rPr>
              <w:t>7</w:t>
            </w:r>
            <w:r>
              <w:rPr>
                <w:sz w:val="18"/>
              </w:rPr>
              <w:t>0)</w:t>
            </w:r>
          </w:p>
        </w:tc>
      </w:tr>
      <w:tr w:rsidR="005267AC" w:rsidRPr="00616C9C" w14:paraId="46F4B692" w14:textId="77777777" w:rsidTr="009303EB">
        <w:trPr>
          <w:cantSplit/>
          <w:trHeight w:val="255"/>
        </w:trPr>
        <w:tc>
          <w:tcPr>
            <w:tcW w:w="1948" w:type="dxa"/>
            <w:tcBorders>
              <w:top w:val="dotted" w:sz="4" w:space="0" w:color="auto"/>
            </w:tcBorders>
            <w:shd w:val="clear" w:color="auto" w:fill="auto"/>
            <w:noWrap/>
            <w:vAlign w:val="center"/>
          </w:tcPr>
          <w:p w14:paraId="6F192B05" w14:textId="77777777" w:rsidR="005267AC" w:rsidRPr="00722C18" w:rsidDel="00D306BA" w:rsidRDefault="005267AC" w:rsidP="009303EB">
            <w:pPr>
              <w:keepNext/>
              <w:spacing w:before="60" w:after="60"/>
              <w:jc w:val="center"/>
              <w:rPr>
                <w:sz w:val="18"/>
              </w:rPr>
            </w:pPr>
          </w:p>
        </w:tc>
        <w:tc>
          <w:tcPr>
            <w:tcW w:w="2420" w:type="dxa"/>
            <w:tcBorders>
              <w:top w:val="dotted" w:sz="4" w:space="0" w:color="auto"/>
            </w:tcBorders>
          </w:tcPr>
          <w:p w14:paraId="3394561A" w14:textId="77777777" w:rsidR="005267AC" w:rsidRDefault="005267AC" w:rsidP="009303EB">
            <w:pPr>
              <w:keepNext/>
              <w:spacing w:before="60" w:after="60"/>
              <w:jc w:val="center"/>
              <w:rPr>
                <w:sz w:val="18"/>
              </w:rPr>
            </w:pPr>
            <w:r w:rsidRPr="00722C18">
              <w:rPr>
                <w:sz w:val="18"/>
              </w:rPr>
              <w:t>2,501</w:t>
            </w:r>
            <w:r>
              <w:rPr>
                <w:sz w:val="18"/>
              </w:rPr>
              <w:t xml:space="preserve"> registered operators</w:t>
            </w:r>
          </w:p>
        </w:tc>
        <w:tc>
          <w:tcPr>
            <w:tcW w:w="2420" w:type="dxa"/>
            <w:tcBorders>
              <w:top w:val="dotted" w:sz="4" w:space="0" w:color="auto"/>
            </w:tcBorders>
          </w:tcPr>
          <w:p w14:paraId="5CB803E0" w14:textId="77777777" w:rsidR="005267AC" w:rsidRDefault="005267AC" w:rsidP="009303EB">
            <w:pPr>
              <w:keepNext/>
              <w:spacing w:before="60" w:after="60"/>
              <w:jc w:val="center"/>
              <w:rPr>
                <w:sz w:val="18"/>
              </w:rPr>
            </w:pPr>
            <w:r>
              <w:rPr>
                <w:sz w:val="18"/>
              </w:rPr>
              <w:t>4.7%</w:t>
            </w:r>
          </w:p>
        </w:tc>
        <w:tc>
          <w:tcPr>
            <w:tcW w:w="2421" w:type="dxa"/>
            <w:tcBorders>
              <w:top w:val="dotted" w:sz="4" w:space="0" w:color="auto"/>
            </w:tcBorders>
            <w:shd w:val="clear" w:color="auto" w:fill="auto"/>
            <w:noWrap/>
          </w:tcPr>
          <w:p w14:paraId="1A799FD0" w14:textId="7BC3C201" w:rsidR="005267AC" w:rsidRDefault="005267AC" w:rsidP="009303EB">
            <w:pPr>
              <w:keepNext/>
              <w:spacing w:before="60" w:after="60"/>
              <w:jc w:val="center"/>
              <w:rPr>
                <w:sz w:val="18"/>
              </w:rPr>
            </w:pPr>
            <w:r>
              <w:rPr>
                <w:sz w:val="18"/>
              </w:rPr>
              <w:t xml:space="preserve">Full records: </w:t>
            </w:r>
            <w:r w:rsidR="005A0FDC">
              <w:rPr>
                <w:sz w:val="18"/>
              </w:rPr>
              <w:t>6 to 8</w:t>
            </w:r>
            <w:r w:rsidRPr="00722C18">
              <w:rPr>
                <w:sz w:val="18"/>
              </w:rPr>
              <w:t xml:space="preserve"> </w:t>
            </w:r>
            <w:r>
              <w:rPr>
                <w:sz w:val="18"/>
              </w:rPr>
              <w:t>hours</w:t>
            </w:r>
            <w:r w:rsidRPr="00722C18">
              <w:rPr>
                <w:sz w:val="18"/>
              </w:rPr>
              <w:t xml:space="preserve"> </w:t>
            </w:r>
            <w:r>
              <w:rPr>
                <w:sz w:val="18"/>
              </w:rPr>
              <w:t>(</w:t>
            </w:r>
            <w:r w:rsidR="00691D92">
              <w:rPr>
                <w:sz w:val="18"/>
              </w:rPr>
              <w:t>$458.22 to $610.96</w:t>
            </w:r>
            <w:r>
              <w:rPr>
                <w:sz w:val="18"/>
              </w:rPr>
              <w:t>)</w:t>
            </w:r>
          </w:p>
        </w:tc>
      </w:tr>
    </w:tbl>
    <w:p w14:paraId="6ADAF3FF" w14:textId="2378A7CE" w:rsidR="00D83745" w:rsidRDefault="00D83745" w:rsidP="00D83745">
      <w:r>
        <w:t xml:space="preserve">Based on a real discount rate of 4 per cent, the </w:t>
      </w:r>
      <w:r w:rsidR="00F03D03">
        <w:t xml:space="preserve">10-year </w:t>
      </w:r>
      <w:r>
        <w:t xml:space="preserve">NPV and EAC for the record keeping requirements for accredited and registered operators under the different options are outlined in </w:t>
      </w:r>
      <w:r w:rsidRPr="00665DCD">
        <w:fldChar w:fldCharType="begin"/>
      </w:r>
      <w:r w:rsidRPr="00665DCD">
        <w:instrText xml:space="preserve"> REF _Ref40090814 \h </w:instrText>
      </w:r>
      <w:r>
        <w:instrText xml:space="preserve"> \* MERGEFORMAT </w:instrText>
      </w:r>
      <w:r w:rsidRPr="00665DCD">
        <w:fldChar w:fldCharType="separate"/>
      </w:r>
      <w:r w:rsidR="00277F6E" w:rsidRPr="00277F6E">
        <w:t>Table 7</w:t>
      </w:r>
      <w:r w:rsidR="00277F6E" w:rsidRPr="00277F6E">
        <w:noBreakHyphen/>
        <w:t>26</w:t>
      </w:r>
      <w:r w:rsidRPr="00665DCD">
        <w:fldChar w:fldCharType="end"/>
      </w:r>
      <w:r>
        <w:t xml:space="preserve"> below. </w:t>
      </w:r>
    </w:p>
    <w:p w14:paraId="270BCD9C" w14:textId="002D187B" w:rsidR="0097455B" w:rsidRDefault="0097455B" w:rsidP="007620AA">
      <w:pPr>
        <w:pStyle w:val="Caption"/>
        <w:keepNext/>
        <w:spacing w:after="60"/>
        <w:rPr>
          <w:b/>
          <w:i w:val="0"/>
        </w:rPr>
      </w:pPr>
      <w:bookmarkStart w:id="875" w:name="_Ref39755396"/>
      <w:bookmarkStart w:id="876" w:name="_Ref40090814"/>
      <w:bookmarkStart w:id="877" w:name="_Ref35875096"/>
      <w:bookmarkStart w:id="878" w:name="_Toc44437398"/>
      <w:bookmarkStart w:id="879" w:name="_Toc44597469"/>
      <w:bookmarkStart w:id="880" w:name="_Toc44597533"/>
      <w:bookmarkStart w:id="881" w:name="_Toc44600103"/>
      <w:bookmarkStart w:id="882" w:name="_Toc44600558"/>
      <w:bookmarkStart w:id="883" w:name="_Toc44600725"/>
      <w:bookmarkStart w:id="884" w:name="_Toc44601222"/>
      <w:bookmarkStart w:id="885" w:name="_Toc44601275"/>
      <w:bookmarkStart w:id="886" w:name="_Toc44603423"/>
      <w:bookmarkStart w:id="887" w:name="_Toc45704471"/>
      <w:r w:rsidRPr="00665DCD">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26</w:t>
      </w:r>
      <w:r w:rsidR="00D2483C">
        <w:rPr>
          <w:b/>
          <w:i w:val="0"/>
        </w:rPr>
        <w:fldChar w:fldCharType="end"/>
      </w:r>
      <w:bookmarkEnd w:id="875"/>
      <w:bookmarkEnd w:id="876"/>
      <w:r w:rsidRPr="00665DCD">
        <w:rPr>
          <w:b/>
          <w:i w:val="0"/>
        </w:rPr>
        <w:t xml:space="preserve">: </w:t>
      </w:r>
      <w:r w:rsidRPr="007620AA">
        <w:rPr>
          <w:b/>
          <w:bCs/>
          <w:i w:val="0"/>
          <w:iCs w:val="0"/>
        </w:rPr>
        <w:t>NPV</w:t>
      </w:r>
      <w:r w:rsidRPr="00665DCD">
        <w:rPr>
          <w:b/>
          <w:i w:val="0"/>
        </w:rPr>
        <w:t xml:space="preserve"> and EAC for record keeping requirements</w:t>
      </w:r>
      <w:bookmarkEnd w:id="877"/>
      <w:bookmarkEnd w:id="878"/>
      <w:bookmarkEnd w:id="879"/>
      <w:bookmarkEnd w:id="880"/>
      <w:bookmarkEnd w:id="881"/>
      <w:bookmarkEnd w:id="882"/>
      <w:bookmarkEnd w:id="883"/>
      <w:bookmarkEnd w:id="884"/>
      <w:bookmarkEnd w:id="885"/>
      <w:bookmarkEnd w:id="886"/>
      <w:bookmarkEnd w:id="887"/>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7"/>
        <w:gridCol w:w="2369"/>
        <w:gridCol w:w="2369"/>
        <w:gridCol w:w="2370"/>
      </w:tblGrid>
      <w:tr w:rsidR="0097455B" w:rsidRPr="00616C9C" w14:paraId="4C277CCA" w14:textId="77777777" w:rsidTr="009303EB">
        <w:trPr>
          <w:cantSplit/>
          <w:trHeight w:val="288"/>
        </w:trPr>
        <w:tc>
          <w:tcPr>
            <w:tcW w:w="1948" w:type="dxa"/>
            <w:shd w:val="clear" w:color="auto" w:fill="D6ECED"/>
            <w:noWrap/>
            <w:hideMark/>
          </w:tcPr>
          <w:p w14:paraId="0ADBA7C0" w14:textId="77777777" w:rsidR="0097455B" w:rsidRPr="00722C18" w:rsidRDefault="0097455B" w:rsidP="009303EB">
            <w:pPr>
              <w:keepNext/>
              <w:spacing w:before="60" w:after="60"/>
              <w:jc w:val="center"/>
              <w:rPr>
                <w:rFonts w:eastAsia="Times New Roman" w:cstheme="minorHAnsi"/>
                <w:b/>
                <w:bCs/>
                <w:color w:val="000000"/>
                <w:sz w:val="18"/>
                <w:lang w:eastAsia="en-AU"/>
              </w:rPr>
            </w:pPr>
            <w:r>
              <w:rPr>
                <w:b/>
                <w:bCs/>
                <w:sz w:val="18"/>
              </w:rPr>
              <w:t>Option</w:t>
            </w:r>
          </w:p>
        </w:tc>
        <w:tc>
          <w:tcPr>
            <w:tcW w:w="2420" w:type="dxa"/>
            <w:shd w:val="clear" w:color="auto" w:fill="D6ECED"/>
          </w:tcPr>
          <w:p w14:paraId="27BF2E91" w14:textId="77777777" w:rsidR="0097455B" w:rsidRPr="00722C18" w:rsidRDefault="0097455B" w:rsidP="009303EB">
            <w:pPr>
              <w:keepNext/>
              <w:spacing w:before="60" w:after="60"/>
              <w:jc w:val="center"/>
              <w:rPr>
                <w:b/>
                <w:bCs/>
                <w:sz w:val="18"/>
              </w:rPr>
            </w:pPr>
            <w:r>
              <w:rPr>
                <w:b/>
                <w:bCs/>
                <w:sz w:val="18"/>
              </w:rPr>
              <w:t>Operators</w:t>
            </w:r>
          </w:p>
        </w:tc>
        <w:tc>
          <w:tcPr>
            <w:tcW w:w="2420" w:type="dxa"/>
            <w:shd w:val="clear" w:color="auto" w:fill="D6ECED"/>
          </w:tcPr>
          <w:p w14:paraId="6C6A44E5" w14:textId="77777777" w:rsidR="0097455B" w:rsidRDefault="0097455B" w:rsidP="009303EB">
            <w:pPr>
              <w:keepNext/>
              <w:spacing w:before="60" w:after="60"/>
              <w:jc w:val="center"/>
              <w:rPr>
                <w:b/>
                <w:bCs/>
                <w:sz w:val="18"/>
              </w:rPr>
            </w:pPr>
            <w:r>
              <w:rPr>
                <w:b/>
                <w:bCs/>
                <w:sz w:val="18"/>
              </w:rPr>
              <w:t>NPV</w:t>
            </w:r>
          </w:p>
        </w:tc>
        <w:tc>
          <w:tcPr>
            <w:tcW w:w="2421" w:type="dxa"/>
            <w:shd w:val="clear" w:color="auto" w:fill="D6ECED"/>
            <w:noWrap/>
            <w:hideMark/>
          </w:tcPr>
          <w:p w14:paraId="43E1E553" w14:textId="77777777" w:rsidR="0097455B" w:rsidRPr="00722C18" w:rsidRDefault="0097455B" w:rsidP="009303EB">
            <w:pPr>
              <w:keepNext/>
              <w:spacing w:before="60" w:after="60"/>
              <w:jc w:val="center"/>
              <w:rPr>
                <w:rFonts w:eastAsia="Times New Roman" w:cstheme="minorHAnsi"/>
                <w:b/>
                <w:bCs/>
                <w:color w:val="000000"/>
                <w:sz w:val="18"/>
                <w:lang w:eastAsia="en-AU"/>
              </w:rPr>
            </w:pPr>
            <w:r>
              <w:rPr>
                <w:b/>
                <w:bCs/>
                <w:sz w:val="18"/>
              </w:rPr>
              <w:t>EAC</w:t>
            </w:r>
          </w:p>
        </w:tc>
      </w:tr>
      <w:tr w:rsidR="0097455B" w:rsidRPr="00616C9C" w14:paraId="3C759FE9" w14:textId="77777777" w:rsidTr="009303EB">
        <w:trPr>
          <w:cantSplit/>
          <w:trHeight w:val="40"/>
        </w:trPr>
        <w:tc>
          <w:tcPr>
            <w:tcW w:w="1948" w:type="dxa"/>
            <w:tcBorders>
              <w:bottom w:val="dotted" w:sz="4" w:space="0" w:color="auto"/>
            </w:tcBorders>
            <w:shd w:val="clear" w:color="auto" w:fill="auto"/>
            <w:noWrap/>
            <w:vAlign w:val="center"/>
            <w:hideMark/>
          </w:tcPr>
          <w:p w14:paraId="21EB30D8" w14:textId="51705E21" w:rsidR="0097455B" w:rsidRPr="00722C18" w:rsidRDefault="0097455B" w:rsidP="009303EB">
            <w:pPr>
              <w:keepNext/>
              <w:spacing w:before="60" w:after="60"/>
              <w:jc w:val="center"/>
              <w:rPr>
                <w:rFonts w:eastAsia="Times New Roman" w:cstheme="minorHAnsi"/>
                <w:color w:val="000000"/>
                <w:sz w:val="18"/>
                <w:lang w:eastAsia="en-AU"/>
              </w:rPr>
            </w:pPr>
            <w:r>
              <w:rPr>
                <w:sz w:val="18"/>
              </w:rPr>
              <w:t>Option 1 (status quo)</w:t>
            </w:r>
          </w:p>
        </w:tc>
        <w:tc>
          <w:tcPr>
            <w:tcW w:w="2420" w:type="dxa"/>
            <w:tcBorders>
              <w:bottom w:val="dotted" w:sz="4" w:space="0" w:color="auto"/>
            </w:tcBorders>
          </w:tcPr>
          <w:p w14:paraId="56BD91AE" w14:textId="77777777" w:rsidR="0097455B" w:rsidRPr="00722C18" w:rsidRDefault="0097455B" w:rsidP="009303EB">
            <w:pPr>
              <w:keepNext/>
              <w:spacing w:before="60" w:after="60"/>
              <w:jc w:val="center"/>
              <w:rPr>
                <w:sz w:val="18"/>
              </w:rPr>
            </w:pPr>
            <w:r>
              <w:rPr>
                <w:sz w:val="18"/>
              </w:rPr>
              <w:t>Accredited operators</w:t>
            </w:r>
          </w:p>
        </w:tc>
        <w:tc>
          <w:tcPr>
            <w:tcW w:w="2420" w:type="dxa"/>
            <w:tcBorders>
              <w:bottom w:val="dotted" w:sz="4" w:space="0" w:color="auto"/>
            </w:tcBorders>
          </w:tcPr>
          <w:p w14:paraId="418A976D" w14:textId="2F81DA06" w:rsidR="0097455B" w:rsidRDefault="0097455B" w:rsidP="009303EB">
            <w:pPr>
              <w:keepNext/>
              <w:spacing w:before="60" w:after="60"/>
              <w:jc w:val="center"/>
              <w:rPr>
                <w:sz w:val="18"/>
              </w:rPr>
            </w:pPr>
            <w:r>
              <w:rPr>
                <w:sz w:val="18"/>
              </w:rPr>
              <w:t>$4.</w:t>
            </w:r>
            <w:r w:rsidR="00637FAB">
              <w:rPr>
                <w:sz w:val="18"/>
              </w:rPr>
              <w:t>5</w:t>
            </w:r>
            <w:r>
              <w:rPr>
                <w:sz w:val="18"/>
              </w:rPr>
              <w:t>m</w:t>
            </w:r>
          </w:p>
        </w:tc>
        <w:tc>
          <w:tcPr>
            <w:tcW w:w="2421" w:type="dxa"/>
            <w:tcBorders>
              <w:bottom w:val="dotted" w:sz="4" w:space="0" w:color="auto"/>
            </w:tcBorders>
            <w:shd w:val="clear" w:color="auto" w:fill="auto"/>
            <w:noWrap/>
          </w:tcPr>
          <w:p w14:paraId="7CE01AEB" w14:textId="52FF60E3" w:rsidR="0097455B" w:rsidRPr="00722C18" w:rsidRDefault="0097455B"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$0.5</w:t>
            </w:r>
            <w:r w:rsidR="00637FAB">
              <w:rPr>
                <w:rFonts w:eastAsia="Times New Roman" w:cstheme="minorHAnsi"/>
                <w:color w:val="000000"/>
                <w:sz w:val="18"/>
                <w:lang w:eastAsia="en-AU"/>
              </w:rPr>
              <w:t>6</w:t>
            </w:r>
            <w:r>
              <w:rPr>
                <w:rFonts w:eastAsia="Times New Roman" w:cstheme="minorHAnsi"/>
                <w:color w:val="000000"/>
                <w:sz w:val="18"/>
                <w:lang w:eastAsia="en-AU"/>
              </w:rPr>
              <w:t>m</w:t>
            </w:r>
          </w:p>
        </w:tc>
      </w:tr>
      <w:tr w:rsidR="0097455B" w:rsidRPr="00616C9C" w14:paraId="6578BDC5" w14:textId="77777777" w:rsidTr="009303EB">
        <w:trPr>
          <w:cantSplit/>
          <w:trHeight w:val="40"/>
        </w:trPr>
        <w:tc>
          <w:tcPr>
            <w:tcW w:w="1948" w:type="dxa"/>
            <w:tcBorders>
              <w:top w:val="dotted" w:sz="4" w:space="0" w:color="auto"/>
            </w:tcBorders>
            <w:shd w:val="clear" w:color="auto" w:fill="auto"/>
            <w:noWrap/>
            <w:vAlign w:val="center"/>
          </w:tcPr>
          <w:p w14:paraId="07846EE9" w14:textId="77777777" w:rsidR="0097455B" w:rsidRDefault="0097455B" w:rsidP="009303EB">
            <w:pPr>
              <w:keepNext/>
              <w:spacing w:before="60" w:after="60"/>
              <w:jc w:val="center"/>
              <w:rPr>
                <w:sz w:val="18"/>
              </w:rPr>
            </w:pPr>
          </w:p>
        </w:tc>
        <w:tc>
          <w:tcPr>
            <w:tcW w:w="2420" w:type="dxa"/>
            <w:tcBorders>
              <w:top w:val="dotted" w:sz="4" w:space="0" w:color="auto"/>
            </w:tcBorders>
          </w:tcPr>
          <w:p w14:paraId="7E9F9C22" w14:textId="77777777" w:rsidR="0097455B" w:rsidRDefault="0097455B" w:rsidP="009303EB">
            <w:pPr>
              <w:keepNext/>
              <w:spacing w:before="60" w:after="60"/>
              <w:jc w:val="center"/>
              <w:rPr>
                <w:sz w:val="18"/>
              </w:rPr>
            </w:pPr>
            <w:r>
              <w:rPr>
                <w:sz w:val="18"/>
              </w:rPr>
              <w:t>Registered operators</w:t>
            </w:r>
          </w:p>
        </w:tc>
        <w:tc>
          <w:tcPr>
            <w:tcW w:w="2420" w:type="dxa"/>
            <w:tcBorders>
              <w:top w:val="dotted" w:sz="4" w:space="0" w:color="auto"/>
            </w:tcBorders>
          </w:tcPr>
          <w:p w14:paraId="4C35CD18" w14:textId="77777777" w:rsidR="0097455B" w:rsidRDefault="0097455B" w:rsidP="009303EB">
            <w:pPr>
              <w:keepNext/>
              <w:spacing w:before="60" w:after="60"/>
              <w:jc w:val="center"/>
              <w:rPr>
                <w:sz w:val="18"/>
              </w:rPr>
            </w:pPr>
            <w:r>
              <w:rPr>
                <w:sz w:val="18"/>
              </w:rPr>
              <w:t>$0.0m</w:t>
            </w:r>
          </w:p>
        </w:tc>
        <w:tc>
          <w:tcPr>
            <w:tcW w:w="2421" w:type="dxa"/>
            <w:tcBorders>
              <w:top w:val="dotted" w:sz="4" w:space="0" w:color="auto"/>
            </w:tcBorders>
            <w:shd w:val="clear" w:color="auto" w:fill="auto"/>
            <w:noWrap/>
          </w:tcPr>
          <w:p w14:paraId="4709FE97" w14:textId="77777777" w:rsidR="0097455B" w:rsidRPr="00722C18" w:rsidRDefault="0097455B" w:rsidP="009303EB">
            <w:pPr>
              <w:keepNext/>
              <w:spacing w:before="60" w:after="60"/>
              <w:jc w:val="center"/>
              <w:rPr>
                <w:rFonts w:eastAsia="Times New Roman" w:cstheme="minorHAnsi"/>
                <w:color w:val="000000"/>
                <w:sz w:val="18"/>
                <w:lang w:eastAsia="en-AU"/>
              </w:rPr>
            </w:pPr>
            <w:r>
              <w:rPr>
                <w:sz w:val="18"/>
              </w:rPr>
              <w:t>$0.0m</w:t>
            </w:r>
          </w:p>
        </w:tc>
      </w:tr>
      <w:tr w:rsidR="00DE633F" w:rsidRPr="00616C9C" w14:paraId="6EB472D0" w14:textId="77777777" w:rsidTr="009303EB">
        <w:trPr>
          <w:cantSplit/>
          <w:trHeight w:val="40"/>
        </w:trPr>
        <w:tc>
          <w:tcPr>
            <w:tcW w:w="1948" w:type="dxa"/>
            <w:tcBorders>
              <w:bottom w:val="dotted" w:sz="4" w:space="0" w:color="auto"/>
            </w:tcBorders>
            <w:shd w:val="clear" w:color="auto" w:fill="auto"/>
            <w:noWrap/>
            <w:vAlign w:val="center"/>
          </w:tcPr>
          <w:p w14:paraId="0B7F4D7F" w14:textId="6F373F3F" w:rsidR="00DE633F" w:rsidRDefault="00DE633F" w:rsidP="009303EB">
            <w:pPr>
              <w:keepNext/>
              <w:spacing w:before="60" w:after="60"/>
              <w:jc w:val="center"/>
              <w:rPr>
                <w:sz w:val="18"/>
              </w:rPr>
            </w:pPr>
            <w:r>
              <w:rPr>
                <w:sz w:val="18"/>
              </w:rPr>
              <w:t>Option 2</w:t>
            </w:r>
          </w:p>
        </w:tc>
        <w:tc>
          <w:tcPr>
            <w:tcW w:w="2420" w:type="dxa"/>
            <w:tcBorders>
              <w:top w:val="single" w:sz="4" w:space="0" w:color="D9D9D9" w:themeColor="background1" w:themeShade="D9"/>
              <w:bottom w:val="dotted" w:sz="4" w:space="0" w:color="auto"/>
            </w:tcBorders>
          </w:tcPr>
          <w:p w14:paraId="2DCCC373" w14:textId="4E01891B" w:rsidR="00DE633F" w:rsidRDefault="00DE633F" w:rsidP="009303EB">
            <w:pPr>
              <w:keepNext/>
              <w:spacing w:before="60" w:after="60"/>
              <w:jc w:val="center"/>
              <w:rPr>
                <w:sz w:val="18"/>
              </w:rPr>
            </w:pPr>
            <w:r>
              <w:rPr>
                <w:sz w:val="18"/>
              </w:rPr>
              <w:t>Accredited operators</w:t>
            </w:r>
          </w:p>
        </w:tc>
        <w:tc>
          <w:tcPr>
            <w:tcW w:w="2420" w:type="dxa"/>
            <w:tcBorders>
              <w:top w:val="single" w:sz="4" w:space="0" w:color="D9D9D9" w:themeColor="background1" w:themeShade="D9"/>
              <w:bottom w:val="dotted" w:sz="4" w:space="0" w:color="auto"/>
            </w:tcBorders>
          </w:tcPr>
          <w:p w14:paraId="2372E31A" w14:textId="2395E4E9" w:rsidR="00DE633F" w:rsidRDefault="00DE633F" w:rsidP="009303EB">
            <w:pPr>
              <w:keepNext/>
              <w:spacing w:before="60" w:after="60"/>
              <w:jc w:val="center"/>
              <w:rPr>
                <w:sz w:val="18"/>
              </w:rPr>
            </w:pPr>
            <w:r>
              <w:rPr>
                <w:sz w:val="18"/>
              </w:rPr>
              <w:t>$4.</w:t>
            </w:r>
            <w:r w:rsidR="00637FAB">
              <w:rPr>
                <w:sz w:val="18"/>
              </w:rPr>
              <w:t>5</w:t>
            </w:r>
            <w:r>
              <w:rPr>
                <w:sz w:val="18"/>
              </w:rPr>
              <w:t>m</w:t>
            </w:r>
          </w:p>
        </w:tc>
        <w:tc>
          <w:tcPr>
            <w:tcW w:w="2421" w:type="dxa"/>
            <w:tcBorders>
              <w:top w:val="single" w:sz="4" w:space="0" w:color="D9D9D9" w:themeColor="background1" w:themeShade="D9"/>
              <w:bottom w:val="dotted" w:sz="4" w:space="0" w:color="auto"/>
            </w:tcBorders>
            <w:shd w:val="clear" w:color="auto" w:fill="auto"/>
            <w:noWrap/>
          </w:tcPr>
          <w:p w14:paraId="097F2B80" w14:textId="46051608" w:rsidR="00DE633F" w:rsidRDefault="00DE633F" w:rsidP="009303EB">
            <w:pPr>
              <w:keepNext/>
              <w:spacing w:before="60" w:after="60"/>
              <w:jc w:val="center"/>
              <w:rPr>
                <w:sz w:val="18"/>
              </w:rPr>
            </w:pPr>
            <w:r>
              <w:rPr>
                <w:rFonts w:eastAsia="Times New Roman" w:cstheme="minorHAnsi"/>
                <w:color w:val="000000"/>
                <w:sz w:val="18"/>
                <w:lang w:eastAsia="en-AU"/>
              </w:rPr>
              <w:t>$0.5</w:t>
            </w:r>
            <w:r w:rsidR="00637FAB">
              <w:rPr>
                <w:rFonts w:eastAsia="Times New Roman" w:cstheme="minorHAnsi"/>
                <w:color w:val="000000"/>
                <w:sz w:val="18"/>
                <w:lang w:eastAsia="en-AU"/>
              </w:rPr>
              <w:t>6</w:t>
            </w:r>
            <w:r>
              <w:rPr>
                <w:rFonts w:eastAsia="Times New Roman" w:cstheme="minorHAnsi"/>
                <w:color w:val="000000"/>
                <w:sz w:val="18"/>
                <w:lang w:eastAsia="en-AU"/>
              </w:rPr>
              <w:t>m</w:t>
            </w:r>
          </w:p>
        </w:tc>
      </w:tr>
      <w:tr w:rsidR="00DE633F" w:rsidRPr="00616C9C" w14:paraId="1CE7DF56" w14:textId="77777777" w:rsidTr="009303EB">
        <w:trPr>
          <w:cantSplit/>
          <w:trHeight w:val="40"/>
        </w:trPr>
        <w:tc>
          <w:tcPr>
            <w:tcW w:w="1948" w:type="dxa"/>
            <w:tcBorders>
              <w:top w:val="dotted" w:sz="4" w:space="0" w:color="auto"/>
            </w:tcBorders>
            <w:shd w:val="clear" w:color="auto" w:fill="auto"/>
            <w:noWrap/>
          </w:tcPr>
          <w:p w14:paraId="1BA580F0" w14:textId="77777777" w:rsidR="00DE633F" w:rsidRDefault="00DE633F" w:rsidP="009303EB">
            <w:pPr>
              <w:keepNext/>
              <w:spacing w:before="60" w:after="60"/>
              <w:jc w:val="center"/>
              <w:rPr>
                <w:sz w:val="18"/>
              </w:rPr>
            </w:pPr>
          </w:p>
        </w:tc>
        <w:tc>
          <w:tcPr>
            <w:tcW w:w="2420" w:type="dxa"/>
            <w:tcBorders>
              <w:top w:val="dotted" w:sz="4" w:space="0" w:color="auto"/>
            </w:tcBorders>
          </w:tcPr>
          <w:p w14:paraId="375035E7" w14:textId="34520B81" w:rsidR="00DE633F" w:rsidRDefault="00DE633F" w:rsidP="009303EB">
            <w:pPr>
              <w:keepNext/>
              <w:spacing w:before="60" w:after="60"/>
              <w:jc w:val="center"/>
              <w:rPr>
                <w:sz w:val="18"/>
              </w:rPr>
            </w:pPr>
            <w:r>
              <w:rPr>
                <w:sz w:val="18"/>
              </w:rPr>
              <w:t>Registered operators</w:t>
            </w:r>
          </w:p>
        </w:tc>
        <w:tc>
          <w:tcPr>
            <w:tcW w:w="2420" w:type="dxa"/>
            <w:tcBorders>
              <w:top w:val="dotted" w:sz="4" w:space="0" w:color="auto"/>
            </w:tcBorders>
          </w:tcPr>
          <w:p w14:paraId="1B30BA09" w14:textId="487B721F" w:rsidR="00DE633F" w:rsidRDefault="00DE633F" w:rsidP="009303EB">
            <w:pPr>
              <w:keepNext/>
              <w:spacing w:before="60" w:after="60"/>
              <w:jc w:val="center"/>
              <w:rPr>
                <w:sz w:val="18"/>
              </w:rPr>
            </w:pPr>
            <w:r>
              <w:rPr>
                <w:sz w:val="18"/>
              </w:rPr>
              <w:t>$2.0</w:t>
            </w:r>
            <w:r w:rsidR="00C4722B">
              <w:rPr>
                <w:sz w:val="18"/>
              </w:rPr>
              <w:t xml:space="preserve"> to $4.</w:t>
            </w:r>
            <w:r w:rsidR="00637FAB">
              <w:rPr>
                <w:sz w:val="18"/>
              </w:rPr>
              <w:t>1</w:t>
            </w:r>
            <w:r>
              <w:rPr>
                <w:sz w:val="18"/>
              </w:rPr>
              <w:t>m</w:t>
            </w:r>
          </w:p>
        </w:tc>
        <w:tc>
          <w:tcPr>
            <w:tcW w:w="2421" w:type="dxa"/>
            <w:tcBorders>
              <w:top w:val="dotted" w:sz="4" w:space="0" w:color="auto"/>
            </w:tcBorders>
            <w:shd w:val="clear" w:color="auto" w:fill="auto"/>
            <w:noWrap/>
          </w:tcPr>
          <w:p w14:paraId="375D99F3" w14:textId="227BBF37" w:rsidR="00DE633F" w:rsidRDefault="00DE633F" w:rsidP="009303EB">
            <w:pPr>
              <w:keepNext/>
              <w:spacing w:before="60" w:after="60"/>
              <w:jc w:val="center"/>
              <w:rPr>
                <w:sz w:val="18"/>
              </w:rPr>
            </w:pPr>
            <w:r>
              <w:rPr>
                <w:sz w:val="18"/>
              </w:rPr>
              <w:t>$0.2</w:t>
            </w:r>
            <w:r w:rsidR="00637FAB">
              <w:rPr>
                <w:sz w:val="18"/>
              </w:rPr>
              <w:t>5</w:t>
            </w:r>
            <w:r w:rsidR="00C4722B">
              <w:rPr>
                <w:sz w:val="18"/>
              </w:rPr>
              <w:t xml:space="preserve"> to </w:t>
            </w:r>
            <w:r w:rsidR="00686AA8">
              <w:rPr>
                <w:sz w:val="18"/>
              </w:rPr>
              <w:t>$</w:t>
            </w:r>
            <w:r w:rsidR="00C4722B">
              <w:rPr>
                <w:sz w:val="18"/>
              </w:rPr>
              <w:t>0.</w:t>
            </w:r>
            <w:r w:rsidR="00C54328">
              <w:rPr>
                <w:sz w:val="18"/>
              </w:rPr>
              <w:t>5</w:t>
            </w:r>
            <w:r>
              <w:rPr>
                <w:sz w:val="18"/>
              </w:rPr>
              <w:t>m</w:t>
            </w:r>
          </w:p>
        </w:tc>
      </w:tr>
      <w:tr w:rsidR="00DE633F" w:rsidRPr="00616C9C" w14:paraId="1F10E072" w14:textId="77777777" w:rsidTr="009303EB">
        <w:trPr>
          <w:cantSplit/>
          <w:trHeight w:val="40"/>
        </w:trPr>
        <w:tc>
          <w:tcPr>
            <w:tcW w:w="1948" w:type="dxa"/>
            <w:tcBorders>
              <w:bottom w:val="dotted" w:sz="4" w:space="0" w:color="auto"/>
            </w:tcBorders>
            <w:shd w:val="clear" w:color="auto" w:fill="auto"/>
            <w:noWrap/>
            <w:vAlign w:val="center"/>
            <w:hideMark/>
          </w:tcPr>
          <w:p w14:paraId="64152361" w14:textId="1810A0F6" w:rsidR="00DE633F" w:rsidRPr="00722C18" w:rsidRDefault="00DE633F" w:rsidP="009303EB">
            <w:pPr>
              <w:keepNext/>
              <w:spacing w:before="60" w:after="60"/>
              <w:jc w:val="center"/>
              <w:rPr>
                <w:rFonts w:eastAsia="Times New Roman" w:cstheme="minorHAnsi"/>
                <w:color w:val="000000"/>
                <w:sz w:val="18"/>
                <w:lang w:eastAsia="en-AU"/>
              </w:rPr>
            </w:pPr>
            <w:r>
              <w:rPr>
                <w:sz w:val="18"/>
              </w:rPr>
              <w:t>Option 3</w:t>
            </w:r>
          </w:p>
        </w:tc>
        <w:tc>
          <w:tcPr>
            <w:tcW w:w="2420" w:type="dxa"/>
            <w:tcBorders>
              <w:bottom w:val="dotted" w:sz="4" w:space="0" w:color="auto"/>
            </w:tcBorders>
          </w:tcPr>
          <w:p w14:paraId="19FB20E6" w14:textId="77777777" w:rsidR="00DE633F" w:rsidRPr="00722C18" w:rsidRDefault="00DE633F" w:rsidP="009303EB">
            <w:pPr>
              <w:keepNext/>
              <w:spacing w:before="60" w:after="60"/>
              <w:jc w:val="center"/>
              <w:rPr>
                <w:sz w:val="18"/>
              </w:rPr>
            </w:pPr>
            <w:r>
              <w:rPr>
                <w:sz w:val="18"/>
              </w:rPr>
              <w:t>Accredited operators</w:t>
            </w:r>
          </w:p>
        </w:tc>
        <w:tc>
          <w:tcPr>
            <w:tcW w:w="2420" w:type="dxa"/>
            <w:tcBorders>
              <w:bottom w:val="dotted" w:sz="4" w:space="0" w:color="auto"/>
            </w:tcBorders>
          </w:tcPr>
          <w:p w14:paraId="5229D72B" w14:textId="42D5E0EF" w:rsidR="00DE633F" w:rsidRDefault="00DE633F" w:rsidP="009303EB">
            <w:pPr>
              <w:keepNext/>
              <w:spacing w:before="60" w:after="60"/>
              <w:jc w:val="center"/>
              <w:rPr>
                <w:sz w:val="18"/>
              </w:rPr>
            </w:pPr>
            <w:r>
              <w:rPr>
                <w:sz w:val="18"/>
              </w:rPr>
              <w:t>$4.</w:t>
            </w:r>
            <w:r w:rsidR="00637FAB">
              <w:rPr>
                <w:sz w:val="18"/>
              </w:rPr>
              <w:t>5</w:t>
            </w:r>
            <w:r>
              <w:rPr>
                <w:sz w:val="18"/>
              </w:rPr>
              <w:t>m</w:t>
            </w:r>
          </w:p>
        </w:tc>
        <w:tc>
          <w:tcPr>
            <w:tcW w:w="2421" w:type="dxa"/>
            <w:tcBorders>
              <w:bottom w:val="dotted" w:sz="4" w:space="0" w:color="auto"/>
            </w:tcBorders>
            <w:shd w:val="clear" w:color="auto" w:fill="auto"/>
            <w:noWrap/>
          </w:tcPr>
          <w:p w14:paraId="2A306EA1" w14:textId="48429DDA" w:rsidR="00DE633F" w:rsidRPr="00923603" w:rsidRDefault="00DE633F" w:rsidP="009303EB">
            <w:pPr>
              <w:keepNext/>
              <w:spacing w:before="60" w:after="60"/>
              <w:jc w:val="center"/>
              <w:rPr>
                <w:sz w:val="18"/>
              </w:rPr>
            </w:pPr>
            <w:r>
              <w:rPr>
                <w:rFonts w:eastAsia="Times New Roman" w:cstheme="minorHAnsi"/>
                <w:color w:val="000000"/>
                <w:sz w:val="18"/>
                <w:lang w:eastAsia="en-AU"/>
              </w:rPr>
              <w:t>$0.5</w:t>
            </w:r>
            <w:r w:rsidR="00637FAB">
              <w:rPr>
                <w:rFonts w:eastAsia="Times New Roman" w:cstheme="minorHAnsi"/>
                <w:color w:val="000000"/>
                <w:sz w:val="18"/>
                <w:lang w:eastAsia="en-AU"/>
              </w:rPr>
              <w:t>6</w:t>
            </w:r>
            <w:r>
              <w:rPr>
                <w:rFonts w:eastAsia="Times New Roman" w:cstheme="minorHAnsi"/>
                <w:color w:val="000000"/>
                <w:sz w:val="18"/>
                <w:lang w:eastAsia="en-AU"/>
              </w:rPr>
              <w:t>m</w:t>
            </w:r>
          </w:p>
        </w:tc>
      </w:tr>
      <w:tr w:rsidR="00DE633F" w:rsidRPr="00616C9C" w14:paraId="48F0BAAE" w14:textId="77777777" w:rsidTr="009303EB">
        <w:trPr>
          <w:cantSplit/>
          <w:trHeight w:val="255"/>
        </w:trPr>
        <w:tc>
          <w:tcPr>
            <w:tcW w:w="1948" w:type="dxa"/>
            <w:tcBorders>
              <w:top w:val="dotted" w:sz="4" w:space="0" w:color="auto"/>
            </w:tcBorders>
            <w:shd w:val="clear" w:color="auto" w:fill="auto"/>
            <w:noWrap/>
            <w:vAlign w:val="center"/>
          </w:tcPr>
          <w:p w14:paraId="657F339A" w14:textId="77777777" w:rsidR="00DE633F" w:rsidRPr="00722C18" w:rsidDel="00D306BA" w:rsidRDefault="00DE633F" w:rsidP="009303EB">
            <w:pPr>
              <w:keepNext/>
              <w:spacing w:before="60" w:after="60"/>
              <w:jc w:val="center"/>
              <w:rPr>
                <w:sz w:val="18"/>
              </w:rPr>
            </w:pPr>
          </w:p>
        </w:tc>
        <w:tc>
          <w:tcPr>
            <w:tcW w:w="2420" w:type="dxa"/>
            <w:tcBorders>
              <w:top w:val="dotted" w:sz="4" w:space="0" w:color="auto"/>
            </w:tcBorders>
          </w:tcPr>
          <w:p w14:paraId="5BEB9201" w14:textId="77777777" w:rsidR="00DE633F" w:rsidRDefault="00DE633F" w:rsidP="009303EB">
            <w:pPr>
              <w:keepNext/>
              <w:spacing w:before="60" w:after="60"/>
              <w:jc w:val="center"/>
              <w:rPr>
                <w:sz w:val="18"/>
              </w:rPr>
            </w:pPr>
            <w:r>
              <w:rPr>
                <w:sz w:val="18"/>
              </w:rPr>
              <w:t>Registered operators</w:t>
            </w:r>
          </w:p>
        </w:tc>
        <w:tc>
          <w:tcPr>
            <w:tcW w:w="2420" w:type="dxa"/>
            <w:tcBorders>
              <w:top w:val="dotted" w:sz="4" w:space="0" w:color="auto"/>
            </w:tcBorders>
          </w:tcPr>
          <w:p w14:paraId="774D2240" w14:textId="354BAE35" w:rsidR="00DE633F" w:rsidRDefault="00357E52" w:rsidP="009303EB">
            <w:pPr>
              <w:keepNext/>
              <w:spacing w:before="60" w:after="60"/>
              <w:jc w:val="center"/>
              <w:rPr>
                <w:sz w:val="18"/>
              </w:rPr>
            </w:pPr>
            <w:r>
              <w:rPr>
                <w:sz w:val="18"/>
              </w:rPr>
              <w:t>$</w:t>
            </w:r>
            <w:r w:rsidR="00637FAB">
              <w:rPr>
                <w:sz w:val="18"/>
              </w:rPr>
              <w:t>12.4</w:t>
            </w:r>
            <w:r>
              <w:rPr>
                <w:sz w:val="18"/>
              </w:rPr>
              <w:t>m to $</w:t>
            </w:r>
            <w:r w:rsidR="00637FAB">
              <w:rPr>
                <w:sz w:val="18"/>
              </w:rPr>
              <w:t>16.5</w:t>
            </w:r>
            <w:r>
              <w:rPr>
                <w:sz w:val="18"/>
              </w:rPr>
              <w:t>m</w:t>
            </w:r>
            <w:r w:rsidDel="00357E52">
              <w:rPr>
                <w:sz w:val="18"/>
              </w:rPr>
              <w:t xml:space="preserve"> </w:t>
            </w:r>
          </w:p>
        </w:tc>
        <w:tc>
          <w:tcPr>
            <w:tcW w:w="2421" w:type="dxa"/>
            <w:tcBorders>
              <w:top w:val="dotted" w:sz="4" w:space="0" w:color="auto"/>
            </w:tcBorders>
            <w:shd w:val="clear" w:color="auto" w:fill="auto"/>
            <w:noWrap/>
          </w:tcPr>
          <w:p w14:paraId="6527F50C" w14:textId="4CE1A0A7" w:rsidR="00DE633F" w:rsidRDefault="00FD6F66" w:rsidP="009303EB">
            <w:pPr>
              <w:keepNext/>
              <w:spacing w:before="60" w:after="60"/>
              <w:jc w:val="center"/>
              <w:rPr>
                <w:sz w:val="18"/>
              </w:rPr>
            </w:pPr>
            <w:r>
              <w:rPr>
                <w:sz w:val="18"/>
              </w:rPr>
              <w:t>$1.5m to $2.0</w:t>
            </w:r>
            <w:r w:rsidR="00F02B8B">
              <w:rPr>
                <w:sz w:val="18"/>
              </w:rPr>
              <w:t>m</w:t>
            </w:r>
          </w:p>
        </w:tc>
      </w:tr>
    </w:tbl>
    <w:p w14:paraId="457B93C0" w14:textId="3D7CD2BA" w:rsidR="0097455B" w:rsidRDefault="00034BE3" w:rsidP="00255BE9">
      <w:r>
        <w:fldChar w:fldCharType="begin"/>
      </w:r>
      <w:r>
        <w:instrText xml:space="preserve"> REF _Ref42008671 \h  \* MERGEFORMAT </w:instrText>
      </w:r>
      <w:r>
        <w:fldChar w:fldCharType="separate"/>
      </w:r>
      <w:r w:rsidR="00277F6E" w:rsidRPr="00277F6E">
        <w:t>Table 7</w:t>
      </w:r>
      <w:r w:rsidR="00277F6E" w:rsidRPr="00277F6E">
        <w:noBreakHyphen/>
        <w:t>27</w:t>
      </w:r>
      <w:r>
        <w:fldChar w:fldCharType="end"/>
      </w:r>
      <w:r>
        <w:t xml:space="preserve"> </w:t>
      </w:r>
      <w:r w:rsidR="00D83745" w:rsidRPr="00134935">
        <w:t xml:space="preserve">shows a comparison of the total 10-year NPV and EAC under each option. </w:t>
      </w:r>
    </w:p>
    <w:p w14:paraId="6CCF7F43" w14:textId="694F2703" w:rsidR="00D83745" w:rsidRPr="00641A9B" w:rsidRDefault="00D83745" w:rsidP="007620AA">
      <w:pPr>
        <w:pStyle w:val="Caption"/>
        <w:keepNext/>
        <w:spacing w:after="60"/>
        <w:rPr>
          <w:b/>
          <w:i w:val="0"/>
        </w:rPr>
      </w:pPr>
      <w:bookmarkStart w:id="888" w:name="_Ref42008671"/>
      <w:bookmarkStart w:id="889" w:name="_Toc44437399"/>
      <w:bookmarkStart w:id="890" w:name="_Toc44597470"/>
      <w:bookmarkStart w:id="891" w:name="_Toc44597534"/>
      <w:bookmarkStart w:id="892" w:name="_Toc44600104"/>
      <w:bookmarkStart w:id="893" w:name="_Toc44600559"/>
      <w:bookmarkStart w:id="894" w:name="_Toc44600726"/>
      <w:bookmarkStart w:id="895" w:name="_Toc44601223"/>
      <w:bookmarkStart w:id="896" w:name="_Toc44601276"/>
      <w:bookmarkStart w:id="897" w:name="_Toc44603424"/>
      <w:bookmarkStart w:id="898" w:name="_Toc45704472"/>
      <w:r w:rsidRPr="00641A9B">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27</w:t>
      </w:r>
      <w:r w:rsidR="00D2483C">
        <w:rPr>
          <w:b/>
          <w:i w:val="0"/>
        </w:rPr>
        <w:fldChar w:fldCharType="end"/>
      </w:r>
      <w:bookmarkEnd w:id="888"/>
      <w:r w:rsidRPr="00641A9B">
        <w:rPr>
          <w:b/>
          <w:i w:val="0"/>
        </w:rPr>
        <w:t xml:space="preserve">: </w:t>
      </w:r>
      <w:r w:rsidRPr="007620AA">
        <w:rPr>
          <w:b/>
          <w:bCs/>
          <w:i w:val="0"/>
          <w:iCs w:val="0"/>
        </w:rPr>
        <w:t>Comparison</w:t>
      </w:r>
      <w:r w:rsidRPr="00641A9B">
        <w:rPr>
          <w:b/>
          <w:i w:val="0"/>
        </w:rPr>
        <w:t xml:space="preserve"> of estimated costs </w:t>
      </w:r>
      <w:r w:rsidR="00564024">
        <w:rPr>
          <w:b/>
          <w:i w:val="0"/>
        </w:rPr>
        <w:t>for record</w:t>
      </w:r>
      <w:r w:rsidR="00FD6758">
        <w:rPr>
          <w:b/>
          <w:i w:val="0"/>
        </w:rPr>
        <w:t xml:space="preserve"> keepi</w:t>
      </w:r>
      <w:r w:rsidR="00D979DA">
        <w:rPr>
          <w:b/>
          <w:i w:val="0"/>
        </w:rPr>
        <w:t>ng</w:t>
      </w:r>
      <w:r w:rsidR="00564024" w:rsidRPr="00641A9B">
        <w:rPr>
          <w:b/>
          <w:i w:val="0"/>
        </w:rPr>
        <w:t xml:space="preserve"> </w:t>
      </w:r>
      <w:r w:rsidRPr="00641A9B">
        <w:rPr>
          <w:b/>
          <w:i w:val="0"/>
        </w:rPr>
        <w:t>options</w:t>
      </w:r>
      <w:bookmarkEnd w:id="889"/>
      <w:bookmarkEnd w:id="890"/>
      <w:bookmarkEnd w:id="891"/>
      <w:bookmarkEnd w:id="892"/>
      <w:bookmarkEnd w:id="893"/>
      <w:bookmarkEnd w:id="894"/>
      <w:bookmarkEnd w:id="895"/>
      <w:bookmarkEnd w:id="896"/>
      <w:bookmarkEnd w:id="897"/>
      <w:bookmarkEnd w:id="898"/>
    </w:p>
    <w:tbl>
      <w:tblPr>
        <w:tblW w:w="6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0"/>
        <w:gridCol w:w="2231"/>
        <w:gridCol w:w="2230"/>
      </w:tblGrid>
      <w:tr w:rsidR="00D83745" w:rsidRPr="00117CB8" w14:paraId="328D7267" w14:textId="77777777" w:rsidTr="009303EB">
        <w:trPr>
          <w:cantSplit/>
          <w:trHeight w:val="288"/>
        </w:trPr>
        <w:tc>
          <w:tcPr>
            <w:tcW w:w="1912" w:type="dxa"/>
            <w:shd w:val="clear" w:color="auto" w:fill="D6ECED"/>
            <w:noWrap/>
            <w:vAlign w:val="bottom"/>
            <w:hideMark/>
          </w:tcPr>
          <w:p w14:paraId="6F521078" w14:textId="77777777" w:rsidR="00D83745" w:rsidRPr="00117CB8" w:rsidRDefault="00D83745" w:rsidP="009303EB">
            <w:pPr>
              <w:keepNext/>
              <w:spacing w:before="60" w:after="60"/>
              <w:jc w:val="center"/>
              <w:rPr>
                <w:rFonts w:eastAsia="Times New Roman" w:cstheme="minorHAnsi"/>
                <w:b/>
                <w:bCs/>
                <w:color w:val="000000"/>
                <w:sz w:val="18"/>
                <w:lang w:eastAsia="en-AU"/>
              </w:rPr>
            </w:pPr>
            <w:r>
              <w:rPr>
                <w:b/>
                <w:bCs/>
                <w:sz w:val="18"/>
              </w:rPr>
              <w:t>Option</w:t>
            </w:r>
          </w:p>
        </w:tc>
        <w:tc>
          <w:tcPr>
            <w:tcW w:w="1913" w:type="dxa"/>
            <w:shd w:val="clear" w:color="auto" w:fill="D6ECED"/>
            <w:noWrap/>
            <w:hideMark/>
          </w:tcPr>
          <w:p w14:paraId="3A4EB16C" w14:textId="77777777" w:rsidR="00D83745" w:rsidRPr="00117CB8" w:rsidRDefault="00D83745" w:rsidP="009303EB">
            <w:pPr>
              <w:keepNext/>
              <w:spacing w:before="60" w:after="60"/>
              <w:jc w:val="center"/>
              <w:rPr>
                <w:rFonts w:eastAsia="Times New Roman" w:cstheme="minorHAnsi"/>
                <w:b/>
                <w:bCs/>
                <w:color w:val="000000"/>
                <w:sz w:val="18"/>
                <w:lang w:eastAsia="en-AU"/>
              </w:rPr>
            </w:pPr>
            <w:r>
              <w:rPr>
                <w:b/>
                <w:bCs/>
                <w:sz w:val="18"/>
              </w:rPr>
              <w:t>NPV</w:t>
            </w:r>
          </w:p>
        </w:tc>
        <w:tc>
          <w:tcPr>
            <w:tcW w:w="1912" w:type="dxa"/>
            <w:shd w:val="clear" w:color="auto" w:fill="D6ECED"/>
            <w:noWrap/>
            <w:hideMark/>
          </w:tcPr>
          <w:p w14:paraId="77F95060" w14:textId="77777777" w:rsidR="00D83745" w:rsidRPr="00117CB8" w:rsidRDefault="00D83745" w:rsidP="009303EB">
            <w:pPr>
              <w:keepNext/>
              <w:spacing w:before="60" w:after="60"/>
              <w:jc w:val="center"/>
              <w:rPr>
                <w:rFonts w:eastAsia="Times New Roman" w:cstheme="minorHAnsi"/>
                <w:b/>
                <w:bCs/>
                <w:color w:val="000000"/>
                <w:sz w:val="18"/>
                <w:lang w:eastAsia="en-AU"/>
              </w:rPr>
            </w:pPr>
            <w:r>
              <w:rPr>
                <w:b/>
                <w:bCs/>
                <w:sz w:val="18"/>
              </w:rPr>
              <w:t>EAC</w:t>
            </w:r>
          </w:p>
        </w:tc>
      </w:tr>
      <w:tr w:rsidR="00D83745" w:rsidRPr="00117CB8" w14:paraId="66931BDA" w14:textId="77777777" w:rsidTr="009303EB">
        <w:trPr>
          <w:cantSplit/>
          <w:trHeight w:val="288"/>
        </w:trPr>
        <w:tc>
          <w:tcPr>
            <w:tcW w:w="1912" w:type="dxa"/>
            <w:shd w:val="clear" w:color="auto" w:fill="auto"/>
            <w:noWrap/>
            <w:hideMark/>
          </w:tcPr>
          <w:p w14:paraId="776AB940" w14:textId="5405EBD9" w:rsidR="00D83745" w:rsidRPr="00117CB8" w:rsidRDefault="00D83745" w:rsidP="009303EB">
            <w:pPr>
              <w:keepNext/>
              <w:spacing w:before="60" w:after="60"/>
              <w:jc w:val="center"/>
              <w:rPr>
                <w:rFonts w:eastAsia="Times New Roman" w:cstheme="minorHAnsi"/>
                <w:color w:val="000000"/>
                <w:sz w:val="18"/>
                <w:lang w:eastAsia="en-AU"/>
              </w:rPr>
            </w:pPr>
            <w:r>
              <w:rPr>
                <w:sz w:val="18"/>
              </w:rPr>
              <w:t>Option 1</w:t>
            </w:r>
            <w:r w:rsidR="00795FD2">
              <w:rPr>
                <w:sz w:val="18"/>
              </w:rPr>
              <w:t xml:space="preserve"> (status quo)</w:t>
            </w:r>
          </w:p>
        </w:tc>
        <w:tc>
          <w:tcPr>
            <w:tcW w:w="1913" w:type="dxa"/>
            <w:shd w:val="clear" w:color="auto" w:fill="auto"/>
            <w:noWrap/>
          </w:tcPr>
          <w:p w14:paraId="5451B24D" w14:textId="172ACB5A" w:rsidR="00D83745" w:rsidRPr="00117CB8" w:rsidRDefault="00D83745"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$4.</w:t>
            </w:r>
            <w:r w:rsidR="007C3743">
              <w:rPr>
                <w:rFonts w:eastAsia="Times New Roman" w:cstheme="minorHAnsi"/>
                <w:color w:val="000000"/>
                <w:sz w:val="18"/>
                <w:lang w:eastAsia="en-AU"/>
              </w:rPr>
              <w:t>5</w:t>
            </w:r>
            <w:r>
              <w:rPr>
                <w:rFonts w:eastAsia="Times New Roman" w:cstheme="minorHAnsi"/>
                <w:color w:val="000000"/>
                <w:sz w:val="18"/>
                <w:lang w:eastAsia="en-AU"/>
              </w:rPr>
              <w:t>m</w:t>
            </w:r>
          </w:p>
        </w:tc>
        <w:tc>
          <w:tcPr>
            <w:tcW w:w="1912" w:type="dxa"/>
            <w:shd w:val="clear" w:color="auto" w:fill="auto"/>
            <w:noWrap/>
          </w:tcPr>
          <w:p w14:paraId="5D321D18" w14:textId="1FD00069" w:rsidR="00D83745" w:rsidRPr="00117CB8" w:rsidRDefault="00D83745"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$0.5</w:t>
            </w:r>
            <w:r w:rsidR="007C3743">
              <w:rPr>
                <w:rFonts w:eastAsia="Times New Roman" w:cstheme="minorHAnsi"/>
                <w:color w:val="000000"/>
                <w:sz w:val="18"/>
                <w:lang w:eastAsia="en-AU"/>
              </w:rPr>
              <w:t>6</w:t>
            </w:r>
            <w:r>
              <w:rPr>
                <w:rFonts w:eastAsia="Times New Roman" w:cstheme="minorHAnsi"/>
                <w:color w:val="000000"/>
                <w:sz w:val="18"/>
                <w:lang w:eastAsia="en-AU"/>
              </w:rPr>
              <w:t>m</w:t>
            </w:r>
          </w:p>
        </w:tc>
      </w:tr>
      <w:tr w:rsidR="00DE633F" w:rsidRPr="00117CB8" w14:paraId="11F03912" w14:textId="77777777" w:rsidTr="009303EB">
        <w:trPr>
          <w:cantSplit/>
          <w:trHeight w:val="288"/>
        </w:trPr>
        <w:tc>
          <w:tcPr>
            <w:tcW w:w="1912" w:type="dxa"/>
            <w:shd w:val="clear" w:color="auto" w:fill="auto"/>
            <w:noWrap/>
          </w:tcPr>
          <w:p w14:paraId="4C0A7E6B" w14:textId="07750F42" w:rsidR="00DE633F" w:rsidRDefault="00DE633F" w:rsidP="009303EB">
            <w:pPr>
              <w:keepNext/>
              <w:spacing w:before="60" w:after="60"/>
              <w:jc w:val="center"/>
              <w:rPr>
                <w:sz w:val="18"/>
              </w:rPr>
            </w:pPr>
            <w:r>
              <w:rPr>
                <w:sz w:val="18"/>
              </w:rPr>
              <w:t>Option 2</w:t>
            </w:r>
          </w:p>
        </w:tc>
        <w:tc>
          <w:tcPr>
            <w:tcW w:w="1913" w:type="dxa"/>
            <w:shd w:val="clear" w:color="auto" w:fill="auto"/>
            <w:noWrap/>
          </w:tcPr>
          <w:p w14:paraId="49A0A257" w14:textId="1420DD4E" w:rsidR="00DE633F" w:rsidRDefault="00DE633F"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$6.</w:t>
            </w:r>
            <w:r w:rsidR="007C3743">
              <w:rPr>
                <w:rFonts w:eastAsia="Times New Roman" w:cstheme="minorHAnsi"/>
                <w:color w:val="000000"/>
                <w:sz w:val="18"/>
                <w:lang w:eastAsia="en-AU"/>
              </w:rPr>
              <w:t>5</w:t>
            </w:r>
            <w:r>
              <w:rPr>
                <w:rFonts w:eastAsia="Times New Roman" w:cstheme="minorHAnsi"/>
                <w:color w:val="000000"/>
                <w:sz w:val="18"/>
                <w:lang w:eastAsia="en-AU"/>
              </w:rPr>
              <w:t>m</w:t>
            </w:r>
            <w:r w:rsidR="00686AA8">
              <w:rPr>
                <w:rFonts w:eastAsia="Times New Roman" w:cstheme="minorHAnsi"/>
                <w:color w:val="000000"/>
                <w:sz w:val="18"/>
                <w:lang w:eastAsia="en-AU"/>
              </w:rPr>
              <w:t xml:space="preserve"> to $8.</w:t>
            </w:r>
            <w:r w:rsidR="007C3743">
              <w:rPr>
                <w:rFonts w:eastAsia="Times New Roman" w:cstheme="minorHAnsi"/>
                <w:color w:val="000000"/>
                <w:sz w:val="18"/>
                <w:lang w:eastAsia="en-AU"/>
              </w:rPr>
              <w:t>6</w:t>
            </w:r>
            <w:r w:rsidR="00686AA8">
              <w:rPr>
                <w:rFonts w:eastAsia="Times New Roman" w:cstheme="minorHAnsi"/>
                <w:color w:val="000000"/>
                <w:sz w:val="18"/>
                <w:lang w:eastAsia="en-AU"/>
              </w:rPr>
              <w:t>m</w:t>
            </w:r>
          </w:p>
        </w:tc>
        <w:tc>
          <w:tcPr>
            <w:tcW w:w="1912" w:type="dxa"/>
            <w:shd w:val="clear" w:color="auto" w:fill="auto"/>
            <w:noWrap/>
          </w:tcPr>
          <w:p w14:paraId="3280CAC8" w14:textId="4BD6C0F8" w:rsidR="00DE633F" w:rsidRDefault="00DE633F"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$0.</w:t>
            </w:r>
            <w:r w:rsidR="007C3743">
              <w:rPr>
                <w:rFonts w:eastAsia="Times New Roman" w:cstheme="minorHAnsi"/>
                <w:color w:val="000000"/>
                <w:sz w:val="18"/>
                <w:lang w:eastAsia="en-AU"/>
              </w:rPr>
              <w:t>81</w:t>
            </w:r>
            <w:r w:rsidR="00BF4FFE">
              <w:rPr>
                <w:rFonts w:eastAsia="Times New Roman" w:cstheme="minorHAnsi"/>
                <w:color w:val="000000"/>
                <w:sz w:val="18"/>
                <w:lang w:eastAsia="en-AU"/>
              </w:rPr>
              <w:t>m</w:t>
            </w:r>
            <w:r w:rsidR="00686AA8">
              <w:rPr>
                <w:rFonts w:eastAsia="Times New Roman" w:cstheme="minorHAnsi"/>
                <w:color w:val="000000"/>
                <w:sz w:val="18"/>
                <w:lang w:eastAsia="en-AU"/>
              </w:rPr>
              <w:t xml:space="preserve"> to $1.0</w:t>
            </w:r>
            <w:r w:rsidR="007C3743">
              <w:rPr>
                <w:rFonts w:eastAsia="Times New Roman" w:cstheme="minorHAnsi"/>
                <w:color w:val="000000"/>
                <w:sz w:val="18"/>
                <w:lang w:eastAsia="en-AU"/>
              </w:rPr>
              <w:t>6</w:t>
            </w:r>
            <w:r>
              <w:rPr>
                <w:rFonts w:eastAsia="Times New Roman" w:cstheme="minorHAnsi"/>
                <w:color w:val="000000"/>
                <w:sz w:val="18"/>
                <w:lang w:eastAsia="en-AU"/>
              </w:rPr>
              <w:t>m</w:t>
            </w:r>
          </w:p>
        </w:tc>
      </w:tr>
      <w:tr w:rsidR="00DE633F" w:rsidRPr="00117CB8" w14:paraId="4BB4CF7B" w14:textId="77777777" w:rsidTr="009303EB">
        <w:trPr>
          <w:cantSplit/>
          <w:trHeight w:val="288"/>
        </w:trPr>
        <w:tc>
          <w:tcPr>
            <w:tcW w:w="1912" w:type="dxa"/>
            <w:shd w:val="clear" w:color="auto" w:fill="auto"/>
            <w:noWrap/>
            <w:hideMark/>
          </w:tcPr>
          <w:p w14:paraId="34A056E2" w14:textId="06DCFDD0" w:rsidR="00DE633F" w:rsidRPr="00117CB8" w:rsidRDefault="00DE633F" w:rsidP="009303EB">
            <w:pPr>
              <w:keepNext/>
              <w:spacing w:before="60" w:after="60"/>
              <w:jc w:val="center"/>
              <w:rPr>
                <w:rFonts w:eastAsia="Times New Roman" w:cstheme="minorHAnsi"/>
                <w:color w:val="000000"/>
                <w:sz w:val="18"/>
                <w:lang w:eastAsia="en-AU"/>
              </w:rPr>
            </w:pPr>
            <w:r>
              <w:rPr>
                <w:sz w:val="18"/>
              </w:rPr>
              <w:t>Option 3</w:t>
            </w:r>
          </w:p>
        </w:tc>
        <w:tc>
          <w:tcPr>
            <w:tcW w:w="1913" w:type="dxa"/>
            <w:shd w:val="clear" w:color="auto" w:fill="auto"/>
            <w:noWrap/>
          </w:tcPr>
          <w:p w14:paraId="0631EA08" w14:textId="3E2510C6" w:rsidR="00DE633F" w:rsidRPr="00117CB8" w:rsidRDefault="008910CB"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$16.</w:t>
            </w:r>
            <w:r w:rsidR="000A704F">
              <w:rPr>
                <w:rFonts w:eastAsia="Times New Roman" w:cstheme="minorHAnsi"/>
                <w:color w:val="000000"/>
                <w:sz w:val="18"/>
                <w:lang w:eastAsia="en-AU"/>
              </w:rPr>
              <w:t>9</w:t>
            </w:r>
            <w:r>
              <w:rPr>
                <w:rFonts w:eastAsia="Times New Roman" w:cstheme="minorHAnsi"/>
                <w:color w:val="000000"/>
                <w:sz w:val="18"/>
                <w:lang w:eastAsia="en-AU"/>
              </w:rPr>
              <w:t>m to $2</w:t>
            </w:r>
            <w:r w:rsidR="000A704F">
              <w:rPr>
                <w:rFonts w:eastAsia="Times New Roman" w:cstheme="minorHAnsi"/>
                <w:color w:val="000000"/>
                <w:sz w:val="18"/>
                <w:lang w:eastAsia="en-AU"/>
              </w:rPr>
              <w:t>1</w:t>
            </w:r>
            <w:r>
              <w:rPr>
                <w:rFonts w:eastAsia="Times New Roman" w:cstheme="minorHAnsi"/>
                <w:color w:val="000000"/>
                <w:sz w:val="18"/>
                <w:lang w:eastAsia="en-AU"/>
              </w:rPr>
              <w:t>m</w:t>
            </w:r>
            <w:r w:rsidDel="00140883">
              <w:rPr>
                <w:rFonts w:eastAsia="Times New Roman" w:cstheme="minorHAnsi"/>
                <w:color w:val="000000"/>
                <w:sz w:val="18"/>
                <w:lang w:eastAsia="en-AU"/>
              </w:rPr>
              <w:t xml:space="preserve"> </w:t>
            </w:r>
          </w:p>
        </w:tc>
        <w:tc>
          <w:tcPr>
            <w:tcW w:w="1912" w:type="dxa"/>
            <w:shd w:val="clear" w:color="auto" w:fill="auto"/>
            <w:noWrap/>
          </w:tcPr>
          <w:p w14:paraId="43EBE4C9" w14:textId="3881BAFE" w:rsidR="00DE633F" w:rsidRPr="00117CB8" w:rsidRDefault="00140883" w:rsidP="009303EB">
            <w:pPr>
              <w:keepNext/>
              <w:spacing w:before="60" w:after="60"/>
              <w:jc w:val="center"/>
              <w:rPr>
                <w:rFonts w:eastAsia="Times New Roman" w:cstheme="minorHAnsi"/>
                <w:color w:val="000000"/>
                <w:sz w:val="18"/>
                <w:lang w:eastAsia="en-AU"/>
              </w:rPr>
            </w:pPr>
            <w:r>
              <w:rPr>
                <w:rFonts w:eastAsia="Times New Roman" w:cstheme="minorHAnsi"/>
                <w:color w:val="000000"/>
                <w:sz w:val="18"/>
                <w:lang w:eastAsia="en-AU"/>
              </w:rPr>
              <w:t>$2</w:t>
            </w:r>
            <w:r w:rsidR="000A704F">
              <w:rPr>
                <w:rFonts w:eastAsia="Times New Roman" w:cstheme="minorHAnsi"/>
                <w:color w:val="000000"/>
                <w:sz w:val="18"/>
                <w:lang w:eastAsia="en-AU"/>
              </w:rPr>
              <w:t>.06</w:t>
            </w:r>
            <w:r>
              <w:rPr>
                <w:rFonts w:eastAsia="Times New Roman" w:cstheme="minorHAnsi"/>
                <w:color w:val="000000"/>
                <w:sz w:val="18"/>
                <w:lang w:eastAsia="en-AU"/>
              </w:rPr>
              <w:t>m to $2.5</w:t>
            </w:r>
            <w:r w:rsidR="000A704F">
              <w:rPr>
                <w:rFonts w:eastAsia="Times New Roman" w:cstheme="minorHAnsi"/>
                <w:color w:val="000000"/>
                <w:sz w:val="18"/>
                <w:lang w:eastAsia="en-AU"/>
              </w:rPr>
              <w:t>6</w:t>
            </w:r>
            <w:r>
              <w:rPr>
                <w:rFonts w:eastAsia="Times New Roman" w:cstheme="minorHAnsi"/>
                <w:color w:val="000000"/>
                <w:sz w:val="18"/>
                <w:lang w:eastAsia="en-AU"/>
              </w:rPr>
              <w:t>m</w:t>
            </w:r>
          </w:p>
        </w:tc>
      </w:tr>
    </w:tbl>
    <w:p w14:paraId="39B53246" w14:textId="77777777" w:rsidR="00D83745" w:rsidRDefault="00D83745" w:rsidP="00D83745">
      <w:r>
        <w:t>Notwithstanding the above costs, DoT considers that the compliance costs cannot be entirely attributable to the regulations. This largely reflects the fact that most of the records required to be kept would, in the absence of a regulatory requirement, already be kept as part of the management of any normally efficient bus service operation.</w:t>
      </w:r>
    </w:p>
    <w:p w14:paraId="77567906" w14:textId="77777777" w:rsidR="00D83745" w:rsidRPr="00B725FC" w:rsidRDefault="00D83745" w:rsidP="0095677C">
      <w:pPr>
        <w:pStyle w:val="Heading5"/>
      </w:pPr>
      <w:r w:rsidRPr="00B725FC">
        <w:t>Summary</w:t>
      </w:r>
    </w:p>
    <w:p w14:paraId="4B6DD3F7" w14:textId="04627CA5" w:rsidR="00D83745" w:rsidRDefault="00D83745" w:rsidP="00D83745">
      <w:r>
        <w:t xml:space="preserve">Based on the analysis, DoT considers that Option </w:t>
      </w:r>
      <w:r w:rsidR="00DE633F">
        <w:t>2</w:t>
      </w:r>
      <w:r>
        <w:t xml:space="preserve"> is the preferred option. That is, it is recommended that accredited bus operators be required to keep the full set of records and the registered bus operators be required to keep a limited set of records. Option </w:t>
      </w:r>
      <w:r w:rsidR="00580D4F">
        <w:t>2</w:t>
      </w:r>
      <w:r>
        <w:t xml:space="preserve"> achieves the objectives of improved compliance outcomes and minimises compliance costs on the industry.</w:t>
      </w:r>
    </w:p>
    <w:p w14:paraId="4F697D13" w14:textId="7BAC28F3" w:rsidR="00D83745" w:rsidRDefault="00831CEE" w:rsidP="00D83745">
      <w:pPr>
        <w:pStyle w:val="Heading2"/>
      </w:pPr>
      <w:bookmarkStart w:id="899" w:name="_Ref42010189"/>
      <w:bookmarkStart w:id="900" w:name="_Toc45704383"/>
      <w:r>
        <w:lastRenderedPageBreak/>
        <w:t>E</w:t>
      </w:r>
      <w:r w:rsidR="00D83745">
        <w:t>xemptions</w:t>
      </w:r>
      <w:bookmarkEnd w:id="899"/>
      <w:bookmarkEnd w:id="900"/>
    </w:p>
    <w:p w14:paraId="676749E2" w14:textId="2046265F" w:rsidR="00C54720" w:rsidRDefault="00D47441" w:rsidP="00D83745">
      <w:r>
        <w:t xml:space="preserve">This section considers the impacts of </w:t>
      </w:r>
      <w:r w:rsidR="00D83745">
        <w:t xml:space="preserve">regulations </w:t>
      </w:r>
      <w:r>
        <w:t xml:space="preserve">which </w:t>
      </w:r>
      <w:r w:rsidR="00D83745">
        <w:t>give TSV power to exempt bus operators from certain regulatory requirements</w:t>
      </w:r>
      <w:r w:rsidR="003F4EF2">
        <w:t xml:space="preserve"> based on considerations discussed in Section </w:t>
      </w:r>
      <w:r w:rsidR="003F4EF2">
        <w:fldChar w:fldCharType="begin"/>
      </w:r>
      <w:r w:rsidR="003F4EF2">
        <w:instrText xml:space="preserve"> REF _Ref42001737 \r \h </w:instrText>
      </w:r>
      <w:r w:rsidR="003F4EF2">
        <w:fldChar w:fldCharType="separate"/>
      </w:r>
      <w:r w:rsidR="00277F6E">
        <w:t>6.8</w:t>
      </w:r>
      <w:r w:rsidR="003F4EF2">
        <w:fldChar w:fldCharType="end"/>
      </w:r>
      <w:r w:rsidR="00D83745">
        <w:t>.</w:t>
      </w:r>
      <w:r w:rsidR="00B318C9">
        <w:t xml:space="preserve"> This is a continuation of the status quo. </w:t>
      </w:r>
      <w:r w:rsidR="00D83745">
        <w:t xml:space="preserve"> </w:t>
      </w:r>
    </w:p>
    <w:p w14:paraId="48E1718A" w14:textId="77777777" w:rsidR="00C54720" w:rsidRDefault="00C54720" w:rsidP="0095677C">
      <w:pPr>
        <w:pStyle w:val="Heading5"/>
      </w:pPr>
      <w:r>
        <w:t>Expected benefits</w:t>
      </w:r>
    </w:p>
    <w:p w14:paraId="1CF033A5" w14:textId="008A5CF0" w:rsidR="00D83745" w:rsidRDefault="00D83745" w:rsidP="00D83745">
      <w:r>
        <w:t>The purpose of regulatory exemptions is to reduce regulatory burden on bus operators where the operator:</w:t>
      </w:r>
    </w:p>
    <w:p w14:paraId="45FA1071" w14:textId="77777777" w:rsidR="00D83745" w:rsidRDefault="00D83745" w:rsidP="00842F5A">
      <w:pPr>
        <w:numPr>
          <w:ilvl w:val="0"/>
          <w:numId w:val="19"/>
        </w:numPr>
        <w:spacing w:before="0" w:after="0"/>
      </w:pPr>
      <w:r>
        <w:t>has substantially complied with legislative or regulatory requirements, or</w:t>
      </w:r>
    </w:p>
    <w:p w14:paraId="25558E2D" w14:textId="77777777" w:rsidR="00D83745" w:rsidRDefault="00D83745" w:rsidP="00842F5A">
      <w:pPr>
        <w:numPr>
          <w:ilvl w:val="0"/>
          <w:numId w:val="19"/>
        </w:numPr>
        <w:spacing w:before="0" w:after="0"/>
      </w:pPr>
      <w:r>
        <w:t>compliance with regulatory requirements is unreasonable given the circumstances of the bus operator.</w:t>
      </w:r>
    </w:p>
    <w:p w14:paraId="5E3C26FE" w14:textId="573559EA" w:rsidR="00D83745" w:rsidRDefault="00D83745" w:rsidP="00D83745">
      <w:r>
        <w:t xml:space="preserve">Therefore, the expected benefit of regulatory exemptions is </w:t>
      </w:r>
      <w:r w:rsidRPr="00AF07F5">
        <w:t xml:space="preserve">the </w:t>
      </w:r>
      <w:r>
        <w:t xml:space="preserve">avoided compliance </w:t>
      </w:r>
      <w:r w:rsidRPr="00AF07F5">
        <w:t xml:space="preserve">costs of </w:t>
      </w:r>
      <w:r>
        <w:t xml:space="preserve">the regulatory requirement being exempted. The regulatory requirements that are exempted will vary with each exemption granted and therefore the avoided compliance costs will also vary across bus operators. </w:t>
      </w:r>
    </w:p>
    <w:p w14:paraId="44B0C586" w14:textId="56E200BC" w:rsidR="00D83745" w:rsidRDefault="00D83745" w:rsidP="00D83745">
      <w:r>
        <w:t>However, it should be noted that the proposed exemption powers do not grant the operator the right to reduce the safety of the bus service. Bus operators continue to have general safety duties under the Bus Safety Act and therefore will still need to make sure the service they are operating complies with other applicable regulatory requirements.</w:t>
      </w:r>
    </w:p>
    <w:p w14:paraId="3743211C" w14:textId="7537D6F7" w:rsidR="00C71FAD" w:rsidRDefault="00CE47E5" w:rsidP="00D83745">
      <w:r>
        <w:t>Given the above considerations,</w:t>
      </w:r>
      <w:r w:rsidR="002C0FA4">
        <w:t xml:space="preserve"> and the fact that exemptions will only apply to a low number of operators who apply for </w:t>
      </w:r>
      <w:r w:rsidR="00DB695E">
        <w:t>an exem</w:t>
      </w:r>
      <w:r w:rsidR="0019550D">
        <w:t>ption</w:t>
      </w:r>
      <w:r w:rsidR="002C0FA4">
        <w:t>,</w:t>
      </w:r>
      <w:r>
        <w:t xml:space="preserve"> </w:t>
      </w:r>
      <w:r w:rsidR="002D6DBF">
        <w:t>providing for exemptions allows for a reduction in regulatory burden (</w:t>
      </w:r>
      <w:r w:rsidR="007120F4">
        <w:t>a</w:t>
      </w:r>
      <w:r w:rsidR="002D6DBF">
        <w:t xml:space="preserve"> benefit to the operator) </w:t>
      </w:r>
      <w:r w:rsidR="000914D6">
        <w:t xml:space="preserve">and </w:t>
      </w:r>
      <w:r w:rsidR="00AA2EA4">
        <w:t>will</w:t>
      </w:r>
      <w:r w:rsidR="002D6DBF">
        <w:t xml:space="preserve"> pos</w:t>
      </w:r>
      <w:r w:rsidR="008331A3">
        <w:t>e</w:t>
      </w:r>
      <w:r w:rsidR="002D6DBF">
        <w:t xml:space="preserve"> a </w:t>
      </w:r>
      <w:r w:rsidR="00AA2EA4">
        <w:t>negligible</w:t>
      </w:r>
      <w:r w:rsidR="002D6DBF">
        <w:t xml:space="preserve"> risk to </w:t>
      </w:r>
      <w:r w:rsidR="00BC1C13">
        <w:t xml:space="preserve">the </w:t>
      </w:r>
      <w:r w:rsidR="002D6DBF">
        <w:t>safety of bus services due to careful considerations of the general safety duties under the Bus Safety Act when gra</w:t>
      </w:r>
      <w:r w:rsidR="00B06787">
        <w:t>n</w:t>
      </w:r>
      <w:r w:rsidR="002D6DBF">
        <w:t>ting exemptions</w:t>
      </w:r>
      <w:r w:rsidR="00F12B4C">
        <w:t>.</w:t>
      </w:r>
    </w:p>
    <w:p w14:paraId="6D800BF6" w14:textId="3C62A5AD" w:rsidR="006F0147" w:rsidRDefault="006F0147" w:rsidP="0095677C">
      <w:pPr>
        <w:pStyle w:val="Heading5"/>
      </w:pPr>
      <w:r>
        <w:t>Expected costs</w:t>
      </w:r>
    </w:p>
    <w:p w14:paraId="4C968B0F" w14:textId="7407114E" w:rsidR="00D83745" w:rsidRDefault="00D83745" w:rsidP="00D83745">
      <w:r>
        <w:t xml:space="preserve">There are some costs associated with obtaining a regulatory exemption. The primary cost of obtaining a regulatory exemption is the administrative cost of applying for that exemption. As part of the application process, the applicant will need to provide basic details such as identifying information </w:t>
      </w:r>
      <w:r w:rsidR="009F1854">
        <w:t xml:space="preserve">relating to the operator </w:t>
      </w:r>
      <w:r>
        <w:t>and information about the regulatory exemption sought.</w:t>
      </w:r>
    </w:p>
    <w:p w14:paraId="46618F12" w14:textId="226A21EB" w:rsidR="00D83745" w:rsidRPr="001F5140" w:rsidRDefault="00D83745" w:rsidP="00D83745">
      <w:pPr>
        <w:rPr>
          <w:color w:val="auto"/>
          <w:szCs w:val="20"/>
        </w:rPr>
      </w:pPr>
      <w:r>
        <w:rPr>
          <w:color w:val="auto"/>
          <w:szCs w:val="20"/>
        </w:rPr>
        <w:t xml:space="preserve">Based on information provided by </w:t>
      </w:r>
      <w:r w:rsidRPr="001F5140">
        <w:rPr>
          <w:color w:val="auto"/>
          <w:szCs w:val="20"/>
        </w:rPr>
        <w:t>TSV</w:t>
      </w:r>
      <w:r>
        <w:rPr>
          <w:color w:val="auto"/>
          <w:szCs w:val="20"/>
        </w:rPr>
        <w:t>,</w:t>
      </w:r>
      <w:r w:rsidRPr="001F5140">
        <w:rPr>
          <w:color w:val="auto"/>
          <w:szCs w:val="20"/>
        </w:rPr>
        <w:t xml:space="preserve"> there have only been two exemptions granted</w:t>
      </w:r>
      <w:r>
        <w:rPr>
          <w:color w:val="auto"/>
          <w:szCs w:val="20"/>
        </w:rPr>
        <w:t xml:space="preserve"> to operators between </w:t>
      </w:r>
      <w:r w:rsidRPr="001F5140">
        <w:rPr>
          <w:color w:val="auto"/>
          <w:szCs w:val="20"/>
        </w:rPr>
        <w:t>2014 to 2019</w:t>
      </w:r>
      <w:r>
        <w:rPr>
          <w:color w:val="auto"/>
          <w:szCs w:val="20"/>
        </w:rPr>
        <w:t>. TSV granted</w:t>
      </w:r>
      <w:r w:rsidRPr="001F5140">
        <w:rPr>
          <w:color w:val="auto"/>
          <w:szCs w:val="20"/>
        </w:rPr>
        <w:t>:</w:t>
      </w:r>
    </w:p>
    <w:p w14:paraId="27BA9077" w14:textId="4E2FC9E8" w:rsidR="00D83745" w:rsidRPr="001F5140" w:rsidRDefault="00CB1A95" w:rsidP="00842F5A">
      <w:pPr>
        <w:pStyle w:val="ListParagraph"/>
        <w:numPr>
          <w:ilvl w:val="0"/>
          <w:numId w:val="20"/>
        </w:numPr>
        <w:rPr>
          <w:rFonts w:asciiTheme="minorHAnsi" w:eastAsiaTheme="minorHAnsi" w:hAnsiTheme="minorHAnsi" w:cstheme="minorHAnsi"/>
          <w:color w:val="auto"/>
          <w:sz w:val="20"/>
          <w:szCs w:val="20"/>
        </w:rPr>
      </w:pPr>
      <w:r>
        <w:rPr>
          <w:rFonts w:asciiTheme="minorHAnsi" w:eastAsiaTheme="minorHAnsi" w:hAnsiTheme="minorHAnsi" w:cstheme="minorHAnsi"/>
          <w:color w:val="auto"/>
          <w:sz w:val="20"/>
          <w:szCs w:val="20"/>
        </w:rPr>
        <w:t>A</w:t>
      </w:r>
      <w:r w:rsidR="00D83745" w:rsidRPr="001F5140">
        <w:rPr>
          <w:rFonts w:asciiTheme="minorHAnsi" w:eastAsiaTheme="minorHAnsi" w:hAnsiTheme="minorHAnsi" w:cstheme="minorHAnsi"/>
          <w:color w:val="auto"/>
          <w:sz w:val="20"/>
          <w:szCs w:val="20"/>
        </w:rPr>
        <w:t xml:space="preserve">n exemption to an operator to use </w:t>
      </w:r>
      <w:r w:rsidR="00D83745">
        <w:rPr>
          <w:rFonts w:asciiTheme="minorHAnsi" w:eastAsiaTheme="minorHAnsi" w:hAnsiTheme="minorHAnsi" w:cstheme="minorHAnsi"/>
          <w:color w:val="auto"/>
          <w:sz w:val="20"/>
          <w:szCs w:val="20"/>
        </w:rPr>
        <w:t xml:space="preserve">a different </w:t>
      </w:r>
      <w:r w:rsidR="00D83745" w:rsidRPr="001F5140">
        <w:rPr>
          <w:rFonts w:asciiTheme="minorHAnsi" w:eastAsiaTheme="minorHAnsi" w:hAnsiTheme="minorHAnsi" w:cstheme="minorHAnsi"/>
          <w:color w:val="auto"/>
          <w:sz w:val="20"/>
          <w:szCs w:val="20"/>
        </w:rPr>
        <w:t xml:space="preserve">maximum safe carrying capacity sign other than </w:t>
      </w:r>
      <w:r w:rsidR="000B1412">
        <w:rPr>
          <w:rFonts w:asciiTheme="minorHAnsi" w:eastAsiaTheme="minorHAnsi" w:hAnsiTheme="minorHAnsi" w:cstheme="minorHAnsi"/>
          <w:color w:val="auto"/>
          <w:sz w:val="20"/>
          <w:szCs w:val="20"/>
        </w:rPr>
        <w:t>what is</w:t>
      </w:r>
      <w:r w:rsidR="000B1412" w:rsidRPr="001F5140">
        <w:rPr>
          <w:rFonts w:asciiTheme="minorHAnsi" w:eastAsiaTheme="minorHAnsi" w:hAnsiTheme="minorHAnsi" w:cstheme="minorHAnsi"/>
          <w:color w:val="auto"/>
          <w:sz w:val="20"/>
          <w:szCs w:val="20"/>
        </w:rPr>
        <w:t xml:space="preserve"> </w:t>
      </w:r>
      <w:r w:rsidR="00D83745" w:rsidRPr="001F5140">
        <w:rPr>
          <w:rFonts w:asciiTheme="minorHAnsi" w:eastAsiaTheme="minorHAnsi" w:hAnsiTheme="minorHAnsi" w:cstheme="minorHAnsi"/>
          <w:color w:val="auto"/>
          <w:sz w:val="20"/>
          <w:szCs w:val="20"/>
        </w:rPr>
        <w:t xml:space="preserve">required under the </w:t>
      </w:r>
      <w:r w:rsidR="00D83745">
        <w:rPr>
          <w:rFonts w:asciiTheme="minorHAnsi" w:eastAsiaTheme="minorHAnsi" w:hAnsiTheme="minorHAnsi" w:cstheme="minorHAnsi"/>
          <w:color w:val="auto"/>
          <w:sz w:val="20"/>
          <w:szCs w:val="20"/>
        </w:rPr>
        <w:t>Bus Safety Act</w:t>
      </w:r>
      <w:r w:rsidR="00D83745" w:rsidRPr="001F5140">
        <w:rPr>
          <w:rFonts w:asciiTheme="minorHAnsi" w:eastAsiaTheme="minorHAnsi" w:hAnsiTheme="minorHAnsi" w:cstheme="minorHAnsi"/>
          <w:color w:val="auto"/>
          <w:sz w:val="20"/>
          <w:szCs w:val="20"/>
        </w:rPr>
        <w:t xml:space="preserve"> and the regulations.</w:t>
      </w:r>
      <w:r w:rsidR="00BA6E56">
        <w:rPr>
          <w:rFonts w:asciiTheme="minorHAnsi" w:eastAsiaTheme="minorHAnsi" w:hAnsiTheme="minorHAnsi" w:cstheme="minorHAnsi"/>
          <w:color w:val="auto"/>
          <w:sz w:val="20"/>
          <w:szCs w:val="20"/>
        </w:rPr>
        <w:t xml:space="preserve"> </w:t>
      </w:r>
      <w:r w:rsidR="00B378FE">
        <w:rPr>
          <w:rFonts w:asciiTheme="minorHAnsi" w:eastAsiaTheme="minorHAnsi" w:hAnsiTheme="minorHAnsi" w:cstheme="minorHAnsi"/>
          <w:color w:val="auto"/>
          <w:sz w:val="20"/>
          <w:szCs w:val="20"/>
        </w:rPr>
        <w:t>In this case,</w:t>
      </w:r>
      <w:r w:rsidR="00BA6E56">
        <w:rPr>
          <w:rFonts w:asciiTheme="minorHAnsi" w:eastAsiaTheme="minorHAnsi" w:hAnsiTheme="minorHAnsi" w:cstheme="minorHAnsi"/>
          <w:color w:val="auto"/>
          <w:sz w:val="20"/>
          <w:szCs w:val="20"/>
        </w:rPr>
        <w:t xml:space="preserve"> the sign was still required to be displayed, </w:t>
      </w:r>
      <w:r w:rsidR="00B378FE">
        <w:rPr>
          <w:rFonts w:asciiTheme="minorHAnsi" w:eastAsiaTheme="minorHAnsi" w:hAnsiTheme="minorHAnsi" w:cstheme="minorHAnsi"/>
          <w:color w:val="auto"/>
          <w:sz w:val="20"/>
          <w:szCs w:val="20"/>
        </w:rPr>
        <w:t xml:space="preserve">and the exemption was granted on the </w:t>
      </w:r>
      <w:r w:rsidR="00BA6E56">
        <w:rPr>
          <w:rFonts w:asciiTheme="minorHAnsi" w:eastAsiaTheme="minorHAnsi" w:hAnsiTheme="minorHAnsi" w:cstheme="minorHAnsi"/>
          <w:color w:val="auto"/>
          <w:sz w:val="20"/>
          <w:szCs w:val="20"/>
        </w:rPr>
        <w:t xml:space="preserve">size of </w:t>
      </w:r>
      <w:r w:rsidR="00B378FE">
        <w:rPr>
          <w:rFonts w:asciiTheme="minorHAnsi" w:eastAsiaTheme="minorHAnsi" w:hAnsiTheme="minorHAnsi" w:cstheme="minorHAnsi"/>
          <w:color w:val="auto"/>
          <w:sz w:val="20"/>
          <w:szCs w:val="20"/>
        </w:rPr>
        <w:t>characters</w:t>
      </w:r>
      <w:r w:rsidR="00BA6E56">
        <w:rPr>
          <w:rFonts w:asciiTheme="minorHAnsi" w:eastAsiaTheme="minorHAnsi" w:hAnsiTheme="minorHAnsi" w:cstheme="minorHAnsi"/>
          <w:color w:val="auto"/>
          <w:sz w:val="20"/>
          <w:szCs w:val="20"/>
        </w:rPr>
        <w:t xml:space="preserve"> used </w:t>
      </w:r>
      <w:r w:rsidR="00B378FE">
        <w:rPr>
          <w:rFonts w:asciiTheme="minorHAnsi" w:eastAsiaTheme="minorHAnsi" w:hAnsiTheme="minorHAnsi" w:cstheme="minorHAnsi"/>
          <w:color w:val="auto"/>
          <w:sz w:val="20"/>
          <w:szCs w:val="20"/>
        </w:rPr>
        <w:t>for the sign.</w:t>
      </w:r>
      <w:r w:rsidR="00BA6E56">
        <w:rPr>
          <w:rFonts w:asciiTheme="minorHAnsi" w:eastAsiaTheme="minorHAnsi" w:hAnsiTheme="minorHAnsi" w:cstheme="minorHAnsi"/>
          <w:color w:val="auto"/>
          <w:sz w:val="20"/>
          <w:szCs w:val="20"/>
        </w:rPr>
        <w:t xml:space="preserve"> </w:t>
      </w:r>
    </w:p>
    <w:p w14:paraId="3B44E06D" w14:textId="546A5CD2" w:rsidR="00D83745" w:rsidRPr="001F5140" w:rsidRDefault="00CB1A95" w:rsidP="00842F5A">
      <w:pPr>
        <w:pStyle w:val="ListParagraph"/>
        <w:numPr>
          <w:ilvl w:val="0"/>
          <w:numId w:val="20"/>
        </w:numPr>
        <w:rPr>
          <w:rFonts w:asciiTheme="minorHAnsi" w:eastAsiaTheme="minorHAnsi" w:hAnsiTheme="minorHAnsi" w:cstheme="minorHAnsi"/>
          <w:color w:val="auto"/>
          <w:sz w:val="20"/>
          <w:szCs w:val="20"/>
        </w:rPr>
      </w:pPr>
      <w:r>
        <w:rPr>
          <w:rFonts w:asciiTheme="minorHAnsi" w:eastAsiaTheme="minorHAnsi" w:hAnsiTheme="minorHAnsi" w:cstheme="minorHAnsi"/>
          <w:color w:val="auto"/>
          <w:sz w:val="20"/>
          <w:szCs w:val="20"/>
        </w:rPr>
        <w:t>A</w:t>
      </w:r>
      <w:r w:rsidR="00D83745" w:rsidRPr="001F5140">
        <w:rPr>
          <w:rFonts w:asciiTheme="minorHAnsi" w:eastAsiaTheme="minorHAnsi" w:hAnsiTheme="minorHAnsi" w:cstheme="minorHAnsi"/>
          <w:color w:val="auto"/>
          <w:sz w:val="20"/>
          <w:szCs w:val="20"/>
        </w:rPr>
        <w:t>n exemption to an operator to conduct fewer vehicle safety inspections than required under the requirements of a maintenance management system.</w:t>
      </w:r>
      <w:r>
        <w:rPr>
          <w:rFonts w:asciiTheme="minorHAnsi" w:eastAsiaTheme="minorHAnsi" w:hAnsiTheme="minorHAnsi" w:cstheme="minorHAnsi"/>
          <w:color w:val="auto"/>
          <w:sz w:val="20"/>
          <w:szCs w:val="20"/>
        </w:rPr>
        <w:t xml:space="preserve"> This exemption was granted to an operator of alpine buses</w:t>
      </w:r>
      <w:r w:rsidR="00FC7849">
        <w:rPr>
          <w:rFonts w:asciiTheme="minorHAnsi" w:eastAsiaTheme="minorHAnsi" w:hAnsiTheme="minorHAnsi" w:cstheme="minorHAnsi"/>
          <w:color w:val="auto"/>
          <w:sz w:val="20"/>
          <w:szCs w:val="20"/>
        </w:rPr>
        <w:t>, as the buses</w:t>
      </w:r>
      <w:r w:rsidR="00D6253F">
        <w:rPr>
          <w:rFonts w:asciiTheme="minorHAnsi" w:eastAsiaTheme="minorHAnsi" w:hAnsiTheme="minorHAnsi" w:cstheme="minorHAnsi"/>
          <w:color w:val="auto"/>
          <w:sz w:val="20"/>
          <w:szCs w:val="20"/>
        </w:rPr>
        <w:t xml:space="preserve"> operated</w:t>
      </w:r>
      <w:r w:rsidR="00FC7849">
        <w:rPr>
          <w:rFonts w:asciiTheme="minorHAnsi" w:eastAsiaTheme="minorHAnsi" w:hAnsiTheme="minorHAnsi" w:cstheme="minorHAnsi"/>
          <w:color w:val="auto"/>
          <w:sz w:val="20"/>
          <w:szCs w:val="20"/>
        </w:rPr>
        <w:t xml:space="preserve"> were only </w:t>
      </w:r>
      <w:r>
        <w:rPr>
          <w:rFonts w:asciiTheme="minorHAnsi" w:eastAsiaTheme="minorHAnsi" w:hAnsiTheme="minorHAnsi" w:cstheme="minorHAnsi"/>
          <w:color w:val="auto"/>
          <w:sz w:val="20"/>
          <w:szCs w:val="20"/>
        </w:rPr>
        <w:t xml:space="preserve">used for approximately 4 months in the year. </w:t>
      </w:r>
    </w:p>
    <w:p w14:paraId="41E70F0B" w14:textId="707DD00A" w:rsidR="008A61D5" w:rsidRDefault="008A61D5" w:rsidP="0095677C">
      <w:pPr>
        <w:pStyle w:val="Heading5"/>
      </w:pPr>
      <w:r>
        <w:t>Summary</w:t>
      </w:r>
    </w:p>
    <w:p w14:paraId="5C627C1B" w14:textId="51A901EB" w:rsidR="00D83745" w:rsidRPr="00776B38" w:rsidRDefault="00D83745" w:rsidP="00D83745">
      <w:r>
        <w:rPr>
          <w:color w:val="auto"/>
          <w:szCs w:val="20"/>
        </w:rPr>
        <w:t>Overall, o</w:t>
      </w:r>
      <w:r w:rsidRPr="001F5140">
        <w:rPr>
          <w:color w:val="auto"/>
          <w:szCs w:val="20"/>
        </w:rPr>
        <w:t>perators will assess</w:t>
      </w:r>
      <w:r w:rsidRPr="001F5140">
        <w:rPr>
          <w:color w:val="auto"/>
        </w:rPr>
        <w:t xml:space="preserve"> the </w:t>
      </w:r>
      <w:r>
        <w:rPr>
          <w:color w:val="auto"/>
        </w:rPr>
        <w:t xml:space="preserve">merits </w:t>
      </w:r>
      <w:r w:rsidRPr="001F5140">
        <w:rPr>
          <w:color w:val="auto"/>
        </w:rPr>
        <w:t>of</w:t>
      </w:r>
      <w:r>
        <w:rPr>
          <w:color w:val="auto"/>
        </w:rPr>
        <w:t xml:space="preserve"> the </w:t>
      </w:r>
      <w:r w:rsidRPr="001F5140">
        <w:rPr>
          <w:color w:val="auto"/>
        </w:rPr>
        <w:t xml:space="preserve">exemption </w:t>
      </w:r>
      <w:r>
        <w:rPr>
          <w:color w:val="auto"/>
        </w:rPr>
        <w:t>when considering applying for</w:t>
      </w:r>
      <w:r w:rsidRPr="001F5140">
        <w:rPr>
          <w:color w:val="auto"/>
        </w:rPr>
        <w:t xml:space="preserve"> an exemption. In</w:t>
      </w:r>
      <w:r>
        <w:rPr>
          <w:color w:val="auto"/>
        </w:rPr>
        <w:t xml:space="preserve"> cases where</w:t>
      </w:r>
      <w:r w:rsidRPr="001F5140">
        <w:rPr>
          <w:color w:val="auto"/>
        </w:rPr>
        <w:t xml:space="preserve"> </w:t>
      </w:r>
      <w:r>
        <w:rPr>
          <w:color w:val="auto"/>
        </w:rPr>
        <w:t>the reduction in compliance costs outweighs the regulatory burden of making an application, a bus operator has an incentive to apply for an exemption</w:t>
      </w:r>
      <w:r w:rsidRPr="001F5140">
        <w:rPr>
          <w:color w:val="auto"/>
        </w:rPr>
        <w:t xml:space="preserve">. </w:t>
      </w:r>
      <w:r>
        <w:rPr>
          <w:color w:val="auto"/>
        </w:rPr>
        <w:t xml:space="preserve">Otherwise, the operator will continue to be subject to the usual requirements under the Bus Safety Act and </w:t>
      </w:r>
      <w:r w:rsidR="006A2988">
        <w:rPr>
          <w:color w:val="auto"/>
        </w:rPr>
        <w:t xml:space="preserve">its </w:t>
      </w:r>
      <w:r>
        <w:rPr>
          <w:color w:val="auto"/>
        </w:rPr>
        <w:t xml:space="preserve">regulations. Given </w:t>
      </w:r>
      <w:r w:rsidR="008320D5">
        <w:rPr>
          <w:color w:val="auto"/>
        </w:rPr>
        <w:t>this represents a</w:t>
      </w:r>
      <w:r>
        <w:rPr>
          <w:color w:val="auto"/>
        </w:rPr>
        <w:t xml:space="preserve"> reduction in regulatory burden</w:t>
      </w:r>
      <w:r w:rsidR="007264BF">
        <w:rPr>
          <w:color w:val="auto"/>
        </w:rPr>
        <w:t xml:space="preserve"> </w:t>
      </w:r>
      <w:r w:rsidR="008320D5">
        <w:rPr>
          <w:color w:val="auto"/>
        </w:rPr>
        <w:t>and no decrease in safety</w:t>
      </w:r>
      <w:r w:rsidR="007264BF">
        <w:rPr>
          <w:color w:val="auto"/>
        </w:rPr>
        <w:t>,</w:t>
      </w:r>
      <w:r>
        <w:rPr>
          <w:color w:val="auto"/>
        </w:rPr>
        <w:t xml:space="preserve"> </w:t>
      </w:r>
      <w:r w:rsidRPr="001F5140">
        <w:rPr>
          <w:color w:val="auto"/>
        </w:rPr>
        <w:t>D</w:t>
      </w:r>
      <w:r>
        <w:rPr>
          <w:color w:val="auto"/>
        </w:rPr>
        <w:t>o</w:t>
      </w:r>
      <w:r w:rsidRPr="001F5140">
        <w:rPr>
          <w:color w:val="auto"/>
        </w:rPr>
        <w:t>T considers there will</w:t>
      </w:r>
      <w:r>
        <w:rPr>
          <w:color w:val="auto"/>
        </w:rPr>
        <w:t xml:space="preserve"> be</w:t>
      </w:r>
      <w:r w:rsidRPr="001F5140">
        <w:rPr>
          <w:color w:val="auto"/>
        </w:rPr>
        <w:t xml:space="preserve"> </w:t>
      </w:r>
      <w:r>
        <w:rPr>
          <w:color w:val="auto"/>
        </w:rPr>
        <w:t xml:space="preserve">a </w:t>
      </w:r>
      <w:r w:rsidRPr="001F5140">
        <w:rPr>
          <w:color w:val="auto"/>
        </w:rPr>
        <w:t xml:space="preserve">net benefit to the industry associated with </w:t>
      </w:r>
      <w:r>
        <w:rPr>
          <w:color w:val="auto"/>
        </w:rPr>
        <w:t xml:space="preserve">having </w:t>
      </w:r>
      <w:r w:rsidRPr="001F5140">
        <w:rPr>
          <w:color w:val="auto"/>
        </w:rPr>
        <w:t>exemption requirements</w:t>
      </w:r>
      <w:r>
        <w:rPr>
          <w:color w:val="auto"/>
        </w:rPr>
        <w:t xml:space="preserve"> in regulations</w:t>
      </w:r>
      <w:r>
        <w:t xml:space="preserve">. </w:t>
      </w:r>
      <w:r w:rsidR="00D45EDC">
        <w:t xml:space="preserve"> </w:t>
      </w:r>
    </w:p>
    <w:p w14:paraId="358D9324" w14:textId="383ECFD9" w:rsidR="00C41C67" w:rsidRDefault="00F138AE" w:rsidP="00F138AE">
      <w:pPr>
        <w:pStyle w:val="Heading2"/>
      </w:pPr>
      <w:bookmarkStart w:id="901" w:name="_Toc45704384"/>
      <w:bookmarkEnd w:id="801"/>
      <w:r>
        <w:lastRenderedPageBreak/>
        <w:t>Fees</w:t>
      </w:r>
      <w:bookmarkEnd w:id="901"/>
    </w:p>
    <w:p w14:paraId="3ADC5798" w14:textId="77777777" w:rsidR="00C41C67" w:rsidRDefault="00C41C67" w:rsidP="00C41C67">
      <w:r>
        <w:t xml:space="preserve">In the previous sections, DoT identified that the costs of bus safety regulation could be recovered through regulatory fees, including by imposing fees to accompany the submission of an application for accreditation and annual fee imposed on bus operators. In order to assess the various options to recover the costs of bus safety regulation, DoT will employ multi-criteria analysis. </w:t>
      </w:r>
    </w:p>
    <w:p w14:paraId="3219431A" w14:textId="77777777" w:rsidR="00C41C67" w:rsidRDefault="00C41C67" w:rsidP="00C41C67">
      <w:pPr>
        <w:pStyle w:val="Heading3"/>
      </w:pPr>
      <w:bookmarkStart w:id="902" w:name="_Toc45704385"/>
      <w:r>
        <w:t>Methodology</w:t>
      </w:r>
      <w:bookmarkEnd w:id="902"/>
    </w:p>
    <w:p w14:paraId="0E3010F8" w14:textId="77777777" w:rsidR="00C41C67" w:rsidRDefault="00C41C67" w:rsidP="00C41C67">
      <w:pPr>
        <w:rPr>
          <w:i/>
          <w:iCs/>
        </w:rPr>
      </w:pPr>
      <w:r w:rsidRPr="004E2EA1">
        <w:rPr>
          <w:i/>
          <w:iCs/>
        </w:rPr>
        <w:t>Summary of approach for multi-criteria analysis</w:t>
      </w:r>
    </w:p>
    <w:p w14:paraId="6507A95F" w14:textId="77777777" w:rsidR="00C41C67" w:rsidRPr="002126E9" w:rsidRDefault="00C41C67" w:rsidP="00C41C67">
      <w:r w:rsidRPr="002126E9">
        <w:t>Under a multi-criteria analysis</w:t>
      </w:r>
      <w:r>
        <w:t>, the various options under consideration are assessed against the base case and scored against specific criteria. Each criterion is given a weighting, and each option’s score for that criterion is adjusted based on this weighting.  The sum of the weighted score represents the total score for that option. The option with the highest total score would represent the preferred option.</w:t>
      </w:r>
    </w:p>
    <w:p w14:paraId="71F992F3" w14:textId="4E689582" w:rsidR="00C41C67" w:rsidRPr="00325C58" w:rsidRDefault="00C41C67" w:rsidP="00C41C67">
      <w:r>
        <w:t>DoT will compare fee o</w:t>
      </w:r>
      <w:r w:rsidRPr="00325C58">
        <w:t xml:space="preserve">ptions and score </w:t>
      </w:r>
      <w:r>
        <w:t xml:space="preserve">those options </w:t>
      </w:r>
      <w:r w:rsidRPr="00325C58">
        <w:t>by reference to the base case to assess whether the expected outcome resulting from each option represents a positive or negative change relative to the base case.</w:t>
      </w:r>
    </w:p>
    <w:p w14:paraId="0E8774A2" w14:textId="77777777" w:rsidR="00C41C67" w:rsidRPr="00BB3737" w:rsidRDefault="00C41C67" w:rsidP="00C41C67">
      <w:pPr>
        <w:rPr>
          <w:i/>
          <w:iCs/>
        </w:rPr>
      </w:pPr>
      <w:r w:rsidRPr="00BB3737">
        <w:rPr>
          <w:i/>
          <w:iCs/>
        </w:rPr>
        <w:t>Criteria for assessment</w:t>
      </w:r>
    </w:p>
    <w:p w14:paraId="7D92242B" w14:textId="63848B7D" w:rsidR="00C41C67" w:rsidRDefault="00C41C67" w:rsidP="00C41C67">
      <w:r>
        <w:t>DoT proposes to use the following criteria to assess the various fee options</w:t>
      </w:r>
      <w:r w:rsidR="00672E0A">
        <w:t>:</w:t>
      </w:r>
    </w:p>
    <w:p w14:paraId="6A828419" w14:textId="77777777" w:rsidR="00C41C67" w:rsidRPr="00E63ED6" w:rsidRDefault="00C41C67" w:rsidP="00842F5A">
      <w:pPr>
        <w:pStyle w:val="ListParagraph"/>
        <w:numPr>
          <w:ilvl w:val="0"/>
          <w:numId w:val="34"/>
        </w:numPr>
        <w:rPr>
          <w:rFonts w:asciiTheme="minorHAnsi" w:hAnsiTheme="minorHAnsi" w:cstheme="minorHAnsi"/>
          <w:color w:val="auto"/>
          <w:sz w:val="20"/>
          <w:szCs w:val="20"/>
        </w:rPr>
      </w:pPr>
      <w:r w:rsidRPr="00E63ED6">
        <w:rPr>
          <w:rFonts w:asciiTheme="minorHAnsi" w:hAnsiTheme="minorHAnsi" w:cstheme="minorHAnsi"/>
          <w:color w:val="auto"/>
          <w:sz w:val="20"/>
          <w:szCs w:val="20"/>
        </w:rPr>
        <w:t>Efficiency: The extent to which the option promotes or improves the way the resources are allocated within the economy. This is generally achieved when the prices charged reflect the actual costs of service provision.  In this case, regulatory fees need to reflect the cost of regulation to avoid the distortions associated with the recovery of costs from the general taxpayer.</w:t>
      </w:r>
    </w:p>
    <w:p w14:paraId="2C12A44D" w14:textId="77777777" w:rsidR="00C41C67" w:rsidRPr="00E63ED6" w:rsidRDefault="00C41C67" w:rsidP="00842F5A">
      <w:pPr>
        <w:pStyle w:val="ListParagraph"/>
        <w:numPr>
          <w:ilvl w:val="0"/>
          <w:numId w:val="34"/>
        </w:numPr>
        <w:rPr>
          <w:rFonts w:asciiTheme="minorHAnsi" w:hAnsiTheme="minorHAnsi" w:cstheme="minorHAnsi"/>
          <w:color w:val="auto"/>
          <w:sz w:val="20"/>
          <w:szCs w:val="20"/>
        </w:rPr>
      </w:pPr>
      <w:r w:rsidRPr="00E63ED6">
        <w:rPr>
          <w:rFonts w:asciiTheme="minorHAnsi" w:hAnsiTheme="minorHAnsi" w:cstheme="minorHAnsi"/>
          <w:color w:val="auto"/>
          <w:sz w:val="20"/>
          <w:szCs w:val="20"/>
        </w:rPr>
        <w:t>Equity: There are two types of equity.  Vertical equity is the notion that those who are more able to pay fees or charges should contribute more than those who are not.  Horizontal equity is achieved when individuals from the same group pay the same amount in taxes.</w:t>
      </w:r>
    </w:p>
    <w:p w14:paraId="6235E30E" w14:textId="77777777" w:rsidR="00C41C67" w:rsidRPr="00E63ED6" w:rsidRDefault="00C41C67" w:rsidP="00842F5A">
      <w:pPr>
        <w:pStyle w:val="ListParagraph"/>
        <w:numPr>
          <w:ilvl w:val="0"/>
          <w:numId w:val="34"/>
        </w:numPr>
        <w:rPr>
          <w:rFonts w:asciiTheme="minorHAnsi" w:hAnsiTheme="minorHAnsi" w:cstheme="minorHAnsi"/>
          <w:color w:val="auto"/>
          <w:sz w:val="20"/>
          <w:szCs w:val="20"/>
        </w:rPr>
      </w:pPr>
      <w:r>
        <w:rPr>
          <w:rFonts w:asciiTheme="minorHAnsi" w:hAnsiTheme="minorHAnsi" w:cstheme="minorHAnsi"/>
          <w:color w:val="auto"/>
          <w:sz w:val="20"/>
          <w:szCs w:val="20"/>
        </w:rPr>
        <w:t>Compliance</w:t>
      </w:r>
      <w:r w:rsidRPr="00E63ED6">
        <w:rPr>
          <w:rFonts w:asciiTheme="minorHAnsi" w:hAnsiTheme="minorHAnsi" w:cstheme="minorHAnsi"/>
          <w:color w:val="auto"/>
          <w:sz w:val="20"/>
          <w:szCs w:val="20"/>
        </w:rPr>
        <w:t>: Safety is the primary objective of the regulations.  If cost recovery and fee setting choices have negative impacts on compliance or reduce regulatory effectiveness, then it is reasonable to expect there may be negative impacts on safety outcomes.</w:t>
      </w:r>
    </w:p>
    <w:p w14:paraId="48547C0F" w14:textId="47DDC27D" w:rsidR="00C41C67" w:rsidRPr="00882500" w:rsidRDefault="00C41C67" w:rsidP="00C41C67">
      <w:pPr>
        <w:rPr>
          <w:rFonts w:cstheme="minorHAnsi"/>
          <w:szCs w:val="20"/>
        </w:rPr>
      </w:pPr>
      <w:r>
        <w:rPr>
          <w:rFonts w:cstheme="minorHAnsi"/>
          <w:szCs w:val="20"/>
        </w:rPr>
        <w:t>Each criterion must be weighted</w:t>
      </w:r>
      <w:r w:rsidR="00143794">
        <w:rPr>
          <w:rFonts w:cstheme="minorHAnsi"/>
          <w:szCs w:val="20"/>
        </w:rPr>
        <w:t xml:space="preserve"> </w:t>
      </w:r>
      <w:r w:rsidR="00143794">
        <w:rPr>
          <w:rFonts w:cstheme="minorHAnsi"/>
          <w:szCs w:val="20"/>
        </w:rPr>
        <w:fldChar w:fldCharType="begin"/>
      </w:r>
      <w:r w:rsidR="00143794">
        <w:rPr>
          <w:rFonts w:cstheme="minorHAnsi"/>
          <w:szCs w:val="20"/>
        </w:rPr>
        <w:instrText xml:space="preserve"> REF _Ref43396461 \h  \* MERGEFORMAT </w:instrText>
      </w:r>
      <w:r w:rsidR="00143794">
        <w:rPr>
          <w:rFonts w:cstheme="minorHAnsi"/>
          <w:szCs w:val="20"/>
        </w:rPr>
      </w:r>
      <w:r w:rsidR="00143794">
        <w:rPr>
          <w:rFonts w:cstheme="minorHAnsi"/>
          <w:szCs w:val="20"/>
        </w:rPr>
        <w:fldChar w:fldCharType="separate"/>
      </w:r>
      <w:r w:rsidR="00277F6E" w:rsidRPr="00277F6E">
        <w:rPr>
          <w:rFonts w:cstheme="minorHAnsi"/>
          <w:szCs w:val="20"/>
        </w:rPr>
        <w:t>Table 7</w:t>
      </w:r>
      <w:r w:rsidR="00277F6E" w:rsidRPr="00277F6E">
        <w:rPr>
          <w:rFonts w:cstheme="minorHAnsi"/>
          <w:szCs w:val="20"/>
        </w:rPr>
        <w:noBreakHyphen/>
        <w:t>28</w:t>
      </w:r>
      <w:r w:rsidR="00143794">
        <w:rPr>
          <w:rFonts w:cstheme="minorHAnsi"/>
          <w:szCs w:val="20"/>
        </w:rPr>
        <w:fldChar w:fldCharType="end"/>
      </w:r>
      <w:r w:rsidR="00143794">
        <w:rPr>
          <w:rFonts w:cstheme="minorHAnsi"/>
          <w:szCs w:val="20"/>
        </w:rPr>
        <w:t xml:space="preserve"> </w:t>
      </w:r>
      <w:r>
        <w:rPr>
          <w:rFonts w:cstheme="minorHAnsi"/>
          <w:szCs w:val="20"/>
        </w:rPr>
        <w:t>summarises the proposed weights to be used for the fee analysis. The criteria of efficiency and equity have been given greater weight as these criteria are the primary considerations for designing and setting fees. This also means that a lesser weight will be attached to the compliance criterion. Regulatory fees are not directly intended to improve safety outcomes (that is the role of the underlying regulations) but rather as a measure to recover the costs of regulations. DoT notes that there may be an indirect effect on safety if, for example, fees are set too high and there are unintended consequences where operators avoid regulatory obligations. Accordingly, the effect of fees on compliance and safety will also be considered albeit at a lower weighting.</w:t>
      </w:r>
    </w:p>
    <w:p w14:paraId="6C281B78" w14:textId="308368CC" w:rsidR="00C41C67" w:rsidRPr="00C41C67" w:rsidRDefault="00C41C67" w:rsidP="007620AA">
      <w:pPr>
        <w:pStyle w:val="Caption"/>
        <w:keepNext/>
        <w:spacing w:after="60"/>
        <w:rPr>
          <w:b/>
          <w:i w:val="0"/>
        </w:rPr>
      </w:pPr>
      <w:bookmarkStart w:id="903" w:name="_Ref43396461"/>
      <w:bookmarkStart w:id="904" w:name="_Toc44437400"/>
      <w:bookmarkStart w:id="905" w:name="_Toc44597471"/>
      <w:bookmarkStart w:id="906" w:name="_Toc44597535"/>
      <w:bookmarkStart w:id="907" w:name="_Toc44600105"/>
      <w:bookmarkStart w:id="908" w:name="_Toc44600560"/>
      <w:bookmarkStart w:id="909" w:name="_Toc44600727"/>
      <w:bookmarkStart w:id="910" w:name="_Toc44601224"/>
      <w:bookmarkStart w:id="911" w:name="_Toc44601277"/>
      <w:bookmarkStart w:id="912" w:name="_Toc44603425"/>
      <w:bookmarkStart w:id="913" w:name="_Toc45704473"/>
      <w:r w:rsidRPr="00C41C67">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28</w:t>
      </w:r>
      <w:r w:rsidR="00D2483C">
        <w:rPr>
          <w:b/>
          <w:i w:val="0"/>
        </w:rPr>
        <w:fldChar w:fldCharType="end"/>
      </w:r>
      <w:bookmarkEnd w:id="903"/>
      <w:r w:rsidRPr="00C41C67">
        <w:rPr>
          <w:b/>
          <w:i w:val="0"/>
        </w:rPr>
        <w:t xml:space="preserve">: </w:t>
      </w:r>
      <w:r w:rsidRPr="007620AA">
        <w:rPr>
          <w:b/>
          <w:bCs/>
          <w:i w:val="0"/>
          <w:iCs w:val="0"/>
        </w:rPr>
        <w:t>Proposed</w:t>
      </w:r>
      <w:r w:rsidRPr="00C41C67">
        <w:rPr>
          <w:b/>
          <w:i w:val="0"/>
        </w:rPr>
        <w:t xml:space="preserve"> criterion weights for multi-criteria analysis</w:t>
      </w:r>
      <w:bookmarkEnd w:id="904"/>
      <w:bookmarkEnd w:id="905"/>
      <w:bookmarkEnd w:id="906"/>
      <w:r w:rsidR="00F17CDF">
        <w:rPr>
          <w:b/>
          <w:i w:val="0"/>
        </w:rPr>
        <w:t xml:space="preserve"> of fee</w:t>
      </w:r>
      <w:r w:rsidR="00EE359F">
        <w:rPr>
          <w:b/>
          <w:i w:val="0"/>
        </w:rPr>
        <w:t xml:space="preserve"> options</w:t>
      </w:r>
      <w:bookmarkEnd w:id="907"/>
      <w:bookmarkEnd w:id="908"/>
      <w:bookmarkEnd w:id="909"/>
      <w:bookmarkEnd w:id="910"/>
      <w:bookmarkEnd w:id="911"/>
      <w:bookmarkEnd w:id="912"/>
      <w:bookmarkEnd w:id="913"/>
    </w:p>
    <w:tbl>
      <w:tblPr>
        <w:tblStyle w:val="DOTtable0"/>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7"/>
      </w:tblGrid>
      <w:tr w:rsidR="00C41C67" w:rsidRPr="00663379" w14:paraId="540B9B5A" w14:textId="77777777" w:rsidTr="009303EB">
        <w:trPr>
          <w:cnfStyle w:val="100000000000" w:firstRow="1" w:lastRow="0" w:firstColumn="0" w:lastColumn="0" w:oddVBand="0" w:evenVBand="0" w:oddHBand="0" w:evenHBand="0" w:firstRowFirstColumn="0" w:firstRowLastColumn="0" w:lastRowFirstColumn="0" w:lastRowLastColumn="0"/>
          <w:cantSplit/>
        </w:trPr>
        <w:tc>
          <w:tcPr>
            <w:tcW w:w="4508" w:type="dxa"/>
            <w:tcBorders>
              <w:bottom w:val="none" w:sz="0" w:space="0" w:color="auto"/>
            </w:tcBorders>
          </w:tcPr>
          <w:p w14:paraId="59B2CA7F" w14:textId="77777777" w:rsidR="00C41C67" w:rsidRPr="00C41C67" w:rsidRDefault="00C41C67" w:rsidP="009303EB">
            <w:pPr>
              <w:keepNext/>
              <w:spacing w:before="60" w:after="60"/>
              <w:jc w:val="center"/>
              <w:rPr>
                <w:rFonts w:cstheme="minorHAnsi"/>
                <w:sz w:val="18"/>
              </w:rPr>
            </w:pPr>
            <w:r w:rsidRPr="00C41C67">
              <w:rPr>
                <w:rFonts w:cstheme="minorHAnsi"/>
                <w:sz w:val="18"/>
              </w:rPr>
              <w:t>Criterion</w:t>
            </w:r>
          </w:p>
        </w:tc>
        <w:tc>
          <w:tcPr>
            <w:tcW w:w="4508" w:type="dxa"/>
            <w:tcBorders>
              <w:bottom w:val="none" w:sz="0" w:space="0" w:color="auto"/>
            </w:tcBorders>
          </w:tcPr>
          <w:p w14:paraId="3B0F4660" w14:textId="77777777" w:rsidR="00C41C67" w:rsidRPr="00C41C67" w:rsidRDefault="00C41C67" w:rsidP="009303EB">
            <w:pPr>
              <w:keepNext/>
              <w:spacing w:before="60" w:after="60"/>
              <w:jc w:val="center"/>
              <w:rPr>
                <w:rFonts w:cstheme="minorHAnsi"/>
                <w:sz w:val="18"/>
              </w:rPr>
            </w:pPr>
            <w:r w:rsidRPr="00C41C67">
              <w:rPr>
                <w:rFonts w:cstheme="minorHAnsi"/>
                <w:sz w:val="18"/>
              </w:rPr>
              <w:t>Proposed weights</w:t>
            </w:r>
          </w:p>
        </w:tc>
      </w:tr>
      <w:tr w:rsidR="00C41C67" w:rsidRPr="00663379" w14:paraId="3C7F4F9C" w14:textId="77777777" w:rsidTr="009303EB">
        <w:trPr>
          <w:cnfStyle w:val="000000100000" w:firstRow="0" w:lastRow="0" w:firstColumn="0" w:lastColumn="0" w:oddVBand="0" w:evenVBand="0" w:oddHBand="1" w:evenHBand="0" w:firstRowFirstColumn="0" w:firstRowLastColumn="0" w:lastRowFirstColumn="0" w:lastRowLastColumn="0"/>
          <w:cantSplit/>
        </w:trPr>
        <w:tc>
          <w:tcPr>
            <w:tcW w:w="4508" w:type="dxa"/>
            <w:tcBorders>
              <w:top w:val="none" w:sz="0" w:space="0" w:color="auto"/>
            </w:tcBorders>
          </w:tcPr>
          <w:p w14:paraId="5C53BAAA" w14:textId="77777777" w:rsidR="00C41C67" w:rsidRPr="00C41C67" w:rsidRDefault="00C41C67" w:rsidP="009303EB">
            <w:pPr>
              <w:keepNext/>
              <w:spacing w:before="60" w:after="60"/>
              <w:rPr>
                <w:rFonts w:cstheme="minorHAnsi"/>
                <w:sz w:val="18"/>
              </w:rPr>
            </w:pPr>
            <w:r w:rsidRPr="00C41C67">
              <w:rPr>
                <w:rFonts w:cstheme="minorHAnsi"/>
                <w:sz w:val="18"/>
              </w:rPr>
              <w:t>Efficiency</w:t>
            </w:r>
          </w:p>
        </w:tc>
        <w:tc>
          <w:tcPr>
            <w:tcW w:w="4508" w:type="dxa"/>
            <w:tcBorders>
              <w:top w:val="none" w:sz="0" w:space="0" w:color="auto"/>
            </w:tcBorders>
          </w:tcPr>
          <w:p w14:paraId="132CE5F9" w14:textId="77777777" w:rsidR="00C41C67" w:rsidRPr="00C41C67" w:rsidRDefault="00C41C67" w:rsidP="009303EB">
            <w:pPr>
              <w:keepNext/>
              <w:spacing w:before="60" w:after="60"/>
              <w:rPr>
                <w:rFonts w:cstheme="minorHAnsi"/>
                <w:sz w:val="18"/>
              </w:rPr>
            </w:pPr>
            <w:r w:rsidRPr="00C41C67">
              <w:rPr>
                <w:rFonts w:cstheme="minorHAnsi"/>
                <w:sz w:val="18"/>
              </w:rPr>
              <w:t>40%</w:t>
            </w:r>
          </w:p>
        </w:tc>
      </w:tr>
      <w:tr w:rsidR="00C41C67" w:rsidRPr="00663379" w14:paraId="51208487" w14:textId="77777777" w:rsidTr="009303EB">
        <w:trPr>
          <w:cnfStyle w:val="000000010000" w:firstRow="0" w:lastRow="0" w:firstColumn="0" w:lastColumn="0" w:oddVBand="0" w:evenVBand="0" w:oddHBand="0" w:evenHBand="1" w:firstRowFirstColumn="0" w:firstRowLastColumn="0" w:lastRowFirstColumn="0" w:lastRowLastColumn="0"/>
          <w:cantSplit/>
        </w:trPr>
        <w:tc>
          <w:tcPr>
            <w:tcW w:w="4508" w:type="dxa"/>
            <w:tcBorders>
              <w:top w:val="none" w:sz="0" w:space="0" w:color="auto"/>
            </w:tcBorders>
          </w:tcPr>
          <w:p w14:paraId="7B1DD874" w14:textId="77777777" w:rsidR="00C41C67" w:rsidRPr="00C41C67" w:rsidRDefault="00C41C67" w:rsidP="009303EB">
            <w:pPr>
              <w:keepNext/>
              <w:spacing w:before="60" w:after="60"/>
              <w:rPr>
                <w:rFonts w:cstheme="minorHAnsi"/>
                <w:sz w:val="18"/>
              </w:rPr>
            </w:pPr>
            <w:r w:rsidRPr="00C41C67">
              <w:rPr>
                <w:rFonts w:cstheme="minorHAnsi"/>
                <w:sz w:val="18"/>
              </w:rPr>
              <w:t>Equity</w:t>
            </w:r>
          </w:p>
        </w:tc>
        <w:tc>
          <w:tcPr>
            <w:tcW w:w="4508" w:type="dxa"/>
            <w:tcBorders>
              <w:top w:val="none" w:sz="0" w:space="0" w:color="auto"/>
            </w:tcBorders>
          </w:tcPr>
          <w:p w14:paraId="4305D09A" w14:textId="77777777" w:rsidR="00C41C67" w:rsidRPr="00C41C67" w:rsidRDefault="00C41C67" w:rsidP="009303EB">
            <w:pPr>
              <w:keepNext/>
              <w:spacing w:before="60" w:after="60"/>
              <w:rPr>
                <w:rFonts w:cstheme="minorHAnsi"/>
                <w:sz w:val="18"/>
              </w:rPr>
            </w:pPr>
            <w:r w:rsidRPr="00C41C67">
              <w:rPr>
                <w:rFonts w:cstheme="minorHAnsi"/>
                <w:sz w:val="18"/>
              </w:rPr>
              <w:t>40%</w:t>
            </w:r>
          </w:p>
        </w:tc>
      </w:tr>
      <w:tr w:rsidR="00C41C67" w:rsidRPr="00663379" w14:paraId="0F93EAC7" w14:textId="77777777" w:rsidTr="009303EB">
        <w:trPr>
          <w:cnfStyle w:val="000000100000" w:firstRow="0" w:lastRow="0" w:firstColumn="0" w:lastColumn="0" w:oddVBand="0" w:evenVBand="0" w:oddHBand="1" w:evenHBand="0" w:firstRowFirstColumn="0" w:firstRowLastColumn="0" w:lastRowFirstColumn="0" w:lastRowLastColumn="0"/>
          <w:cantSplit/>
        </w:trPr>
        <w:tc>
          <w:tcPr>
            <w:tcW w:w="4508" w:type="dxa"/>
            <w:tcBorders>
              <w:top w:val="none" w:sz="0" w:space="0" w:color="auto"/>
            </w:tcBorders>
          </w:tcPr>
          <w:p w14:paraId="67890E0D" w14:textId="77777777" w:rsidR="00C41C67" w:rsidRPr="00C41C67" w:rsidRDefault="00C41C67" w:rsidP="009303EB">
            <w:pPr>
              <w:keepNext/>
              <w:spacing w:before="60" w:after="60"/>
              <w:rPr>
                <w:rFonts w:cstheme="minorHAnsi"/>
                <w:sz w:val="18"/>
              </w:rPr>
            </w:pPr>
            <w:r w:rsidRPr="00C41C67">
              <w:rPr>
                <w:rFonts w:cstheme="minorHAnsi"/>
                <w:sz w:val="18"/>
              </w:rPr>
              <w:t>Compliance</w:t>
            </w:r>
          </w:p>
        </w:tc>
        <w:tc>
          <w:tcPr>
            <w:tcW w:w="4508" w:type="dxa"/>
            <w:tcBorders>
              <w:top w:val="none" w:sz="0" w:space="0" w:color="auto"/>
            </w:tcBorders>
          </w:tcPr>
          <w:p w14:paraId="0FECEEDA" w14:textId="77777777" w:rsidR="00C41C67" w:rsidRPr="00C41C67" w:rsidRDefault="00C41C67" w:rsidP="009303EB">
            <w:pPr>
              <w:keepNext/>
              <w:spacing w:before="60" w:after="60"/>
              <w:rPr>
                <w:rFonts w:cstheme="minorHAnsi"/>
                <w:sz w:val="18"/>
              </w:rPr>
            </w:pPr>
            <w:r w:rsidRPr="00C41C67">
              <w:rPr>
                <w:rFonts w:cstheme="minorHAnsi"/>
                <w:sz w:val="18"/>
              </w:rPr>
              <w:t>20%</w:t>
            </w:r>
          </w:p>
        </w:tc>
      </w:tr>
    </w:tbl>
    <w:p w14:paraId="506189AA" w14:textId="77777777" w:rsidR="00C41C67" w:rsidRPr="00737C4F" w:rsidRDefault="00C41C67" w:rsidP="00C41C67">
      <w:pPr>
        <w:rPr>
          <w:i/>
          <w:iCs/>
        </w:rPr>
      </w:pPr>
      <w:r w:rsidRPr="00737C4F">
        <w:rPr>
          <w:i/>
          <w:iCs/>
        </w:rPr>
        <w:t>Criteria scoring</w:t>
      </w:r>
    </w:p>
    <w:p w14:paraId="48EB2EC6" w14:textId="3B97A7FB" w:rsidR="00C41C67" w:rsidRPr="000E0EE0" w:rsidRDefault="00C41C67" w:rsidP="00C41C67">
      <w:pPr>
        <w:rPr>
          <w:rFonts w:cstheme="minorHAnsi"/>
          <w:szCs w:val="20"/>
        </w:rPr>
      </w:pPr>
      <w:r w:rsidRPr="000E0EE0">
        <w:rPr>
          <w:rFonts w:cstheme="minorHAnsi"/>
          <w:szCs w:val="20"/>
        </w:rPr>
        <w:t>For each fee option under consideration, a score will be assigned depending on the</w:t>
      </w:r>
      <w:r>
        <w:rPr>
          <w:rFonts w:cstheme="minorHAnsi"/>
          <w:szCs w:val="20"/>
        </w:rPr>
        <w:t xml:space="preserve"> expected</w:t>
      </w:r>
      <w:r w:rsidRPr="000E0EE0">
        <w:rPr>
          <w:rFonts w:cstheme="minorHAnsi"/>
          <w:szCs w:val="20"/>
        </w:rPr>
        <w:t xml:space="preserve"> impact of the option on each of the criteria measured relative to the base case. A rating scale from -10 to +10 (as shown in </w:t>
      </w:r>
      <w:r w:rsidR="006664D1">
        <w:rPr>
          <w:rFonts w:cstheme="minorHAnsi"/>
          <w:szCs w:val="20"/>
        </w:rPr>
        <w:fldChar w:fldCharType="begin"/>
      </w:r>
      <w:r w:rsidR="006664D1">
        <w:rPr>
          <w:rFonts w:cstheme="minorHAnsi"/>
          <w:szCs w:val="20"/>
        </w:rPr>
        <w:instrText xml:space="preserve"> REF _Ref534901447 \h  \* MERGEFORMAT </w:instrText>
      </w:r>
      <w:r w:rsidR="006664D1">
        <w:rPr>
          <w:rFonts w:cstheme="minorHAnsi"/>
          <w:szCs w:val="20"/>
        </w:rPr>
      </w:r>
      <w:r w:rsidR="006664D1">
        <w:rPr>
          <w:rFonts w:cstheme="minorHAnsi"/>
          <w:szCs w:val="20"/>
        </w:rPr>
        <w:fldChar w:fldCharType="separate"/>
      </w:r>
      <w:r w:rsidR="00277F6E" w:rsidRPr="00277F6E">
        <w:rPr>
          <w:rFonts w:cstheme="minorHAnsi"/>
          <w:szCs w:val="20"/>
        </w:rPr>
        <w:t>Table 7</w:t>
      </w:r>
      <w:r w:rsidR="00277F6E" w:rsidRPr="00277F6E">
        <w:rPr>
          <w:rFonts w:cstheme="minorHAnsi"/>
          <w:szCs w:val="20"/>
        </w:rPr>
        <w:noBreakHyphen/>
        <w:t>29</w:t>
      </w:r>
      <w:r w:rsidR="006664D1">
        <w:rPr>
          <w:rFonts w:cstheme="minorHAnsi"/>
          <w:szCs w:val="20"/>
        </w:rPr>
        <w:fldChar w:fldCharType="end"/>
      </w:r>
      <w:r w:rsidR="006664D1">
        <w:rPr>
          <w:rFonts w:cstheme="minorHAnsi"/>
          <w:szCs w:val="20"/>
        </w:rPr>
        <w:t xml:space="preserve"> </w:t>
      </w:r>
      <w:r w:rsidRPr="000E0EE0">
        <w:rPr>
          <w:rFonts w:cstheme="minorHAnsi"/>
          <w:szCs w:val="20"/>
        </w:rPr>
        <w:fldChar w:fldCharType="begin"/>
      </w:r>
      <w:r w:rsidRPr="000E0EE0">
        <w:rPr>
          <w:rFonts w:cstheme="minorHAnsi"/>
          <w:szCs w:val="20"/>
        </w:rPr>
        <w:instrText xml:space="preserve"> REF _Ref534901456 \p </w:instrText>
      </w:r>
      <w:r>
        <w:rPr>
          <w:rFonts w:cstheme="minorHAnsi"/>
          <w:szCs w:val="20"/>
        </w:rPr>
        <w:instrText xml:space="preserve"> \* MERGEFORMAT </w:instrText>
      </w:r>
      <w:r w:rsidRPr="000E0EE0">
        <w:rPr>
          <w:rFonts w:cstheme="minorHAnsi"/>
          <w:szCs w:val="20"/>
        </w:rPr>
        <w:fldChar w:fldCharType="separate"/>
      </w:r>
      <w:r w:rsidR="00277F6E">
        <w:rPr>
          <w:rFonts w:cstheme="minorHAnsi"/>
          <w:szCs w:val="20"/>
        </w:rPr>
        <w:t>below</w:t>
      </w:r>
      <w:r w:rsidRPr="000E0EE0">
        <w:rPr>
          <w:rFonts w:cstheme="minorHAnsi"/>
          <w:szCs w:val="20"/>
        </w:rPr>
        <w:fldChar w:fldCharType="end"/>
      </w:r>
      <w:r w:rsidRPr="000E0EE0">
        <w:rPr>
          <w:rFonts w:cstheme="minorHAnsi"/>
          <w:szCs w:val="20"/>
        </w:rPr>
        <w:t>) w</w:t>
      </w:r>
      <w:r>
        <w:rPr>
          <w:rFonts w:cstheme="minorHAnsi"/>
          <w:szCs w:val="20"/>
        </w:rPr>
        <w:t>ill be</w:t>
      </w:r>
      <w:r w:rsidRPr="000E0EE0">
        <w:rPr>
          <w:rFonts w:cstheme="minorHAnsi"/>
          <w:szCs w:val="20"/>
        </w:rPr>
        <w:t xml:space="preserve"> applied against each criterion</w:t>
      </w:r>
      <w:r>
        <w:rPr>
          <w:rFonts w:cstheme="minorHAnsi"/>
          <w:szCs w:val="20"/>
        </w:rPr>
        <w:t>.</w:t>
      </w:r>
      <w:r w:rsidRPr="000E0EE0">
        <w:rPr>
          <w:rFonts w:cstheme="minorHAnsi"/>
          <w:szCs w:val="20"/>
        </w:rPr>
        <w:t xml:space="preserve"> The base case </w:t>
      </w:r>
      <w:r>
        <w:rPr>
          <w:rFonts w:cstheme="minorHAnsi"/>
          <w:szCs w:val="20"/>
        </w:rPr>
        <w:t>has</w:t>
      </w:r>
      <w:r w:rsidRPr="000E0EE0">
        <w:rPr>
          <w:rFonts w:cstheme="minorHAnsi"/>
          <w:szCs w:val="20"/>
        </w:rPr>
        <w:t xml:space="preserve"> a zero score on all criteria.</w:t>
      </w:r>
    </w:p>
    <w:p w14:paraId="016E50FA" w14:textId="77777777" w:rsidR="00C41C67" w:rsidRPr="000E0EE0" w:rsidRDefault="00C41C67" w:rsidP="00C41C67">
      <w:pPr>
        <w:rPr>
          <w:rFonts w:cstheme="minorHAnsi"/>
          <w:b/>
          <w:bCs/>
          <w:color w:val="048A8D" w:themeColor="accent1" w:themeShade="BF"/>
          <w:szCs w:val="20"/>
        </w:rPr>
      </w:pPr>
      <w:r>
        <w:rPr>
          <w:rFonts w:cstheme="minorHAnsi"/>
          <w:szCs w:val="20"/>
        </w:rPr>
        <w:lastRenderedPageBreak/>
        <w:t>The fee o</w:t>
      </w:r>
      <w:r w:rsidRPr="000E0EE0">
        <w:rPr>
          <w:rFonts w:cstheme="minorHAnsi"/>
          <w:szCs w:val="20"/>
        </w:rPr>
        <w:t xml:space="preserve">ptions </w:t>
      </w:r>
      <w:r>
        <w:rPr>
          <w:rFonts w:cstheme="minorHAnsi"/>
          <w:szCs w:val="20"/>
        </w:rPr>
        <w:t>will be</w:t>
      </w:r>
      <w:r w:rsidRPr="000E0EE0">
        <w:rPr>
          <w:rFonts w:cstheme="minorHAnsi"/>
          <w:szCs w:val="20"/>
        </w:rPr>
        <w:t xml:space="preserve"> compared and rated by reference to whether the expected outcome resulting from the option represented a positive or negative change relative to the base case. To arrive at the weighted scores for each option, the raw scores w</w:t>
      </w:r>
      <w:r>
        <w:rPr>
          <w:rFonts w:cstheme="minorHAnsi"/>
          <w:szCs w:val="20"/>
        </w:rPr>
        <w:t>ill be</w:t>
      </w:r>
      <w:r w:rsidRPr="000E0EE0">
        <w:rPr>
          <w:rFonts w:cstheme="minorHAnsi"/>
          <w:szCs w:val="20"/>
        </w:rPr>
        <w:t xml:space="preserve"> multiplied by their allocated weighting to give a weighted score.</w:t>
      </w:r>
      <w:bookmarkStart w:id="914" w:name="_Ref501378090"/>
      <w:bookmarkStart w:id="915" w:name="_Toc506824680"/>
      <w:bookmarkStart w:id="916" w:name="_Ref506904690"/>
    </w:p>
    <w:p w14:paraId="002541A5" w14:textId="5DBC1EA5" w:rsidR="00C41C67" w:rsidRPr="00C41C67" w:rsidRDefault="00C41C67" w:rsidP="007620AA">
      <w:pPr>
        <w:pStyle w:val="Caption"/>
        <w:keepNext/>
        <w:spacing w:after="60"/>
        <w:rPr>
          <w:b/>
          <w:i w:val="0"/>
        </w:rPr>
      </w:pPr>
      <w:bookmarkStart w:id="917" w:name="_Ref534901447"/>
      <w:bookmarkStart w:id="918" w:name="_Ref534901456"/>
      <w:bookmarkStart w:id="919" w:name="_Toc37850677"/>
      <w:bookmarkStart w:id="920" w:name="_Toc44437401"/>
      <w:bookmarkStart w:id="921" w:name="_Toc44597472"/>
      <w:bookmarkStart w:id="922" w:name="_Toc44597536"/>
      <w:bookmarkStart w:id="923" w:name="_Toc44600106"/>
      <w:bookmarkStart w:id="924" w:name="_Toc44600561"/>
      <w:bookmarkStart w:id="925" w:name="_Toc44600728"/>
      <w:bookmarkStart w:id="926" w:name="_Toc44601225"/>
      <w:bookmarkStart w:id="927" w:name="_Toc44601278"/>
      <w:bookmarkStart w:id="928" w:name="_Toc44603426"/>
      <w:bookmarkStart w:id="929" w:name="_Toc45704474"/>
      <w:r w:rsidRPr="00C41C67">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29</w:t>
      </w:r>
      <w:r w:rsidR="00D2483C">
        <w:rPr>
          <w:b/>
          <w:i w:val="0"/>
        </w:rPr>
        <w:fldChar w:fldCharType="end"/>
      </w:r>
      <w:bookmarkEnd w:id="914"/>
      <w:bookmarkEnd w:id="917"/>
      <w:r w:rsidR="00206908">
        <w:rPr>
          <w:b/>
          <w:i w:val="0"/>
        </w:rPr>
        <w:t>:</w:t>
      </w:r>
      <w:r w:rsidRPr="00C41C67">
        <w:rPr>
          <w:b/>
          <w:i w:val="0"/>
        </w:rPr>
        <w:t xml:space="preserve"> Options assessment criteria </w:t>
      </w:r>
      <w:r w:rsidRPr="007620AA">
        <w:rPr>
          <w:b/>
          <w:bCs/>
          <w:i w:val="0"/>
          <w:iCs w:val="0"/>
        </w:rPr>
        <w:t>ratings</w:t>
      </w:r>
      <w:bookmarkEnd w:id="915"/>
      <w:bookmarkEnd w:id="916"/>
      <w:bookmarkEnd w:id="918"/>
      <w:bookmarkEnd w:id="919"/>
      <w:bookmarkEnd w:id="920"/>
      <w:bookmarkEnd w:id="921"/>
      <w:bookmarkEnd w:id="922"/>
      <w:r w:rsidR="008B22B3">
        <w:rPr>
          <w:b/>
          <w:i w:val="0"/>
        </w:rPr>
        <w:t xml:space="preserve"> for fee</w:t>
      </w:r>
      <w:r w:rsidR="008A181F">
        <w:rPr>
          <w:b/>
          <w:i w:val="0"/>
        </w:rPr>
        <w:t>s</w:t>
      </w:r>
      <w:bookmarkEnd w:id="923"/>
      <w:bookmarkEnd w:id="924"/>
      <w:bookmarkEnd w:id="925"/>
      <w:bookmarkEnd w:id="926"/>
      <w:bookmarkEnd w:id="927"/>
      <w:bookmarkEnd w:id="928"/>
      <w:bookmarkEnd w:id="929"/>
    </w:p>
    <w:tbl>
      <w:tblPr>
        <w:tblStyle w:val="DOTtable0"/>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7"/>
        <w:gridCol w:w="4508"/>
      </w:tblGrid>
      <w:tr w:rsidR="00C41C67" w:rsidRPr="00B432D5" w14:paraId="4E069AFC" w14:textId="77777777" w:rsidTr="009303EB">
        <w:trPr>
          <w:cnfStyle w:val="100000000000" w:firstRow="1" w:lastRow="0" w:firstColumn="0" w:lastColumn="0" w:oddVBand="0" w:evenVBand="0" w:oddHBand="0" w:evenHBand="0" w:firstRowFirstColumn="0" w:firstRowLastColumn="0" w:lastRowFirstColumn="0" w:lastRowLastColumn="0"/>
          <w:cantSplit/>
        </w:trPr>
        <w:tc>
          <w:tcPr>
            <w:tcW w:w="4507" w:type="dxa"/>
            <w:tcBorders>
              <w:bottom w:val="none" w:sz="0" w:space="0" w:color="auto"/>
            </w:tcBorders>
          </w:tcPr>
          <w:p w14:paraId="3053FA9C" w14:textId="77777777" w:rsidR="00C41C67" w:rsidRPr="00C41C67" w:rsidRDefault="00C41C67" w:rsidP="009303EB">
            <w:pPr>
              <w:keepNext/>
              <w:spacing w:before="60" w:after="60"/>
              <w:jc w:val="center"/>
              <w:rPr>
                <w:rFonts w:cstheme="minorHAnsi"/>
                <w:b w:val="0"/>
                <w:color w:val="auto"/>
                <w:sz w:val="18"/>
              </w:rPr>
            </w:pPr>
            <w:r w:rsidRPr="00C41C67">
              <w:rPr>
                <w:rFonts w:cstheme="minorHAnsi"/>
                <w:color w:val="auto"/>
                <w:sz w:val="18"/>
              </w:rPr>
              <w:t>Type of change</w:t>
            </w:r>
          </w:p>
        </w:tc>
        <w:tc>
          <w:tcPr>
            <w:tcW w:w="4508" w:type="dxa"/>
            <w:tcBorders>
              <w:bottom w:val="none" w:sz="0" w:space="0" w:color="auto"/>
            </w:tcBorders>
          </w:tcPr>
          <w:p w14:paraId="20C20355" w14:textId="77777777" w:rsidR="00C41C67" w:rsidRPr="00C41C67" w:rsidRDefault="00C41C67" w:rsidP="009303EB">
            <w:pPr>
              <w:keepNext/>
              <w:spacing w:before="60" w:after="60"/>
              <w:jc w:val="center"/>
              <w:rPr>
                <w:rFonts w:cstheme="minorHAnsi"/>
                <w:b w:val="0"/>
                <w:color w:val="auto"/>
                <w:sz w:val="18"/>
              </w:rPr>
            </w:pPr>
            <w:r w:rsidRPr="00C41C67">
              <w:rPr>
                <w:rFonts w:cstheme="minorHAnsi"/>
                <w:bCs/>
                <w:color w:val="auto"/>
                <w:kern w:val="24"/>
                <w:sz w:val="18"/>
              </w:rPr>
              <w:t>Range of possible scores</w:t>
            </w:r>
          </w:p>
        </w:tc>
      </w:tr>
      <w:tr w:rsidR="00C41C67" w:rsidRPr="00B432D5" w14:paraId="2A280D94" w14:textId="77777777" w:rsidTr="009303EB">
        <w:trPr>
          <w:cnfStyle w:val="000000100000" w:firstRow="0" w:lastRow="0" w:firstColumn="0" w:lastColumn="0" w:oddVBand="0" w:evenVBand="0" w:oddHBand="1" w:evenHBand="0" w:firstRowFirstColumn="0" w:firstRowLastColumn="0" w:lastRowFirstColumn="0" w:lastRowLastColumn="0"/>
          <w:cantSplit/>
        </w:trPr>
        <w:tc>
          <w:tcPr>
            <w:tcW w:w="4507" w:type="dxa"/>
            <w:tcBorders>
              <w:top w:val="none" w:sz="0" w:space="0" w:color="auto"/>
            </w:tcBorders>
          </w:tcPr>
          <w:p w14:paraId="6E749DD8" w14:textId="77777777" w:rsidR="00C41C67" w:rsidRPr="00C41C67" w:rsidRDefault="00C41C67" w:rsidP="009303EB">
            <w:pPr>
              <w:keepNext/>
              <w:spacing w:before="60" w:after="60"/>
              <w:rPr>
                <w:rFonts w:cstheme="minorHAnsi"/>
                <w:sz w:val="18"/>
              </w:rPr>
            </w:pPr>
            <w:r w:rsidRPr="00C41C67">
              <w:rPr>
                <w:rFonts w:cstheme="minorHAnsi"/>
                <w:kern w:val="24"/>
                <w:sz w:val="18"/>
              </w:rPr>
              <w:t xml:space="preserve">Negative change </w:t>
            </w:r>
          </w:p>
        </w:tc>
        <w:tc>
          <w:tcPr>
            <w:tcW w:w="4508" w:type="dxa"/>
            <w:tcBorders>
              <w:top w:val="none" w:sz="0" w:space="0" w:color="auto"/>
            </w:tcBorders>
          </w:tcPr>
          <w:p w14:paraId="0AD861AE" w14:textId="77777777" w:rsidR="00C41C67" w:rsidRPr="00C41C67" w:rsidRDefault="00C41C67" w:rsidP="009303EB">
            <w:pPr>
              <w:keepNext/>
              <w:spacing w:before="60" w:after="60"/>
              <w:jc w:val="center"/>
              <w:rPr>
                <w:rFonts w:cstheme="minorHAnsi"/>
                <w:sz w:val="18"/>
              </w:rPr>
            </w:pPr>
            <w:r w:rsidRPr="00C41C67">
              <w:rPr>
                <w:rFonts w:cstheme="minorHAnsi"/>
                <w:kern w:val="24"/>
                <w:sz w:val="18"/>
              </w:rPr>
              <w:t>-10 to -1</w:t>
            </w:r>
          </w:p>
        </w:tc>
      </w:tr>
      <w:tr w:rsidR="00C41C67" w:rsidRPr="00B432D5" w14:paraId="694028CD" w14:textId="77777777" w:rsidTr="009303EB">
        <w:trPr>
          <w:cnfStyle w:val="000000010000" w:firstRow="0" w:lastRow="0" w:firstColumn="0" w:lastColumn="0" w:oddVBand="0" w:evenVBand="0" w:oddHBand="0" w:evenHBand="1" w:firstRowFirstColumn="0" w:firstRowLastColumn="0" w:lastRowFirstColumn="0" w:lastRowLastColumn="0"/>
          <w:cantSplit/>
        </w:trPr>
        <w:tc>
          <w:tcPr>
            <w:tcW w:w="4507" w:type="dxa"/>
            <w:tcBorders>
              <w:top w:val="none" w:sz="0" w:space="0" w:color="auto"/>
            </w:tcBorders>
          </w:tcPr>
          <w:p w14:paraId="5D9DB789" w14:textId="77777777" w:rsidR="00C41C67" w:rsidRPr="00C41C67" w:rsidRDefault="00C41C67" w:rsidP="009303EB">
            <w:pPr>
              <w:keepNext/>
              <w:spacing w:before="60" w:after="60"/>
              <w:ind w:left="462"/>
              <w:rPr>
                <w:rFonts w:cstheme="minorHAnsi"/>
                <w:kern w:val="24"/>
                <w:sz w:val="18"/>
              </w:rPr>
            </w:pPr>
            <w:r w:rsidRPr="00C41C67">
              <w:rPr>
                <w:rFonts w:cstheme="minorHAnsi"/>
                <w:kern w:val="24"/>
                <w:sz w:val="18"/>
              </w:rPr>
              <w:t>Significantly worse than the base case</w:t>
            </w:r>
          </w:p>
        </w:tc>
        <w:tc>
          <w:tcPr>
            <w:tcW w:w="4508" w:type="dxa"/>
            <w:tcBorders>
              <w:top w:val="none" w:sz="0" w:space="0" w:color="auto"/>
            </w:tcBorders>
          </w:tcPr>
          <w:p w14:paraId="0696FBA2" w14:textId="77777777" w:rsidR="00C41C67" w:rsidRPr="00C41C67" w:rsidRDefault="00C41C67" w:rsidP="009303EB">
            <w:pPr>
              <w:keepNext/>
              <w:spacing w:before="60" w:after="60"/>
              <w:jc w:val="center"/>
              <w:rPr>
                <w:rFonts w:cstheme="minorHAnsi"/>
                <w:kern w:val="24"/>
                <w:sz w:val="18"/>
              </w:rPr>
            </w:pPr>
            <w:r w:rsidRPr="00C41C67">
              <w:rPr>
                <w:rFonts w:cstheme="minorHAnsi"/>
                <w:kern w:val="24"/>
                <w:sz w:val="18"/>
              </w:rPr>
              <w:t>-10</w:t>
            </w:r>
          </w:p>
        </w:tc>
      </w:tr>
      <w:tr w:rsidR="00C41C67" w:rsidRPr="00B432D5" w14:paraId="6DDD78D2" w14:textId="77777777" w:rsidTr="009303EB">
        <w:trPr>
          <w:cnfStyle w:val="000000100000" w:firstRow="0" w:lastRow="0" w:firstColumn="0" w:lastColumn="0" w:oddVBand="0" w:evenVBand="0" w:oddHBand="1" w:evenHBand="0" w:firstRowFirstColumn="0" w:firstRowLastColumn="0" w:lastRowFirstColumn="0" w:lastRowLastColumn="0"/>
          <w:cantSplit/>
        </w:trPr>
        <w:tc>
          <w:tcPr>
            <w:tcW w:w="4507" w:type="dxa"/>
            <w:tcBorders>
              <w:top w:val="none" w:sz="0" w:space="0" w:color="auto"/>
            </w:tcBorders>
          </w:tcPr>
          <w:p w14:paraId="5D6A2E17" w14:textId="77777777" w:rsidR="00C41C67" w:rsidRPr="00C41C67" w:rsidRDefault="00C41C67" w:rsidP="009303EB">
            <w:pPr>
              <w:keepNext/>
              <w:spacing w:before="60" w:after="60"/>
              <w:ind w:left="462"/>
              <w:rPr>
                <w:rFonts w:cstheme="minorHAnsi"/>
                <w:kern w:val="24"/>
                <w:sz w:val="18"/>
              </w:rPr>
            </w:pPr>
            <w:r w:rsidRPr="00C41C67">
              <w:rPr>
                <w:rFonts w:cstheme="minorHAnsi"/>
                <w:kern w:val="24"/>
                <w:sz w:val="18"/>
              </w:rPr>
              <w:t>Moderately worse than the base case</w:t>
            </w:r>
          </w:p>
        </w:tc>
        <w:tc>
          <w:tcPr>
            <w:tcW w:w="4508" w:type="dxa"/>
            <w:tcBorders>
              <w:top w:val="none" w:sz="0" w:space="0" w:color="auto"/>
            </w:tcBorders>
          </w:tcPr>
          <w:p w14:paraId="4D771E98" w14:textId="77777777" w:rsidR="00C41C67" w:rsidRPr="00C41C67" w:rsidRDefault="00C41C67" w:rsidP="009303EB">
            <w:pPr>
              <w:keepNext/>
              <w:spacing w:before="60" w:after="60"/>
              <w:jc w:val="center"/>
              <w:rPr>
                <w:rFonts w:cstheme="minorHAnsi"/>
                <w:kern w:val="24"/>
                <w:sz w:val="18"/>
              </w:rPr>
            </w:pPr>
            <w:r w:rsidRPr="00C41C67">
              <w:rPr>
                <w:rFonts w:cstheme="minorHAnsi"/>
                <w:kern w:val="24"/>
                <w:sz w:val="18"/>
              </w:rPr>
              <w:t>-5</w:t>
            </w:r>
          </w:p>
        </w:tc>
      </w:tr>
      <w:tr w:rsidR="00C41C67" w:rsidRPr="00B432D5" w14:paraId="1FBE105F" w14:textId="77777777" w:rsidTr="009303EB">
        <w:trPr>
          <w:cnfStyle w:val="000000010000" w:firstRow="0" w:lastRow="0" w:firstColumn="0" w:lastColumn="0" w:oddVBand="0" w:evenVBand="0" w:oddHBand="0" w:evenHBand="1" w:firstRowFirstColumn="0" w:firstRowLastColumn="0" w:lastRowFirstColumn="0" w:lastRowLastColumn="0"/>
          <w:cantSplit/>
        </w:trPr>
        <w:tc>
          <w:tcPr>
            <w:tcW w:w="4507" w:type="dxa"/>
            <w:tcBorders>
              <w:top w:val="none" w:sz="0" w:space="0" w:color="auto"/>
            </w:tcBorders>
          </w:tcPr>
          <w:p w14:paraId="6470F4B1" w14:textId="77777777" w:rsidR="00C41C67" w:rsidRPr="00C41C67" w:rsidRDefault="00C41C67" w:rsidP="009303EB">
            <w:pPr>
              <w:keepNext/>
              <w:spacing w:before="60" w:after="60"/>
              <w:rPr>
                <w:rFonts w:cstheme="minorHAnsi"/>
                <w:sz w:val="18"/>
              </w:rPr>
            </w:pPr>
            <w:r w:rsidRPr="00C41C67">
              <w:rPr>
                <w:rFonts w:cstheme="minorHAnsi"/>
                <w:kern w:val="24"/>
                <w:sz w:val="18"/>
              </w:rPr>
              <w:t xml:space="preserve">No change </w:t>
            </w:r>
          </w:p>
        </w:tc>
        <w:tc>
          <w:tcPr>
            <w:tcW w:w="4508" w:type="dxa"/>
            <w:tcBorders>
              <w:top w:val="none" w:sz="0" w:space="0" w:color="auto"/>
            </w:tcBorders>
          </w:tcPr>
          <w:p w14:paraId="5C68136C" w14:textId="77777777" w:rsidR="00C41C67" w:rsidRPr="00C41C67" w:rsidRDefault="00C41C67" w:rsidP="009303EB">
            <w:pPr>
              <w:keepNext/>
              <w:spacing w:before="60" w:after="60"/>
              <w:jc w:val="center"/>
              <w:rPr>
                <w:rFonts w:cstheme="minorHAnsi"/>
                <w:sz w:val="18"/>
              </w:rPr>
            </w:pPr>
            <w:r w:rsidRPr="00C41C67">
              <w:rPr>
                <w:rFonts w:cstheme="minorHAnsi"/>
                <w:kern w:val="24"/>
                <w:sz w:val="18"/>
              </w:rPr>
              <w:t xml:space="preserve">0 </w:t>
            </w:r>
          </w:p>
        </w:tc>
      </w:tr>
      <w:tr w:rsidR="00C41C67" w:rsidRPr="00B432D5" w14:paraId="2995CB5E" w14:textId="77777777" w:rsidTr="009303EB">
        <w:trPr>
          <w:cnfStyle w:val="000000100000" w:firstRow="0" w:lastRow="0" w:firstColumn="0" w:lastColumn="0" w:oddVBand="0" w:evenVBand="0" w:oddHBand="1" w:evenHBand="0" w:firstRowFirstColumn="0" w:firstRowLastColumn="0" w:lastRowFirstColumn="0" w:lastRowLastColumn="0"/>
          <w:cantSplit/>
        </w:trPr>
        <w:tc>
          <w:tcPr>
            <w:tcW w:w="4507" w:type="dxa"/>
            <w:tcBorders>
              <w:top w:val="none" w:sz="0" w:space="0" w:color="auto"/>
            </w:tcBorders>
          </w:tcPr>
          <w:p w14:paraId="5986C2D5" w14:textId="77777777" w:rsidR="00C41C67" w:rsidRPr="00C41C67" w:rsidRDefault="00C41C67" w:rsidP="009303EB">
            <w:pPr>
              <w:keepNext/>
              <w:spacing w:before="60" w:after="60"/>
              <w:rPr>
                <w:rFonts w:cstheme="minorHAnsi"/>
                <w:sz w:val="18"/>
              </w:rPr>
            </w:pPr>
            <w:r w:rsidRPr="00C41C67">
              <w:rPr>
                <w:rFonts w:cstheme="minorHAnsi"/>
                <w:kern w:val="24"/>
                <w:sz w:val="18"/>
              </w:rPr>
              <w:t xml:space="preserve">Positive change </w:t>
            </w:r>
          </w:p>
        </w:tc>
        <w:tc>
          <w:tcPr>
            <w:tcW w:w="4508" w:type="dxa"/>
            <w:tcBorders>
              <w:top w:val="none" w:sz="0" w:space="0" w:color="auto"/>
            </w:tcBorders>
          </w:tcPr>
          <w:p w14:paraId="21ED59AB" w14:textId="77777777" w:rsidR="00C41C67" w:rsidRPr="00C41C67" w:rsidRDefault="00C41C67" w:rsidP="009303EB">
            <w:pPr>
              <w:keepNext/>
              <w:spacing w:before="60" w:after="60"/>
              <w:jc w:val="center"/>
              <w:rPr>
                <w:rFonts w:cstheme="minorHAnsi"/>
                <w:sz w:val="18"/>
              </w:rPr>
            </w:pPr>
            <w:r w:rsidRPr="00C41C67">
              <w:rPr>
                <w:rFonts w:cstheme="minorHAnsi"/>
                <w:kern w:val="24"/>
                <w:sz w:val="18"/>
              </w:rPr>
              <w:t xml:space="preserve">+1 to +10 </w:t>
            </w:r>
          </w:p>
        </w:tc>
      </w:tr>
      <w:tr w:rsidR="00C41C67" w:rsidRPr="00B432D5" w14:paraId="2E3D6CC0" w14:textId="77777777" w:rsidTr="009303EB">
        <w:trPr>
          <w:cnfStyle w:val="000000010000" w:firstRow="0" w:lastRow="0" w:firstColumn="0" w:lastColumn="0" w:oddVBand="0" w:evenVBand="0" w:oddHBand="0" w:evenHBand="1" w:firstRowFirstColumn="0" w:firstRowLastColumn="0" w:lastRowFirstColumn="0" w:lastRowLastColumn="0"/>
          <w:cantSplit/>
        </w:trPr>
        <w:tc>
          <w:tcPr>
            <w:tcW w:w="4507" w:type="dxa"/>
            <w:tcBorders>
              <w:top w:val="none" w:sz="0" w:space="0" w:color="auto"/>
            </w:tcBorders>
          </w:tcPr>
          <w:p w14:paraId="72A78B3E" w14:textId="77777777" w:rsidR="00C41C67" w:rsidRPr="00C41C67" w:rsidRDefault="00C41C67" w:rsidP="009303EB">
            <w:pPr>
              <w:keepNext/>
              <w:spacing w:before="60" w:after="60"/>
              <w:ind w:left="462"/>
              <w:rPr>
                <w:rFonts w:cstheme="minorHAnsi"/>
                <w:kern w:val="24"/>
                <w:sz w:val="18"/>
              </w:rPr>
            </w:pPr>
            <w:r w:rsidRPr="00C41C67">
              <w:rPr>
                <w:rFonts w:cstheme="minorHAnsi"/>
                <w:kern w:val="24"/>
                <w:sz w:val="18"/>
              </w:rPr>
              <w:t>Moderately better than the base case</w:t>
            </w:r>
          </w:p>
        </w:tc>
        <w:tc>
          <w:tcPr>
            <w:tcW w:w="4508" w:type="dxa"/>
            <w:tcBorders>
              <w:top w:val="none" w:sz="0" w:space="0" w:color="auto"/>
            </w:tcBorders>
          </w:tcPr>
          <w:p w14:paraId="2095CF46" w14:textId="77777777" w:rsidR="00C41C67" w:rsidRPr="00C41C67" w:rsidRDefault="00C41C67" w:rsidP="009303EB">
            <w:pPr>
              <w:keepNext/>
              <w:spacing w:before="60" w:after="60"/>
              <w:jc w:val="center"/>
              <w:rPr>
                <w:rFonts w:cstheme="minorHAnsi"/>
                <w:kern w:val="24"/>
                <w:sz w:val="18"/>
              </w:rPr>
            </w:pPr>
            <w:r w:rsidRPr="00C41C67">
              <w:rPr>
                <w:rFonts w:cstheme="minorHAnsi"/>
                <w:kern w:val="24"/>
                <w:sz w:val="18"/>
              </w:rPr>
              <w:t>+5</w:t>
            </w:r>
          </w:p>
        </w:tc>
      </w:tr>
      <w:tr w:rsidR="00C41C67" w:rsidRPr="00B432D5" w14:paraId="70D2670E" w14:textId="77777777" w:rsidTr="009303EB">
        <w:trPr>
          <w:cnfStyle w:val="000000100000" w:firstRow="0" w:lastRow="0" w:firstColumn="0" w:lastColumn="0" w:oddVBand="0" w:evenVBand="0" w:oddHBand="1" w:evenHBand="0" w:firstRowFirstColumn="0" w:firstRowLastColumn="0" w:lastRowFirstColumn="0" w:lastRowLastColumn="0"/>
          <w:cantSplit/>
        </w:trPr>
        <w:tc>
          <w:tcPr>
            <w:tcW w:w="4507" w:type="dxa"/>
            <w:tcBorders>
              <w:top w:val="none" w:sz="0" w:space="0" w:color="auto"/>
            </w:tcBorders>
          </w:tcPr>
          <w:p w14:paraId="0581BDB2" w14:textId="77777777" w:rsidR="00C41C67" w:rsidRPr="00C41C67" w:rsidRDefault="00C41C67" w:rsidP="009303EB">
            <w:pPr>
              <w:keepNext/>
              <w:spacing w:before="60" w:after="60"/>
              <w:ind w:left="462"/>
              <w:rPr>
                <w:rFonts w:cstheme="minorHAnsi"/>
                <w:kern w:val="24"/>
                <w:sz w:val="18"/>
              </w:rPr>
            </w:pPr>
            <w:r w:rsidRPr="00C41C67">
              <w:rPr>
                <w:rFonts w:cstheme="minorHAnsi"/>
                <w:kern w:val="24"/>
                <w:sz w:val="18"/>
              </w:rPr>
              <w:t>Significantly better than the base case</w:t>
            </w:r>
          </w:p>
        </w:tc>
        <w:tc>
          <w:tcPr>
            <w:tcW w:w="4508" w:type="dxa"/>
            <w:tcBorders>
              <w:top w:val="none" w:sz="0" w:space="0" w:color="auto"/>
            </w:tcBorders>
          </w:tcPr>
          <w:p w14:paraId="5D571520" w14:textId="77777777" w:rsidR="00C41C67" w:rsidRPr="00C41C67" w:rsidRDefault="00C41C67" w:rsidP="009303EB">
            <w:pPr>
              <w:keepNext/>
              <w:spacing w:before="60" w:after="60"/>
              <w:jc w:val="center"/>
              <w:rPr>
                <w:rFonts w:cstheme="minorHAnsi"/>
                <w:kern w:val="24"/>
                <w:sz w:val="18"/>
              </w:rPr>
            </w:pPr>
            <w:r w:rsidRPr="00C41C67">
              <w:rPr>
                <w:rFonts w:cstheme="minorHAnsi"/>
                <w:kern w:val="24"/>
                <w:sz w:val="18"/>
              </w:rPr>
              <w:t>+10</w:t>
            </w:r>
          </w:p>
        </w:tc>
      </w:tr>
    </w:tbl>
    <w:p w14:paraId="52C87CA5" w14:textId="5E0A8516" w:rsidR="00C41C67" w:rsidRDefault="00C41C67" w:rsidP="00C41C67">
      <w:pPr>
        <w:pStyle w:val="Heading3"/>
      </w:pPr>
      <w:bookmarkStart w:id="930" w:name="_Toc45704386"/>
      <w:r>
        <w:t xml:space="preserve">Assessment of </w:t>
      </w:r>
      <w:r w:rsidR="009B49B6">
        <w:t>o</w:t>
      </w:r>
      <w:r>
        <w:t>ptions</w:t>
      </w:r>
      <w:bookmarkEnd w:id="930"/>
      <w:r>
        <w:t xml:space="preserve"> </w:t>
      </w:r>
    </w:p>
    <w:p w14:paraId="7062A9D1" w14:textId="77777777" w:rsidR="00C41C67" w:rsidRPr="00A82A66" w:rsidRDefault="00C41C67" w:rsidP="00C41C67">
      <w:pPr>
        <w:rPr>
          <w:rFonts w:cstheme="minorHAnsi"/>
          <w:szCs w:val="20"/>
        </w:rPr>
      </w:pPr>
      <w:r w:rsidRPr="00A82A66">
        <w:rPr>
          <w:rFonts w:cstheme="minorHAnsi"/>
          <w:szCs w:val="20"/>
        </w:rPr>
        <w:t>In this section, the three options for recovering the costs of assessing applications for accreditation and other general costs incurred as part of administering the Bus Safety Act. DoT has estimated these costs at $4.4 million.</w:t>
      </w:r>
    </w:p>
    <w:p w14:paraId="1419BC00" w14:textId="7A0BD0A6" w:rsidR="00C41C67" w:rsidRPr="00A82A66" w:rsidRDefault="00C41C67" w:rsidP="00C41C67">
      <w:pPr>
        <w:rPr>
          <w:rFonts w:cstheme="minorHAnsi"/>
          <w:szCs w:val="20"/>
        </w:rPr>
      </w:pPr>
      <w:r w:rsidRPr="00A82A66">
        <w:rPr>
          <w:rFonts w:cstheme="minorHAnsi"/>
          <w:szCs w:val="20"/>
        </w:rPr>
        <w:t>The three options are summarised in</w:t>
      </w:r>
      <w:r w:rsidR="00501D12">
        <w:rPr>
          <w:rFonts w:cstheme="minorHAnsi"/>
          <w:szCs w:val="20"/>
        </w:rPr>
        <w:t xml:space="preserve"> </w:t>
      </w:r>
      <w:r w:rsidR="00501D12">
        <w:rPr>
          <w:rFonts w:cstheme="minorHAnsi"/>
          <w:szCs w:val="20"/>
        </w:rPr>
        <w:fldChar w:fldCharType="begin"/>
      </w:r>
      <w:r w:rsidR="00501D12">
        <w:rPr>
          <w:rFonts w:cstheme="minorHAnsi"/>
          <w:szCs w:val="20"/>
        </w:rPr>
        <w:instrText xml:space="preserve"> REF _Ref41386425 \h  \* MERGEFORMAT </w:instrText>
      </w:r>
      <w:r w:rsidR="00501D12">
        <w:rPr>
          <w:rFonts w:cstheme="minorHAnsi"/>
          <w:szCs w:val="20"/>
        </w:rPr>
      </w:r>
      <w:r w:rsidR="00501D12">
        <w:rPr>
          <w:rFonts w:cstheme="minorHAnsi"/>
          <w:szCs w:val="20"/>
        </w:rPr>
        <w:fldChar w:fldCharType="separate"/>
      </w:r>
      <w:r w:rsidR="00277F6E" w:rsidRPr="00277F6E">
        <w:rPr>
          <w:rFonts w:cstheme="minorHAnsi"/>
          <w:szCs w:val="20"/>
        </w:rPr>
        <w:t>Table 7</w:t>
      </w:r>
      <w:r w:rsidR="00277F6E" w:rsidRPr="00277F6E">
        <w:rPr>
          <w:rFonts w:cstheme="minorHAnsi"/>
          <w:szCs w:val="20"/>
        </w:rPr>
        <w:noBreakHyphen/>
        <w:t>30</w:t>
      </w:r>
      <w:r w:rsidR="00501D12">
        <w:rPr>
          <w:rFonts w:cstheme="minorHAnsi"/>
          <w:szCs w:val="20"/>
        </w:rPr>
        <w:fldChar w:fldCharType="end"/>
      </w:r>
      <w:r w:rsidRPr="00A82A66">
        <w:rPr>
          <w:rFonts w:cstheme="minorHAnsi"/>
          <w:szCs w:val="20"/>
        </w:rPr>
        <w:t>. This table also outlines the fee amounts for each fee under each option in fee units and 2019-20 dollar values. An estimate of the revenue expected to be collected and the cost recovery level is also provided.</w:t>
      </w:r>
    </w:p>
    <w:p w14:paraId="2452F46D" w14:textId="3533376B" w:rsidR="00C41C67" w:rsidRPr="00501D12" w:rsidRDefault="00C41C67" w:rsidP="007620AA">
      <w:pPr>
        <w:pStyle w:val="Caption"/>
        <w:keepNext/>
        <w:spacing w:after="60"/>
        <w:rPr>
          <w:b/>
          <w:i w:val="0"/>
        </w:rPr>
      </w:pPr>
      <w:bookmarkStart w:id="931" w:name="_Ref41386425"/>
      <w:bookmarkStart w:id="932" w:name="_Toc44437402"/>
      <w:bookmarkStart w:id="933" w:name="_Toc44597473"/>
      <w:bookmarkStart w:id="934" w:name="_Toc44597537"/>
      <w:bookmarkStart w:id="935" w:name="_Toc44600107"/>
      <w:bookmarkStart w:id="936" w:name="_Toc44600562"/>
      <w:bookmarkStart w:id="937" w:name="_Toc44600729"/>
      <w:bookmarkStart w:id="938" w:name="_Toc44601226"/>
      <w:bookmarkStart w:id="939" w:name="_Toc44601279"/>
      <w:bookmarkStart w:id="940" w:name="_Toc44603427"/>
      <w:bookmarkStart w:id="941" w:name="_Toc45704475"/>
      <w:r w:rsidRPr="00501D12">
        <w:rPr>
          <w:b/>
          <w:i w:val="0"/>
        </w:rPr>
        <w:lastRenderedPageBreak/>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30</w:t>
      </w:r>
      <w:r w:rsidR="00D2483C">
        <w:rPr>
          <w:b/>
          <w:i w:val="0"/>
        </w:rPr>
        <w:fldChar w:fldCharType="end"/>
      </w:r>
      <w:bookmarkEnd w:id="931"/>
      <w:r w:rsidRPr="00501D12">
        <w:rPr>
          <w:b/>
          <w:i w:val="0"/>
        </w:rPr>
        <w:t xml:space="preserve">: </w:t>
      </w:r>
      <w:r w:rsidRPr="007620AA">
        <w:rPr>
          <w:b/>
          <w:bCs/>
          <w:i w:val="0"/>
          <w:iCs w:val="0"/>
        </w:rPr>
        <w:t>Summary</w:t>
      </w:r>
      <w:r w:rsidRPr="00501D12">
        <w:rPr>
          <w:b/>
          <w:i w:val="0"/>
        </w:rPr>
        <w:t xml:space="preserve"> of fees and estimated revenue under each </w:t>
      </w:r>
      <w:r w:rsidR="00A66910">
        <w:rPr>
          <w:b/>
          <w:i w:val="0"/>
        </w:rPr>
        <w:t xml:space="preserve">fee </w:t>
      </w:r>
      <w:r w:rsidRPr="00501D12">
        <w:rPr>
          <w:b/>
          <w:i w:val="0"/>
        </w:rPr>
        <w:t>option</w:t>
      </w:r>
      <w:bookmarkEnd w:id="932"/>
      <w:bookmarkEnd w:id="933"/>
      <w:bookmarkEnd w:id="934"/>
      <w:bookmarkEnd w:id="935"/>
      <w:bookmarkEnd w:id="936"/>
      <w:bookmarkEnd w:id="937"/>
      <w:bookmarkEnd w:id="938"/>
      <w:bookmarkEnd w:id="939"/>
      <w:bookmarkEnd w:id="940"/>
      <w:bookmarkEnd w:id="941"/>
      <w:r w:rsidRPr="00501D12">
        <w:rPr>
          <w:b/>
          <w:i w:val="0"/>
        </w:rPr>
        <w:t xml:space="preserve"> </w:t>
      </w:r>
    </w:p>
    <w:tbl>
      <w:tblPr>
        <w:tblStyle w:val="DOTtable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2401"/>
        <w:gridCol w:w="1405"/>
        <w:gridCol w:w="1406"/>
        <w:gridCol w:w="1406"/>
        <w:gridCol w:w="1406"/>
      </w:tblGrid>
      <w:tr w:rsidR="00C41C67" w14:paraId="4AA553C5" w14:textId="77777777" w:rsidTr="009303EB">
        <w:trPr>
          <w:cnfStyle w:val="100000000000" w:firstRow="1" w:lastRow="0" w:firstColumn="0" w:lastColumn="0" w:oddVBand="0" w:evenVBand="0" w:oddHBand="0" w:evenHBand="0" w:firstRowFirstColumn="0" w:firstRowLastColumn="0" w:lastRowFirstColumn="0" w:lastRowLastColumn="0"/>
          <w:cantSplit/>
        </w:trPr>
        <w:tc>
          <w:tcPr>
            <w:tcW w:w="986" w:type="dxa"/>
            <w:tcBorders>
              <w:bottom w:val="none" w:sz="0" w:space="0" w:color="auto"/>
            </w:tcBorders>
          </w:tcPr>
          <w:p w14:paraId="1D77C6A0" w14:textId="77777777" w:rsidR="00C41C67" w:rsidRPr="00C41C67" w:rsidRDefault="00C41C67" w:rsidP="009303EB">
            <w:pPr>
              <w:keepNext/>
              <w:spacing w:before="60" w:after="60"/>
              <w:jc w:val="center"/>
              <w:rPr>
                <w:sz w:val="18"/>
              </w:rPr>
            </w:pPr>
          </w:p>
        </w:tc>
        <w:tc>
          <w:tcPr>
            <w:tcW w:w="2401" w:type="dxa"/>
            <w:tcBorders>
              <w:bottom w:val="none" w:sz="0" w:space="0" w:color="auto"/>
            </w:tcBorders>
          </w:tcPr>
          <w:p w14:paraId="170BB77A" w14:textId="77777777" w:rsidR="00C41C67" w:rsidRPr="00C41C67" w:rsidRDefault="00C41C67" w:rsidP="009303EB">
            <w:pPr>
              <w:keepNext/>
              <w:spacing w:before="60" w:after="60"/>
              <w:jc w:val="center"/>
              <w:rPr>
                <w:sz w:val="18"/>
              </w:rPr>
            </w:pPr>
            <w:r w:rsidRPr="00C41C67">
              <w:rPr>
                <w:sz w:val="18"/>
              </w:rPr>
              <w:t>Fee type</w:t>
            </w:r>
          </w:p>
        </w:tc>
        <w:tc>
          <w:tcPr>
            <w:tcW w:w="1405" w:type="dxa"/>
            <w:tcBorders>
              <w:bottom w:val="none" w:sz="0" w:space="0" w:color="auto"/>
            </w:tcBorders>
          </w:tcPr>
          <w:p w14:paraId="378A8482" w14:textId="77777777" w:rsidR="00C41C67" w:rsidRPr="00C41C67" w:rsidRDefault="00C41C67" w:rsidP="009303EB">
            <w:pPr>
              <w:keepNext/>
              <w:spacing w:before="60" w:after="60"/>
              <w:jc w:val="center"/>
              <w:rPr>
                <w:sz w:val="18"/>
              </w:rPr>
            </w:pPr>
            <w:r w:rsidRPr="00C41C67">
              <w:rPr>
                <w:sz w:val="18"/>
              </w:rPr>
              <w:t>Proposed fee in fee units</w:t>
            </w:r>
          </w:p>
        </w:tc>
        <w:tc>
          <w:tcPr>
            <w:tcW w:w="1406" w:type="dxa"/>
            <w:tcBorders>
              <w:bottom w:val="none" w:sz="0" w:space="0" w:color="auto"/>
            </w:tcBorders>
          </w:tcPr>
          <w:p w14:paraId="580A4A1D" w14:textId="77777777" w:rsidR="00C41C67" w:rsidRPr="00C41C67" w:rsidRDefault="00C41C67" w:rsidP="009303EB">
            <w:pPr>
              <w:keepNext/>
              <w:spacing w:before="60" w:after="60"/>
              <w:jc w:val="center"/>
              <w:rPr>
                <w:sz w:val="18"/>
              </w:rPr>
            </w:pPr>
            <w:r w:rsidRPr="00C41C67">
              <w:rPr>
                <w:sz w:val="18"/>
              </w:rPr>
              <w:t>Proposed fee in 2019-20 values</w:t>
            </w:r>
          </w:p>
        </w:tc>
        <w:tc>
          <w:tcPr>
            <w:tcW w:w="1406" w:type="dxa"/>
            <w:tcBorders>
              <w:bottom w:val="none" w:sz="0" w:space="0" w:color="auto"/>
            </w:tcBorders>
          </w:tcPr>
          <w:p w14:paraId="1DCA210A" w14:textId="77777777" w:rsidR="00C41C67" w:rsidRPr="00C41C67" w:rsidRDefault="00C41C67" w:rsidP="009303EB">
            <w:pPr>
              <w:keepNext/>
              <w:spacing w:before="60" w:after="60"/>
              <w:jc w:val="center"/>
              <w:rPr>
                <w:sz w:val="18"/>
              </w:rPr>
            </w:pPr>
            <w:r w:rsidRPr="00C41C67">
              <w:rPr>
                <w:sz w:val="18"/>
              </w:rPr>
              <w:t>Estimated Revenue</w:t>
            </w:r>
          </w:p>
        </w:tc>
        <w:tc>
          <w:tcPr>
            <w:tcW w:w="1406" w:type="dxa"/>
            <w:tcBorders>
              <w:bottom w:val="none" w:sz="0" w:space="0" w:color="auto"/>
            </w:tcBorders>
          </w:tcPr>
          <w:p w14:paraId="6E6242B0" w14:textId="77777777" w:rsidR="00C41C67" w:rsidRPr="00C41C67" w:rsidRDefault="00C41C67" w:rsidP="009303EB">
            <w:pPr>
              <w:keepNext/>
              <w:spacing w:before="60" w:after="60"/>
              <w:jc w:val="center"/>
              <w:rPr>
                <w:sz w:val="18"/>
              </w:rPr>
            </w:pPr>
            <w:r w:rsidRPr="00C41C67">
              <w:rPr>
                <w:sz w:val="18"/>
              </w:rPr>
              <w:t>Cost Recovery level (%)</w:t>
            </w:r>
          </w:p>
        </w:tc>
      </w:tr>
      <w:tr w:rsidR="00C41C67" w14:paraId="73885FB4" w14:textId="77777777" w:rsidTr="009303EB">
        <w:trPr>
          <w:cnfStyle w:val="000000100000" w:firstRow="0" w:lastRow="0" w:firstColumn="0" w:lastColumn="0" w:oddVBand="0" w:evenVBand="0" w:oddHBand="1" w:evenHBand="0" w:firstRowFirstColumn="0" w:firstRowLastColumn="0" w:lastRowFirstColumn="0" w:lastRowLastColumn="0"/>
          <w:cantSplit/>
        </w:trPr>
        <w:tc>
          <w:tcPr>
            <w:tcW w:w="986" w:type="dxa"/>
            <w:tcBorders>
              <w:top w:val="none" w:sz="0" w:space="0" w:color="auto"/>
              <w:bottom w:val="dotted" w:sz="4" w:space="0" w:color="auto"/>
            </w:tcBorders>
          </w:tcPr>
          <w:p w14:paraId="15E1E219" w14:textId="1D3966A6" w:rsidR="00C41C67" w:rsidRPr="00C41C67" w:rsidRDefault="006D4C34" w:rsidP="009303EB">
            <w:pPr>
              <w:keepNext/>
              <w:spacing w:before="60" w:after="60"/>
              <w:rPr>
                <w:sz w:val="18"/>
              </w:rPr>
            </w:pPr>
            <w:r w:rsidRPr="00C41C67">
              <w:rPr>
                <w:b/>
                <w:bCs/>
                <w:sz w:val="18"/>
              </w:rPr>
              <w:t>Option 1</w:t>
            </w:r>
          </w:p>
        </w:tc>
        <w:tc>
          <w:tcPr>
            <w:tcW w:w="2401" w:type="dxa"/>
            <w:tcBorders>
              <w:top w:val="none" w:sz="0" w:space="0" w:color="auto"/>
              <w:bottom w:val="dotted" w:sz="4" w:space="0" w:color="auto"/>
            </w:tcBorders>
          </w:tcPr>
          <w:p w14:paraId="15AB9F71" w14:textId="77777777" w:rsidR="00C41C67" w:rsidRPr="00C41C67" w:rsidRDefault="00C41C67" w:rsidP="009303EB">
            <w:pPr>
              <w:keepNext/>
              <w:spacing w:before="60" w:after="60"/>
              <w:rPr>
                <w:sz w:val="18"/>
              </w:rPr>
            </w:pPr>
            <w:r w:rsidRPr="00C41C67">
              <w:rPr>
                <w:sz w:val="18"/>
              </w:rPr>
              <w:t>Application fee for accreditation applications</w:t>
            </w:r>
          </w:p>
        </w:tc>
        <w:tc>
          <w:tcPr>
            <w:tcW w:w="1405" w:type="dxa"/>
            <w:tcBorders>
              <w:top w:val="none" w:sz="0" w:space="0" w:color="auto"/>
              <w:bottom w:val="dotted" w:sz="4" w:space="0" w:color="auto"/>
            </w:tcBorders>
          </w:tcPr>
          <w:p w14:paraId="74107B07" w14:textId="77777777" w:rsidR="00C41C67" w:rsidRPr="00C41C67" w:rsidRDefault="00C41C67" w:rsidP="009303EB">
            <w:pPr>
              <w:keepNext/>
              <w:spacing w:before="60" w:after="60"/>
              <w:rPr>
                <w:sz w:val="18"/>
              </w:rPr>
            </w:pPr>
            <w:r w:rsidRPr="00C41C67">
              <w:rPr>
                <w:sz w:val="18"/>
              </w:rPr>
              <w:t>40</w:t>
            </w:r>
          </w:p>
        </w:tc>
        <w:tc>
          <w:tcPr>
            <w:tcW w:w="1406" w:type="dxa"/>
            <w:tcBorders>
              <w:top w:val="none" w:sz="0" w:space="0" w:color="auto"/>
              <w:bottom w:val="dotted" w:sz="4" w:space="0" w:color="auto"/>
            </w:tcBorders>
          </w:tcPr>
          <w:p w14:paraId="374CB899" w14:textId="77777777" w:rsidR="00C41C67" w:rsidRPr="00C41C67" w:rsidRDefault="00C41C67" w:rsidP="009303EB">
            <w:pPr>
              <w:keepNext/>
              <w:spacing w:before="60" w:after="60"/>
              <w:rPr>
                <w:sz w:val="18"/>
              </w:rPr>
            </w:pPr>
            <w:r w:rsidRPr="00C41C67">
              <w:rPr>
                <w:sz w:val="18"/>
              </w:rPr>
              <w:t>$592.40</w:t>
            </w:r>
          </w:p>
        </w:tc>
        <w:tc>
          <w:tcPr>
            <w:tcW w:w="1406" w:type="dxa"/>
            <w:tcBorders>
              <w:top w:val="none" w:sz="0" w:space="0" w:color="auto"/>
              <w:bottom w:val="dotted" w:sz="4" w:space="0" w:color="auto"/>
            </w:tcBorders>
          </w:tcPr>
          <w:p w14:paraId="1552A591" w14:textId="77777777" w:rsidR="00C41C67" w:rsidRPr="00C41C67" w:rsidRDefault="00C41C67" w:rsidP="009303EB">
            <w:pPr>
              <w:keepNext/>
              <w:spacing w:before="60" w:after="60"/>
              <w:rPr>
                <w:sz w:val="18"/>
              </w:rPr>
            </w:pPr>
            <w:r w:rsidRPr="00C41C67">
              <w:rPr>
                <w:sz w:val="18"/>
              </w:rPr>
              <w:t>$0.023m</w:t>
            </w:r>
          </w:p>
        </w:tc>
        <w:tc>
          <w:tcPr>
            <w:tcW w:w="1406" w:type="dxa"/>
            <w:tcBorders>
              <w:top w:val="none" w:sz="0" w:space="0" w:color="auto"/>
              <w:bottom w:val="dotted" w:sz="4" w:space="0" w:color="auto"/>
            </w:tcBorders>
          </w:tcPr>
          <w:p w14:paraId="1EA6794E" w14:textId="77777777" w:rsidR="00C41C67" w:rsidRPr="00C41C67" w:rsidRDefault="00C41C67" w:rsidP="009303EB">
            <w:pPr>
              <w:keepNext/>
              <w:spacing w:before="60" w:after="60"/>
              <w:rPr>
                <w:sz w:val="18"/>
              </w:rPr>
            </w:pPr>
          </w:p>
        </w:tc>
      </w:tr>
      <w:tr w:rsidR="00136153" w14:paraId="29F65135" w14:textId="77777777" w:rsidTr="009303EB">
        <w:trPr>
          <w:cnfStyle w:val="000000010000" w:firstRow="0" w:lastRow="0" w:firstColumn="0" w:lastColumn="0" w:oddVBand="0" w:evenVBand="0" w:oddHBand="0" w:evenHBand="1" w:firstRowFirstColumn="0" w:firstRowLastColumn="0" w:lastRowFirstColumn="0" w:lastRowLastColumn="0"/>
          <w:cantSplit/>
        </w:trPr>
        <w:tc>
          <w:tcPr>
            <w:tcW w:w="986" w:type="dxa"/>
            <w:tcBorders>
              <w:top w:val="dotted" w:sz="4" w:space="0" w:color="auto"/>
              <w:bottom w:val="dotted" w:sz="4" w:space="0" w:color="auto"/>
            </w:tcBorders>
          </w:tcPr>
          <w:p w14:paraId="51CC6956" w14:textId="77777777" w:rsidR="00C41C67" w:rsidRPr="00C41C67" w:rsidRDefault="00C41C67" w:rsidP="009303EB">
            <w:pPr>
              <w:keepNext/>
              <w:spacing w:before="60" w:after="60"/>
              <w:rPr>
                <w:sz w:val="18"/>
              </w:rPr>
            </w:pPr>
          </w:p>
        </w:tc>
        <w:tc>
          <w:tcPr>
            <w:tcW w:w="2401" w:type="dxa"/>
            <w:tcBorders>
              <w:top w:val="dotted" w:sz="4" w:space="0" w:color="auto"/>
              <w:bottom w:val="dotted" w:sz="4" w:space="0" w:color="auto"/>
            </w:tcBorders>
          </w:tcPr>
          <w:p w14:paraId="29F1E647" w14:textId="77777777" w:rsidR="00C41C67" w:rsidRPr="00C41C67" w:rsidRDefault="00C41C67" w:rsidP="009303EB">
            <w:pPr>
              <w:keepNext/>
              <w:spacing w:before="60" w:after="60"/>
              <w:rPr>
                <w:sz w:val="18"/>
              </w:rPr>
            </w:pPr>
            <w:r w:rsidRPr="00C41C67">
              <w:rPr>
                <w:sz w:val="18"/>
              </w:rPr>
              <w:t>Annual fee for accredited operators</w:t>
            </w:r>
          </w:p>
        </w:tc>
        <w:tc>
          <w:tcPr>
            <w:tcW w:w="1405" w:type="dxa"/>
            <w:tcBorders>
              <w:top w:val="dotted" w:sz="4" w:space="0" w:color="auto"/>
              <w:bottom w:val="dotted" w:sz="4" w:space="0" w:color="auto"/>
            </w:tcBorders>
          </w:tcPr>
          <w:p w14:paraId="401C0A0F" w14:textId="77777777" w:rsidR="00C41C67" w:rsidRPr="00C41C67" w:rsidRDefault="00C41C67" w:rsidP="009303EB">
            <w:pPr>
              <w:keepNext/>
              <w:spacing w:before="60" w:after="60"/>
              <w:rPr>
                <w:sz w:val="18"/>
              </w:rPr>
            </w:pPr>
            <w:r w:rsidRPr="00C41C67">
              <w:rPr>
                <w:sz w:val="18"/>
              </w:rPr>
              <w:t>20 fee units plus 5.5 for each bus operated</w:t>
            </w:r>
          </w:p>
        </w:tc>
        <w:tc>
          <w:tcPr>
            <w:tcW w:w="1406" w:type="dxa"/>
            <w:tcBorders>
              <w:top w:val="dotted" w:sz="4" w:space="0" w:color="auto"/>
              <w:bottom w:val="dotted" w:sz="4" w:space="0" w:color="auto"/>
            </w:tcBorders>
          </w:tcPr>
          <w:p w14:paraId="0EBABA3E" w14:textId="77777777" w:rsidR="00C41C67" w:rsidRPr="00C41C67" w:rsidRDefault="00C41C67" w:rsidP="009303EB">
            <w:pPr>
              <w:keepNext/>
              <w:spacing w:before="60" w:after="60"/>
              <w:rPr>
                <w:sz w:val="18"/>
              </w:rPr>
            </w:pPr>
            <w:r w:rsidRPr="00C41C67">
              <w:rPr>
                <w:sz w:val="18"/>
              </w:rPr>
              <w:t>$1,106.48*</w:t>
            </w:r>
          </w:p>
        </w:tc>
        <w:tc>
          <w:tcPr>
            <w:tcW w:w="1406" w:type="dxa"/>
            <w:tcBorders>
              <w:top w:val="dotted" w:sz="4" w:space="0" w:color="auto"/>
              <w:bottom w:val="dotted" w:sz="4" w:space="0" w:color="auto"/>
            </w:tcBorders>
          </w:tcPr>
          <w:p w14:paraId="2C87995E" w14:textId="77777777" w:rsidR="00C41C67" w:rsidRPr="00C41C67" w:rsidRDefault="00C41C67" w:rsidP="009303EB">
            <w:pPr>
              <w:keepNext/>
              <w:spacing w:before="60" w:after="60"/>
              <w:rPr>
                <w:sz w:val="18"/>
              </w:rPr>
            </w:pPr>
            <w:r w:rsidRPr="00C41C67">
              <w:rPr>
                <w:sz w:val="18"/>
              </w:rPr>
              <w:t>$0.74m</w:t>
            </w:r>
          </w:p>
        </w:tc>
        <w:tc>
          <w:tcPr>
            <w:tcW w:w="1406" w:type="dxa"/>
            <w:tcBorders>
              <w:top w:val="dotted" w:sz="4" w:space="0" w:color="auto"/>
              <w:bottom w:val="dotted" w:sz="4" w:space="0" w:color="auto"/>
            </w:tcBorders>
          </w:tcPr>
          <w:p w14:paraId="69137181" w14:textId="77777777" w:rsidR="00C41C67" w:rsidRPr="00C41C67" w:rsidRDefault="00C41C67" w:rsidP="009303EB">
            <w:pPr>
              <w:keepNext/>
              <w:spacing w:before="60" w:after="60"/>
              <w:rPr>
                <w:sz w:val="18"/>
              </w:rPr>
            </w:pPr>
          </w:p>
        </w:tc>
      </w:tr>
      <w:tr w:rsidR="00C41C67" w14:paraId="1C227C1B" w14:textId="77777777" w:rsidTr="009303EB">
        <w:trPr>
          <w:cnfStyle w:val="000000100000" w:firstRow="0" w:lastRow="0" w:firstColumn="0" w:lastColumn="0" w:oddVBand="0" w:evenVBand="0" w:oddHBand="1" w:evenHBand="0" w:firstRowFirstColumn="0" w:firstRowLastColumn="0" w:lastRowFirstColumn="0" w:lastRowLastColumn="0"/>
          <w:cantSplit/>
        </w:trPr>
        <w:tc>
          <w:tcPr>
            <w:tcW w:w="986" w:type="dxa"/>
            <w:tcBorders>
              <w:top w:val="dotted" w:sz="4" w:space="0" w:color="auto"/>
            </w:tcBorders>
          </w:tcPr>
          <w:p w14:paraId="699634F2" w14:textId="77777777" w:rsidR="00C41C67" w:rsidRPr="00C41C67" w:rsidRDefault="00C41C67" w:rsidP="009303EB">
            <w:pPr>
              <w:keepNext/>
              <w:spacing w:before="60" w:after="60"/>
              <w:rPr>
                <w:sz w:val="18"/>
              </w:rPr>
            </w:pPr>
          </w:p>
        </w:tc>
        <w:tc>
          <w:tcPr>
            <w:tcW w:w="2401" w:type="dxa"/>
            <w:tcBorders>
              <w:top w:val="dotted" w:sz="4" w:space="0" w:color="auto"/>
            </w:tcBorders>
          </w:tcPr>
          <w:p w14:paraId="427A07D3" w14:textId="77777777" w:rsidR="00C41C67" w:rsidRPr="00C41C67" w:rsidRDefault="00C41C67" w:rsidP="009303EB">
            <w:pPr>
              <w:keepNext/>
              <w:spacing w:before="60" w:after="60"/>
              <w:rPr>
                <w:sz w:val="18"/>
              </w:rPr>
            </w:pPr>
          </w:p>
        </w:tc>
        <w:tc>
          <w:tcPr>
            <w:tcW w:w="1405" w:type="dxa"/>
            <w:tcBorders>
              <w:top w:val="dotted" w:sz="4" w:space="0" w:color="auto"/>
            </w:tcBorders>
          </w:tcPr>
          <w:p w14:paraId="5E8AF04F" w14:textId="77777777" w:rsidR="00C41C67" w:rsidRPr="00C41C67" w:rsidRDefault="00C41C67" w:rsidP="009303EB">
            <w:pPr>
              <w:keepNext/>
              <w:spacing w:before="60" w:after="60"/>
              <w:rPr>
                <w:sz w:val="18"/>
              </w:rPr>
            </w:pPr>
          </w:p>
        </w:tc>
        <w:tc>
          <w:tcPr>
            <w:tcW w:w="1406" w:type="dxa"/>
            <w:tcBorders>
              <w:top w:val="dotted" w:sz="4" w:space="0" w:color="auto"/>
            </w:tcBorders>
          </w:tcPr>
          <w:p w14:paraId="1331EB8E" w14:textId="77777777" w:rsidR="00C41C67" w:rsidRPr="00961176" w:rsidRDefault="00C41C67" w:rsidP="009303EB">
            <w:pPr>
              <w:keepNext/>
              <w:spacing w:before="60" w:after="60"/>
              <w:rPr>
                <w:b/>
                <w:bCs/>
                <w:sz w:val="18"/>
              </w:rPr>
            </w:pPr>
            <w:r w:rsidRPr="00961176">
              <w:rPr>
                <w:b/>
                <w:bCs/>
                <w:sz w:val="18"/>
              </w:rPr>
              <w:t>Total</w:t>
            </w:r>
          </w:p>
        </w:tc>
        <w:tc>
          <w:tcPr>
            <w:tcW w:w="1406" w:type="dxa"/>
            <w:tcBorders>
              <w:top w:val="dotted" w:sz="4" w:space="0" w:color="auto"/>
            </w:tcBorders>
          </w:tcPr>
          <w:p w14:paraId="7D266CCA" w14:textId="77777777" w:rsidR="00C41C67" w:rsidRPr="00C41C67" w:rsidRDefault="00C41C67" w:rsidP="009303EB">
            <w:pPr>
              <w:keepNext/>
              <w:spacing w:before="60" w:after="60"/>
              <w:rPr>
                <w:sz w:val="18"/>
              </w:rPr>
            </w:pPr>
            <w:r w:rsidRPr="00C41C67">
              <w:rPr>
                <w:sz w:val="18"/>
              </w:rPr>
              <w:t>$0.761m</w:t>
            </w:r>
          </w:p>
        </w:tc>
        <w:tc>
          <w:tcPr>
            <w:tcW w:w="1406" w:type="dxa"/>
            <w:tcBorders>
              <w:top w:val="dotted" w:sz="4" w:space="0" w:color="auto"/>
            </w:tcBorders>
          </w:tcPr>
          <w:p w14:paraId="46288927" w14:textId="77777777" w:rsidR="00C41C67" w:rsidRPr="00C41C67" w:rsidRDefault="00C41C67" w:rsidP="009303EB">
            <w:pPr>
              <w:keepNext/>
              <w:spacing w:before="60" w:after="60"/>
              <w:rPr>
                <w:sz w:val="18"/>
              </w:rPr>
            </w:pPr>
            <w:r w:rsidRPr="00C41C67">
              <w:rPr>
                <w:sz w:val="18"/>
              </w:rPr>
              <w:t>17%</w:t>
            </w:r>
          </w:p>
        </w:tc>
      </w:tr>
      <w:tr w:rsidR="00C41C67" w14:paraId="0C90EFEA" w14:textId="77777777" w:rsidTr="009303EB">
        <w:trPr>
          <w:cnfStyle w:val="000000010000" w:firstRow="0" w:lastRow="0" w:firstColumn="0" w:lastColumn="0" w:oddVBand="0" w:evenVBand="0" w:oddHBand="0" w:evenHBand="1" w:firstRowFirstColumn="0" w:firstRowLastColumn="0" w:lastRowFirstColumn="0" w:lastRowLastColumn="0"/>
          <w:cantSplit/>
        </w:trPr>
        <w:tc>
          <w:tcPr>
            <w:tcW w:w="986" w:type="dxa"/>
            <w:tcBorders>
              <w:top w:val="none" w:sz="0" w:space="0" w:color="auto"/>
              <w:bottom w:val="dotted" w:sz="4" w:space="0" w:color="auto"/>
            </w:tcBorders>
          </w:tcPr>
          <w:p w14:paraId="1987715D" w14:textId="27493905" w:rsidR="00C41C67" w:rsidRPr="00C41C67" w:rsidRDefault="006D4C34" w:rsidP="009303EB">
            <w:pPr>
              <w:keepNext/>
              <w:spacing w:before="60" w:after="60"/>
              <w:rPr>
                <w:sz w:val="18"/>
              </w:rPr>
            </w:pPr>
            <w:r w:rsidRPr="00C41C67">
              <w:rPr>
                <w:b/>
                <w:bCs/>
                <w:sz w:val="18"/>
              </w:rPr>
              <w:t>Option 2</w:t>
            </w:r>
          </w:p>
        </w:tc>
        <w:tc>
          <w:tcPr>
            <w:tcW w:w="2401" w:type="dxa"/>
            <w:tcBorders>
              <w:top w:val="none" w:sz="0" w:space="0" w:color="auto"/>
              <w:bottom w:val="dotted" w:sz="4" w:space="0" w:color="auto"/>
            </w:tcBorders>
          </w:tcPr>
          <w:p w14:paraId="7C14B3C7" w14:textId="77777777" w:rsidR="00C41C67" w:rsidRPr="00C41C67" w:rsidRDefault="00C41C67" w:rsidP="009303EB">
            <w:pPr>
              <w:keepNext/>
              <w:spacing w:before="60" w:after="60"/>
              <w:rPr>
                <w:sz w:val="18"/>
              </w:rPr>
            </w:pPr>
            <w:r w:rsidRPr="00C41C67">
              <w:rPr>
                <w:sz w:val="18"/>
              </w:rPr>
              <w:t>Application fee</w:t>
            </w:r>
          </w:p>
        </w:tc>
        <w:tc>
          <w:tcPr>
            <w:tcW w:w="1405" w:type="dxa"/>
            <w:tcBorders>
              <w:top w:val="none" w:sz="0" w:space="0" w:color="auto"/>
              <w:bottom w:val="dotted" w:sz="4" w:space="0" w:color="auto"/>
            </w:tcBorders>
          </w:tcPr>
          <w:p w14:paraId="4141E5EF" w14:textId="77777777" w:rsidR="00C41C67" w:rsidRPr="00C41C67" w:rsidRDefault="00C41C67" w:rsidP="009303EB">
            <w:pPr>
              <w:keepNext/>
              <w:spacing w:before="60" w:after="60"/>
              <w:rPr>
                <w:sz w:val="18"/>
              </w:rPr>
            </w:pPr>
            <w:r w:rsidRPr="00C41C67">
              <w:rPr>
                <w:sz w:val="18"/>
              </w:rPr>
              <w:t>40</w:t>
            </w:r>
          </w:p>
        </w:tc>
        <w:tc>
          <w:tcPr>
            <w:tcW w:w="1406" w:type="dxa"/>
            <w:tcBorders>
              <w:top w:val="none" w:sz="0" w:space="0" w:color="auto"/>
              <w:bottom w:val="dotted" w:sz="4" w:space="0" w:color="auto"/>
            </w:tcBorders>
          </w:tcPr>
          <w:p w14:paraId="181ED96B" w14:textId="77777777" w:rsidR="00C41C67" w:rsidRPr="00C41C67" w:rsidRDefault="00C41C67" w:rsidP="009303EB">
            <w:pPr>
              <w:keepNext/>
              <w:spacing w:before="60" w:after="60"/>
              <w:rPr>
                <w:sz w:val="18"/>
              </w:rPr>
            </w:pPr>
            <w:r w:rsidRPr="00C41C67">
              <w:rPr>
                <w:sz w:val="18"/>
              </w:rPr>
              <w:t>$592.40</w:t>
            </w:r>
          </w:p>
        </w:tc>
        <w:tc>
          <w:tcPr>
            <w:tcW w:w="1406" w:type="dxa"/>
            <w:tcBorders>
              <w:top w:val="none" w:sz="0" w:space="0" w:color="auto"/>
              <w:bottom w:val="dotted" w:sz="4" w:space="0" w:color="auto"/>
            </w:tcBorders>
          </w:tcPr>
          <w:p w14:paraId="72879E4F" w14:textId="77777777" w:rsidR="00C41C67" w:rsidRPr="00C41C67" w:rsidRDefault="00C41C67" w:rsidP="009303EB">
            <w:pPr>
              <w:keepNext/>
              <w:spacing w:before="60" w:after="60"/>
              <w:rPr>
                <w:sz w:val="18"/>
              </w:rPr>
            </w:pPr>
            <w:r w:rsidRPr="00C41C67">
              <w:rPr>
                <w:sz w:val="18"/>
              </w:rPr>
              <w:t>$0.023m</w:t>
            </w:r>
          </w:p>
        </w:tc>
        <w:tc>
          <w:tcPr>
            <w:tcW w:w="1406" w:type="dxa"/>
            <w:tcBorders>
              <w:top w:val="none" w:sz="0" w:space="0" w:color="auto"/>
              <w:bottom w:val="dotted" w:sz="4" w:space="0" w:color="auto"/>
            </w:tcBorders>
          </w:tcPr>
          <w:p w14:paraId="57D11EA1" w14:textId="77777777" w:rsidR="00C41C67" w:rsidRPr="00C41C67" w:rsidRDefault="00C41C67" w:rsidP="009303EB">
            <w:pPr>
              <w:keepNext/>
              <w:spacing w:before="60" w:after="60"/>
              <w:rPr>
                <w:sz w:val="18"/>
              </w:rPr>
            </w:pPr>
          </w:p>
        </w:tc>
      </w:tr>
      <w:tr w:rsidR="00C41C67" w14:paraId="31C9004E" w14:textId="77777777" w:rsidTr="009303EB">
        <w:trPr>
          <w:cnfStyle w:val="000000100000" w:firstRow="0" w:lastRow="0" w:firstColumn="0" w:lastColumn="0" w:oddVBand="0" w:evenVBand="0" w:oddHBand="1" w:evenHBand="0" w:firstRowFirstColumn="0" w:firstRowLastColumn="0" w:lastRowFirstColumn="0" w:lastRowLastColumn="0"/>
          <w:cantSplit/>
        </w:trPr>
        <w:tc>
          <w:tcPr>
            <w:tcW w:w="986" w:type="dxa"/>
            <w:tcBorders>
              <w:top w:val="dotted" w:sz="4" w:space="0" w:color="auto"/>
              <w:bottom w:val="dotted" w:sz="4" w:space="0" w:color="auto"/>
            </w:tcBorders>
          </w:tcPr>
          <w:p w14:paraId="2F50AD4A" w14:textId="77777777" w:rsidR="00C41C67" w:rsidRPr="00C41C67" w:rsidRDefault="00C41C67" w:rsidP="009303EB">
            <w:pPr>
              <w:keepNext/>
              <w:spacing w:before="60" w:after="60"/>
              <w:rPr>
                <w:sz w:val="18"/>
              </w:rPr>
            </w:pPr>
          </w:p>
        </w:tc>
        <w:tc>
          <w:tcPr>
            <w:tcW w:w="2401" w:type="dxa"/>
            <w:tcBorders>
              <w:top w:val="dotted" w:sz="4" w:space="0" w:color="auto"/>
              <w:bottom w:val="dotted" w:sz="4" w:space="0" w:color="auto"/>
            </w:tcBorders>
          </w:tcPr>
          <w:p w14:paraId="4514BC16" w14:textId="77777777" w:rsidR="00C41C67" w:rsidRPr="00C41C67" w:rsidRDefault="00C41C67" w:rsidP="009303EB">
            <w:pPr>
              <w:keepNext/>
              <w:spacing w:before="60" w:after="60"/>
              <w:rPr>
                <w:sz w:val="18"/>
              </w:rPr>
            </w:pPr>
            <w:r w:rsidRPr="00C41C67">
              <w:rPr>
                <w:sz w:val="18"/>
              </w:rPr>
              <w:t>Annual fee for accredited operators</w:t>
            </w:r>
          </w:p>
        </w:tc>
        <w:tc>
          <w:tcPr>
            <w:tcW w:w="1405" w:type="dxa"/>
            <w:tcBorders>
              <w:top w:val="dotted" w:sz="4" w:space="0" w:color="auto"/>
              <w:bottom w:val="dotted" w:sz="4" w:space="0" w:color="auto"/>
            </w:tcBorders>
          </w:tcPr>
          <w:p w14:paraId="4780676B" w14:textId="77777777" w:rsidR="00C41C67" w:rsidRPr="00C41C67" w:rsidRDefault="00C41C67" w:rsidP="009303EB">
            <w:pPr>
              <w:keepNext/>
              <w:spacing w:before="60" w:after="60"/>
              <w:rPr>
                <w:sz w:val="18"/>
              </w:rPr>
            </w:pPr>
            <w:r w:rsidRPr="00C41C67">
              <w:rPr>
                <w:sz w:val="18"/>
              </w:rPr>
              <w:t>20 fee units plus 5.5 fee units for each bus operated</w:t>
            </w:r>
          </w:p>
        </w:tc>
        <w:tc>
          <w:tcPr>
            <w:tcW w:w="1406" w:type="dxa"/>
            <w:tcBorders>
              <w:top w:val="dotted" w:sz="4" w:space="0" w:color="auto"/>
              <w:bottom w:val="dotted" w:sz="4" w:space="0" w:color="auto"/>
            </w:tcBorders>
          </w:tcPr>
          <w:p w14:paraId="240C3C07" w14:textId="77777777" w:rsidR="00C41C67" w:rsidRPr="00C41C67" w:rsidRDefault="00C41C67" w:rsidP="009303EB">
            <w:pPr>
              <w:keepNext/>
              <w:spacing w:before="60" w:after="60"/>
              <w:rPr>
                <w:sz w:val="18"/>
              </w:rPr>
            </w:pPr>
            <w:r w:rsidRPr="00C41C67">
              <w:rPr>
                <w:sz w:val="18"/>
              </w:rPr>
              <w:t>$1,106.48*</w:t>
            </w:r>
          </w:p>
        </w:tc>
        <w:tc>
          <w:tcPr>
            <w:tcW w:w="1406" w:type="dxa"/>
            <w:tcBorders>
              <w:top w:val="dotted" w:sz="4" w:space="0" w:color="auto"/>
              <w:bottom w:val="dotted" w:sz="4" w:space="0" w:color="auto"/>
            </w:tcBorders>
          </w:tcPr>
          <w:p w14:paraId="0467AF50" w14:textId="77777777" w:rsidR="00C41C67" w:rsidRPr="00C41C67" w:rsidRDefault="00C41C67" w:rsidP="009303EB">
            <w:pPr>
              <w:keepNext/>
              <w:spacing w:before="60" w:after="60"/>
              <w:rPr>
                <w:sz w:val="18"/>
              </w:rPr>
            </w:pPr>
            <w:r w:rsidRPr="00C41C67">
              <w:rPr>
                <w:sz w:val="18"/>
              </w:rPr>
              <w:t>$0.74m</w:t>
            </w:r>
          </w:p>
        </w:tc>
        <w:tc>
          <w:tcPr>
            <w:tcW w:w="1406" w:type="dxa"/>
            <w:tcBorders>
              <w:top w:val="dotted" w:sz="4" w:space="0" w:color="auto"/>
              <w:bottom w:val="dotted" w:sz="4" w:space="0" w:color="auto"/>
            </w:tcBorders>
          </w:tcPr>
          <w:p w14:paraId="18BD5094" w14:textId="77777777" w:rsidR="00C41C67" w:rsidRPr="00C41C67" w:rsidRDefault="00C41C67" w:rsidP="009303EB">
            <w:pPr>
              <w:keepNext/>
              <w:spacing w:before="60" w:after="60"/>
              <w:rPr>
                <w:sz w:val="18"/>
              </w:rPr>
            </w:pPr>
          </w:p>
        </w:tc>
      </w:tr>
      <w:tr w:rsidR="00C41C67" w14:paraId="6E2CDF08" w14:textId="77777777" w:rsidTr="009303EB">
        <w:trPr>
          <w:cnfStyle w:val="000000010000" w:firstRow="0" w:lastRow="0" w:firstColumn="0" w:lastColumn="0" w:oddVBand="0" w:evenVBand="0" w:oddHBand="0" w:evenHBand="1" w:firstRowFirstColumn="0" w:firstRowLastColumn="0" w:lastRowFirstColumn="0" w:lastRowLastColumn="0"/>
          <w:cantSplit/>
        </w:trPr>
        <w:tc>
          <w:tcPr>
            <w:tcW w:w="986" w:type="dxa"/>
            <w:tcBorders>
              <w:top w:val="dotted" w:sz="4" w:space="0" w:color="auto"/>
              <w:bottom w:val="dotted" w:sz="4" w:space="0" w:color="auto"/>
            </w:tcBorders>
          </w:tcPr>
          <w:p w14:paraId="071D6F34" w14:textId="77777777" w:rsidR="00C41C67" w:rsidRPr="00C41C67" w:rsidRDefault="00C41C67" w:rsidP="009303EB">
            <w:pPr>
              <w:keepNext/>
              <w:spacing w:before="60" w:after="60"/>
              <w:rPr>
                <w:sz w:val="18"/>
              </w:rPr>
            </w:pPr>
          </w:p>
        </w:tc>
        <w:tc>
          <w:tcPr>
            <w:tcW w:w="2401" w:type="dxa"/>
            <w:tcBorders>
              <w:top w:val="dotted" w:sz="4" w:space="0" w:color="auto"/>
              <w:bottom w:val="dotted" w:sz="4" w:space="0" w:color="auto"/>
            </w:tcBorders>
          </w:tcPr>
          <w:p w14:paraId="0F3FE095" w14:textId="77777777" w:rsidR="00C41C67" w:rsidRPr="00C41C67" w:rsidRDefault="00C41C67" w:rsidP="009303EB">
            <w:pPr>
              <w:keepNext/>
              <w:spacing w:before="60" w:after="60"/>
              <w:rPr>
                <w:sz w:val="18"/>
              </w:rPr>
            </w:pPr>
            <w:r w:rsidRPr="00C41C67">
              <w:rPr>
                <w:sz w:val="18"/>
              </w:rPr>
              <w:t>Annual fee for registered operators</w:t>
            </w:r>
          </w:p>
        </w:tc>
        <w:tc>
          <w:tcPr>
            <w:tcW w:w="1405" w:type="dxa"/>
            <w:tcBorders>
              <w:top w:val="dotted" w:sz="4" w:space="0" w:color="auto"/>
              <w:bottom w:val="dotted" w:sz="4" w:space="0" w:color="auto"/>
            </w:tcBorders>
          </w:tcPr>
          <w:p w14:paraId="20975A92" w14:textId="77777777" w:rsidR="00C41C67" w:rsidRPr="00C41C67" w:rsidRDefault="00C41C67" w:rsidP="009303EB">
            <w:pPr>
              <w:keepNext/>
              <w:spacing w:before="60" w:after="60"/>
              <w:rPr>
                <w:sz w:val="18"/>
              </w:rPr>
            </w:pPr>
            <w:r w:rsidRPr="00C41C67">
              <w:rPr>
                <w:sz w:val="18"/>
              </w:rPr>
              <w:t>20 fee units</w:t>
            </w:r>
          </w:p>
        </w:tc>
        <w:tc>
          <w:tcPr>
            <w:tcW w:w="1406" w:type="dxa"/>
            <w:tcBorders>
              <w:top w:val="dotted" w:sz="4" w:space="0" w:color="auto"/>
              <w:bottom w:val="dotted" w:sz="4" w:space="0" w:color="auto"/>
            </w:tcBorders>
          </w:tcPr>
          <w:p w14:paraId="697A4D7B" w14:textId="77777777" w:rsidR="00C41C67" w:rsidRPr="00C41C67" w:rsidRDefault="00C41C67" w:rsidP="009303EB">
            <w:pPr>
              <w:keepNext/>
              <w:spacing w:before="60" w:after="60"/>
              <w:rPr>
                <w:sz w:val="18"/>
              </w:rPr>
            </w:pPr>
            <w:r w:rsidRPr="00C41C67">
              <w:rPr>
                <w:sz w:val="18"/>
              </w:rPr>
              <w:t>$296.2</w:t>
            </w:r>
          </w:p>
        </w:tc>
        <w:tc>
          <w:tcPr>
            <w:tcW w:w="1406" w:type="dxa"/>
            <w:tcBorders>
              <w:top w:val="dotted" w:sz="4" w:space="0" w:color="auto"/>
              <w:bottom w:val="dotted" w:sz="4" w:space="0" w:color="auto"/>
            </w:tcBorders>
          </w:tcPr>
          <w:p w14:paraId="13FB5B9A" w14:textId="77777777" w:rsidR="00C41C67" w:rsidRPr="00C41C67" w:rsidRDefault="00C41C67" w:rsidP="009303EB">
            <w:pPr>
              <w:keepNext/>
              <w:spacing w:before="60" w:after="60"/>
              <w:rPr>
                <w:sz w:val="18"/>
              </w:rPr>
            </w:pPr>
            <w:r w:rsidRPr="00C41C67">
              <w:rPr>
                <w:sz w:val="18"/>
              </w:rPr>
              <w:t>$0.74m</w:t>
            </w:r>
          </w:p>
        </w:tc>
        <w:tc>
          <w:tcPr>
            <w:tcW w:w="1406" w:type="dxa"/>
            <w:tcBorders>
              <w:top w:val="dotted" w:sz="4" w:space="0" w:color="auto"/>
              <w:bottom w:val="dotted" w:sz="4" w:space="0" w:color="auto"/>
            </w:tcBorders>
          </w:tcPr>
          <w:p w14:paraId="2CF5D659" w14:textId="77777777" w:rsidR="00C41C67" w:rsidRPr="00C41C67" w:rsidRDefault="00C41C67" w:rsidP="009303EB">
            <w:pPr>
              <w:keepNext/>
              <w:spacing w:before="60" w:after="60"/>
              <w:rPr>
                <w:sz w:val="18"/>
              </w:rPr>
            </w:pPr>
          </w:p>
        </w:tc>
      </w:tr>
      <w:tr w:rsidR="00C41C67" w14:paraId="28C0D88D" w14:textId="77777777" w:rsidTr="009303EB">
        <w:trPr>
          <w:cnfStyle w:val="000000100000" w:firstRow="0" w:lastRow="0" w:firstColumn="0" w:lastColumn="0" w:oddVBand="0" w:evenVBand="0" w:oddHBand="1" w:evenHBand="0" w:firstRowFirstColumn="0" w:firstRowLastColumn="0" w:lastRowFirstColumn="0" w:lastRowLastColumn="0"/>
          <w:cantSplit/>
        </w:trPr>
        <w:tc>
          <w:tcPr>
            <w:tcW w:w="986" w:type="dxa"/>
            <w:tcBorders>
              <w:top w:val="dotted" w:sz="4" w:space="0" w:color="auto"/>
            </w:tcBorders>
          </w:tcPr>
          <w:p w14:paraId="4A7539C8" w14:textId="77777777" w:rsidR="00C41C67" w:rsidRPr="00C41C67" w:rsidRDefault="00C41C67" w:rsidP="009303EB">
            <w:pPr>
              <w:keepNext/>
              <w:spacing w:before="60" w:after="60"/>
              <w:rPr>
                <w:sz w:val="18"/>
              </w:rPr>
            </w:pPr>
          </w:p>
        </w:tc>
        <w:tc>
          <w:tcPr>
            <w:tcW w:w="2401" w:type="dxa"/>
            <w:tcBorders>
              <w:top w:val="dotted" w:sz="4" w:space="0" w:color="auto"/>
            </w:tcBorders>
          </w:tcPr>
          <w:p w14:paraId="0E367B83" w14:textId="77777777" w:rsidR="00C41C67" w:rsidRPr="00C41C67" w:rsidRDefault="00C41C67" w:rsidP="009303EB">
            <w:pPr>
              <w:keepNext/>
              <w:spacing w:before="60" w:after="60"/>
              <w:rPr>
                <w:sz w:val="18"/>
              </w:rPr>
            </w:pPr>
          </w:p>
        </w:tc>
        <w:tc>
          <w:tcPr>
            <w:tcW w:w="1405" w:type="dxa"/>
            <w:tcBorders>
              <w:top w:val="dotted" w:sz="4" w:space="0" w:color="auto"/>
            </w:tcBorders>
          </w:tcPr>
          <w:p w14:paraId="5B2CF980" w14:textId="77777777" w:rsidR="00C41C67" w:rsidRPr="00C41C67" w:rsidRDefault="00C41C67" w:rsidP="009303EB">
            <w:pPr>
              <w:keepNext/>
              <w:spacing w:before="60" w:after="60"/>
              <w:rPr>
                <w:sz w:val="18"/>
              </w:rPr>
            </w:pPr>
          </w:p>
        </w:tc>
        <w:tc>
          <w:tcPr>
            <w:tcW w:w="1406" w:type="dxa"/>
            <w:tcBorders>
              <w:top w:val="dotted" w:sz="4" w:space="0" w:color="auto"/>
            </w:tcBorders>
          </w:tcPr>
          <w:p w14:paraId="676C8415" w14:textId="77777777" w:rsidR="00C41C67" w:rsidRPr="00961176" w:rsidRDefault="00C41C67" w:rsidP="009303EB">
            <w:pPr>
              <w:keepNext/>
              <w:spacing w:before="60" w:after="60"/>
              <w:rPr>
                <w:b/>
                <w:bCs/>
                <w:sz w:val="18"/>
              </w:rPr>
            </w:pPr>
            <w:r w:rsidRPr="00961176">
              <w:rPr>
                <w:b/>
                <w:bCs/>
                <w:sz w:val="18"/>
              </w:rPr>
              <w:t>Total</w:t>
            </w:r>
          </w:p>
        </w:tc>
        <w:tc>
          <w:tcPr>
            <w:tcW w:w="1406" w:type="dxa"/>
            <w:tcBorders>
              <w:top w:val="dotted" w:sz="4" w:space="0" w:color="auto"/>
            </w:tcBorders>
          </w:tcPr>
          <w:p w14:paraId="4913F8A3" w14:textId="77777777" w:rsidR="00C41C67" w:rsidRPr="00C41C67" w:rsidRDefault="00C41C67" w:rsidP="009303EB">
            <w:pPr>
              <w:keepNext/>
              <w:spacing w:before="60" w:after="60"/>
              <w:rPr>
                <w:sz w:val="18"/>
              </w:rPr>
            </w:pPr>
            <w:r w:rsidRPr="00C41C67">
              <w:rPr>
                <w:sz w:val="18"/>
              </w:rPr>
              <w:t>$1.5m</w:t>
            </w:r>
          </w:p>
        </w:tc>
        <w:tc>
          <w:tcPr>
            <w:tcW w:w="1406" w:type="dxa"/>
            <w:tcBorders>
              <w:top w:val="dotted" w:sz="4" w:space="0" w:color="auto"/>
            </w:tcBorders>
          </w:tcPr>
          <w:p w14:paraId="1E366B58" w14:textId="77777777" w:rsidR="00C41C67" w:rsidRPr="00C41C67" w:rsidRDefault="00C41C67" w:rsidP="009303EB">
            <w:pPr>
              <w:keepNext/>
              <w:spacing w:before="60" w:after="60"/>
              <w:rPr>
                <w:sz w:val="18"/>
              </w:rPr>
            </w:pPr>
            <w:r w:rsidRPr="00C41C67">
              <w:rPr>
                <w:sz w:val="18"/>
              </w:rPr>
              <w:t>34%</w:t>
            </w:r>
          </w:p>
        </w:tc>
      </w:tr>
      <w:tr w:rsidR="00C41C67" w14:paraId="2BE220D2" w14:textId="77777777" w:rsidTr="009303EB">
        <w:trPr>
          <w:cnfStyle w:val="000000010000" w:firstRow="0" w:lastRow="0" w:firstColumn="0" w:lastColumn="0" w:oddVBand="0" w:evenVBand="0" w:oddHBand="0" w:evenHBand="1" w:firstRowFirstColumn="0" w:firstRowLastColumn="0" w:lastRowFirstColumn="0" w:lastRowLastColumn="0"/>
          <w:cantSplit/>
        </w:trPr>
        <w:tc>
          <w:tcPr>
            <w:tcW w:w="986" w:type="dxa"/>
            <w:tcBorders>
              <w:top w:val="none" w:sz="0" w:space="0" w:color="auto"/>
              <w:bottom w:val="dotted" w:sz="4" w:space="0" w:color="auto"/>
            </w:tcBorders>
          </w:tcPr>
          <w:p w14:paraId="2E040C8E" w14:textId="5D2CDB8D" w:rsidR="00C41C67" w:rsidRPr="00C41C67" w:rsidRDefault="006D4C34" w:rsidP="009303EB">
            <w:pPr>
              <w:keepNext/>
              <w:spacing w:before="60" w:after="60"/>
              <w:rPr>
                <w:sz w:val="18"/>
              </w:rPr>
            </w:pPr>
            <w:r w:rsidRPr="00C41C67">
              <w:rPr>
                <w:b/>
                <w:bCs/>
                <w:sz w:val="18"/>
              </w:rPr>
              <w:t>Option 3</w:t>
            </w:r>
          </w:p>
        </w:tc>
        <w:tc>
          <w:tcPr>
            <w:tcW w:w="2401" w:type="dxa"/>
            <w:tcBorders>
              <w:top w:val="none" w:sz="0" w:space="0" w:color="auto"/>
              <w:bottom w:val="dotted" w:sz="4" w:space="0" w:color="auto"/>
            </w:tcBorders>
          </w:tcPr>
          <w:p w14:paraId="6C627674" w14:textId="77777777" w:rsidR="00C41C67" w:rsidRPr="00C41C67" w:rsidRDefault="00C41C67" w:rsidP="009303EB">
            <w:pPr>
              <w:keepNext/>
              <w:spacing w:before="60" w:after="60"/>
              <w:rPr>
                <w:sz w:val="18"/>
              </w:rPr>
            </w:pPr>
            <w:r w:rsidRPr="00C41C67">
              <w:rPr>
                <w:sz w:val="18"/>
              </w:rPr>
              <w:t>Application fee</w:t>
            </w:r>
          </w:p>
        </w:tc>
        <w:tc>
          <w:tcPr>
            <w:tcW w:w="1405" w:type="dxa"/>
            <w:tcBorders>
              <w:top w:val="none" w:sz="0" w:space="0" w:color="auto"/>
              <w:bottom w:val="dotted" w:sz="4" w:space="0" w:color="auto"/>
            </w:tcBorders>
          </w:tcPr>
          <w:p w14:paraId="18673C4D" w14:textId="18D63B05" w:rsidR="00C41C67" w:rsidRPr="00C41C67" w:rsidRDefault="00C45652" w:rsidP="009303EB">
            <w:pPr>
              <w:keepNext/>
              <w:spacing w:before="60" w:after="60"/>
              <w:rPr>
                <w:sz w:val="18"/>
              </w:rPr>
            </w:pPr>
            <w:r>
              <w:rPr>
                <w:sz w:val="18"/>
              </w:rPr>
              <w:t>200</w:t>
            </w:r>
            <w:r w:rsidRPr="00C41C67">
              <w:rPr>
                <w:sz w:val="18"/>
              </w:rPr>
              <w:t xml:space="preserve"> </w:t>
            </w:r>
            <w:r w:rsidR="00C41C67" w:rsidRPr="00C41C67">
              <w:rPr>
                <w:sz w:val="18"/>
              </w:rPr>
              <w:t>fee units</w:t>
            </w:r>
          </w:p>
        </w:tc>
        <w:tc>
          <w:tcPr>
            <w:tcW w:w="1406" w:type="dxa"/>
            <w:tcBorders>
              <w:top w:val="none" w:sz="0" w:space="0" w:color="auto"/>
              <w:bottom w:val="dotted" w:sz="4" w:space="0" w:color="auto"/>
            </w:tcBorders>
          </w:tcPr>
          <w:p w14:paraId="4B8108B3" w14:textId="1EB03353" w:rsidR="00C41C67" w:rsidRPr="00C41C67" w:rsidRDefault="00C41C67" w:rsidP="009303EB">
            <w:pPr>
              <w:keepNext/>
              <w:spacing w:before="60" w:after="60"/>
              <w:rPr>
                <w:sz w:val="18"/>
              </w:rPr>
            </w:pPr>
            <w:r w:rsidRPr="00C41C67">
              <w:rPr>
                <w:sz w:val="18"/>
              </w:rPr>
              <w:t>$2,</w:t>
            </w:r>
            <w:r w:rsidR="00C45652">
              <w:rPr>
                <w:sz w:val="18"/>
              </w:rPr>
              <w:t>962</w:t>
            </w:r>
          </w:p>
        </w:tc>
        <w:tc>
          <w:tcPr>
            <w:tcW w:w="1406" w:type="dxa"/>
            <w:tcBorders>
              <w:top w:val="none" w:sz="0" w:space="0" w:color="auto"/>
              <w:bottom w:val="dotted" w:sz="4" w:space="0" w:color="auto"/>
            </w:tcBorders>
          </w:tcPr>
          <w:p w14:paraId="303793BE" w14:textId="3C283474" w:rsidR="00C41C67" w:rsidRPr="00C41C67" w:rsidRDefault="00C41C67" w:rsidP="009303EB">
            <w:pPr>
              <w:keepNext/>
              <w:spacing w:before="60" w:after="60"/>
              <w:rPr>
                <w:sz w:val="18"/>
              </w:rPr>
            </w:pPr>
            <w:r w:rsidRPr="00C41C67">
              <w:rPr>
                <w:sz w:val="18"/>
              </w:rPr>
              <w:t>$0.1</w:t>
            </w:r>
            <w:r w:rsidR="00C45652">
              <w:rPr>
                <w:sz w:val="18"/>
              </w:rPr>
              <w:t>2</w:t>
            </w:r>
            <w:r w:rsidRPr="00C41C67">
              <w:rPr>
                <w:sz w:val="18"/>
              </w:rPr>
              <w:t>m</w:t>
            </w:r>
          </w:p>
        </w:tc>
        <w:tc>
          <w:tcPr>
            <w:tcW w:w="1406" w:type="dxa"/>
            <w:tcBorders>
              <w:top w:val="none" w:sz="0" w:space="0" w:color="auto"/>
              <w:bottom w:val="dotted" w:sz="4" w:space="0" w:color="auto"/>
            </w:tcBorders>
          </w:tcPr>
          <w:p w14:paraId="5F2BBC42" w14:textId="77777777" w:rsidR="00C41C67" w:rsidRPr="00C41C67" w:rsidRDefault="00C41C67" w:rsidP="009303EB">
            <w:pPr>
              <w:keepNext/>
              <w:spacing w:before="60" w:after="60"/>
              <w:rPr>
                <w:sz w:val="18"/>
              </w:rPr>
            </w:pPr>
          </w:p>
        </w:tc>
      </w:tr>
      <w:tr w:rsidR="00C41C67" w14:paraId="19CED9F2" w14:textId="77777777" w:rsidTr="009303EB">
        <w:trPr>
          <w:cnfStyle w:val="000000100000" w:firstRow="0" w:lastRow="0" w:firstColumn="0" w:lastColumn="0" w:oddVBand="0" w:evenVBand="0" w:oddHBand="1" w:evenHBand="0" w:firstRowFirstColumn="0" w:firstRowLastColumn="0" w:lastRowFirstColumn="0" w:lastRowLastColumn="0"/>
          <w:cantSplit/>
        </w:trPr>
        <w:tc>
          <w:tcPr>
            <w:tcW w:w="986" w:type="dxa"/>
            <w:tcBorders>
              <w:top w:val="dotted" w:sz="4" w:space="0" w:color="auto"/>
              <w:bottom w:val="dotted" w:sz="4" w:space="0" w:color="auto"/>
            </w:tcBorders>
          </w:tcPr>
          <w:p w14:paraId="1D11E0E6" w14:textId="77777777" w:rsidR="00C41C67" w:rsidRPr="00C41C67" w:rsidRDefault="00C41C67" w:rsidP="009303EB">
            <w:pPr>
              <w:keepNext/>
              <w:spacing w:before="60" w:after="60"/>
              <w:rPr>
                <w:sz w:val="18"/>
              </w:rPr>
            </w:pPr>
          </w:p>
        </w:tc>
        <w:tc>
          <w:tcPr>
            <w:tcW w:w="2401" w:type="dxa"/>
            <w:tcBorders>
              <w:top w:val="dotted" w:sz="4" w:space="0" w:color="auto"/>
              <w:bottom w:val="dotted" w:sz="4" w:space="0" w:color="auto"/>
            </w:tcBorders>
          </w:tcPr>
          <w:p w14:paraId="51ED8B68" w14:textId="77777777" w:rsidR="00C41C67" w:rsidRPr="00C41C67" w:rsidRDefault="00C41C67" w:rsidP="009303EB">
            <w:pPr>
              <w:keepNext/>
              <w:spacing w:before="60" w:after="60"/>
              <w:rPr>
                <w:sz w:val="18"/>
              </w:rPr>
            </w:pPr>
            <w:r w:rsidRPr="00C41C67">
              <w:rPr>
                <w:sz w:val="18"/>
              </w:rPr>
              <w:t>Annual fee for accredited operators</w:t>
            </w:r>
          </w:p>
        </w:tc>
        <w:tc>
          <w:tcPr>
            <w:tcW w:w="1405" w:type="dxa"/>
            <w:tcBorders>
              <w:top w:val="dotted" w:sz="4" w:space="0" w:color="auto"/>
              <w:bottom w:val="dotted" w:sz="4" w:space="0" w:color="auto"/>
            </w:tcBorders>
          </w:tcPr>
          <w:p w14:paraId="2109E2EF" w14:textId="77777777" w:rsidR="00C41C67" w:rsidRPr="00C41C67" w:rsidRDefault="00C41C67" w:rsidP="009303EB">
            <w:pPr>
              <w:keepNext/>
              <w:spacing w:before="60" w:after="60"/>
              <w:rPr>
                <w:sz w:val="18"/>
              </w:rPr>
            </w:pPr>
            <w:r w:rsidRPr="00C41C67">
              <w:rPr>
                <w:sz w:val="18"/>
              </w:rPr>
              <w:t>59.2 fee units plus 16.3 fee units for each bus operated</w:t>
            </w:r>
          </w:p>
        </w:tc>
        <w:tc>
          <w:tcPr>
            <w:tcW w:w="1406" w:type="dxa"/>
            <w:tcBorders>
              <w:top w:val="dotted" w:sz="4" w:space="0" w:color="auto"/>
              <w:bottom w:val="dotted" w:sz="4" w:space="0" w:color="auto"/>
            </w:tcBorders>
          </w:tcPr>
          <w:p w14:paraId="1353AF9D" w14:textId="77777777" w:rsidR="00C41C67" w:rsidRPr="00C41C67" w:rsidRDefault="00C41C67" w:rsidP="009303EB">
            <w:pPr>
              <w:keepNext/>
              <w:spacing w:before="60" w:after="60"/>
              <w:rPr>
                <w:sz w:val="18"/>
              </w:rPr>
            </w:pPr>
            <w:r w:rsidRPr="00C41C67">
              <w:rPr>
                <w:sz w:val="18"/>
              </w:rPr>
              <w:t>$3,278.11*</w:t>
            </w:r>
          </w:p>
        </w:tc>
        <w:tc>
          <w:tcPr>
            <w:tcW w:w="1406" w:type="dxa"/>
            <w:tcBorders>
              <w:top w:val="dotted" w:sz="4" w:space="0" w:color="auto"/>
              <w:bottom w:val="dotted" w:sz="4" w:space="0" w:color="auto"/>
            </w:tcBorders>
          </w:tcPr>
          <w:p w14:paraId="0C84C3C6" w14:textId="77777777" w:rsidR="00C41C67" w:rsidRPr="00C41C67" w:rsidRDefault="00C41C67" w:rsidP="009303EB">
            <w:pPr>
              <w:keepNext/>
              <w:spacing w:before="60" w:after="60"/>
              <w:rPr>
                <w:sz w:val="18"/>
              </w:rPr>
            </w:pPr>
            <w:r w:rsidRPr="00C41C67">
              <w:rPr>
                <w:sz w:val="18"/>
              </w:rPr>
              <w:t>$2.19m</w:t>
            </w:r>
          </w:p>
        </w:tc>
        <w:tc>
          <w:tcPr>
            <w:tcW w:w="1406" w:type="dxa"/>
            <w:tcBorders>
              <w:top w:val="dotted" w:sz="4" w:space="0" w:color="auto"/>
              <w:bottom w:val="dotted" w:sz="4" w:space="0" w:color="auto"/>
            </w:tcBorders>
          </w:tcPr>
          <w:p w14:paraId="5C573D13" w14:textId="77777777" w:rsidR="00C41C67" w:rsidRPr="00C41C67" w:rsidRDefault="00C41C67" w:rsidP="009303EB">
            <w:pPr>
              <w:keepNext/>
              <w:spacing w:before="60" w:after="60"/>
              <w:rPr>
                <w:sz w:val="18"/>
              </w:rPr>
            </w:pPr>
          </w:p>
        </w:tc>
      </w:tr>
      <w:tr w:rsidR="00C41C67" w14:paraId="11455FA8" w14:textId="77777777" w:rsidTr="009303EB">
        <w:trPr>
          <w:cnfStyle w:val="000000010000" w:firstRow="0" w:lastRow="0" w:firstColumn="0" w:lastColumn="0" w:oddVBand="0" w:evenVBand="0" w:oddHBand="0" w:evenHBand="1" w:firstRowFirstColumn="0" w:firstRowLastColumn="0" w:lastRowFirstColumn="0" w:lastRowLastColumn="0"/>
          <w:cantSplit/>
        </w:trPr>
        <w:tc>
          <w:tcPr>
            <w:tcW w:w="986" w:type="dxa"/>
            <w:tcBorders>
              <w:top w:val="dotted" w:sz="4" w:space="0" w:color="auto"/>
              <w:bottom w:val="dotted" w:sz="4" w:space="0" w:color="auto"/>
            </w:tcBorders>
          </w:tcPr>
          <w:p w14:paraId="2F8BDCCD" w14:textId="77777777" w:rsidR="00C41C67" w:rsidRPr="00C41C67" w:rsidRDefault="00C41C67" w:rsidP="009303EB">
            <w:pPr>
              <w:keepNext/>
              <w:spacing w:before="60" w:after="60"/>
              <w:rPr>
                <w:sz w:val="18"/>
              </w:rPr>
            </w:pPr>
          </w:p>
        </w:tc>
        <w:tc>
          <w:tcPr>
            <w:tcW w:w="2401" w:type="dxa"/>
            <w:tcBorders>
              <w:top w:val="dotted" w:sz="4" w:space="0" w:color="auto"/>
              <w:bottom w:val="dotted" w:sz="4" w:space="0" w:color="auto"/>
            </w:tcBorders>
          </w:tcPr>
          <w:p w14:paraId="23A26DAE" w14:textId="77777777" w:rsidR="00C41C67" w:rsidRPr="00C41C67" w:rsidRDefault="00C41C67" w:rsidP="009303EB">
            <w:pPr>
              <w:keepNext/>
              <w:spacing w:before="60" w:after="60"/>
              <w:rPr>
                <w:sz w:val="18"/>
              </w:rPr>
            </w:pPr>
            <w:r w:rsidRPr="00C41C67">
              <w:rPr>
                <w:sz w:val="18"/>
              </w:rPr>
              <w:t>Annual fee for registered operators</w:t>
            </w:r>
          </w:p>
        </w:tc>
        <w:tc>
          <w:tcPr>
            <w:tcW w:w="1405" w:type="dxa"/>
            <w:tcBorders>
              <w:top w:val="dotted" w:sz="4" w:space="0" w:color="auto"/>
              <w:bottom w:val="dotted" w:sz="4" w:space="0" w:color="auto"/>
            </w:tcBorders>
          </w:tcPr>
          <w:p w14:paraId="29567172" w14:textId="77777777" w:rsidR="00C41C67" w:rsidRPr="00C41C67" w:rsidRDefault="00C41C67" w:rsidP="009303EB">
            <w:pPr>
              <w:keepNext/>
              <w:spacing w:before="60" w:after="60"/>
              <w:rPr>
                <w:sz w:val="18"/>
              </w:rPr>
            </w:pPr>
            <w:r w:rsidRPr="00C41C67">
              <w:rPr>
                <w:sz w:val="18"/>
              </w:rPr>
              <w:t>59.2 fee units</w:t>
            </w:r>
          </w:p>
        </w:tc>
        <w:tc>
          <w:tcPr>
            <w:tcW w:w="1406" w:type="dxa"/>
            <w:tcBorders>
              <w:top w:val="dotted" w:sz="4" w:space="0" w:color="auto"/>
              <w:bottom w:val="dotted" w:sz="4" w:space="0" w:color="auto"/>
            </w:tcBorders>
          </w:tcPr>
          <w:p w14:paraId="744AF5F5" w14:textId="77777777" w:rsidR="00C41C67" w:rsidRPr="00C41C67" w:rsidRDefault="00C41C67" w:rsidP="009303EB">
            <w:pPr>
              <w:keepNext/>
              <w:spacing w:before="60" w:after="60"/>
              <w:rPr>
                <w:sz w:val="18"/>
              </w:rPr>
            </w:pPr>
            <w:r w:rsidRPr="00C41C67">
              <w:rPr>
                <w:sz w:val="18"/>
              </w:rPr>
              <w:t>$740.50</w:t>
            </w:r>
          </w:p>
        </w:tc>
        <w:tc>
          <w:tcPr>
            <w:tcW w:w="1406" w:type="dxa"/>
            <w:tcBorders>
              <w:top w:val="dotted" w:sz="4" w:space="0" w:color="auto"/>
              <w:bottom w:val="dotted" w:sz="4" w:space="0" w:color="auto"/>
            </w:tcBorders>
          </w:tcPr>
          <w:p w14:paraId="7ACAA625" w14:textId="77777777" w:rsidR="00C41C67" w:rsidRPr="00C41C67" w:rsidRDefault="00C41C67" w:rsidP="009303EB">
            <w:pPr>
              <w:keepNext/>
              <w:spacing w:before="60" w:after="60"/>
              <w:rPr>
                <w:sz w:val="18"/>
              </w:rPr>
            </w:pPr>
            <w:r w:rsidRPr="00C41C67">
              <w:rPr>
                <w:sz w:val="18"/>
              </w:rPr>
              <w:t>$2.19m</w:t>
            </w:r>
          </w:p>
        </w:tc>
        <w:tc>
          <w:tcPr>
            <w:tcW w:w="1406" w:type="dxa"/>
            <w:tcBorders>
              <w:top w:val="dotted" w:sz="4" w:space="0" w:color="auto"/>
              <w:bottom w:val="dotted" w:sz="4" w:space="0" w:color="auto"/>
            </w:tcBorders>
          </w:tcPr>
          <w:p w14:paraId="4B54DA3E" w14:textId="77777777" w:rsidR="00C41C67" w:rsidRPr="00C41C67" w:rsidRDefault="00C41C67" w:rsidP="009303EB">
            <w:pPr>
              <w:keepNext/>
              <w:spacing w:before="60" w:after="60"/>
              <w:rPr>
                <w:sz w:val="18"/>
              </w:rPr>
            </w:pPr>
          </w:p>
        </w:tc>
      </w:tr>
      <w:tr w:rsidR="00C41C67" w14:paraId="07A52265" w14:textId="77777777" w:rsidTr="009303EB">
        <w:trPr>
          <w:cnfStyle w:val="000000100000" w:firstRow="0" w:lastRow="0" w:firstColumn="0" w:lastColumn="0" w:oddVBand="0" w:evenVBand="0" w:oddHBand="1" w:evenHBand="0" w:firstRowFirstColumn="0" w:firstRowLastColumn="0" w:lastRowFirstColumn="0" w:lastRowLastColumn="0"/>
          <w:cantSplit/>
        </w:trPr>
        <w:tc>
          <w:tcPr>
            <w:tcW w:w="986" w:type="dxa"/>
            <w:tcBorders>
              <w:top w:val="dotted" w:sz="4" w:space="0" w:color="auto"/>
            </w:tcBorders>
          </w:tcPr>
          <w:p w14:paraId="2D736F6C" w14:textId="77777777" w:rsidR="00C41C67" w:rsidRPr="00C41C67" w:rsidRDefault="00C41C67" w:rsidP="009303EB">
            <w:pPr>
              <w:keepNext/>
              <w:spacing w:before="60" w:after="60"/>
              <w:rPr>
                <w:sz w:val="18"/>
              </w:rPr>
            </w:pPr>
          </w:p>
        </w:tc>
        <w:tc>
          <w:tcPr>
            <w:tcW w:w="2401" w:type="dxa"/>
            <w:tcBorders>
              <w:top w:val="dotted" w:sz="4" w:space="0" w:color="auto"/>
            </w:tcBorders>
          </w:tcPr>
          <w:p w14:paraId="40864F56" w14:textId="77777777" w:rsidR="00C41C67" w:rsidRPr="00C41C67" w:rsidRDefault="00C41C67" w:rsidP="009303EB">
            <w:pPr>
              <w:keepNext/>
              <w:spacing w:before="60" w:after="60"/>
              <w:rPr>
                <w:sz w:val="18"/>
              </w:rPr>
            </w:pPr>
          </w:p>
        </w:tc>
        <w:tc>
          <w:tcPr>
            <w:tcW w:w="1405" w:type="dxa"/>
            <w:tcBorders>
              <w:top w:val="dotted" w:sz="4" w:space="0" w:color="auto"/>
            </w:tcBorders>
          </w:tcPr>
          <w:p w14:paraId="7B9E6C8E" w14:textId="77777777" w:rsidR="00C41C67" w:rsidRPr="00C41C67" w:rsidRDefault="00C41C67" w:rsidP="009303EB">
            <w:pPr>
              <w:keepNext/>
              <w:spacing w:before="60" w:after="60"/>
              <w:rPr>
                <w:sz w:val="18"/>
              </w:rPr>
            </w:pPr>
          </w:p>
        </w:tc>
        <w:tc>
          <w:tcPr>
            <w:tcW w:w="1406" w:type="dxa"/>
            <w:tcBorders>
              <w:top w:val="dotted" w:sz="4" w:space="0" w:color="auto"/>
            </w:tcBorders>
          </w:tcPr>
          <w:p w14:paraId="07B78D62" w14:textId="77777777" w:rsidR="00C41C67" w:rsidRPr="00961176" w:rsidRDefault="00C41C67" w:rsidP="009303EB">
            <w:pPr>
              <w:keepNext/>
              <w:spacing w:before="60" w:after="60"/>
              <w:rPr>
                <w:b/>
                <w:bCs/>
                <w:sz w:val="18"/>
              </w:rPr>
            </w:pPr>
            <w:r w:rsidRPr="00961176">
              <w:rPr>
                <w:b/>
                <w:bCs/>
                <w:sz w:val="18"/>
              </w:rPr>
              <w:t>Total</w:t>
            </w:r>
          </w:p>
        </w:tc>
        <w:tc>
          <w:tcPr>
            <w:tcW w:w="1406" w:type="dxa"/>
            <w:tcBorders>
              <w:top w:val="dotted" w:sz="4" w:space="0" w:color="auto"/>
            </w:tcBorders>
          </w:tcPr>
          <w:p w14:paraId="27B79D94" w14:textId="77777777" w:rsidR="00C41C67" w:rsidRPr="00C41C67" w:rsidRDefault="00C41C67" w:rsidP="009303EB">
            <w:pPr>
              <w:keepNext/>
              <w:spacing w:before="60" w:after="60"/>
              <w:rPr>
                <w:sz w:val="18"/>
              </w:rPr>
            </w:pPr>
            <w:r w:rsidRPr="00C41C67">
              <w:rPr>
                <w:sz w:val="18"/>
              </w:rPr>
              <w:t>$4.48m</w:t>
            </w:r>
          </w:p>
        </w:tc>
        <w:tc>
          <w:tcPr>
            <w:tcW w:w="1406" w:type="dxa"/>
            <w:tcBorders>
              <w:top w:val="dotted" w:sz="4" w:space="0" w:color="auto"/>
            </w:tcBorders>
          </w:tcPr>
          <w:p w14:paraId="4A24FA5A" w14:textId="77777777" w:rsidR="00C41C67" w:rsidRPr="00C41C67" w:rsidRDefault="00C41C67" w:rsidP="009303EB">
            <w:pPr>
              <w:keepNext/>
              <w:spacing w:before="60" w:after="60"/>
              <w:rPr>
                <w:sz w:val="18"/>
              </w:rPr>
            </w:pPr>
            <w:r w:rsidRPr="00C41C67">
              <w:rPr>
                <w:sz w:val="18"/>
              </w:rPr>
              <w:t>100%</w:t>
            </w:r>
          </w:p>
        </w:tc>
      </w:tr>
    </w:tbl>
    <w:p w14:paraId="65252C0B" w14:textId="70FC8BFF" w:rsidR="00C41C67" w:rsidRPr="002B6FAD" w:rsidRDefault="00C41C67" w:rsidP="00417E50">
      <w:pPr>
        <w:rPr>
          <w:rFonts w:cstheme="minorHAnsi"/>
          <w:color w:val="auto"/>
          <w:sz w:val="18"/>
          <w:szCs w:val="16"/>
        </w:rPr>
      </w:pPr>
      <w:r w:rsidRPr="002B6FAD">
        <w:rPr>
          <w:rFonts w:cstheme="minorHAnsi"/>
          <w:color w:val="auto"/>
          <w:sz w:val="21"/>
          <w:szCs w:val="20"/>
        </w:rPr>
        <w:t>*</w:t>
      </w:r>
      <w:r>
        <w:rPr>
          <w:rFonts w:cstheme="minorHAnsi"/>
          <w:color w:val="auto"/>
          <w:sz w:val="18"/>
          <w:szCs w:val="16"/>
        </w:rPr>
        <w:t xml:space="preserve"> </w:t>
      </w:r>
      <w:r w:rsidRPr="002B6FAD">
        <w:rPr>
          <w:rFonts w:cstheme="minorHAnsi"/>
          <w:color w:val="auto"/>
          <w:sz w:val="18"/>
          <w:szCs w:val="16"/>
        </w:rPr>
        <w:t>Calculated based on the average number of buses operated per accredited operator across the industry</w:t>
      </w:r>
      <w:r>
        <w:rPr>
          <w:rFonts w:cstheme="minorHAnsi"/>
          <w:color w:val="auto"/>
          <w:sz w:val="18"/>
          <w:szCs w:val="16"/>
        </w:rPr>
        <w:t xml:space="preserve"> (i.e. </w:t>
      </w:r>
      <w:r w:rsidR="0035658B">
        <w:rPr>
          <w:rFonts w:cstheme="minorHAnsi"/>
          <w:color w:val="auto"/>
          <w:sz w:val="18"/>
          <w:szCs w:val="16"/>
        </w:rPr>
        <w:t xml:space="preserve">approximately </w:t>
      </w:r>
      <w:r>
        <w:rPr>
          <w:rFonts w:cstheme="minorHAnsi"/>
          <w:color w:val="auto"/>
          <w:sz w:val="18"/>
          <w:szCs w:val="16"/>
        </w:rPr>
        <w:t>10.9</w:t>
      </w:r>
      <w:r w:rsidR="0035658B">
        <w:rPr>
          <w:rFonts w:cstheme="minorHAnsi"/>
          <w:color w:val="auto"/>
          <w:sz w:val="18"/>
          <w:szCs w:val="16"/>
        </w:rPr>
        <w:t>5</w:t>
      </w:r>
      <w:r>
        <w:rPr>
          <w:rFonts w:cstheme="minorHAnsi"/>
          <w:color w:val="auto"/>
          <w:sz w:val="18"/>
          <w:szCs w:val="16"/>
        </w:rPr>
        <w:t xml:space="preserve"> buses per accredited operator)</w:t>
      </w:r>
      <w:r w:rsidRPr="002B6FAD">
        <w:rPr>
          <w:rFonts w:cstheme="minorHAnsi"/>
          <w:color w:val="auto"/>
          <w:sz w:val="18"/>
          <w:szCs w:val="16"/>
        </w:rPr>
        <w:t>.</w:t>
      </w:r>
    </w:p>
    <w:p w14:paraId="4A8B5DA6" w14:textId="77777777" w:rsidR="00C41C67" w:rsidRDefault="00C41C67" w:rsidP="00C41C67">
      <w:r>
        <w:t>For the purpose of the multi-criteria analysis, an assessment of options against each criterion is undertaken in the following sections.</w:t>
      </w:r>
    </w:p>
    <w:p w14:paraId="5F948949" w14:textId="77777777" w:rsidR="00C41C67" w:rsidRPr="000975A7" w:rsidRDefault="00C41C67" w:rsidP="00C41C67">
      <w:pPr>
        <w:rPr>
          <w:i/>
          <w:iCs/>
        </w:rPr>
      </w:pPr>
      <w:r w:rsidRPr="000975A7">
        <w:rPr>
          <w:i/>
          <w:iCs/>
        </w:rPr>
        <w:t>Efficiency criterion</w:t>
      </w:r>
    </w:p>
    <w:p w14:paraId="6063A982" w14:textId="77777777" w:rsidR="00C41C67" w:rsidRDefault="00C41C67" w:rsidP="00C41C67">
      <w:r>
        <w:t>All three options recover some or all costs of regulating for bus safety, so all options would score positively on the efficiency criterion. That is, these options will score higher than the base case. However, there are some differences between the options in the extent to which the efficiency objective is achieved.</w:t>
      </w:r>
    </w:p>
    <w:p w14:paraId="6A6AC0F5" w14:textId="70250E75" w:rsidR="00C41C67" w:rsidRDefault="00C41C67" w:rsidP="00C41C67">
      <w:r>
        <w:t xml:space="preserve">Option 1 seeks to recover costs partially and costs are only levied on accredited operators and applicants for accreditation. DoT notes that the costs that are recovered are paid by the persons who give rise to the costs, namely the applicants for accreditation and accredited operators. However, the costs of regulation that is attributable to registered operators are not recovered under this option. These costs would need to be recovered through general taxation and there may be a misallocation of resources if operators chose to seek registration instead of accreditation to avoid paying the regulatory fees. These factors suggest that </w:t>
      </w:r>
      <w:r w:rsidR="006B6037">
        <w:t>O</w:t>
      </w:r>
      <w:r>
        <w:t>ption 1 only partially achieves the efficiency criterion,</w:t>
      </w:r>
      <w:r w:rsidRPr="007E19A1">
        <w:t xml:space="preserve"> </w:t>
      </w:r>
      <w:r>
        <w:t xml:space="preserve">as while it recovers 17 percent of overall costs, it recovers </w:t>
      </w:r>
      <w:r w:rsidR="000758B4">
        <w:t>19</w:t>
      </w:r>
      <w:r>
        <w:t xml:space="preserve"> per cent of costs that are attributable to the administration of the accreditation applications. Therefore, </w:t>
      </w:r>
      <w:r w:rsidR="006B6037">
        <w:t>O</w:t>
      </w:r>
      <w:r>
        <w:t xml:space="preserve">ption 1 is assigned a score of +3. </w:t>
      </w:r>
    </w:p>
    <w:p w14:paraId="1C7963F4" w14:textId="39E3466D" w:rsidR="00C41C67" w:rsidRDefault="00C41C67" w:rsidP="00C41C67">
      <w:r>
        <w:t xml:space="preserve">On the other hand, </w:t>
      </w:r>
      <w:r w:rsidR="006B6037">
        <w:t>O</w:t>
      </w:r>
      <w:r>
        <w:t xml:space="preserve">ption 2 seeks to recover approximately 34 per cent of the costs attributable to bus safety regulation. Accordingly, under </w:t>
      </w:r>
      <w:r w:rsidR="006B6037">
        <w:t>O</w:t>
      </w:r>
      <w:r>
        <w:t xml:space="preserve">ption 2, the contribution made by the general public through general taxation is less and therefore </w:t>
      </w:r>
      <w:r w:rsidR="006B6037">
        <w:t>O</w:t>
      </w:r>
      <w:r>
        <w:t xml:space="preserve">ption 2 would be more efficient than </w:t>
      </w:r>
      <w:r w:rsidR="006B6037">
        <w:t>O</w:t>
      </w:r>
      <w:r>
        <w:t xml:space="preserve">ption 1.  In addition to the fees that would be levied under </w:t>
      </w:r>
      <w:r w:rsidR="006B6037">
        <w:t>O</w:t>
      </w:r>
      <w:r>
        <w:t xml:space="preserve">ption 1 (that is, fees for accreditation applications and an annual accreditation fee), an annual fee would be levied on registered operators. This fee would seek to recover a portion of the costs that are attributable to the regulation of registered operators. </w:t>
      </w:r>
      <w:r>
        <w:lastRenderedPageBreak/>
        <w:t>Therefore, DoT scores this option a score of +5, reflecting the percentage of cost recovery and that registered operators make some contribution to costs of regulation.</w:t>
      </w:r>
    </w:p>
    <w:p w14:paraId="77FC3F29" w14:textId="57C0B93F" w:rsidR="00C41C67" w:rsidRDefault="00C41C67" w:rsidP="00C41C67">
      <w:r>
        <w:t xml:space="preserve">Option 3 seeks to recover costs fully through three different regulatory fees (an application fee and annual fees for accredited operators and registered operators). The fees under </w:t>
      </w:r>
      <w:r w:rsidR="006B6037">
        <w:t>O</w:t>
      </w:r>
      <w:r>
        <w:t xml:space="preserve">ption 3 are set such that each fee imposed reflects the costs incurred to the extent possible. However, DoT notes that the majority of revenue that is estimated to be recovered is proposed to be levied through the imposition of an annual fee. Since specific fees are not proposed to be levied for different regulatory activities, </w:t>
      </w:r>
      <w:r w:rsidR="006B6037">
        <w:t>O</w:t>
      </w:r>
      <w:r>
        <w:t xml:space="preserve">ption 3 may not achieve the efficiency objective compared to a fee structure where fees are levied on more granular transactions. Therefore, </w:t>
      </w:r>
      <w:r w:rsidR="006B6037">
        <w:t>O</w:t>
      </w:r>
      <w:r>
        <w:t xml:space="preserve">ption 3 is assigned a score of +8, as it promotes efficiency as far as possible through a general annual fee and application fee. </w:t>
      </w:r>
    </w:p>
    <w:p w14:paraId="230FF897" w14:textId="77777777" w:rsidR="00C41C67" w:rsidRPr="000975A7" w:rsidRDefault="00C41C67" w:rsidP="00C41C67">
      <w:pPr>
        <w:rPr>
          <w:i/>
          <w:iCs/>
        </w:rPr>
      </w:pPr>
      <w:r w:rsidRPr="000975A7">
        <w:rPr>
          <w:i/>
          <w:iCs/>
        </w:rPr>
        <w:t>Equity criterion</w:t>
      </w:r>
    </w:p>
    <w:p w14:paraId="36C07386" w14:textId="0E45B327" w:rsidR="00C41C67" w:rsidRDefault="00C41C67" w:rsidP="00C41C67">
      <w:r>
        <w:t xml:space="preserve">Under all options, the application fee for submitting an accreditation application is fixed. From a vertical equity perspective, a fixed application fee may be less equitable if there are operators who have the ability to pay a higher fee. Equally, there may be some operators such as those in the non-for-profit sector, where is it appropriate to set a lower fee to promote the provision of those services to the community.  However, from a horizontal equity perspective, a fixed application fee treats applicants equally. DoT notes that all applicants for accreditation are not yet operating bus services (since they do not have regulatory permission to do so), and from this perspective, applicants should all be treated similarly. However, there may be some variation in how much time is spent by TSV in assessing applications for accreditation, therefore, it may be more equitable if applicants who required more consideration and assessment by TSV pay a higher fee. However, when the application is submitted TSV cannot observe how much input it will require to assess an application, so for this reason DoT considers that a fixed application fee is </w:t>
      </w:r>
      <w:r w:rsidR="009526C5">
        <w:t xml:space="preserve">an </w:t>
      </w:r>
      <w:r>
        <w:t>appropriate structure of fees.</w:t>
      </w:r>
    </w:p>
    <w:p w14:paraId="101CBE24" w14:textId="2393A9ED" w:rsidR="00C41C67" w:rsidRDefault="00C41C67" w:rsidP="00C41C67">
      <w:r>
        <w:t xml:space="preserve">In the case of annual fees, one difference between the three options is that </w:t>
      </w:r>
      <w:r w:rsidR="006B6037">
        <w:t>O</w:t>
      </w:r>
      <w:r>
        <w:t xml:space="preserve">ptions 2 and 3 levy an annual fee on registered operators whereas </w:t>
      </w:r>
      <w:r w:rsidR="006B6037">
        <w:t>O</w:t>
      </w:r>
      <w:r>
        <w:t xml:space="preserve">ption 1 does not. Therefore, there is some inequity between accredited and registered operators in how costs are recovered under </w:t>
      </w:r>
      <w:r w:rsidR="0009033A">
        <w:t>O</w:t>
      </w:r>
      <w:r>
        <w:t xml:space="preserve">ption 1 since registered operators do not contribute towards the recovery of costs. In comparison, </w:t>
      </w:r>
      <w:r w:rsidR="006B6037">
        <w:t>O</w:t>
      </w:r>
      <w:r>
        <w:t xml:space="preserve">ptions 2 and 3 seek to recover costs from both accredited and registered operators. As a result, DoT considers that </w:t>
      </w:r>
      <w:r w:rsidR="006B6037">
        <w:t>O</w:t>
      </w:r>
      <w:r>
        <w:t>ptions 2 and 3 better achieve the efficient criterion.</w:t>
      </w:r>
    </w:p>
    <w:p w14:paraId="39B7121E" w14:textId="77777777" w:rsidR="00C41C67" w:rsidRDefault="00C41C67" w:rsidP="00C41C67">
      <w:r>
        <w:t>The other difference is that the structure of annual fees is such that accredited operators pay a scaling fee based on the number of buses operated and registered operators pay a fixed annual fee. This means that, on average, accredited operators would pay a higher fee compared to registered operators. This is appropriate in the context of equity because:</w:t>
      </w:r>
    </w:p>
    <w:p w14:paraId="3F3ED4BA" w14:textId="77777777" w:rsidR="00C41C67" w:rsidRDefault="00C41C67" w:rsidP="00842F5A">
      <w:pPr>
        <w:pStyle w:val="ListParagraph"/>
        <w:numPr>
          <w:ilvl w:val="0"/>
          <w:numId w:val="34"/>
        </w:numPr>
        <w:rPr>
          <w:rFonts w:asciiTheme="minorHAnsi" w:hAnsiTheme="minorHAnsi" w:cstheme="minorHAnsi"/>
          <w:color w:val="auto"/>
          <w:sz w:val="20"/>
          <w:szCs w:val="20"/>
        </w:rPr>
      </w:pPr>
      <w:r>
        <w:rPr>
          <w:rFonts w:asciiTheme="minorHAnsi" w:hAnsiTheme="minorHAnsi" w:cstheme="minorHAnsi"/>
          <w:color w:val="auto"/>
          <w:sz w:val="20"/>
          <w:szCs w:val="20"/>
        </w:rPr>
        <w:t>Registered operators generally have smaller operations compared to accredited operators.</w:t>
      </w:r>
    </w:p>
    <w:p w14:paraId="6873B684" w14:textId="77777777" w:rsidR="00C41C67" w:rsidRDefault="00C41C67" w:rsidP="00842F5A">
      <w:pPr>
        <w:pStyle w:val="ListParagraph"/>
        <w:numPr>
          <w:ilvl w:val="0"/>
          <w:numId w:val="34"/>
        </w:numPr>
        <w:rPr>
          <w:rFonts w:asciiTheme="minorHAnsi" w:hAnsiTheme="minorHAnsi" w:cstheme="minorHAnsi"/>
          <w:color w:val="auto"/>
          <w:sz w:val="20"/>
          <w:szCs w:val="20"/>
        </w:rPr>
      </w:pPr>
      <w:r>
        <w:rPr>
          <w:rFonts w:asciiTheme="minorHAnsi" w:hAnsiTheme="minorHAnsi" w:cstheme="minorHAnsi"/>
          <w:color w:val="auto"/>
          <w:sz w:val="20"/>
          <w:szCs w:val="20"/>
        </w:rPr>
        <w:t>To the extent that operating a smaller number of buses correlates with having less complex operations, within the cohort of accredited operators, the operators who operate more buses will pay a higher fee.</w:t>
      </w:r>
    </w:p>
    <w:p w14:paraId="3A2DC2B7" w14:textId="77777777" w:rsidR="00C41C67" w:rsidRPr="006A2FC9" w:rsidRDefault="00C41C67" w:rsidP="00842F5A">
      <w:pPr>
        <w:pStyle w:val="ListParagraph"/>
        <w:numPr>
          <w:ilvl w:val="0"/>
          <w:numId w:val="34"/>
        </w:numPr>
        <w:rPr>
          <w:rFonts w:asciiTheme="minorHAnsi" w:hAnsiTheme="minorHAnsi" w:cstheme="minorHAnsi"/>
          <w:color w:val="auto"/>
          <w:sz w:val="20"/>
          <w:szCs w:val="20"/>
        </w:rPr>
      </w:pPr>
      <w:r>
        <w:rPr>
          <w:rFonts w:asciiTheme="minorHAnsi" w:hAnsiTheme="minorHAnsi" w:cstheme="minorHAnsi"/>
          <w:color w:val="auto"/>
          <w:sz w:val="20"/>
          <w:szCs w:val="20"/>
        </w:rPr>
        <w:t>Operators with larger fleets may have a higher capacity to pay regulatory fees.</w:t>
      </w:r>
    </w:p>
    <w:p w14:paraId="0893BB61" w14:textId="77777777" w:rsidR="00C41C67" w:rsidRDefault="00C41C67" w:rsidP="00C41C67">
      <w:r>
        <w:t>In summary, in the context of the equity criterion:</w:t>
      </w:r>
    </w:p>
    <w:p w14:paraId="26882400" w14:textId="653F16FF" w:rsidR="00C41C67" w:rsidRDefault="00C41C67" w:rsidP="00842F5A">
      <w:pPr>
        <w:pStyle w:val="ListParagraph"/>
        <w:numPr>
          <w:ilvl w:val="0"/>
          <w:numId w:val="34"/>
        </w:numPr>
        <w:rPr>
          <w:rFonts w:asciiTheme="minorHAnsi" w:hAnsiTheme="minorHAnsi" w:cstheme="minorHAnsi"/>
          <w:color w:val="auto"/>
          <w:sz w:val="20"/>
          <w:szCs w:val="20"/>
        </w:rPr>
      </w:pPr>
      <w:r>
        <w:rPr>
          <w:rFonts w:asciiTheme="minorHAnsi" w:hAnsiTheme="minorHAnsi" w:cstheme="minorHAnsi"/>
          <w:color w:val="auto"/>
          <w:sz w:val="20"/>
          <w:szCs w:val="20"/>
        </w:rPr>
        <w:t>Option 1 does not impose an annual fee on registered operators</w:t>
      </w:r>
      <w:r w:rsidR="008B5455">
        <w:rPr>
          <w:rFonts w:asciiTheme="minorHAnsi" w:hAnsiTheme="minorHAnsi" w:cstheme="minorHAnsi"/>
          <w:color w:val="auto"/>
          <w:sz w:val="20"/>
          <w:szCs w:val="20"/>
        </w:rPr>
        <w:t>.</w:t>
      </w:r>
    </w:p>
    <w:p w14:paraId="4FD9CA79" w14:textId="77777777" w:rsidR="00C41C67" w:rsidRDefault="00C41C67" w:rsidP="00842F5A">
      <w:pPr>
        <w:pStyle w:val="ListParagraph"/>
        <w:numPr>
          <w:ilvl w:val="0"/>
          <w:numId w:val="34"/>
        </w:numPr>
        <w:rPr>
          <w:rFonts w:asciiTheme="minorHAnsi" w:hAnsiTheme="minorHAnsi" w:cstheme="minorHAnsi"/>
          <w:color w:val="auto"/>
          <w:sz w:val="20"/>
          <w:szCs w:val="20"/>
        </w:rPr>
      </w:pPr>
      <w:r>
        <w:rPr>
          <w:rFonts w:asciiTheme="minorHAnsi" w:hAnsiTheme="minorHAnsi" w:cstheme="minorHAnsi"/>
          <w:color w:val="auto"/>
          <w:sz w:val="20"/>
          <w:szCs w:val="20"/>
        </w:rPr>
        <w:t>Options 2 and 3 differentiates annual fees between accredited operators and registered operators.</w:t>
      </w:r>
    </w:p>
    <w:p w14:paraId="71395FD1" w14:textId="77777777" w:rsidR="00C41C67" w:rsidRDefault="00C41C67" w:rsidP="00842F5A">
      <w:pPr>
        <w:pStyle w:val="ListParagraph"/>
        <w:numPr>
          <w:ilvl w:val="0"/>
          <w:numId w:val="34"/>
        </w:numPr>
        <w:rPr>
          <w:rFonts w:asciiTheme="minorHAnsi" w:hAnsiTheme="minorHAnsi" w:cstheme="minorHAnsi"/>
          <w:color w:val="auto"/>
          <w:sz w:val="20"/>
          <w:szCs w:val="20"/>
        </w:rPr>
      </w:pPr>
      <w:r>
        <w:rPr>
          <w:rFonts w:asciiTheme="minorHAnsi" w:hAnsiTheme="minorHAnsi" w:cstheme="minorHAnsi"/>
          <w:color w:val="auto"/>
          <w:sz w:val="20"/>
          <w:szCs w:val="20"/>
        </w:rPr>
        <w:t>All options impose a variable fee to differentiate between accredited operators.</w:t>
      </w:r>
    </w:p>
    <w:p w14:paraId="411DC94A" w14:textId="77777777" w:rsidR="00C41C67" w:rsidRPr="0077735D" w:rsidRDefault="00C41C67" w:rsidP="00842F5A">
      <w:pPr>
        <w:pStyle w:val="ListParagraph"/>
        <w:numPr>
          <w:ilvl w:val="0"/>
          <w:numId w:val="34"/>
        </w:numPr>
        <w:rPr>
          <w:rFonts w:asciiTheme="minorHAnsi" w:hAnsiTheme="minorHAnsi" w:cstheme="minorHAnsi"/>
          <w:color w:val="auto"/>
          <w:sz w:val="20"/>
          <w:szCs w:val="20"/>
        </w:rPr>
      </w:pPr>
      <w:r>
        <w:rPr>
          <w:rFonts w:asciiTheme="minorHAnsi" w:hAnsiTheme="minorHAnsi" w:cstheme="minorHAnsi"/>
          <w:color w:val="auto"/>
          <w:sz w:val="20"/>
          <w:szCs w:val="20"/>
        </w:rPr>
        <w:t>All options impose a fixed application fee for accreditation applications.</w:t>
      </w:r>
    </w:p>
    <w:p w14:paraId="2EBFF92B" w14:textId="0F140979" w:rsidR="00C41C67" w:rsidRDefault="00C41C67" w:rsidP="00C41C67">
      <w:r>
        <w:t xml:space="preserve">Based on these factors, DoT </w:t>
      </w:r>
      <w:r w:rsidR="006F4B02">
        <w:t xml:space="preserve">assigns </w:t>
      </w:r>
      <w:r w:rsidR="003015F4">
        <w:t>O</w:t>
      </w:r>
      <w:r>
        <w:t xml:space="preserve">ption 1 a score of +5, </w:t>
      </w:r>
      <w:r w:rsidR="00525C81">
        <w:t xml:space="preserve">and </w:t>
      </w:r>
      <w:r w:rsidR="003015F4">
        <w:t>O</w:t>
      </w:r>
      <w:r>
        <w:t xml:space="preserve">ptions 2 and 3 a score of +7 for the equity criterion. </w:t>
      </w:r>
    </w:p>
    <w:p w14:paraId="15C6C5EF" w14:textId="77777777" w:rsidR="00C41C67" w:rsidRPr="000975A7" w:rsidRDefault="00C41C67" w:rsidP="00C41C67">
      <w:pPr>
        <w:rPr>
          <w:i/>
          <w:iCs/>
        </w:rPr>
      </w:pPr>
      <w:r>
        <w:rPr>
          <w:i/>
          <w:iCs/>
        </w:rPr>
        <w:t>Compliance</w:t>
      </w:r>
      <w:r w:rsidRPr="000975A7">
        <w:rPr>
          <w:i/>
          <w:iCs/>
        </w:rPr>
        <w:t xml:space="preserve"> criterion</w:t>
      </w:r>
    </w:p>
    <w:p w14:paraId="05A4171A" w14:textId="77777777" w:rsidR="00C41C67" w:rsidRDefault="00C41C67" w:rsidP="00C41C67">
      <w:r>
        <w:t xml:space="preserve">The imposition of fees for regulatory services in and of itself is not expected to improve safety outcomes. However, DoT will consider the effect of the imposition of fees may have on compliance outcomes. An excessive fee may deter bus operators from obtaining accreditation or registration and incentivise operating outside of the law. Any non-compliance with the accreditation or registration requirement would make it difficult for the regulator to conduct compliance monitoring and </w:t>
      </w:r>
      <w:r>
        <w:lastRenderedPageBreak/>
        <w:t>enforcement. Since one of the purposes of accreditation and registration is to identify operators of bus services, any disincentives to being an accredited or registered operator would indirectly impede the safety objective.</w:t>
      </w:r>
    </w:p>
    <w:p w14:paraId="0316F98B" w14:textId="39B47F27" w:rsidR="00C41C67" w:rsidRDefault="00C41C67" w:rsidP="00C41C67">
      <w:r>
        <w:t xml:space="preserve">Comparing the three options, </w:t>
      </w:r>
      <w:r w:rsidR="006B6037">
        <w:t>O</w:t>
      </w:r>
      <w:r>
        <w:t xml:space="preserve">ption 3 would see accredited bus operators pay higher fees for applying for accreditation and higher annual fees. DoT considers that there is a possibility that the scale of this fee may deter some bus operators from gaining an accreditation or registration. Similarly, under </w:t>
      </w:r>
      <w:r w:rsidR="006B6037">
        <w:t>O</w:t>
      </w:r>
      <w:r>
        <w:t xml:space="preserve">ptions 2 and 3, there would be a new annual fee for registered operators. To the extent that a new fee will act as a deterrent to compliance, there may be a small negative impact of </w:t>
      </w:r>
      <w:r w:rsidR="006B6037">
        <w:t>O</w:t>
      </w:r>
      <w:r>
        <w:t>ptions 2 and 3 on compliance.</w:t>
      </w:r>
    </w:p>
    <w:p w14:paraId="23700CB5" w14:textId="32BB4911" w:rsidR="00C41C67" w:rsidRDefault="00C41C67" w:rsidP="00C41C67">
      <w:r>
        <w:t xml:space="preserve">While the imposition of fees may create some disincentive to comply with the law, DoT notes that there are other factors that incentivise compliance. This includes the penalties for being found guilty and being convicted of </w:t>
      </w:r>
      <w:r w:rsidR="00686D4D">
        <w:t xml:space="preserve">an </w:t>
      </w:r>
      <w:r>
        <w:t xml:space="preserve">offence related to being unaccredited and unregistered, and the level of compliance monitoring and enforcement that TSV undertakes to ensure overall compliance with the law. For this reason, DoT does not expect that the imposition of new fees will have a significant effect on compliance and therefore score </w:t>
      </w:r>
      <w:r w:rsidR="00C34907">
        <w:t>O</w:t>
      </w:r>
      <w:r>
        <w:t xml:space="preserve">ption 1, 2 and 3: 0, -1 and -2 respectively. </w:t>
      </w:r>
    </w:p>
    <w:p w14:paraId="670FF56B" w14:textId="640ED87E" w:rsidR="00C41C67" w:rsidRPr="00501D12" w:rsidRDefault="00C41C67" w:rsidP="007620AA">
      <w:pPr>
        <w:pStyle w:val="Caption"/>
        <w:keepNext/>
        <w:spacing w:after="60"/>
        <w:rPr>
          <w:b/>
          <w:i w:val="0"/>
        </w:rPr>
      </w:pPr>
      <w:bookmarkStart w:id="942" w:name="_Ref41404417"/>
      <w:bookmarkStart w:id="943" w:name="_Toc44437403"/>
      <w:bookmarkStart w:id="944" w:name="_Toc44597474"/>
      <w:bookmarkStart w:id="945" w:name="_Toc44597538"/>
      <w:bookmarkStart w:id="946" w:name="_Toc44600108"/>
      <w:bookmarkStart w:id="947" w:name="_Toc44600563"/>
      <w:bookmarkStart w:id="948" w:name="_Toc44600730"/>
      <w:bookmarkStart w:id="949" w:name="_Toc44601227"/>
      <w:bookmarkStart w:id="950" w:name="_Toc44601280"/>
      <w:bookmarkStart w:id="951" w:name="_Toc44603428"/>
      <w:bookmarkStart w:id="952" w:name="_Toc45704476"/>
      <w:r w:rsidRPr="00501D12">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7</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31</w:t>
      </w:r>
      <w:r w:rsidR="00D2483C">
        <w:rPr>
          <w:b/>
          <w:i w:val="0"/>
        </w:rPr>
        <w:fldChar w:fldCharType="end"/>
      </w:r>
      <w:bookmarkEnd w:id="942"/>
      <w:r w:rsidRPr="00501D12">
        <w:rPr>
          <w:b/>
          <w:i w:val="0"/>
        </w:rPr>
        <w:t xml:space="preserve">: Summary of </w:t>
      </w:r>
      <w:r w:rsidR="00285FDC" w:rsidRPr="007620AA">
        <w:rPr>
          <w:b/>
          <w:bCs/>
          <w:i w:val="0"/>
          <w:iCs w:val="0"/>
        </w:rPr>
        <w:t>multi</w:t>
      </w:r>
      <w:r w:rsidR="00285FDC">
        <w:rPr>
          <w:b/>
          <w:i w:val="0"/>
        </w:rPr>
        <w:t>-criteria analysis</w:t>
      </w:r>
      <w:r w:rsidR="00285FDC" w:rsidRPr="00501D12">
        <w:rPr>
          <w:b/>
          <w:i w:val="0"/>
        </w:rPr>
        <w:t xml:space="preserve"> </w:t>
      </w:r>
      <w:r w:rsidRPr="00501D12">
        <w:rPr>
          <w:b/>
          <w:i w:val="0"/>
        </w:rPr>
        <w:t>for fee options</w:t>
      </w:r>
      <w:bookmarkEnd w:id="943"/>
      <w:bookmarkEnd w:id="944"/>
      <w:bookmarkEnd w:id="945"/>
      <w:bookmarkEnd w:id="946"/>
      <w:bookmarkEnd w:id="947"/>
      <w:bookmarkEnd w:id="948"/>
      <w:bookmarkEnd w:id="949"/>
      <w:bookmarkEnd w:id="950"/>
      <w:bookmarkEnd w:id="951"/>
      <w:bookmarkEnd w:id="952"/>
    </w:p>
    <w:tbl>
      <w:tblPr>
        <w:tblStyle w:val="DOTtable0"/>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977"/>
        <w:gridCol w:w="977"/>
        <w:gridCol w:w="947"/>
        <w:gridCol w:w="984"/>
        <w:gridCol w:w="991"/>
        <w:gridCol w:w="977"/>
        <w:gridCol w:w="1693"/>
      </w:tblGrid>
      <w:tr w:rsidR="00C41C67" w14:paraId="6498A5B9" w14:textId="77777777" w:rsidTr="00E81154">
        <w:trPr>
          <w:cnfStyle w:val="100000000000" w:firstRow="1" w:lastRow="0" w:firstColumn="0" w:lastColumn="0" w:oddVBand="0" w:evenVBand="0" w:oddHBand="0" w:evenHBand="0" w:firstRowFirstColumn="0" w:firstRowLastColumn="0" w:lastRowFirstColumn="0" w:lastRowLastColumn="0"/>
          <w:cantSplit/>
        </w:trPr>
        <w:tc>
          <w:tcPr>
            <w:tcW w:w="1469" w:type="dxa"/>
            <w:tcBorders>
              <w:bottom w:val="none" w:sz="0" w:space="0" w:color="auto"/>
            </w:tcBorders>
          </w:tcPr>
          <w:p w14:paraId="6A46F757" w14:textId="77777777" w:rsidR="00C41C67" w:rsidRPr="00C41C67" w:rsidRDefault="00C41C67" w:rsidP="00E81154">
            <w:pPr>
              <w:keepNext/>
              <w:rPr>
                <w:sz w:val="18"/>
              </w:rPr>
            </w:pPr>
          </w:p>
        </w:tc>
        <w:tc>
          <w:tcPr>
            <w:tcW w:w="1954" w:type="dxa"/>
            <w:gridSpan w:val="2"/>
            <w:tcBorders>
              <w:bottom w:val="none" w:sz="0" w:space="0" w:color="auto"/>
            </w:tcBorders>
          </w:tcPr>
          <w:p w14:paraId="3F8BACE8" w14:textId="77777777" w:rsidR="00C41C67" w:rsidRPr="00C41C67" w:rsidRDefault="00C41C67" w:rsidP="00E81154">
            <w:pPr>
              <w:keepNext/>
              <w:rPr>
                <w:sz w:val="18"/>
              </w:rPr>
            </w:pPr>
            <w:r w:rsidRPr="00C41C67">
              <w:rPr>
                <w:sz w:val="18"/>
              </w:rPr>
              <w:t>Efficiency</w:t>
            </w:r>
            <w:r w:rsidRPr="00C41C67">
              <w:rPr>
                <w:sz w:val="18"/>
              </w:rPr>
              <w:br/>
              <w:t>(weighting: 40%)</w:t>
            </w:r>
          </w:p>
        </w:tc>
        <w:tc>
          <w:tcPr>
            <w:tcW w:w="1931" w:type="dxa"/>
            <w:gridSpan w:val="2"/>
            <w:tcBorders>
              <w:bottom w:val="none" w:sz="0" w:space="0" w:color="auto"/>
            </w:tcBorders>
          </w:tcPr>
          <w:p w14:paraId="6C751420" w14:textId="77777777" w:rsidR="00C41C67" w:rsidRPr="00C41C67" w:rsidRDefault="00C41C67" w:rsidP="00E81154">
            <w:pPr>
              <w:keepNext/>
              <w:rPr>
                <w:sz w:val="18"/>
              </w:rPr>
            </w:pPr>
            <w:r w:rsidRPr="00C41C67">
              <w:rPr>
                <w:sz w:val="18"/>
              </w:rPr>
              <w:t>Equity</w:t>
            </w:r>
            <w:r w:rsidRPr="00C41C67">
              <w:rPr>
                <w:sz w:val="18"/>
              </w:rPr>
              <w:br/>
              <w:t>(weighting: 40%)</w:t>
            </w:r>
          </w:p>
        </w:tc>
        <w:tc>
          <w:tcPr>
            <w:tcW w:w="1968" w:type="dxa"/>
            <w:gridSpan w:val="2"/>
            <w:tcBorders>
              <w:bottom w:val="none" w:sz="0" w:space="0" w:color="auto"/>
            </w:tcBorders>
          </w:tcPr>
          <w:p w14:paraId="6291F347" w14:textId="77777777" w:rsidR="00C41C67" w:rsidRPr="00C41C67" w:rsidRDefault="00C41C67" w:rsidP="00E81154">
            <w:pPr>
              <w:keepNext/>
              <w:rPr>
                <w:sz w:val="18"/>
              </w:rPr>
            </w:pPr>
            <w:r w:rsidRPr="00C41C67">
              <w:rPr>
                <w:sz w:val="18"/>
              </w:rPr>
              <w:t>Compliance</w:t>
            </w:r>
            <w:r w:rsidRPr="00C41C67">
              <w:rPr>
                <w:sz w:val="18"/>
              </w:rPr>
              <w:br/>
              <w:t>(weighting: 20%)</w:t>
            </w:r>
          </w:p>
        </w:tc>
        <w:tc>
          <w:tcPr>
            <w:tcW w:w="1693" w:type="dxa"/>
            <w:tcBorders>
              <w:bottom w:val="none" w:sz="0" w:space="0" w:color="auto"/>
            </w:tcBorders>
          </w:tcPr>
          <w:p w14:paraId="142EDB1D" w14:textId="77777777" w:rsidR="00C41C67" w:rsidRPr="00C41C67" w:rsidRDefault="00C41C67" w:rsidP="00E81154">
            <w:pPr>
              <w:keepNext/>
              <w:jc w:val="center"/>
              <w:rPr>
                <w:sz w:val="18"/>
              </w:rPr>
            </w:pPr>
            <w:r w:rsidRPr="00C41C67">
              <w:rPr>
                <w:sz w:val="18"/>
              </w:rPr>
              <w:t>Total</w:t>
            </w:r>
          </w:p>
        </w:tc>
      </w:tr>
      <w:tr w:rsidR="00C41C67" w14:paraId="06D40521" w14:textId="77777777" w:rsidTr="00E81154">
        <w:trPr>
          <w:cnfStyle w:val="000000100000" w:firstRow="0" w:lastRow="0" w:firstColumn="0" w:lastColumn="0" w:oddVBand="0" w:evenVBand="0" w:oddHBand="1" w:evenHBand="0" w:firstRowFirstColumn="0" w:firstRowLastColumn="0" w:lastRowFirstColumn="0" w:lastRowLastColumn="0"/>
          <w:cantSplit/>
        </w:trPr>
        <w:tc>
          <w:tcPr>
            <w:tcW w:w="1469" w:type="dxa"/>
            <w:tcBorders>
              <w:top w:val="none" w:sz="0" w:space="0" w:color="auto"/>
            </w:tcBorders>
          </w:tcPr>
          <w:p w14:paraId="4F1AA144" w14:textId="77777777" w:rsidR="00C41C67" w:rsidRPr="00C41C67" w:rsidRDefault="00C41C67" w:rsidP="00E81154">
            <w:pPr>
              <w:keepNext/>
              <w:rPr>
                <w:sz w:val="18"/>
              </w:rPr>
            </w:pPr>
          </w:p>
        </w:tc>
        <w:tc>
          <w:tcPr>
            <w:tcW w:w="977" w:type="dxa"/>
            <w:tcBorders>
              <w:top w:val="none" w:sz="0" w:space="0" w:color="auto"/>
            </w:tcBorders>
          </w:tcPr>
          <w:p w14:paraId="4BA99F98" w14:textId="77777777" w:rsidR="00C41C67" w:rsidRPr="00C41C67" w:rsidRDefault="00C41C67" w:rsidP="00E81154">
            <w:pPr>
              <w:keepNext/>
              <w:jc w:val="center"/>
              <w:rPr>
                <w:sz w:val="18"/>
              </w:rPr>
            </w:pPr>
            <w:r w:rsidRPr="00C41C67">
              <w:rPr>
                <w:sz w:val="18"/>
              </w:rPr>
              <w:t>Raw score</w:t>
            </w:r>
          </w:p>
        </w:tc>
        <w:tc>
          <w:tcPr>
            <w:tcW w:w="977" w:type="dxa"/>
            <w:tcBorders>
              <w:top w:val="none" w:sz="0" w:space="0" w:color="auto"/>
            </w:tcBorders>
          </w:tcPr>
          <w:p w14:paraId="455C67A8" w14:textId="77777777" w:rsidR="00C41C67" w:rsidRPr="00C41C67" w:rsidRDefault="00C41C67" w:rsidP="00E81154">
            <w:pPr>
              <w:keepNext/>
              <w:jc w:val="center"/>
              <w:rPr>
                <w:sz w:val="18"/>
              </w:rPr>
            </w:pPr>
            <w:r w:rsidRPr="00C41C67">
              <w:rPr>
                <w:sz w:val="18"/>
              </w:rPr>
              <w:t>Weighted score</w:t>
            </w:r>
          </w:p>
        </w:tc>
        <w:tc>
          <w:tcPr>
            <w:tcW w:w="947" w:type="dxa"/>
            <w:tcBorders>
              <w:top w:val="none" w:sz="0" w:space="0" w:color="auto"/>
            </w:tcBorders>
          </w:tcPr>
          <w:p w14:paraId="05015EEB" w14:textId="77777777" w:rsidR="00C41C67" w:rsidRPr="00C41C67" w:rsidRDefault="00C41C67" w:rsidP="00E81154">
            <w:pPr>
              <w:keepNext/>
              <w:jc w:val="center"/>
              <w:rPr>
                <w:sz w:val="18"/>
              </w:rPr>
            </w:pPr>
            <w:r w:rsidRPr="00C41C67">
              <w:rPr>
                <w:sz w:val="18"/>
              </w:rPr>
              <w:t>Raw score</w:t>
            </w:r>
          </w:p>
        </w:tc>
        <w:tc>
          <w:tcPr>
            <w:tcW w:w="984" w:type="dxa"/>
            <w:tcBorders>
              <w:top w:val="none" w:sz="0" w:space="0" w:color="auto"/>
            </w:tcBorders>
          </w:tcPr>
          <w:p w14:paraId="20A30A68" w14:textId="77777777" w:rsidR="00C41C67" w:rsidRPr="00C41C67" w:rsidRDefault="00C41C67" w:rsidP="00E81154">
            <w:pPr>
              <w:keepNext/>
              <w:jc w:val="center"/>
              <w:rPr>
                <w:sz w:val="18"/>
              </w:rPr>
            </w:pPr>
            <w:r w:rsidRPr="00C41C67">
              <w:rPr>
                <w:sz w:val="18"/>
              </w:rPr>
              <w:t>Weighted score</w:t>
            </w:r>
          </w:p>
        </w:tc>
        <w:tc>
          <w:tcPr>
            <w:tcW w:w="991" w:type="dxa"/>
            <w:tcBorders>
              <w:top w:val="none" w:sz="0" w:space="0" w:color="auto"/>
            </w:tcBorders>
          </w:tcPr>
          <w:p w14:paraId="29D2F1A1" w14:textId="77777777" w:rsidR="00C41C67" w:rsidRPr="00C41C67" w:rsidRDefault="00C41C67" w:rsidP="00E81154">
            <w:pPr>
              <w:keepNext/>
              <w:jc w:val="center"/>
              <w:rPr>
                <w:sz w:val="18"/>
              </w:rPr>
            </w:pPr>
            <w:r w:rsidRPr="00C41C67">
              <w:rPr>
                <w:sz w:val="18"/>
              </w:rPr>
              <w:t>Raw score</w:t>
            </w:r>
          </w:p>
        </w:tc>
        <w:tc>
          <w:tcPr>
            <w:tcW w:w="977" w:type="dxa"/>
            <w:tcBorders>
              <w:top w:val="none" w:sz="0" w:space="0" w:color="auto"/>
            </w:tcBorders>
          </w:tcPr>
          <w:p w14:paraId="1C8C69A8" w14:textId="77777777" w:rsidR="00C41C67" w:rsidRPr="00C41C67" w:rsidRDefault="00C41C67" w:rsidP="00E81154">
            <w:pPr>
              <w:keepNext/>
              <w:jc w:val="center"/>
              <w:rPr>
                <w:sz w:val="18"/>
              </w:rPr>
            </w:pPr>
            <w:r w:rsidRPr="00C41C67">
              <w:rPr>
                <w:sz w:val="18"/>
              </w:rPr>
              <w:t>Weighted score</w:t>
            </w:r>
          </w:p>
        </w:tc>
        <w:tc>
          <w:tcPr>
            <w:tcW w:w="1693" w:type="dxa"/>
            <w:tcBorders>
              <w:top w:val="none" w:sz="0" w:space="0" w:color="auto"/>
            </w:tcBorders>
          </w:tcPr>
          <w:p w14:paraId="51BE2666" w14:textId="77777777" w:rsidR="00C41C67" w:rsidRPr="00C41C67" w:rsidRDefault="00C41C67" w:rsidP="00E81154">
            <w:pPr>
              <w:keepNext/>
              <w:jc w:val="center"/>
              <w:rPr>
                <w:sz w:val="18"/>
              </w:rPr>
            </w:pPr>
          </w:p>
        </w:tc>
      </w:tr>
      <w:tr w:rsidR="00C41C67" w14:paraId="2F115499" w14:textId="77777777" w:rsidTr="00E81154">
        <w:trPr>
          <w:cnfStyle w:val="000000010000" w:firstRow="0" w:lastRow="0" w:firstColumn="0" w:lastColumn="0" w:oddVBand="0" w:evenVBand="0" w:oddHBand="0" w:evenHBand="1" w:firstRowFirstColumn="0" w:firstRowLastColumn="0" w:lastRowFirstColumn="0" w:lastRowLastColumn="0"/>
          <w:cantSplit/>
        </w:trPr>
        <w:tc>
          <w:tcPr>
            <w:tcW w:w="1469" w:type="dxa"/>
            <w:tcBorders>
              <w:top w:val="none" w:sz="0" w:space="0" w:color="auto"/>
            </w:tcBorders>
          </w:tcPr>
          <w:p w14:paraId="0ED56FF3" w14:textId="77777777" w:rsidR="00C41C67" w:rsidRPr="00C41C67" w:rsidRDefault="00C41C67" w:rsidP="00E81154">
            <w:pPr>
              <w:keepNext/>
              <w:rPr>
                <w:sz w:val="18"/>
              </w:rPr>
            </w:pPr>
            <w:r w:rsidRPr="00C41C67">
              <w:rPr>
                <w:sz w:val="18"/>
              </w:rPr>
              <w:t>Option 1</w:t>
            </w:r>
          </w:p>
        </w:tc>
        <w:tc>
          <w:tcPr>
            <w:tcW w:w="977" w:type="dxa"/>
            <w:tcBorders>
              <w:top w:val="none" w:sz="0" w:space="0" w:color="auto"/>
            </w:tcBorders>
          </w:tcPr>
          <w:p w14:paraId="2D347028" w14:textId="77777777" w:rsidR="00C41C67" w:rsidRPr="00C41C67" w:rsidRDefault="00C41C67" w:rsidP="00E81154">
            <w:pPr>
              <w:keepNext/>
              <w:jc w:val="center"/>
              <w:rPr>
                <w:sz w:val="18"/>
              </w:rPr>
            </w:pPr>
            <w:r w:rsidRPr="00C41C67">
              <w:rPr>
                <w:sz w:val="18"/>
              </w:rPr>
              <w:t>+3</w:t>
            </w:r>
          </w:p>
        </w:tc>
        <w:tc>
          <w:tcPr>
            <w:tcW w:w="977" w:type="dxa"/>
            <w:tcBorders>
              <w:top w:val="none" w:sz="0" w:space="0" w:color="auto"/>
            </w:tcBorders>
          </w:tcPr>
          <w:p w14:paraId="4FBF6ED2" w14:textId="77777777" w:rsidR="00C41C67" w:rsidRPr="00C41C67" w:rsidRDefault="00C41C67" w:rsidP="00E81154">
            <w:pPr>
              <w:keepNext/>
              <w:jc w:val="center"/>
              <w:rPr>
                <w:sz w:val="18"/>
              </w:rPr>
            </w:pPr>
            <w:r w:rsidRPr="00C41C67">
              <w:rPr>
                <w:sz w:val="18"/>
              </w:rPr>
              <w:t>+1.2</w:t>
            </w:r>
          </w:p>
        </w:tc>
        <w:tc>
          <w:tcPr>
            <w:tcW w:w="947" w:type="dxa"/>
            <w:tcBorders>
              <w:top w:val="none" w:sz="0" w:space="0" w:color="auto"/>
            </w:tcBorders>
          </w:tcPr>
          <w:p w14:paraId="7E0B4248" w14:textId="77777777" w:rsidR="00C41C67" w:rsidRPr="00C41C67" w:rsidRDefault="00C41C67" w:rsidP="00E81154">
            <w:pPr>
              <w:keepNext/>
              <w:jc w:val="center"/>
              <w:rPr>
                <w:sz w:val="18"/>
              </w:rPr>
            </w:pPr>
            <w:r w:rsidRPr="00C41C67">
              <w:rPr>
                <w:sz w:val="18"/>
              </w:rPr>
              <w:t>+5</w:t>
            </w:r>
          </w:p>
        </w:tc>
        <w:tc>
          <w:tcPr>
            <w:tcW w:w="984" w:type="dxa"/>
            <w:tcBorders>
              <w:top w:val="none" w:sz="0" w:space="0" w:color="auto"/>
            </w:tcBorders>
          </w:tcPr>
          <w:p w14:paraId="10FAB5C0" w14:textId="77777777" w:rsidR="00C41C67" w:rsidRPr="00C41C67" w:rsidRDefault="00C41C67" w:rsidP="00E81154">
            <w:pPr>
              <w:keepNext/>
              <w:jc w:val="center"/>
              <w:rPr>
                <w:sz w:val="18"/>
              </w:rPr>
            </w:pPr>
            <w:r w:rsidRPr="00C41C67">
              <w:rPr>
                <w:sz w:val="18"/>
              </w:rPr>
              <w:t>+1.6</w:t>
            </w:r>
          </w:p>
        </w:tc>
        <w:tc>
          <w:tcPr>
            <w:tcW w:w="991" w:type="dxa"/>
            <w:tcBorders>
              <w:top w:val="none" w:sz="0" w:space="0" w:color="auto"/>
            </w:tcBorders>
          </w:tcPr>
          <w:p w14:paraId="7D1B484F" w14:textId="77777777" w:rsidR="00C41C67" w:rsidRPr="00C41C67" w:rsidRDefault="00C41C67" w:rsidP="00E81154">
            <w:pPr>
              <w:keepNext/>
              <w:jc w:val="center"/>
              <w:rPr>
                <w:sz w:val="18"/>
              </w:rPr>
            </w:pPr>
            <w:r w:rsidRPr="00C41C67">
              <w:rPr>
                <w:sz w:val="18"/>
              </w:rPr>
              <w:t>0</w:t>
            </w:r>
          </w:p>
        </w:tc>
        <w:tc>
          <w:tcPr>
            <w:tcW w:w="977" w:type="dxa"/>
            <w:tcBorders>
              <w:top w:val="none" w:sz="0" w:space="0" w:color="auto"/>
            </w:tcBorders>
          </w:tcPr>
          <w:p w14:paraId="1AB1FC6E" w14:textId="77777777" w:rsidR="00C41C67" w:rsidRPr="00C41C67" w:rsidRDefault="00C41C67" w:rsidP="00E81154">
            <w:pPr>
              <w:keepNext/>
              <w:jc w:val="center"/>
              <w:rPr>
                <w:sz w:val="18"/>
              </w:rPr>
            </w:pPr>
            <w:r w:rsidRPr="00C41C67">
              <w:rPr>
                <w:sz w:val="18"/>
              </w:rPr>
              <w:t>0</w:t>
            </w:r>
          </w:p>
        </w:tc>
        <w:tc>
          <w:tcPr>
            <w:tcW w:w="1693" w:type="dxa"/>
            <w:tcBorders>
              <w:top w:val="none" w:sz="0" w:space="0" w:color="auto"/>
            </w:tcBorders>
          </w:tcPr>
          <w:p w14:paraId="392DDA02" w14:textId="77777777" w:rsidR="00C41C67" w:rsidRPr="00C41C67" w:rsidRDefault="00C41C67" w:rsidP="00E81154">
            <w:pPr>
              <w:keepNext/>
              <w:jc w:val="center"/>
              <w:rPr>
                <w:sz w:val="18"/>
              </w:rPr>
            </w:pPr>
            <w:r w:rsidRPr="00C41C67">
              <w:rPr>
                <w:sz w:val="18"/>
              </w:rPr>
              <w:t>3.2</w:t>
            </w:r>
          </w:p>
        </w:tc>
      </w:tr>
      <w:tr w:rsidR="00C41C67" w14:paraId="1AEAE4E4" w14:textId="77777777" w:rsidTr="00E81154">
        <w:trPr>
          <w:cnfStyle w:val="000000100000" w:firstRow="0" w:lastRow="0" w:firstColumn="0" w:lastColumn="0" w:oddVBand="0" w:evenVBand="0" w:oddHBand="1" w:evenHBand="0" w:firstRowFirstColumn="0" w:firstRowLastColumn="0" w:lastRowFirstColumn="0" w:lastRowLastColumn="0"/>
          <w:cantSplit/>
        </w:trPr>
        <w:tc>
          <w:tcPr>
            <w:tcW w:w="1469" w:type="dxa"/>
            <w:tcBorders>
              <w:top w:val="none" w:sz="0" w:space="0" w:color="auto"/>
            </w:tcBorders>
          </w:tcPr>
          <w:p w14:paraId="46E72B34" w14:textId="77777777" w:rsidR="00C41C67" w:rsidRPr="00C41C67" w:rsidRDefault="00C41C67" w:rsidP="00E81154">
            <w:pPr>
              <w:keepNext/>
              <w:rPr>
                <w:sz w:val="18"/>
              </w:rPr>
            </w:pPr>
            <w:r w:rsidRPr="00C41C67">
              <w:rPr>
                <w:sz w:val="18"/>
              </w:rPr>
              <w:t>Option 2</w:t>
            </w:r>
          </w:p>
        </w:tc>
        <w:tc>
          <w:tcPr>
            <w:tcW w:w="977" w:type="dxa"/>
            <w:tcBorders>
              <w:top w:val="none" w:sz="0" w:space="0" w:color="auto"/>
            </w:tcBorders>
          </w:tcPr>
          <w:p w14:paraId="2D713785" w14:textId="77777777" w:rsidR="00C41C67" w:rsidRPr="00C41C67" w:rsidRDefault="00C41C67" w:rsidP="00E81154">
            <w:pPr>
              <w:keepNext/>
              <w:jc w:val="center"/>
              <w:rPr>
                <w:sz w:val="18"/>
              </w:rPr>
            </w:pPr>
            <w:r w:rsidRPr="00C41C67">
              <w:rPr>
                <w:sz w:val="18"/>
              </w:rPr>
              <w:t>+5</w:t>
            </w:r>
          </w:p>
        </w:tc>
        <w:tc>
          <w:tcPr>
            <w:tcW w:w="977" w:type="dxa"/>
            <w:tcBorders>
              <w:top w:val="none" w:sz="0" w:space="0" w:color="auto"/>
            </w:tcBorders>
          </w:tcPr>
          <w:p w14:paraId="6B6BA3AF" w14:textId="77777777" w:rsidR="00C41C67" w:rsidRPr="00C41C67" w:rsidRDefault="00C41C67" w:rsidP="00E81154">
            <w:pPr>
              <w:keepNext/>
              <w:jc w:val="center"/>
              <w:rPr>
                <w:sz w:val="18"/>
              </w:rPr>
            </w:pPr>
            <w:r w:rsidRPr="00C41C67">
              <w:rPr>
                <w:sz w:val="18"/>
              </w:rPr>
              <w:t>+2</w:t>
            </w:r>
          </w:p>
        </w:tc>
        <w:tc>
          <w:tcPr>
            <w:tcW w:w="947" w:type="dxa"/>
            <w:tcBorders>
              <w:top w:val="none" w:sz="0" w:space="0" w:color="auto"/>
            </w:tcBorders>
          </w:tcPr>
          <w:p w14:paraId="1B735D86" w14:textId="77777777" w:rsidR="00C41C67" w:rsidRPr="00C41C67" w:rsidRDefault="00C41C67" w:rsidP="00E81154">
            <w:pPr>
              <w:keepNext/>
              <w:jc w:val="center"/>
              <w:rPr>
                <w:sz w:val="18"/>
              </w:rPr>
            </w:pPr>
            <w:r w:rsidRPr="00C41C67">
              <w:rPr>
                <w:sz w:val="18"/>
              </w:rPr>
              <w:t>+7</w:t>
            </w:r>
          </w:p>
        </w:tc>
        <w:tc>
          <w:tcPr>
            <w:tcW w:w="984" w:type="dxa"/>
            <w:tcBorders>
              <w:top w:val="none" w:sz="0" w:space="0" w:color="auto"/>
            </w:tcBorders>
          </w:tcPr>
          <w:p w14:paraId="33D7955A" w14:textId="77777777" w:rsidR="00C41C67" w:rsidRPr="00C41C67" w:rsidRDefault="00C41C67" w:rsidP="00E81154">
            <w:pPr>
              <w:keepNext/>
              <w:jc w:val="center"/>
              <w:rPr>
                <w:sz w:val="18"/>
              </w:rPr>
            </w:pPr>
            <w:r w:rsidRPr="00C41C67">
              <w:rPr>
                <w:sz w:val="18"/>
              </w:rPr>
              <w:t>+2.8</w:t>
            </w:r>
          </w:p>
        </w:tc>
        <w:tc>
          <w:tcPr>
            <w:tcW w:w="991" w:type="dxa"/>
            <w:tcBorders>
              <w:top w:val="none" w:sz="0" w:space="0" w:color="auto"/>
            </w:tcBorders>
          </w:tcPr>
          <w:p w14:paraId="708975F5" w14:textId="77777777" w:rsidR="00C41C67" w:rsidRPr="00C41C67" w:rsidRDefault="00C41C67" w:rsidP="00E81154">
            <w:pPr>
              <w:keepNext/>
              <w:jc w:val="center"/>
              <w:rPr>
                <w:sz w:val="18"/>
              </w:rPr>
            </w:pPr>
            <w:r w:rsidRPr="00C41C67">
              <w:rPr>
                <w:sz w:val="18"/>
              </w:rPr>
              <w:t>-1</w:t>
            </w:r>
          </w:p>
        </w:tc>
        <w:tc>
          <w:tcPr>
            <w:tcW w:w="977" w:type="dxa"/>
            <w:tcBorders>
              <w:top w:val="none" w:sz="0" w:space="0" w:color="auto"/>
            </w:tcBorders>
          </w:tcPr>
          <w:p w14:paraId="647F3728" w14:textId="77777777" w:rsidR="00C41C67" w:rsidRPr="00C41C67" w:rsidRDefault="00C41C67" w:rsidP="00E81154">
            <w:pPr>
              <w:keepNext/>
              <w:jc w:val="center"/>
              <w:rPr>
                <w:sz w:val="18"/>
              </w:rPr>
            </w:pPr>
            <w:r w:rsidRPr="00C41C67">
              <w:rPr>
                <w:sz w:val="18"/>
              </w:rPr>
              <w:t>-0.2</w:t>
            </w:r>
          </w:p>
        </w:tc>
        <w:tc>
          <w:tcPr>
            <w:tcW w:w="1693" w:type="dxa"/>
            <w:tcBorders>
              <w:top w:val="none" w:sz="0" w:space="0" w:color="auto"/>
            </w:tcBorders>
          </w:tcPr>
          <w:p w14:paraId="7F73DCCF" w14:textId="77777777" w:rsidR="00C41C67" w:rsidRPr="00C41C67" w:rsidRDefault="00C41C67" w:rsidP="00E81154">
            <w:pPr>
              <w:keepNext/>
              <w:jc w:val="center"/>
              <w:rPr>
                <w:sz w:val="18"/>
              </w:rPr>
            </w:pPr>
            <w:r w:rsidRPr="00C41C67">
              <w:rPr>
                <w:sz w:val="18"/>
              </w:rPr>
              <w:t>4.6</w:t>
            </w:r>
          </w:p>
        </w:tc>
      </w:tr>
      <w:tr w:rsidR="00C41C67" w14:paraId="4975F893" w14:textId="77777777" w:rsidTr="00E81154">
        <w:trPr>
          <w:cnfStyle w:val="000000010000" w:firstRow="0" w:lastRow="0" w:firstColumn="0" w:lastColumn="0" w:oddVBand="0" w:evenVBand="0" w:oddHBand="0" w:evenHBand="1" w:firstRowFirstColumn="0" w:firstRowLastColumn="0" w:lastRowFirstColumn="0" w:lastRowLastColumn="0"/>
          <w:cantSplit/>
        </w:trPr>
        <w:tc>
          <w:tcPr>
            <w:tcW w:w="1469" w:type="dxa"/>
            <w:tcBorders>
              <w:top w:val="none" w:sz="0" w:space="0" w:color="auto"/>
            </w:tcBorders>
          </w:tcPr>
          <w:p w14:paraId="405BC3B0" w14:textId="77777777" w:rsidR="00C41C67" w:rsidRPr="00C41C67" w:rsidRDefault="00C41C67" w:rsidP="00E81154">
            <w:pPr>
              <w:keepNext/>
              <w:rPr>
                <w:sz w:val="18"/>
              </w:rPr>
            </w:pPr>
            <w:r w:rsidRPr="00C41C67">
              <w:rPr>
                <w:sz w:val="18"/>
              </w:rPr>
              <w:t>Option 3</w:t>
            </w:r>
          </w:p>
        </w:tc>
        <w:tc>
          <w:tcPr>
            <w:tcW w:w="977" w:type="dxa"/>
            <w:tcBorders>
              <w:top w:val="none" w:sz="0" w:space="0" w:color="auto"/>
            </w:tcBorders>
          </w:tcPr>
          <w:p w14:paraId="1B6F0E02" w14:textId="77777777" w:rsidR="00C41C67" w:rsidRPr="00C41C67" w:rsidRDefault="00C41C67" w:rsidP="00E81154">
            <w:pPr>
              <w:keepNext/>
              <w:jc w:val="center"/>
              <w:rPr>
                <w:sz w:val="18"/>
              </w:rPr>
            </w:pPr>
            <w:r w:rsidRPr="00C41C67">
              <w:rPr>
                <w:sz w:val="18"/>
              </w:rPr>
              <w:t>+8</w:t>
            </w:r>
          </w:p>
        </w:tc>
        <w:tc>
          <w:tcPr>
            <w:tcW w:w="977" w:type="dxa"/>
            <w:tcBorders>
              <w:top w:val="none" w:sz="0" w:space="0" w:color="auto"/>
            </w:tcBorders>
          </w:tcPr>
          <w:p w14:paraId="0E7918C1" w14:textId="77777777" w:rsidR="00C41C67" w:rsidRPr="00C41C67" w:rsidRDefault="00C41C67" w:rsidP="00E81154">
            <w:pPr>
              <w:keepNext/>
              <w:jc w:val="center"/>
              <w:rPr>
                <w:sz w:val="18"/>
              </w:rPr>
            </w:pPr>
            <w:r w:rsidRPr="00C41C67">
              <w:rPr>
                <w:sz w:val="18"/>
              </w:rPr>
              <w:t>+3.2</w:t>
            </w:r>
          </w:p>
        </w:tc>
        <w:tc>
          <w:tcPr>
            <w:tcW w:w="947" w:type="dxa"/>
            <w:tcBorders>
              <w:top w:val="none" w:sz="0" w:space="0" w:color="auto"/>
            </w:tcBorders>
          </w:tcPr>
          <w:p w14:paraId="56B7562A" w14:textId="77777777" w:rsidR="00C41C67" w:rsidRPr="00C41C67" w:rsidRDefault="00C41C67" w:rsidP="00E81154">
            <w:pPr>
              <w:keepNext/>
              <w:jc w:val="center"/>
              <w:rPr>
                <w:sz w:val="18"/>
              </w:rPr>
            </w:pPr>
            <w:r w:rsidRPr="00C41C67">
              <w:rPr>
                <w:sz w:val="18"/>
              </w:rPr>
              <w:t>+7</w:t>
            </w:r>
          </w:p>
        </w:tc>
        <w:tc>
          <w:tcPr>
            <w:tcW w:w="984" w:type="dxa"/>
            <w:tcBorders>
              <w:top w:val="none" w:sz="0" w:space="0" w:color="auto"/>
            </w:tcBorders>
          </w:tcPr>
          <w:p w14:paraId="52716FFC" w14:textId="77777777" w:rsidR="00C41C67" w:rsidRPr="00C41C67" w:rsidRDefault="00C41C67" w:rsidP="00E81154">
            <w:pPr>
              <w:keepNext/>
              <w:jc w:val="center"/>
              <w:rPr>
                <w:sz w:val="18"/>
              </w:rPr>
            </w:pPr>
            <w:r w:rsidRPr="00C41C67">
              <w:rPr>
                <w:sz w:val="18"/>
              </w:rPr>
              <w:t>+2.8</w:t>
            </w:r>
          </w:p>
        </w:tc>
        <w:tc>
          <w:tcPr>
            <w:tcW w:w="991" w:type="dxa"/>
            <w:tcBorders>
              <w:top w:val="none" w:sz="0" w:space="0" w:color="auto"/>
            </w:tcBorders>
          </w:tcPr>
          <w:p w14:paraId="64E1F182" w14:textId="77777777" w:rsidR="00C41C67" w:rsidRPr="00C41C67" w:rsidRDefault="00C41C67" w:rsidP="00E81154">
            <w:pPr>
              <w:keepNext/>
              <w:jc w:val="center"/>
              <w:rPr>
                <w:sz w:val="18"/>
              </w:rPr>
            </w:pPr>
            <w:r w:rsidRPr="00C41C67">
              <w:rPr>
                <w:sz w:val="18"/>
              </w:rPr>
              <w:t>-2</w:t>
            </w:r>
          </w:p>
        </w:tc>
        <w:tc>
          <w:tcPr>
            <w:tcW w:w="977" w:type="dxa"/>
            <w:tcBorders>
              <w:top w:val="none" w:sz="0" w:space="0" w:color="auto"/>
            </w:tcBorders>
          </w:tcPr>
          <w:p w14:paraId="4AFAF5B2" w14:textId="77777777" w:rsidR="00C41C67" w:rsidRPr="00C41C67" w:rsidRDefault="00C41C67" w:rsidP="00E81154">
            <w:pPr>
              <w:keepNext/>
              <w:jc w:val="center"/>
              <w:rPr>
                <w:sz w:val="18"/>
              </w:rPr>
            </w:pPr>
            <w:r w:rsidRPr="00C41C67">
              <w:rPr>
                <w:sz w:val="18"/>
              </w:rPr>
              <w:t>-0.4</w:t>
            </w:r>
          </w:p>
        </w:tc>
        <w:tc>
          <w:tcPr>
            <w:tcW w:w="1693" w:type="dxa"/>
            <w:tcBorders>
              <w:top w:val="none" w:sz="0" w:space="0" w:color="auto"/>
            </w:tcBorders>
          </w:tcPr>
          <w:p w14:paraId="18B095F8" w14:textId="77777777" w:rsidR="00C41C67" w:rsidRPr="00C41C67" w:rsidRDefault="00C41C67" w:rsidP="00E81154">
            <w:pPr>
              <w:keepNext/>
              <w:jc w:val="center"/>
              <w:rPr>
                <w:sz w:val="18"/>
              </w:rPr>
            </w:pPr>
            <w:r w:rsidRPr="00C41C67">
              <w:rPr>
                <w:sz w:val="18"/>
              </w:rPr>
              <w:t>5.6</w:t>
            </w:r>
          </w:p>
        </w:tc>
      </w:tr>
    </w:tbl>
    <w:p w14:paraId="4DCE030E" w14:textId="77777777" w:rsidR="00C41C67" w:rsidRDefault="00C41C67" w:rsidP="00C41C67">
      <w:pPr>
        <w:pStyle w:val="Heading3"/>
      </w:pPr>
      <w:bookmarkStart w:id="953" w:name="_Toc45704387"/>
      <w:r>
        <w:t>Summary</w:t>
      </w:r>
      <w:bookmarkEnd w:id="953"/>
    </w:p>
    <w:p w14:paraId="73582040" w14:textId="2C673E3C" w:rsidR="00C41C67" w:rsidRDefault="00501D12" w:rsidP="00C41C67">
      <w:r>
        <w:fldChar w:fldCharType="begin"/>
      </w:r>
      <w:r>
        <w:instrText xml:space="preserve"> REF _Ref41404417 \h  \* MERGEFORMAT </w:instrText>
      </w:r>
      <w:r>
        <w:fldChar w:fldCharType="separate"/>
      </w:r>
      <w:r w:rsidR="00277F6E" w:rsidRPr="00277F6E">
        <w:t>Table 7</w:t>
      </w:r>
      <w:r w:rsidR="00277F6E" w:rsidRPr="00277F6E">
        <w:noBreakHyphen/>
        <w:t>31</w:t>
      </w:r>
      <w:r>
        <w:fldChar w:fldCharType="end"/>
      </w:r>
      <w:r>
        <w:t xml:space="preserve"> </w:t>
      </w:r>
      <w:r w:rsidR="00C41C67">
        <w:t xml:space="preserve">summarises the results of the multi-criteria analysis. Based on the analysis, the option which bests promotes efficiency, equity and compliance is </w:t>
      </w:r>
      <w:r w:rsidR="0009033A">
        <w:t>O</w:t>
      </w:r>
      <w:r w:rsidR="00C41C67">
        <w:t xml:space="preserve">ption 3. Option 3, in comparison to the status quo, would seek to recover costs fully from the bus industry and impose a new fee on registered operators. </w:t>
      </w:r>
    </w:p>
    <w:p w14:paraId="0A18EA5D" w14:textId="3DE823CE" w:rsidR="00152603" w:rsidRDefault="00152603" w:rsidP="00152603">
      <w:bookmarkStart w:id="954" w:name="_Hlk43546472"/>
      <w:r>
        <w:t>However, earlier in this document DoT has noted that</w:t>
      </w:r>
      <w:r w:rsidR="0059342E">
        <w:t xml:space="preserve"> there</w:t>
      </w:r>
      <w:r>
        <w:t xml:space="preserve"> are some factors which would suggest that the implementation of this option should be delayed. Specifically, DoT has observed that TSV’s regulatory functions have changed (i.e. responsibility for rail safety regulation and domestic commercial vessel regulations have been fully transferred to national regulators). The transfer of responsibilities is likely to affect the cost base for TSV generally, as resources may be redirected to other uses. This will likely affect the indirect costs attributable to bus safety regulation. DoT has also noted that possible future legislative reforms, based on proposals arising from the industry, DoT and other public service agencies, would affect the bus industry and the regulator. This would affect the cost base for bus safety regulation. While the Government has not </w:t>
      </w:r>
      <w:r w:rsidR="007C6B3A">
        <w:t xml:space="preserve">yet </w:t>
      </w:r>
      <w:r>
        <w:t xml:space="preserve">made a decision in respect of any such proposals, DoT would expect that regulatory fees would need to be reconsidered following the implementation of any reforms. </w:t>
      </w:r>
    </w:p>
    <w:p w14:paraId="78E3A3E9" w14:textId="77777777" w:rsidR="00152603" w:rsidRDefault="00152603" w:rsidP="00152603">
      <w:r>
        <w:t>DoT has undertaken an analysis of the costs of bus safety regulation based on costs incurred during the 2018-19 financial year, and also considered different fee structure and levels and the relative merits of those structures and levels. DoT welcomes any feedback on the interim analysis undertaken.</w:t>
      </w:r>
    </w:p>
    <w:p w14:paraId="50140F57" w14:textId="0DB26FFA" w:rsidR="00152603" w:rsidRPr="00E23707" w:rsidRDefault="00152603" w:rsidP="00152603">
      <w:r>
        <w:t xml:space="preserve">For these reasons, DoT is recommending that fees do not change at this time and is committing to undertaking a full review of regulatory fees within three to five years. DoT considers that this timeframe is appropriate having regard to the time that may be needed to undertake any organisational restructure, and the implementation of any reforms. Additionally, in the current </w:t>
      </w:r>
      <w:r>
        <w:lastRenderedPageBreak/>
        <w:t xml:space="preserve">environment of the COVID-19 pandemic, there is considerable uncertainty in relation to planning and priorities, but DoT considers a timeframe of three to five years sufficient to undertake a review of regulatory fees. </w:t>
      </w:r>
    </w:p>
    <w:bookmarkEnd w:id="954"/>
    <w:p w14:paraId="6E8DF70D" w14:textId="5BA3CA1D" w:rsidR="002872B1" w:rsidRPr="00F138AE" w:rsidRDefault="002872B1" w:rsidP="00C41C67">
      <w:pPr>
        <w:pStyle w:val="Heading2"/>
        <w:numPr>
          <w:ilvl w:val="0"/>
          <w:numId w:val="0"/>
        </w:numPr>
      </w:pPr>
      <w:r w:rsidRPr="00F138AE">
        <w:rPr>
          <w:highlight w:val="yellow"/>
        </w:rPr>
        <w:br w:type="page"/>
      </w:r>
    </w:p>
    <w:p w14:paraId="66C15106" w14:textId="3E9B8018" w:rsidR="00E324FA" w:rsidRPr="00D63C9E" w:rsidRDefault="00305133" w:rsidP="00305133">
      <w:pPr>
        <w:pStyle w:val="Heading1"/>
      </w:pPr>
      <w:bookmarkStart w:id="955" w:name="_Toc32909860"/>
      <w:bookmarkStart w:id="956" w:name="_Toc45704388"/>
      <w:r w:rsidRPr="00D63C9E">
        <w:lastRenderedPageBreak/>
        <w:t xml:space="preserve">Preferred </w:t>
      </w:r>
      <w:r w:rsidR="0001477E" w:rsidRPr="00D63C9E">
        <w:t>o</w:t>
      </w:r>
      <w:r w:rsidRPr="00D63C9E">
        <w:t>ption</w:t>
      </w:r>
      <w:bookmarkEnd w:id="955"/>
      <w:bookmarkEnd w:id="956"/>
    </w:p>
    <w:p w14:paraId="4966C5BE" w14:textId="0619ABD9" w:rsidR="00174B78" w:rsidRDefault="00174B78" w:rsidP="00174B78">
      <w:r>
        <w:t>This section of the RIS provides a summary of the proposed regulations.</w:t>
      </w:r>
    </w:p>
    <w:p w14:paraId="79AB2572" w14:textId="77777777" w:rsidR="00832481" w:rsidRDefault="00832481" w:rsidP="00AF1E95">
      <w:pPr>
        <w:pStyle w:val="Heading2"/>
      </w:pPr>
      <w:bookmarkStart w:id="957" w:name="_Toc509312016"/>
      <w:bookmarkStart w:id="958" w:name="_Toc32909861"/>
      <w:bookmarkStart w:id="959" w:name="_Toc45704389"/>
      <w:r>
        <w:t>Summary of the proposed regulations</w:t>
      </w:r>
      <w:bookmarkEnd w:id="957"/>
      <w:bookmarkEnd w:id="958"/>
      <w:bookmarkEnd w:id="959"/>
    </w:p>
    <w:p w14:paraId="3DFDC50C" w14:textId="51712E0D" w:rsidR="00940179" w:rsidRDefault="00940179" w:rsidP="00940179">
      <w:bookmarkStart w:id="960" w:name="_Hlk508102697"/>
      <w:r>
        <w:t xml:space="preserve">The analysis conducted indicates that there is merit in regulating certain aspects of bus services in relation to safety. </w:t>
      </w:r>
      <w:bookmarkEnd w:id="960"/>
      <w:r>
        <w:t xml:space="preserve">The requirements would form part of the proposed </w:t>
      </w:r>
      <w:r w:rsidR="00377041">
        <w:t>Bus Safety Regulations 2020. T</w:t>
      </w:r>
      <w:r>
        <w:t xml:space="preserve">he draft regulations are available for comment. </w:t>
      </w:r>
    </w:p>
    <w:p w14:paraId="4B7D2DD5" w14:textId="5A528606" w:rsidR="00940179" w:rsidRDefault="00940179" w:rsidP="00940179">
      <w:r>
        <w:t xml:space="preserve">The structure of the </w:t>
      </w:r>
      <w:r w:rsidR="00914A6E">
        <w:t>proposed</w:t>
      </w:r>
      <w:r>
        <w:t xml:space="preserve"> regulations is as follows:</w:t>
      </w:r>
    </w:p>
    <w:p w14:paraId="1C54215E" w14:textId="77777777" w:rsidR="00940179" w:rsidRPr="007C6BDB" w:rsidRDefault="00940179" w:rsidP="00AD0169">
      <w:pPr>
        <w:pStyle w:val="Heading3"/>
      </w:pPr>
      <w:bookmarkStart w:id="961" w:name="_Toc32909862"/>
      <w:bookmarkStart w:id="962" w:name="_Toc45704390"/>
      <w:r w:rsidRPr="007C6BDB">
        <w:t>Preliminary matters</w:t>
      </w:r>
      <w:bookmarkEnd w:id="961"/>
      <w:bookmarkEnd w:id="962"/>
      <w:r w:rsidRPr="007C6BDB">
        <w:t xml:space="preserve"> </w:t>
      </w:r>
    </w:p>
    <w:p w14:paraId="6290D695" w14:textId="4063490A" w:rsidR="00940179" w:rsidRDefault="00940179" w:rsidP="00940179">
      <w:r>
        <w:t xml:space="preserve">This section of the proposed </w:t>
      </w:r>
      <w:r w:rsidR="005E3BD7">
        <w:t>r</w:t>
      </w:r>
      <w:r>
        <w:t xml:space="preserve">egulations outlines the objectives, authorising provisions, commencement, revocations and definitions applicable to the proposed </w:t>
      </w:r>
      <w:r w:rsidR="004928BC">
        <w:t>r</w:t>
      </w:r>
      <w:r>
        <w:t xml:space="preserve">egulations. </w:t>
      </w:r>
    </w:p>
    <w:p w14:paraId="6984FE40" w14:textId="611308A6" w:rsidR="00940179" w:rsidRPr="006B01AF" w:rsidRDefault="006B01AF" w:rsidP="00AD0169">
      <w:pPr>
        <w:pStyle w:val="Heading3"/>
      </w:pPr>
      <w:bookmarkStart w:id="963" w:name="_Toc32909863"/>
      <w:bookmarkStart w:id="964" w:name="_Toc45704391"/>
      <w:r w:rsidRPr="006B01AF">
        <w:t xml:space="preserve">Bus </w:t>
      </w:r>
      <w:r w:rsidR="0004369B">
        <w:t>safety duties</w:t>
      </w:r>
      <w:bookmarkEnd w:id="963"/>
      <w:bookmarkEnd w:id="964"/>
      <w:r w:rsidR="00940179" w:rsidRPr="006B01AF">
        <w:t xml:space="preserve"> </w:t>
      </w:r>
    </w:p>
    <w:p w14:paraId="2E1ABB36" w14:textId="77777777" w:rsidR="00940179" w:rsidRDefault="00940179" w:rsidP="00940179">
      <w:r>
        <w:t>The following regulations are proposed:</w:t>
      </w:r>
    </w:p>
    <w:p w14:paraId="5DC72E7D" w14:textId="1B70EE58" w:rsidR="006F568C" w:rsidRPr="00B26C7A" w:rsidRDefault="000A799D"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requir</w:t>
      </w:r>
      <w:r w:rsidR="006F568C" w:rsidRPr="00B26C7A">
        <w:rPr>
          <w:rFonts w:asciiTheme="minorHAnsi" w:hAnsiTheme="minorHAnsi" w:cstheme="minorHAnsi"/>
          <w:color w:val="auto"/>
          <w:sz w:val="20"/>
          <w:szCs w:val="20"/>
        </w:rPr>
        <w:t>es</w:t>
      </w:r>
      <w:r w:rsidRPr="00B26C7A">
        <w:rPr>
          <w:rFonts w:asciiTheme="minorHAnsi" w:hAnsiTheme="minorHAnsi" w:cstheme="minorHAnsi"/>
          <w:color w:val="auto"/>
          <w:sz w:val="20"/>
          <w:szCs w:val="20"/>
        </w:rPr>
        <w:t xml:space="preserve"> the operator of a bus service to determine</w:t>
      </w:r>
      <w:r w:rsidR="00052AB7" w:rsidRPr="00B26C7A">
        <w:rPr>
          <w:rFonts w:asciiTheme="minorHAnsi" w:hAnsiTheme="minorHAnsi" w:cstheme="minorHAnsi"/>
          <w:color w:val="auto"/>
          <w:sz w:val="20"/>
          <w:szCs w:val="20"/>
        </w:rPr>
        <w:t xml:space="preserve">, in accordance with </w:t>
      </w:r>
      <w:r w:rsidR="00852CB9" w:rsidRPr="00B26C7A">
        <w:rPr>
          <w:rFonts w:asciiTheme="minorHAnsi" w:hAnsiTheme="minorHAnsi" w:cstheme="minorHAnsi"/>
          <w:color w:val="auto"/>
          <w:sz w:val="20"/>
          <w:szCs w:val="20"/>
        </w:rPr>
        <w:t>the carrying capacity determine</w:t>
      </w:r>
      <w:r w:rsidR="00C569F7" w:rsidRPr="00B26C7A">
        <w:rPr>
          <w:rFonts w:asciiTheme="minorHAnsi" w:hAnsiTheme="minorHAnsi" w:cstheme="minorHAnsi"/>
          <w:color w:val="auto"/>
          <w:sz w:val="20"/>
          <w:szCs w:val="20"/>
        </w:rPr>
        <w:t>d</w:t>
      </w:r>
      <w:r w:rsidR="00852CB9" w:rsidRPr="00B26C7A">
        <w:rPr>
          <w:rFonts w:asciiTheme="minorHAnsi" w:hAnsiTheme="minorHAnsi" w:cstheme="minorHAnsi"/>
          <w:color w:val="auto"/>
          <w:sz w:val="20"/>
          <w:szCs w:val="20"/>
        </w:rPr>
        <w:t xml:space="preserve"> by the manufacturer or </w:t>
      </w:r>
      <w:r w:rsidR="00942AFE" w:rsidRPr="00B26C7A">
        <w:rPr>
          <w:rFonts w:asciiTheme="minorHAnsi" w:hAnsiTheme="minorHAnsi" w:cstheme="minorHAnsi"/>
          <w:color w:val="auto"/>
          <w:sz w:val="20"/>
          <w:szCs w:val="20"/>
        </w:rPr>
        <w:t>licensed bus tester</w:t>
      </w:r>
      <w:r w:rsidR="007C41B7" w:rsidRPr="00B26C7A">
        <w:rPr>
          <w:rFonts w:asciiTheme="minorHAnsi" w:hAnsiTheme="minorHAnsi" w:cstheme="minorHAnsi"/>
          <w:color w:val="auto"/>
          <w:sz w:val="20"/>
          <w:szCs w:val="20"/>
        </w:rPr>
        <w:t>,</w:t>
      </w:r>
      <w:r w:rsidR="005358FD" w:rsidRPr="00B26C7A">
        <w:rPr>
          <w:rFonts w:asciiTheme="minorHAnsi" w:hAnsiTheme="minorHAnsi" w:cstheme="minorHAnsi"/>
          <w:color w:val="auto"/>
          <w:sz w:val="20"/>
          <w:szCs w:val="20"/>
        </w:rPr>
        <w:t xml:space="preserve"> </w:t>
      </w:r>
      <w:r w:rsidRPr="00B26C7A">
        <w:rPr>
          <w:rFonts w:asciiTheme="minorHAnsi" w:hAnsiTheme="minorHAnsi" w:cstheme="minorHAnsi"/>
          <w:color w:val="auto"/>
          <w:sz w:val="20"/>
          <w:szCs w:val="20"/>
        </w:rPr>
        <w:t xml:space="preserve">the maximum number of passengers that may be </w:t>
      </w:r>
      <w:r w:rsidR="006F568C" w:rsidRPr="00B26C7A">
        <w:rPr>
          <w:rFonts w:asciiTheme="minorHAnsi" w:hAnsiTheme="minorHAnsi" w:cstheme="minorHAnsi"/>
          <w:color w:val="auto"/>
          <w:sz w:val="20"/>
          <w:szCs w:val="20"/>
        </w:rPr>
        <w:t>safely</w:t>
      </w:r>
      <w:r w:rsidRPr="00B26C7A">
        <w:rPr>
          <w:rFonts w:asciiTheme="minorHAnsi" w:hAnsiTheme="minorHAnsi" w:cstheme="minorHAnsi"/>
          <w:color w:val="auto"/>
          <w:sz w:val="20"/>
          <w:szCs w:val="20"/>
        </w:rPr>
        <w:t xml:space="preserve"> carried on the bus</w:t>
      </w:r>
      <w:r w:rsidR="006F568C" w:rsidRPr="00B26C7A">
        <w:rPr>
          <w:rFonts w:asciiTheme="minorHAnsi" w:hAnsiTheme="minorHAnsi" w:cstheme="minorHAnsi"/>
          <w:color w:val="auto"/>
          <w:sz w:val="20"/>
          <w:szCs w:val="20"/>
        </w:rPr>
        <w:t xml:space="preserve"> </w:t>
      </w:r>
      <w:r w:rsidR="008657F4" w:rsidRPr="00B26C7A">
        <w:rPr>
          <w:rFonts w:asciiTheme="minorHAnsi" w:hAnsiTheme="minorHAnsi" w:cstheme="minorHAnsi"/>
          <w:color w:val="auto"/>
          <w:sz w:val="20"/>
          <w:szCs w:val="20"/>
        </w:rPr>
        <w:t>and to display a n</w:t>
      </w:r>
      <w:r w:rsidR="007B4C49" w:rsidRPr="00B26C7A">
        <w:rPr>
          <w:rFonts w:asciiTheme="minorHAnsi" w:hAnsiTheme="minorHAnsi" w:cstheme="minorHAnsi"/>
          <w:color w:val="auto"/>
          <w:sz w:val="20"/>
          <w:szCs w:val="20"/>
        </w:rPr>
        <w:t>otice of that number</w:t>
      </w:r>
      <w:r w:rsidR="0035111E" w:rsidRPr="00B26C7A">
        <w:rPr>
          <w:rFonts w:asciiTheme="minorHAnsi" w:hAnsiTheme="minorHAnsi" w:cstheme="minorHAnsi"/>
          <w:color w:val="auto"/>
          <w:sz w:val="20"/>
          <w:szCs w:val="20"/>
        </w:rPr>
        <w:t>.</w:t>
      </w:r>
      <w:r w:rsidR="00B652E3" w:rsidRPr="00B26C7A">
        <w:rPr>
          <w:rFonts w:asciiTheme="minorHAnsi" w:hAnsiTheme="minorHAnsi" w:cstheme="minorHAnsi"/>
          <w:color w:val="auto"/>
          <w:sz w:val="20"/>
          <w:szCs w:val="20"/>
        </w:rPr>
        <w:t xml:space="preserve"> </w:t>
      </w:r>
    </w:p>
    <w:p w14:paraId="19D6A962" w14:textId="567457DF" w:rsidR="00D8581E" w:rsidRPr="00B26C7A" w:rsidRDefault="006F568C"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w:t>
      </w:r>
      <w:r w:rsidR="00D15556" w:rsidRPr="00B26C7A">
        <w:rPr>
          <w:rFonts w:asciiTheme="minorHAnsi" w:hAnsiTheme="minorHAnsi" w:cstheme="minorHAnsi"/>
          <w:color w:val="auto"/>
          <w:sz w:val="20"/>
          <w:szCs w:val="20"/>
        </w:rPr>
        <w:t xml:space="preserve"> requires the operator of a bus service to ensure that each bus complies with each bus standard applicable (unless</w:t>
      </w:r>
      <w:r w:rsidR="00D8581E" w:rsidRPr="00B26C7A">
        <w:rPr>
          <w:rFonts w:asciiTheme="minorHAnsi" w:hAnsiTheme="minorHAnsi" w:cstheme="minorHAnsi"/>
          <w:color w:val="auto"/>
          <w:sz w:val="20"/>
          <w:szCs w:val="20"/>
        </w:rPr>
        <w:t xml:space="preserve"> exclusions applies)</w:t>
      </w:r>
      <w:r w:rsidR="0035111E" w:rsidRPr="00B26C7A">
        <w:rPr>
          <w:rFonts w:asciiTheme="minorHAnsi" w:hAnsiTheme="minorHAnsi" w:cstheme="minorHAnsi"/>
          <w:color w:val="auto"/>
          <w:sz w:val="20"/>
          <w:szCs w:val="20"/>
        </w:rPr>
        <w:t>.</w:t>
      </w:r>
    </w:p>
    <w:p w14:paraId="7E2EF7E0" w14:textId="077F41AE" w:rsidR="00F24BA4" w:rsidRPr="00B26C7A" w:rsidRDefault="00D8581E"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 xml:space="preserve">A regulation which </w:t>
      </w:r>
      <w:r w:rsidR="004D1F65" w:rsidRPr="00B26C7A">
        <w:rPr>
          <w:rFonts w:asciiTheme="minorHAnsi" w:hAnsiTheme="minorHAnsi" w:cstheme="minorHAnsi"/>
          <w:color w:val="auto"/>
          <w:sz w:val="20"/>
          <w:szCs w:val="20"/>
        </w:rPr>
        <w:t xml:space="preserve">prescribes the fitting </w:t>
      </w:r>
      <w:r w:rsidR="00904880" w:rsidRPr="00B26C7A">
        <w:rPr>
          <w:rFonts w:asciiTheme="minorHAnsi" w:hAnsiTheme="minorHAnsi" w:cstheme="minorHAnsi"/>
          <w:color w:val="auto"/>
          <w:sz w:val="20"/>
          <w:szCs w:val="20"/>
        </w:rPr>
        <w:t xml:space="preserve">of </w:t>
      </w:r>
      <w:r w:rsidR="00025159" w:rsidRPr="00B26C7A">
        <w:rPr>
          <w:rFonts w:asciiTheme="minorHAnsi" w:hAnsiTheme="minorHAnsi" w:cstheme="minorHAnsi"/>
          <w:color w:val="auto"/>
          <w:sz w:val="20"/>
          <w:szCs w:val="20"/>
        </w:rPr>
        <w:t>warning</w:t>
      </w:r>
      <w:r w:rsidRPr="00B26C7A">
        <w:rPr>
          <w:rFonts w:asciiTheme="minorHAnsi" w:hAnsiTheme="minorHAnsi" w:cstheme="minorHAnsi"/>
          <w:color w:val="auto"/>
          <w:sz w:val="20"/>
          <w:szCs w:val="20"/>
        </w:rPr>
        <w:t xml:space="preserve"> lights and signs</w:t>
      </w:r>
      <w:r w:rsidR="00FB149F" w:rsidRPr="00B26C7A">
        <w:rPr>
          <w:rFonts w:asciiTheme="minorHAnsi" w:hAnsiTheme="minorHAnsi" w:cstheme="minorHAnsi"/>
          <w:color w:val="auto"/>
          <w:sz w:val="20"/>
          <w:szCs w:val="20"/>
        </w:rPr>
        <w:t xml:space="preserve"> </w:t>
      </w:r>
      <w:r w:rsidR="007A4BE1" w:rsidRPr="00B26C7A">
        <w:rPr>
          <w:rFonts w:asciiTheme="minorHAnsi" w:hAnsiTheme="minorHAnsi" w:cstheme="minorHAnsi"/>
          <w:color w:val="auto"/>
          <w:sz w:val="20"/>
          <w:szCs w:val="20"/>
        </w:rPr>
        <w:t>on school buses</w:t>
      </w:r>
      <w:r w:rsidR="0035111E" w:rsidRPr="00B26C7A">
        <w:rPr>
          <w:rFonts w:asciiTheme="minorHAnsi" w:hAnsiTheme="minorHAnsi" w:cstheme="minorHAnsi"/>
          <w:color w:val="auto"/>
          <w:sz w:val="20"/>
          <w:szCs w:val="20"/>
        </w:rPr>
        <w:t>.</w:t>
      </w:r>
    </w:p>
    <w:p w14:paraId="60253214" w14:textId="3C578E63" w:rsidR="00B652E3" w:rsidRPr="00B26C7A" w:rsidRDefault="00F24BA4"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 xml:space="preserve">A regulation which </w:t>
      </w:r>
      <w:r w:rsidR="00FB149F" w:rsidRPr="00B26C7A">
        <w:rPr>
          <w:rFonts w:asciiTheme="minorHAnsi" w:hAnsiTheme="minorHAnsi" w:cstheme="minorHAnsi"/>
          <w:color w:val="auto"/>
          <w:sz w:val="20"/>
          <w:szCs w:val="20"/>
        </w:rPr>
        <w:t>prescribes</w:t>
      </w:r>
      <w:r w:rsidR="005366AF" w:rsidRPr="00B26C7A">
        <w:rPr>
          <w:rFonts w:asciiTheme="minorHAnsi" w:hAnsiTheme="minorHAnsi" w:cstheme="minorHAnsi"/>
          <w:color w:val="auto"/>
          <w:sz w:val="20"/>
          <w:szCs w:val="20"/>
        </w:rPr>
        <w:t xml:space="preserve"> the fitting </w:t>
      </w:r>
      <w:r w:rsidR="006E2095" w:rsidRPr="00B26C7A">
        <w:rPr>
          <w:rFonts w:asciiTheme="minorHAnsi" w:hAnsiTheme="minorHAnsi" w:cstheme="minorHAnsi"/>
          <w:color w:val="auto"/>
          <w:sz w:val="20"/>
          <w:szCs w:val="20"/>
        </w:rPr>
        <w:t xml:space="preserve">of fire </w:t>
      </w:r>
      <w:r w:rsidR="00201BE3" w:rsidRPr="00B26C7A">
        <w:rPr>
          <w:rFonts w:asciiTheme="minorHAnsi" w:hAnsiTheme="minorHAnsi" w:cstheme="minorHAnsi"/>
          <w:color w:val="auto"/>
          <w:sz w:val="20"/>
          <w:szCs w:val="20"/>
        </w:rPr>
        <w:t>extinguishers</w:t>
      </w:r>
      <w:r w:rsidR="006E2095" w:rsidRPr="00B26C7A">
        <w:rPr>
          <w:rFonts w:asciiTheme="minorHAnsi" w:hAnsiTheme="minorHAnsi" w:cstheme="minorHAnsi"/>
          <w:color w:val="auto"/>
          <w:sz w:val="20"/>
          <w:szCs w:val="20"/>
        </w:rPr>
        <w:t xml:space="preserve"> </w:t>
      </w:r>
      <w:r w:rsidR="00201BE3" w:rsidRPr="00B26C7A">
        <w:rPr>
          <w:rFonts w:asciiTheme="minorHAnsi" w:hAnsiTheme="minorHAnsi" w:cstheme="minorHAnsi"/>
          <w:color w:val="auto"/>
          <w:sz w:val="20"/>
          <w:szCs w:val="20"/>
        </w:rPr>
        <w:t xml:space="preserve">in accordance with the regulations or ADRs </w:t>
      </w:r>
      <w:r w:rsidR="005366AF" w:rsidRPr="00B26C7A">
        <w:rPr>
          <w:rFonts w:asciiTheme="minorHAnsi" w:hAnsiTheme="minorHAnsi" w:cstheme="minorHAnsi"/>
          <w:color w:val="auto"/>
          <w:sz w:val="20"/>
          <w:szCs w:val="20"/>
        </w:rPr>
        <w:t xml:space="preserve">and maintenance of fire </w:t>
      </w:r>
      <w:r w:rsidR="00FB149F" w:rsidRPr="00B26C7A">
        <w:rPr>
          <w:rFonts w:asciiTheme="minorHAnsi" w:hAnsiTheme="minorHAnsi" w:cstheme="minorHAnsi"/>
          <w:color w:val="auto"/>
          <w:sz w:val="20"/>
          <w:szCs w:val="20"/>
        </w:rPr>
        <w:t>extinguishers on a bus</w:t>
      </w:r>
      <w:r w:rsidR="0035111E" w:rsidRPr="00B26C7A">
        <w:rPr>
          <w:rFonts w:asciiTheme="minorHAnsi" w:hAnsiTheme="minorHAnsi" w:cstheme="minorHAnsi"/>
          <w:color w:val="auto"/>
          <w:sz w:val="20"/>
          <w:szCs w:val="20"/>
        </w:rPr>
        <w:t>.</w:t>
      </w:r>
      <w:r w:rsidRPr="00B26C7A">
        <w:rPr>
          <w:rFonts w:asciiTheme="minorHAnsi" w:hAnsiTheme="minorHAnsi" w:cstheme="minorHAnsi"/>
          <w:color w:val="auto"/>
          <w:sz w:val="20"/>
          <w:szCs w:val="20"/>
        </w:rPr>
        <w:t xml:space="preserve"> </w:t>
      </w:r>
    </w:p>
    <w:p w14:paraId="208F7A80" w14:textId="66C09ED5" w:rsidR="00DD16FA" w:rsidRPr="00B26C7A" w:rsidRDefault="008F07EF"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 xml:space="preserve">A regulation </w:t>
      </w:r>
      <w:r w:rsidR="00546943" w:rsidRPr="00B26C7A">
        <w:rPr>
          <w:rFonts w:asciiTheme="minorHAnsi" w:hAnsiTheme="minorHAnsi" w:cstheme="minorHAnsi"/>
          <w:color w:val="auto"/>
          <w:sz w:val="20"/>
          <w:szCs w:val="20"/>
        </w:rPr>
        <w:t>which</w:t>
      </w:r>
      <w:r w:rsidRPr="00B26C7A">
        <w:rPr>
          <w:rFonts w:asciiTheme="minorHAnsi" w:hAnsiTheme="minorHAnsi" w:cstheme="minorHAnsi"/>
          <w:color w:val="auto"/>
          <w:sz w:val="20"/>
          <w:szCs w:val="20"/>
        </w:rPr>
        <w:t xml:space="preserve"> require</w:t>
      </w:r>
      <w:r w:rsidR="00546943" w:rsidRPr="00B26C7A">
        <w:rPr>
          <w:rFonts w:asciiTheme="minorHAnsi" w:hAnsiTheme="minorHAnsi" w:cstheme="minorHAnsi"/>
          <w:color w:val="auto"/>
          <w:sz w:val="20"/>
          <w:szCs w:val="20"/>
        </w:rPr>
        <w:t>s</w:t>
      </w:r>
      <w:r w:rsidRPr="00B26C7A">
        <w:rPr>
          <w:rFonts w:asciiTheme="minorHAnsi" w:hAnsiTheme="minorHAnsi" w:cstheme="minorHAnsi"/>
          <w:color w:val="auto"/>
          <w:sz w:val="20"/>
          <w:szCs w:val="20"/>
        </w:rPr>
        <w:t xml:space="preserve"> accre</w:t>
      </w:r>
      <w:r w:rsidR="00546943" w:rsidRPr="00B26C7A">
        <w:rPr>
          <w:rFonts w:asciiTheme="minorHAnsi" w:hAnsiTheme="minorHAnsi" w:cstheme="minorHAnsi"/>
          <w:color w:val="auto"/>
          <w:sz w:val="20"/>
          <w:szCs w:val="20"/>
        </w:rPr>
        <w:t>di</w:t>
      </w:r>
      <w:r w:rsidRPr="00B26C7A">
        <w:rPr>
          <w:rFonts w:asciiTheme="minorHAnsi" w:hAnsiTheme="minorHAnsi" w:cstheme="minorHAnsi"/>
          <w:color w:val="auto"/>
          <w:sz w:val="20"/>
          <w:szCs w:val="20"/>
        </w:rPr>
        <w:t>ted bus operators</w:t>
      </w:r>
      <w:r w:rsidR="00135466" w:rsidRPr="00B26C7A">
        <w:rPr>
          <w:rFonts w:asciiTheme="minorHAnsi" w:hAnsiTheme="minorHAnsi" w:cstheme="minorHAnsi"/>
          <w:color w:val="auto"/>
          <w:sz w:val="20"/>
          <w:szCs w:val="20"/>
        </w:rPr>
        <w:t xml:space="preserve"> and registered bus operators to display</w:t>
      </w:r>
      <w:r w:rsidR="00BD5BAE" w:rsidRPr="00B26C7A">
        <w:rPr>
          <w:rFonts w:asciiTheme="minorHAnsi" w:hAnsiTheme="minorHAnsi" w:cstheme="minorHAnsi"/>
          <w:color w:val="auto"/>
          <w:sz w:val="20"/>
          <w:szCs w:val="20"/>
        </w:rPr>
        <w:t xml:space="preserve"> their accreditation or registration number</w:t>
      </w:r>
      <w:r w:rsidR="001C3429" w:rsidRPr="00B26C7A">
        <w:rPr>
          <w:rFonts w:asciiTheme="minorHAnsi" w:hAnsiTheme="minorHAnsi" w:cstheme="minorHAnsi"/>
          <w:color w:val="auto"/>
          <w:sz w:val="20"/>
          <w:szCs w:val="20"/>
        </w:rPr>
        <w:t xml:space="preserve"> </w:t>
      </w:r>
      <w:r w:rsidR="00D87BBB" w:rsidRPr="00B26C7A">
        <w:rPr>
          <w:rFonts w:asciiTheme="minorHAnsi" w:hAnsiTheme="minorHAnsi" w:cstheme="minorHAnsi"/>
          <w:color w:val="auto"/>
          <w:sz w:val="20"/>
          <w:szCs w:val="20"/>
        </w:rPr>
        <w:t>in a position, colour and size that is clearly visible</w:t>
      </w:r>
      <w:r w:rsidR="00F5337D" w:rsidRPr="00B26C7A">
        <w:rPr>
          <w:rFonts w:asciiTheme="minorHAnsi" w:hAnsiTheme="minorHAnsi" w:cstheme="minorHAnsi"/>
          <w:color w:val="auto"/>
          <w:sz w:val="20"/>
          <w:szCs w:val="20"/>
        </w:rPr>
        <w:t>.</w:t>
      </w:r>
    </w:p>
    <w:p w14:paraId="108C7B56" w14:textId="34ACE285" w:rsidR="00F1546A" w:rsidRPr="00B26C7A" w:rsidRDefault="00F1546A"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requires drivers to operate</w:t>
      </w:r>
      <w:r w:rsidR="00277A15" w:rsidRPr="00B26C7A">
        <w:rPr>
          <w:rFonts w:asciiTheme="minorHAnsi" w:hAnsiTheme="minorHAnsi" w:cstheme="minorHAnsi"/>
          <w:color w:val="auto"/>
          <w:sz w:val="20"/>
          <w:szCs w:val="20"/>
        </w:rPr>
        <w:t xml:space="preserve"> lights, signs or other device fitted to a school bus. </w:t>
      </w:r>
    </w:p>
    <w:p w14:paraId="3168B6E9" w14:textId="4EEB7B93" w:rsidR="00B73A6F" w:rsidRPr="00B26C7A" w:rsidRDefault="00B73A6F"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 xml:space="preserve">A regulation which requires that </w:t>
      </w:r>
      <w:r w:rsidR="00D819C7" w:rsidRPr="00B26C7A">
        <w:rPr>
          <w:rFonts w:asciiTheme="minorHAnsi" w:hAnsiTheme="minorHAnsi" w:cstheme="minorHAnsi"/>
          <w:color w:val="auto"/>
          <w:sz w:val="20"/>
          <w:szCs w:val="20"/>
        </w:rPr>
        <w:t xml:space="preserve">bus </w:t>
      </w:r>
      <w:r w:rsidRPr="00B26C7A">
        <w:rPr>
          <w:rFonts w:asciiTheme="minorHAnsi" w:hAnsiTheme="minorHAnsi" w:cstheme="minorHAnsi"/>
          <w:color w:val="auto"/>
          <w:sz w:val="20"/>
          <w:szCs w:val="20"/>
        </w:rPr>
        <w:t xml:space="preserve">drivers must not have alcohol or drugs present </w:t>
      </w:r>
      <w:r w:rsidR="00FD6A48" w:rsidRPr="00B26C7A">
        <w:rPr>
          <w:rFonts w:asciiTheme="minorHAnsi" w:hAnsiTheme="minorHAnsi" w:cstheme="minorHAnsi"/>
          <w:color w:val="auto"/>
          <w:sz w:val="20"/>
          <w:szCs w:val="20"/>
        </w:rPr>
        <w:t>immediately before or while driving a bus</w:t>
      </w:r>
      <w:r w:rsidR="0035111E" w:rsidRPr="00B26C7A">
        <w:rPr>
          <w:rFonts w:asciiTheme="minorHAnsi" w:hAnsiTheme="minorHAnsi" w:cstheme="minorHAnsi"/>
          <w:color w:val="auto"/>
          <w:sz w:val="20"/>
          <w:szCs w:val="20"/>
        </w:rPr>
        <w:t>.</w:t>
      </w:r>
    </w:p>
    <w:p w14:paraId="7A394563" w14:textId="77777777" w:rsidR="00F77890" w:rsidRPr="00AB3522" w:rsidRDefault="00F77890" w:rsidP="00F77890">
      <w:pPr>
        <w:pStyle w:val="Heading3"/>
      </w:pPr>
      <w:bookmarkStart w:id="965" w:name="_Toc32909864"/>
      <w:bookmarkStart w:id="966" w:name="_Toc45704392"/>
      <w:r w:rsidRPr="00AB3522">
        <w:t>Registration</w:t>
      </w:r>
      <w:bookmarkEnd w:id="966"/>
    </w:p>
    <w:p w14:paraId="0227DCD5" w14:textId="77777777" w:rsidR="00F77890" w:rsidRDefault="00F77890" w:rsidP="00F77890">
      <w:r>
        <w:t>The following regulations are proposed:</w:t>
      </w:r>
    </w:p>
    <w:p w14:paraId="4E4F8037" w14:textId="77777777" w:rsidR="00F77890" w:rsidRPr="00B26C7A" w:rsidRDefault="00F77890"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 xml:space="preserve">A regulation which requires the applicant to nominate a contact person if the applicant for registration is not a natural person. </w:t>
      </w:r>
    </w:p>
    <w:p w14:paraId="5AF69799" w14:textId="000C1667" w:rsidR="00F77890" w:rsidRPr="00B26C7A" w:rsidRDefault="00F77890"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prescribes information that must be contained in an application for registration</w:t>
      </w:r>
      <w:r w:rsidR="00E9402B" w:rsidRPr="00B26C7A">
        <w:rPr>
          <w:rFonts w:asciiTheme="minorHAnsi" w:hAnsiTheme="minorHAnsi" w:cstheme="minorHAnsi"/>
          <w:color w:val="auto"/>
          <w:sz w:val="20"/>
          <w:szCs w:val="20"/>
        </w:rPr>
        <w:t>.</w:t>
      </w:r>
    </w:p>
    <w:p w14:paraId="30885BDF" w14:textId="6AC42BE8" w:rsidR="00F77890" w:rsidRPr="00B26C7A" w:rsidRDefault="00F77890"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specifies the form and content of a certificate of registration</w:t>
      </w:r>
      <w:r w:rsidR="00E9402B" w:rsidRPr="00B26C7A">
        <w:rPr>
          <w:rFonts w:asciiTheme="minorHAnsi" w:hAnsiTheme="minorHAnsi" w:cstheme="minorHAnsi"/>
          <w:color w:val="auto"/>
          <w:sz w:val="20"/>
          <w:szCs w:val="20"/>
        </w:rPr>
        <w:t>.</w:t>
      </w:r>
    </w:p>
    <w:p w14:paraId="47640A07" w14:textId="05FBC96E" w:rsidR="00AD0169" w:rsidRDefault="00AD0169" w:rsidP="007974D6">
      <w:pPr>
        <w:pStyle w:val="Heading3"/>
      </w:pPr>
      <w:bookmarkStart w:id="967" w:name="_Toc45704393"/>
      <w:r>
        <w:t>Accreditation</w:t>
      </w:r>
      <w:bookmarkEnd w:id="965"/>
      <w:bookmarkEnd w:id="967"/>
    </w:p>
    <w:p w14:paraId="0A0AA4E4" w14:textId="29ADAAE8" w:rsidR="00333439" w:rsidRDefault="00333439" w:rsidP="00940179">
      <w:r>
        <w:t>The following regulations are proposed</w:t>
      </w:r>
      <w:r w:rsidR="00F41E2D">
        <w:t>:</w:t>
      </w:r>
    </w:p>
    <w:p w14:paraId="02A0EB3A" w14:textId="120C249A" w:rsidR="00C63C0F" w:rsidRPr="00B26C7A" w:rsidRDefault="00C63C0F"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 xml:space="preserve">A regulation which </w:t>
      </w:r>
      <w:r w:rsidR="003C3E31" w:rsidRPr="00B26C7A">
        <w:rPr>
          <w:rFonts w:asciiTheme="minorHAnsi" w:hAnsiTheme="minorHAnsi" w:cstheme="minorHAnsi"/>
          <w:color w:val="auto"/>
          <w:sz w:val="20"/>
          <w:szCs w:val="20"/>
        </w:rPr>
        <w:t xml:space="preserve">specifies the application </w:t>
      </w:r>
      <w:r w:rsidR="000F4F53" w:rsidRPr="00B26C7A">
        <w:rPr>
          <w:rFonts w:asciiTheme="minorHAnsi" w:hAnsiTheme="minorHAnsi" w:cstheme="minorHAnsi"/>
          <w:color w:val="auto"/>
          <w:sz w:val="20"/>
          <w:szCs w:val="20"/>
        </w:rPr>
        <w:t xml:space="preserve">fee </w:t>
      </w:r>
      <w:r w:rsidR="003C3E31" w:rsidRPr="00B26C7A">
        <w:rPr>
          <w:rFonts w:asciiTheme="minorHAnsi" w:hAnsiTheme="minorHAnsi" w:cstheme="minorHAnsi"/>
          <w:color w:val="auto"/>
          <w:sz w:val="20"/>
          <w:szCs w:val="20"/>
        </w:rPr>
        <w:t>and annual accredit</w:t>
      </w:r>
      <w:r w:rsidR="00F41E2D" w:rsidRPr="00B26C7A">
        <w:rPr>
          <w:rFonts w:asciiTheme="minorHAnsi" w:hAnsiTheme="minorHAnsi" w:cstheme="minorHAnsi"/>
          <w:color w:val="auto"/>
          <w:sz w:val="20"/>
          <w:szCs w:val="20"/>
        </w:rPr>
        <w:t>ation</w:t>
      </w:r>
      <w:r w:rsidR="003C3E31" w:rsidRPr="00B26C7A">
        <w:rPr>
          <w:rFonts w:asciiTheme="minorHAnsi" w:hAnsiTheme="minorHAnsi" w:cstheme="minorHAnsi"/>
          <w:color w:val="auto"/>
          <w:sz w:val="20"/>
          <w:szCs w:val="20"/>
        </w:rPr>
        <w:t xml:space="preserve"> fee</w:t>
      </w:r>
      <w:r w:rsidR="00D43F0F" w:rsidRPr="00B26C7A">
        <w:rPr>
          <w:rFonts w:asciiTheme="minorHAnsi" w:hAnsiTheme="minorHAnsi" w:cstheme="minorHAnsi"/>
          <w:color w:val="auto"/>
          <w:sz w:val="20"/>
          <w:szCs w:val="20"/>
        </w:rPr>
        <w:t>.</w:t>
      </w:r>
    </w:p>
    <w:p w14:paraId="763FFCD5" w14:textId="76E4F139" w:rsidR="00375A48" w:rsidRPr="00B26C7A" w:rsidRDefault="00C63C0F"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 xml:space="preserve">A regulation which specifies </w:t>
      </w:r>
      <w:r w:rsidR="00D63D4B" w:rsidRPr="00B26C7A">
        <w:rPr>
          <w:rFonts w:asciiTheme="minorHAnsi" w:hAnsiTheme="minorHAnsi" w:cstheme="minorHAnsi"/>
          <w:color w:val="auto"/>
          <w:sz w:val="20"/>
          <w:szCs w:val="20"/>
        </w:rPr>
        <w:t xml:space="preserve">documents and other matters </w:t>
      </w:r>
      <w:r w:rsidR="001405FC" w:rsidRPr="00B26C7A">
        <w:rPr>
          <w:rFonts w:asciiTheme="minorHAnsi" w:hAnsiTheme="minorHAnsi" w:cstheme="minorHAnsi"/>
          <w:color w:val="auto"/>
          <w:sz w:val="20"/>
          <w:szCs w:val="20"/>
        </w:rPr>
        <w:t xml:space="preserve">that must </w:t>
      </w:r>
      <w:r w:rsidR="00F57BCA" w:rsidRPr="00B26C7A">
        <w:rPr>
          <w:rFonts w:asciiTheme="minorHAnsi" w:hAnsiTheme="minorHAnsi" w:cstheme="minorHAnsi"/>
          <w:color w:val="auto"/>
          <w:sz w:val="20"/>
          <w:szCs w:val="20"/>
        </w:rPr>
        <w:t>accompany</w:t>
      </w:r>
      <w:r w:rsidR="001405FC" w:rsidRPr="00B26C7A">
        <w:rPr>
          <w:rFonts w:asciiTheme="minorHAnsi" w:hAnsiTheme="minorHAnsi" w:cstheme="minorHAnsi"/>
          <w:color w:val="auto"/>
          <w:sz w:val="20"/>
          <w:szCs w:val="20"/>
        </w:rPr>
        <w:t xml:space="preserve"> an application for accreditation</w:t>
      </w:r>
      <w:r w:rsidR="00917861" w:rsidRPr="00B26C7A">
        <w:rPr>
          <w:rFonts w:asciiTheme="minorHAnsi" w:hAnsiTheme="minorHAnsi" w:cstheme="minorHAnsi"/>
          <w:color w:val="auto"/>
          <w:sz w:val="20"/>
          <w:szCs w:val="20"/>
        </w:rPr>
        <w:t>.</w:t>
      </w:r>
    </w:p>
    <w:p w14:paraId="28CD5F5D" w14:textId="48070A46" w:rsidR="006B0425" w:rsidRPr="00B26C7A" w:rsidRDefault="00321154"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prescribe</w:t>
      </w:r>
      <w:r w:rsidR="00D43F0F" w:rsidRPr="00B26C7A">
        <w:rPr>
          <w:rFonts w:asciiTheme="minorHAnsi" w:hAnsiTheme="minorHAnsi" w:cstheme="minorHAnsi"/>
          <w:color w:val="auto"/>
          <w:sz w:val="20"/>
          <w:szCs w:val="20"/>
        </w:rPr>
        <w:t>s</w:t>
      </w:r>
      <w:r w:rsidRPr="00B26C7A">
        <w:rPr>
          <w:rFonts w:asciiTheme="minorHAnsi" w:hAnsiTheme="minorHAnsi" w:cstheme="minorHAnsi"/>
          <w:color w:val="auto"/>
          <w:sz w:val="20"/>
          <w:szCs w:val="20"/>
        </w:rPr>
        <w:t xml:space="preserve"> conditions of accreditation</w:t>
      </w:r>
      <w:r w:rsidR="001078D7" w:rsidRPr="00B26C7A">
        <w:rPr>
          <w:rFonts w:asciiTheme="minorHAnsi" w:hAnsiTheme="minorHAnsi" w:cstheme="minorHAnsi"/>
          <w:color w:val="auto"/>
          <w:sz w:val="20"/>
          <w:szCs w:val="20"/>
        </w:rPr>
        <w:t>. Conditions include</w:t>
      </w:r>
      <w:r w:rsidR="00692C16" w:rsidRPr="00B26C7A">
        <w:rPr>
          <w:rFonts w:asciiTheme="minorHAnsi" w:hAnsiTheme="minorHAnsi" w:cstheme="minorHAnsi"/>
          <w:color w:val="auto"/>
          <w:sz w:val="20"/>
          <w:szCs w:val="20"/>
        </w:rPr>
        <w:t xml:space="preserve"> that the operator</w:t>
      </w:r>
      <w:r w:rsidR="006B0425" w:rsidRPr="00B26C7A">
        <w:rPr>
          <w:rFonts w:asciiTheme="minorHAnsi" w:hAnsiTheme="minorHAnsi" w:cstheme="minorHAnsi"/>
          <w:color w:val="auto"/>
          <w:sz w:val="20"/>
          <w:szCs w:val="20"/>
        </w:rPr>
        <w:t>:</w:t>
      </w:r>
    </w:p>
    <w:p w14:paraId="65EAB911" w14:textId="3C576B5B" w:rsidR="000B524C" w:rsidRDefault="008F2B81" w:rsidP="00B26C7A">
      <w:pPr>
        <w:pStyle w:val="ListBullet"/>
        <w:numPr>
          <w:ilvl w:val="1"/>
          <w:numId w:val="18"/>
        </w:numPr>
        <w:rPr>
          <w:lang w:val="en-US"/>
        </w:rPr>
      </w:pPr>
      <w:r>
        <w:rPr>
          <w:lang w:val="en-US"/>
        </w:rPr>
        <w:t>c</w:t>
      </w:r>
      <w:r w:rsidR="000B524C">
        <w:rPr>
          <w:lang w:val="en-US"/>
        </w:rPr>
        <w:t>ompl</w:t>
      </w:r>
      <w:r w:rsidR="00692C16">
        <w:rPr>
          <w:lang w:val="en-US"/>
        </w:rPr>
        <w:t>ies</w:t>
      </w:r>
      <w:r w:rsidR="000B524C">
        <w:rPr>
          <w:lang w:val="en-US"/>
        </w:rPr>
        <w:t xml:space="preserve"> with </w:t>
      </w:r>
      <w:r w:rsidR="00521C8F">
        <w:rPr>
          <w:lang w:val="en-US"/>
        </w:rPr>
        <w:t>bus safety duties set out in the regulations</w:t>
      </w:r>
    </w:p>
    <w:p w14:paraId="71909B63" w14:textId="6F32DDF8" w:rsidR="005B58AB" w:rsidRDefault="00692C16" w:rsidP="00B26C7A">
      <w:pPr>
        <w:pStyle w:val="ListBullet"/>
        <w:numPr>
          <w:ilvl w:val="1"/>
          <w:numId w:val="18"/>
        </w:numPr>
        <w:rPr>
          <w:lang w:val="en-US"/>
        </w:rPr>
      </w:pPr>
      <w:r>
        <w:rPr>
          <w:lang w:val="en-US"/>
        </w:rPr>
        <w:lastRenderedPageBreak/>
        <w:t>establishes</w:t>
      </w:r>
      <w:r w:rsidR="005B58AB">
        <w:rPr>
          <w:lang w:val="en-US"/>
        </w:rPr>
        <w:t>, maintain</w:t>
      </w:r>
      <w:r>
        <w:rPr>
          <w:lang w:val="en-US"/>
        </w:rPr>
        <w:t>s</w:t>
      </w:r>
      <w:r w:rsidR="005B58AB">
        <w:rPr>
          <w:lang w:val="en-US"/>
        </w:rPr>
        <w:t xml:space="preserve"> and compl</w:t>
      </w:r>
      <w:r>
        <w:rPr>
          <w:lang w:val="en-US"/>
        </w:rPr>
        <w:t>ies</w:t>
      </w:r>
      <w:r w:rsidR="005B58AB">
        <w:rPr>
          <w:lang w:val="en-US"/>
        </w:rPr>
        <w:t xml:space="preserve"> with MIS and MMS</w:t>
      </w:r>
    </w:p>
    <w:p w14:paraId="437167FB" w14:textId="0AF2D880" w:rsidR="006B0425" w:rsidRDefault="006C38A3" w:rsidP="00B26C7A">
      <w:pPr>
        <w:pStyle w:val="ListBullet"/>
        <w:numPr>
          <w:ilvl w:val="1"/>
          <w:numId w:val="18"/>
        </w:numPr>
        <w:rPr>
          <w:lang w:val="en-US"/>
        </w:rPr>
      </w:pPr>
      <w:r>
        <w:rPr>
          <w:lang w:val="en-US"/>
        </w:rPr>
        <w:t xml:space="preserve">conducts an </w:t>
      </w:r>
      <w:r w:rsidR="006B0425">
        <w:rPr>
          <w:lang w:val="en-US"/>
        </w:rPr>
        <w:t>a</w:t>
      </w:r>
      <w:r w:rsidR="001078D7" w:rsidRPr="006B0425">
        <w:rPr>
          <w:lang w:val="en-US"/>
        </w:rPr>
        <w:t>nnual audit of</w:t>
      </w:r>
      <w:r w:rsidR="002523D0">
        <w:rPr>
          <w:lang w:val="en-US"/>
        </w:rPr>
        <w:t xml:space="preserve"> their</w:t>
      </w:r>
      <w:r w:rsidR="001078D7" w:rsidRPr="006B0425">
        <w:rPr>
          <w:lang w:val="en-US"/>
        </w:rPr>
        <w:t xml:space="preserve"> MIS and MMS</w:t>
      </w:r>
    </w:p>
    <w:p w14:paraId="52CD9D42" w14:textId="1DD7EF96" w:rsidR="006B0425" w:rsidRDefault="00310338" w:rsidP="00B26C7A">
      <w:pPr>
        <w:pStyle w:val="ListBullet"/>
        <w:numPr>
          <w:ilvl w:val="1"/>
          <w:numId w:val="18"/>
        </w:numPr>
        <w:rPr>
          <w:lang w:val="en-US"/>
        </w:rPr>
      </w:pPr>
      <w:r>
        <w:rPr>
          <w:lang w:val="en-US"/>
        </w:rPr>
        <w:t>not defac</w:t>
      </w:r>
      <w:r w:rsidR="002E3A4A">
        <w:rPr>
          <w:lang w:val="en-US"/>
        </w:rPr>
        <w:t>e</w:t>
      </w:r>
      <w:r>
        <w:rPr>
          <w:lang w:val="en-US"/>
        </w:rPr>
        <w:t xml:space="preserve"> or alter</w:t>
      </w:r>
      <w:r w:rsidR="008D46D3">
        <w:rPr>
          <w:lang w:val="en-US"/>
        </w:rPr>
        <w:t xml:space="preserve"> the</w:t>
      </w:r>
      <w:r w:rsidR="007E0E02" w:rsidRPr="006B0425">
        <w:rPr>
          <w:lang w:val="en-US"/>
        </w:rPr>
        <w:t xml:space="preserve"> certificate of accreditation</w:t>
      </w:r>
    </w:p>
    <w:p w14:paraId="6032AB4B" w14:textId="000F2024" w:rsidR="00321154" w:rsidRPr="006B0425" w:rsidRDefault="007E0E02" w:rsidP="00B26C7A">
      <w:pPr>
        <w:pStyle w:val="ListBullet"/>
        <w:numPr>
          <w:ilvl w:val="1"/>
          <w:numId w:val="18"/>
        </w:numPr>
        <w:rPr>
          <w:lang w:val="en-US"/>
        </w:rPr>
      </w:pPr>
      <w:r w:rsidRPr="006B0425">
        <w:rPr>
          <w:lang w:val="en-US"/>
        </w:rPr>
        <w:t>pay</w:t>
      </w:r>
      <w:r w:rsidR="002E3A4A">
        <w:rPr>
          <w:lang w:val="en-US"/>
        </w:rPr>
        <w:t xml:space="preserve"> the</w:t>
      </w:r>
      <w:r w:rsidRPr="006B0425">
        <w:rPr>
          <w:lang w:val="en-US"/>
        </w:rPr>
        <w:t xml:space="preserve"> annual accreditation fee. </w:t>
      </w:r>
    </w:p>
    <w:p w14:paraId="219D8670" w14:textId="48B9BCA7" w:rsidR="00702373" w:rsidRPr="00012AC8" w:rsidRDefault="00702373" w:rsidP="006B4BFD">
      <w:pPr>
        <w:pStyle w:val="Heading3"/>
      </w:pPr>
      <w:bookmarkStart w:id="968" w:name="_Toc32909866"/>
      <w:bookmarkStart w:id="969" w:name="_Toc45704394"/>
      <w:r w:rsidRPr="00012AC8">
        <w:t>Exemptions</w:t>
      </w:r>
      <w:bookmarkEnd w:id="968"/>
      <w:bookmarkEnd w:id="969"/>
    </w:p>
    <w:p w14:paraId="16E29075" w14:textId="351B6739" w:rsidR="004C675A" w:rsidRPr="00012AC8" w:rsidRDefault="004C675A" w:rsidP="004C675A">
      <w:r w:rsidRPr="00012AC8">
        <w:t>The following regulations are proposed:</w:t>
      </w:r>
    </w:p>
    <w:p w14:paraId="5CBFEBDA" w14:textId="7201283E" w:rsidR="0032323F" w:rsidRPr="00B26C7A" w:rsidRDefault="0032323F"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prescribes information that must be contained in an application for exemption</w:t>
      </w:r>
      <w:r w:rsidR="00F84A5F" w:rsidRPr="00B26C7A">
        <w:rPr>
          <w:rFonts w:asciiTheme="minorHAnsi" w:hAnsiTheme="minorHAnsi" w:cstheme="minorHAnsi"/>
          <w:color w:val="auto"/>
          <w:sz w:val="20"/>
          <w:szCs w:val="20"/>
        </w:rPr>
        <w:t>.</w:t>
      </w:r>
      <w:r w:rsidR="00B878F5" w:rsidRPr="00B26C7A">
        <w:rPr>
          <w:rFonts w:asciiTheme="minorHAnsi" w:hAnsiTheme="minorHAnsi" w:cstheme="minorHAnsi"/>
          <w:color w:val="auto"/>
          <w:sz w:val="20"/>
          <w:szCs w:val="20"/>
        </w:rPr>
        <w:t xml:space="preserve"> </w:t>
      </w:r>
    </w:p>
    <w:p w14:paraId="71D687EB" w14:textId="2974D7C4" w:rsidR="0093480B" w:rsidRPr="00B26C7A" w:rsidRDefault="0032323F"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specifies requirements for exemptions</w:t>
      </w:r>
      <w:r w:rsidR="0093480B" w:rsidRPr="00B26C7A">
        <w:rPr>
          <w:rFonts w:asciiTheme="minorHAnsi" w:hAnsiTheme="minorHAnsi" w:cstheme="minorHAnsi"/>
          <w:color w:val="auto"/>
          <w:sz w:val="20"/>
          <w:szCs w:val="20"/>
        </w:rPr>
        <w:t xml:space="preserve">. </w:t>
      </w:r>
      <w:r w:rsidR="00A70C0F" w:rsidRPr="00B26C7A">
        <w:rPr>
          <w:rFonts w:asciiTheme="minorHAnsi" w:hAnsiTheme="minorHAnsi" w:cstheme="minorHAnsi"/>
          <w:color w:val="auto"/>
          <w:sz w:val="20"/>
          <w:szCs w:val="20"/>
        </w:rPr>
        <w:t>Information</w:t>
      </w:r>
      <w:r w:rsidR="00FA548D" w:rsidRPr="00B26C7A">
        <w:rPr>
          <w:rFonts w:asciiTheme="minorHAnsi" w:hAnsiTheme="minorHAnsi" w:cstheme="minorHAnsi"/>
          <w:color w:val="auto"/>
          <w:sz w:val="20"/>
          <w:szCs w:val="20"/>
        </w:rPr>
        <w:t xml:space="preserve"> required</w:t>
      </w:r>
      <w:r w:rsidR="00F93100" w:rsidRPr="00B26C7A">
        <w:rPr>
          <w:rFonts w:asciiTheme="minorHAnsi" w:hAnsiTheme="minorHAnsi" w:cstheme="minorHAnsi"/>
          <w:color w:val="auto"/>
          <w:sz w:val="20"/>
          <w:szCs w:val="20"/>
        </w:rPr>
        <w:t xml:space="preserve"> </w:t>
      </w:r>
      <w:r w:rsidR="00FA548D" w:rsidRPr="00B26C7A">
        <w:rPr>
          <w:rFonts w:asciiTheme="minorHAnsi" w:hAnsiTheme="minorHAnsi" w:cstheme="minorHAnsi"/>
          <w:color w:val="auto"/>
          <w:sz w:val="20"/>
          <w:szCs w:val="20"/>
        </w:rPr>
        <w:t>must</w:t>
      </w:r>
      <w:r w:rsidR="0093480B" w:rsidRPr="00B26C7A">
        <w:rPr>
          <w:rFonts w:asciiTheme="minorHAnsi" w:hAnsiTheme="minorHAnsi" w:cstheme="minorHAnsi"/>
          <w:color w:val="auto"/>
          <w:sz w:val="20"/>
          <w:szCs w:val="20"/>
        </w:rPr>
        <w:t xml:space="preserve"> include</w:t>
      </w:r>
      <w:r w:rsidR="00A70C0F" w:rsidRPr="00B26C7A">
        <w:rPr>
          <w:rFonts w:asciiTheme="minorHAnsi" w:hAnsiTheme="minorHAnsi" w:cstheme="minorHAnsi"/>
          <w:color w:val="auto"/>
          <w:sz w:val="20"/>
          <w:szCs w:val="20"/>
        </w:rPr>
        <w:t xml:space="preserve"> evidence</w:t>
      </w:r>
      <w:r w:rsidR="005F51E8" w:rsidRPr="00B26C7A">
        <w:rPr>
          <w:rFonts w:asciiTheme="minorHAnsi" w:hAnsiTheme="minorHAnsi" w:cstheme="minorHAnsi"/>
          <w:color w:val="auto"/>
          <w:sz w:val="20"/>
          <w:szCs w:val="20"/>
        </w:rPr>
        <w:t xml:space="preserve"> that</w:t>
      </w:r>
      <w:r w:rsidR="0093480B" w:rsidRPr="00B26C7A">
        <w:rPr>
          <w:rFonts w:asciiTheme="minorHAnsi" w:hAnsiTheme="minorHAnsi" w:cstheme="minorHAnsi"/>
          <w:color w:val="auto"/>
          <w:sz w:val="20"/>
          <w:szCs w:val="20"/>
        </w:rPr>
        <w:t>:</w:t>
      </w:r>
    </w:p>
    <w:p w14:paraId="62D10977" w14:textId="4C62BAA3" w:rsidR="009A00BA" w:rsidRDefault="00A540AF" w:rsidP="00B26C7A">
      <w:pPr>
        <w:pStyle w:val="ListBullet"/>
        <w:numPr>
          <w:ilvl w:val="1"/>
          <w:numId w:val="18"/>
        </w:numPr>
        <w:rPr>
          <w:lang w:val="en-US"/>
        </w:rPr>
      </w:pPr>
      <w:r w:rsidRPr="0093480B">
        <w:rPr>
          <w:lang w:val="en-US"/>
        </w:rPr>
        <w:t>the</w:t>
      </w:r>
      <w:r w:rsidR="003209FB" w:rsidRPr="0093480B">
        <w:rPr>
          <w:lang w:val="en-US"/>
        </w:rPr>
        <w:t xml:space="preserve"> provision from which the exemption is sought imposes a regulatory burden that is excessively onerous or unreasonable</w:t>
      </w:r>
    </w:p>
    <w:p w14:paraId="50CD00C8" w14:textId="25A3011C" w:rsidR="009A00BA" w:rsidRDefault="00147AE9" w:rsidP="00B26C7A">
      <w:pPr>
        <w:pStyle w:val="ListBullet"/>
        <w:numPr>
          <w:ilvl w:val="1"/>
          <w:numId w:val="18"/>
        </w:numPr>
        <w:rPr>
          <w:lang w:val="en-US"/>
        </w:rPr>
      </w:pPr>
      <w:r w:rsidRPr="0093480B">
        <w:rPr>
          <w:lang w:val="en-US"/>
        </w:rPr>
        <w:t>the granting of the exemption will not reduce the safe operation of the bus service</w:t>
      </w:r>
    </w:p>
    <w:p w14:paraId="50B1AD78" w14:textId="6A2356D5" w:rsidR="009A00BA" w:rsidRDefault="001C537D" w:rsidP="00B26C7A">
      <w:pPr>
        <w:pStyle w:val="ListBullet"/>
        <w:numPr>
          <w:ilvl w:val="1"/>
          <w:numId w:val="18"/>
        </w:numPr>
        <w:rPr>
          <w:lang w:val="en-US"/>
        </w:rPr>
      </w:pPr>
      <w:r w:rsidRPr="0093480B">
        <w:rPr>
          <w:lang w:val="en-US"/>
        </w:rPr>
        <w:t xml:space="preserve">the applicant </w:t>
      </w:r>
      <w:r w:rsidR="001D1E97">
        <w:rPr>
          <w:lang w:val="en-US"/>
        </w:rPr>
        <w:t>has</w:t>
      </w:r>
      <w:r w:rsidR="004C397B">
        <w:rPr>
          <w:lang w:val="en-US"/>
        </w:rPr>
        <w:t xml:space="preserve"> sufficient </w:t>
      </w:r>
      <w:r w:rsidRPr="009A00BA">
        <w:rPr>
          <w:lang w:val="en-US"/>
        </w:rPr>
        <w:t>competence and capacity to manage risks</w:t>
      </w:r>
      <w:r w:rsidR="00B424FE">
        <w:rPr>
          <w:lang w:val="en-US"/>
        </w:rPr>
        <w:t xml:space="preserve"> to bus safety</w:t>
      </w:r>
    </w:p>
    <w:p w14:paraId="64F30F0F" w14:textId="3E2049B0" w:rsidR="0032323F" w:rsidRPr="009A00BA" w:rsidRDefault="00A56CA6" w:rsidP="00B26C7A">
      <w:pPr>
        <w:pStyle w:val="ListBullet"/>
        <w:numPr>
          <w:ilvl w:val="1"/>
          <w:numId w:val="18"/>
        </w:numPr>
        <w:rPr>
          <w:lang w:val="en-US"/>
        </w:rPr>
      </w:pPr>
      <w:r w:rsidRPr="009A00BA">
        <w:rPr>
          <w:lang w:val="en-US"/>
        </w:rPr>
        <w:t xml:space="preserve">the applicant has </w:t>
      </w:r>
      <w:r w:rsidR="00826FB2">
        <w:rPr>
          <w:lang w:val="en-US"/>
        </w:rPr>
        <w:t>sufficient</w:t>
      </w:r>
      <w:r w:rsidRPr="009A00BA">
        <w:rPr>
          <w:lang w:val="en-US"/>
        </w:rPr>
        <w:t xml:space="preserve"> financial capacity or </w:t>
      </w:r>
      <w:r w:rsidR="00B424FE">
        <w:rPr>
          <w:lang w:val="en-US"/>
        </w:rPr>
        <w:t xml:space="preserve">public risk </w:t>
      </w:r>
      <w:r w:rsidRPr="009A00BA">
        <w:rPr>
          <w:lang w:val="en-US"/>
        </w:rPr>
        <w:t>insuranc</w:t>
      </w:r>
      <w:r w:rsidR="00BF308B" w:rsidRPr="009A00BA">
        <w:rPr>
          <w:lang w:val="en-US"/>
        </w:rPr>
        <w:t xml:space="preserve">e to meet </w:t>
      </w:r>
      <w:r w:rsidR="003A7DB0" w:rsidRPr="009A00BA">
        <w:rPr>
          <w:lang w:val="en-US"/>
        </w:rPr>
        <w:t xml:space="preserve">potential accident </w:t>
      </w:r>
      <w:r w:rsidR="00BF308B" w:rsidRPr="009A00BA">
        <w:rPr>
          <w:lang w:val="en-US"/>
        </w:rPr>
        <w:t>liabilit</w:t>
      </w:r>
      <w:r w:rsidR="0076055D" w:rsidRPr="009A00BA">
        <w:rPr>
          <w:lang w:val="en-US"/>
        </w:rPr>
        <w:t>ies.</w:t>
      </w:r>
    </w:p>
    <w:p w14:paraId="18CA2F9E" w14:textId="19512C34" w:rsidR="00B30F72" w:rsidRDefault="0032323F" w:rsidP="00B26C7A">
      <w:pPr>
        <w:pStyle w:val="ListParagraph"/>
        <w:numPr>
          <w:ilvl w:val="0"/>
          <w:numId w:val="34"/>
        </w:numPr>
        <w:rPr>
          <w:lang w:val="en-US"/>
        </w:rPr>
      </w:pPr>
      <w:r w:rsidRPr="00B26C7A">
        <w:rPr>
          <w:rFonts w:asciiTheme="minorHAnsi" w:hAnsiTheme="minorHAnsi" w:cstheme="minorHAnsi"/>
          <w:color w:val="auto"/>
          <w:sz w:val="20"/>
          <w:szCs w:val="20"/>
        </w:rPr>
        <w:t>A regulation relati</w:t>
      </w:r>
      <w:r w:rsidR="000E6225" w:rsidRPr="00B26C7A">
        <w:rPr>
          <w:rFonts w:asciiTheme="minorHAnsi" w:hAnsiTheme="minorHAnsi" w:cstheme="minorHAnsi"/>
          <w:color w:val="auto"/>
          <w:sz w:val="20"/>
          <w:szCs w:val="20"/>
        </w:rPr>
        <w:t>ng</w:t>
      </w:r>
      <w:r w:rsidRPr="00B26C7A">
        <w:rPr>
          <w:rFonts w:asciiTheme="minorHAnsi" w:hAnsiTheme="minorHAnsi" w:cstheme="minorHAnsi"/>
          <w:color w:val="auto"/>
          <w:sz w:val="20"/>
          <w:szCs w:val="20"/>
        </w:rPr>
        <w:t xml:space="preserve"> to c</w:t>
      </w:r>
      <w:r w:rsidR="000E6225" w:rsidRPr="00B26C7A">
        <w:rPr>
          <w:rFonts w:asciiTheme="minorHAnsi" w:hAnsiTheme="minorHAnsi" w:cstheme="minorHAnsi"/>
          <w:color w:val="auto"/>
          <w:sz w:val="20"/>
          <w:szCs w:val="20"/>
        </w:rPr>
        <w:t>onditions of exemptions</w:t>
      </w:r>
      <w:r w:rsidR="00C05262" w:rsidRPr="00B26C7A">
        <w:rPr>
          <w:rFonts w:asciiTheme="minorHAnsi" w:hAnsiTheme="minorHAnsi" w:cstheme="minorHAnsi"/>
          <w:color w:val="auto"/>
          <w:sz w:val="20"/>
          <w:szCs w:val="20"/>
        </w:rPr>
        <w:t>. Conditions include</w:t>
      </w:r>
      <w:r w:rsidR="00AF022B" w:rsidRPr="00B26C7A">
        <w:rPr>
          <w:rFonts w:asciiTheme="minorHAnsi" w:hAnsiTheme="minorHAnsi" w:cstheme="minorHAnsi"/>
          <w:color w:val="auto"/>
          <w:sz w:val="20"/>
          <w:szCs w:val="20"/>
        </w:rPr>
        <w:t xml:space="preserve"> that</w:t>
      </w:r>
      <w:r w:rsidR="00F272CE" w:rsidRPr="00B26C7A">
        <w:rPr>
          <w:rFonts w:asciiTheme="minorHAnsi" w:hAnsiTheme="minorHAnsi" w:cstheme="minorHAnsi"/>
          <w:color w:val="auto"/>
          <w:sz w:val="20"/>
          <w:szCs w:val="20"/>
        </w:rPr>
        <w:t xml:space="preserve"> the operator</w:t>
      </w:r>
      <w:r w:rsidR="00B30F72" w:rsidRPr="00B26C7A">
        <w:rPr>
          <w:rFonts w:asciiTheme="minorHAnsi" w:hAnsiTheme="minorHAnsi" w:cstheme="minorHAnsi"/>
          <w:color w:val="auto"/>
          <w:sz w:val="20"/>
          <w:szCs w:val="20"/>
        </w:rPr>
        <w:t>:</w:t>
      </w:r>
    </w:p>
    <w:p w14:paraId="41825836" w14:textId="5AD6B5E8" w:rsidR="00B30F72" w:rsidRDefault="00AF022B" w:rsidP="00B26C7A">
      <w:pPr>
        <w:pStyle w:val="ListBullet"/>
        <w:numPr>
          <w:ilvl w:val="1"/>
          <w:numId w:val="18"/>
        </w:numPr>
        <w:rPr>
          <w:lang w:val="en-US"/>
        </w:rPr>
      </w:pPr>
      <w:r>
        <w:rPr>
          <w:lang w:val="en-US"/>
        </w:rPr>
        <w:t xml:space="preserve">keep </w:t>
      </w:r>
      <w:r w:rsidR="00410E5C">
        <w:rPr>
          <w:lang w:val="en-US"/>
        </w:rPr>
        <w:t xml:space="preserve">a copy of the notification of exemption </w:t>
      </w:r>
      <w:r w:rsidR="003722C8">
        <w:rPr>
          <w:lang w:val="en-US"/>
        </w:rPr>
        <w:t xml:space="preserve">and produce </w:t>
      </w:r>
      <w:r w:rsidR="007C5D42">
        <w:rPr>
          <w:lang w:val="en-US"/>
        </w:rPr>
        <w:t xml:space="preserve">the notification </w:t>
      </w:r>
      <w:r w:rsidR="003722C8">
        <w:rPr>
          <w:lang w:val="en-US"/>
        </w:rPr>
        <w:t>to the Safety Director on request</w:t>
      </w:r>
    </w:p>
    <w:p w14:paraId="71B52FA3" w14:textId="7A0D6077" w:rsidR="00B30F72" w:rsidRDefault="00FA043B" w:rsidP="00B26C7A">
      <w:pPr>
        <w:pStyle w:val="ListBullet"/>
        <w:numPr>
          <w:ilvl w:val="1"/>
          <w:numId w:val="18"/>
        </w:numPr>
        <w:rPr>
          <w:lang w:val="en-US"/>
        </w:rPr>
      </w:pPr>
      <w:r>
        <w:rPr>
          <w:lang w:val="en-US"/>
        </w:rPr>
        <w:t xml:space="preserve">must </w:t>
      </w:r>
      <w:r w:rsidR="00045415">
        <w:rPr>
          <w:lang w:val="en-US"/>
        </w:rPr>
        <w:t>notif</w:t>
      </w:r>
      <w:r>
        <w:rPr>
          <w:lang w:val="en-US"/>
        </w:rPr>
        <w:t>y</w:t>
      </w:r>
      <w:r w:rsidR="00045415">
        <w:rPr>
          <w:lang w:val="en-US"/>
        </w:rPr>
        <w:t xml:space="preserve"> the Safety Director </w:t>
      </w:r>
      <w:r w:rsidR="00456FE4">
        <w:rPr>
          <w:lang w:val="en-US"/>
        </w:rPr>
        <w:t xml:space="preserve">if there are any changes </w:t>
      </w:r>
      <w:r w:rsidR="0038099D">
        <w:rPr>
          <w:lang w:val="en-US"/>
        </w:rPr>
        <w:t>with respect to the exemption</w:t>
      </w:r>
      <w:r w:rsidR="009F5C7E">
        <w:rPr>
          <w:lang w:val="en-US"/>
        </w:rPr>
        <w:t xml:space="preserve"> or the bus service</w:t>
      </w:r>
    </w:p>
    <w:p w14:paraId="6A66C212" w14:textId="6E3AB79A" w:rsidR="00B30F72" w:rsidRDefault="00E30E36" w:rsidP="00B26C7A">
      <w:pPr>
        <w:pStyle w:val="ListBullet"/>
        <w:numPr>
          <w:ilvl w:val="1"/>
          <w:numId w:val="18"/>
        </w:numPr>
        <w:rPr>
          <w:lang w:val="en-US"/>
        </w:rPr>
      </w:pPr>
      <w:r>
        <w:rPr>
          <w:lang w:val="en-US"/>
        </w:rPr>
        <w:t xml:space="preserve">ensure </w:t>
      </w:r>
      <w:r w:rsidR="00AF6FE6">
        <w:rPr>
          <w:lang w:val="en-US"/>
        </w:rPr>
        <w:t>the bus driver hold</w:t>
      </w:r>
      <w:r w:rsidR="00F272CE">
        <w:rPr>
          <w:lang w:val="en-US"/>
        </w:rPr>
        <w:t>s</w:t>
      </w:r>
      <w:r w:rsidR="00AF6FE6">
        <w:rPr>
          <w:lang w:val="en-US"/>
        </w:rPr>
        <w:t xml:space="preserve"> an appropriate driver licen</w:t>
      </w:r>
      <w:r w:rsidR="009A6A1F">
        <w:rPr>
          <w:lang w:val="en-US"/>
        </w:rPr>
        <w:t>ce</w:t>
      </w:r>
      <w:r w:rsidR="00AF6FE6">
        <w:rPr>
          <w:lang w:val="en-US"/>
        </w:rPr>
        <w:t xml:space="preserve"> and is a holder of a driver accreditation </w:t>
      </w:r>
      <w:r w:rsidR="009A6A1F">
        <w:rPr>
          <w:lang w:val="en-US"/>
        </w:rPr>
        <w:t>under the T</w:t>
      </w:r>
      <w:r w:rsidR="00A55CAC">
        <w:rPr>
          <w:lang w:val="en-US"/>
        </w:rPr>
        <w:t>ransport (</w:t>
      </w:r>
      <w:r w:rsidR="009A6A1F">
        <w:rPr>
          <w:lang w:val="en-US"/>
        </w:rPr>
        <w:t>C</w:t>
      </w:r>
      <w:r w:rsidR="00A55CAC">
        <w:rPr>
          <w:lang w:val="en-US"/>
        </w:rPr>
        <w:t xml:space="preserve">ompliance and </w:t>
      </w:r>
      <w:r w:rsidR="009A6A1F">
        <w:rPr>
          <w:lang w:val="en-US"/>
        </w:rPr>
        <w:t>M</w:t>
      </w:r>
      <w:r w:rsidR="00A55CAC">
        <w:rPr>
          <w:lang w:val="en-US"/>
        </w:rPr>
        <w:t xml:space="preserve">iscellaneous) </w:t>
      </w:r>
      <w:r w:rsidR="009A6A1F">
        <w:rPr>
          <w:lang w:val="en-US"/>
        </w:rPr>
        <w:t>A</w:t>
      </w:r>
      <w:r w:rsidR="00A55CAC">
        <w:rPr>
          <w:lang w:val="en-US"/>
        </w:rPr>
        <w:t>ct</w:t>
      </w:r>
    </w:p>
    <w:p w14:paraId="5DF3E4A2" w14:textId="6D367DB6" w:rsidR="00B30F72" w:rsidRDefault="001515CB" w:rsidP="00B26C7A">
      <w:pPr>
        <w:pStyle w:val="ListBullet"/>
        <w:numPr>
          <w:ilvl w:val="1"/>
          <w:numId w:val="18"/>
        </w:numPr>
        <w:rPr>
          <w:lang w:val="en-US"/>
        </w:rPr>
      </w:pPr>
      <w:r>
        <w:rPr>
          <w:lang w:val="en-US"/>
        </w:rPr>
        <w:t xml:space="preserve">ensure that </w:t>
      </w:r>
      <w:r w:rsidR="007A1F57">
        <w:rPr>
          <w:lang w:val="en-US"/>
        </w:rPr>
        <w:t>bus safety inspections are still carried out</w:t>
      </w:r>
    </w:p>
    <w:p w14:paraId="39C31607" w14:textId="5DA2913E" w:rsidR="00B30F72" w:rsidRDefault="001515CB" w:rsidP="00B26C7A">
      <w:pPr>
        <w:pStyle w:val="ListBullet"/>
        <w:numPr>
          <w:ilvl w:val="1"/>
          <w:numId w:val="18"/>
        </w:numPr>
        <w:rPr>
          <w:lang w:val="en-US"/>
        </w:rPr>
      </w:pPr>
      <w:r>
        <w:rPr>
          <w:lang w:val="en-US"/>
        </w:rPr>
        <w:t xml:space="preserve">use </w:t>
      </w:r>
      <w:r w:rsidR="007A1F57">
        <w:rPr>
          <w:lang w:val="en-US"/>
        </w:rPr>
        <w:t xml:space="preserve">buses </w:t>
      </w:r>
      <w:r>
        <w:rPr>
          <w:lang w:val="en-US"/>
        </w:rPr>
        <w:t xml:space="preserve">that </w:t>
      </w:r>
      <w:r w:rsidR="007A1F57">
        <w:rPr>
          <w:lang w:val="en-US"/>
        </w:rPr>
        <w:t xml:space="preserve">comply with applicable vehicle standards under the </w:t>
      </w:r>
      <w:r w:rsidR="004141A5" w:rsidRPr="00B26C7A">
        <w:rPr>
          <w:lang w:val="en-US"/>
        </w:rPr>
        <w:t>Road Safety Act</w:t>
      </w:r>
    </w:p>
    <w:p w14:paraId="0E820452" w14:textId="40AAF2EE" w:rsidR="00B30F72" w:rsidRDefault="00336238" w:rsidP="00B26C7A">
      <w:pPr>
        <w:pStyle w:val="ListBullet"/>
        <w:numPr>
          <w:ilvl w:val="1"/>
          <w:numId w:val="18"/>
        </w:numPr>
        <w:rPr>
          <w:lang w:val="en-US"/>
        </w:rPr>
      </w:pPr>
      <w:r>
        <w:rPr>
          <w:lang w:val="en-US"/>
        </w:rPr>
        <w:t>compl</w:t>
      </w:r>
      <w:r w:rsidR="00565764">
        <w:rPr>
          <w:lang w:val="en-US"/>
        </w:rPr>
        <w:t>y</w:t>
      </w:r>
      <w:r>
        <w:rPr>
          <w:lang w:val="en-US"/>
        </w:rPr>
        <w:t xml:space="preserve"> with </w:t>
      </w:r>
      <w:r w:rsidR="00DE7E3C">
        <w:rPr>
          <w:lang w:val="en-US"/>
        </w:rPr>
        <w:t xml:space="preserve">alcohol and drug management policy under the </w:t>
      </w:r>
      <w:r w:rsidR="003A2F6F">
        <w:rPr>
          <w:lang w:val="en-US"/>
        </w:rPr>
        <w:t>Bus Safety Act</w:t>
      </w:r>
    </w:p>
    <w:p w14:paraId="1B0E8258" w14:textId="3920E6E9" w:rsidR="00336238" w:rsidRPr="00B30F72" w:rsidRDefault="00336238" w:rsidP="00B26C7A">
      <w:pPr>
        <w:pStyle w:val="ListBullet"/>
        <w:numPr>
          <w:ilvl w:val="1"/>
          <w:numId w:val="18"/>
        </w:numPr>
        <w:rPr>
          <w:lang w:val="en-US"/>
        </w:rPr>
      </w:pPr>
      <w:r>
        <w:rPr>
          <w:lang w:val="en-US"/>
        </w:rPr>
        <w:t>compl</w:t>
      </w:r>
      <w:r w:rsidR="00565764">
        <w:rPr>
          <w:lang w:val="en-US"/>
        </w:rPr>
        <w:t>y</w:t>
      </w:r>
      <w:r>
        <w:rPr>
          <w:lang w:val="en-US"/>
        </w:rPr>
        <w:t xml:space="preserve"> with</w:t>
      </w:r>
      <w:r w:rsidR="00FC07A1">
        <w:rPr>
          <w:lang w:val="en-US"/>
        </w:rPr>
        <w:t xml:space="preserve"> </w:t>
      </w:r>
      <w:r>
        <w:rPr>
          <w:lang w:val="en-US"/>
        </w:rPr>
        <w:t xml:space="preserve">notification and bus incident investigation requirements under the </w:t>
      </w:r>
      <w:r w:rsidR="003C137C">
        <w:rPr>
          <w:lang w:val="en-US"/>
        </w:rPr>
        <w:t>r</w:t>
      </w:r>
      <w:r>
        <w:rPr>
          <w:lang w:val="en-US"/>
        </w:rPr>
        <w:t xml:space="preserve">egulations. </w:t>
      </w:r>
    </w:p>
    <w:p w14:paraId="00C98B35" w14:textId="7D16DE56" w:rsidR="000E6225" w:rsidRPr="00B26C7A" w:rsidRDefault="000E6225"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prescribes information that must be contained in an application for variation of an exemption</w:t>
      </w:r>
      <w:r w:rsidR="004E4D9B" w:rsidRPr="00B26C7A">
        <w:rPr>
          <w:rFonts w:asciiTheme="minorHAnsi" w:hAnsiTheme="minorHAnsi" w:cstheme="minorHAnsi"/>
          <w:color w:val="auto"/>
          <w:sz w:val="20"/>
          <w:szCs w:val="20"/>
        </w:rPr>
        <w:t>.</w:t>
      </w:r>
    </w:p>
    <w:p w14:paraId="18873AAC" w14:textId="62D6C864" w:rsidR="004C675A" w:rsidRPr="00012AC8" w:rsidRDefault="00012AC8" w:rsidP="008D3814">
      <w:pPr>
        <w:pStyle w:val="Heading3"/>
      </w:pPr>
      <w:bookmarkStart w:id="970" w:name="_Toc45704395"/>
      <w:r w:rsidRPr="00012AC8">
        <w:t>Record keeping</w:t>
      </w:r>
      <w:r w:rsidR="00E7297B">
        <w:t xml:space="preserve"> for bus operators</w:t>
      </w:r>
      <w:bookmarkEnd w:id="970"/>
    </w:p>
    <w:p w14:paraId="28E4E792" w14:textId="1CC0760D" w:rsidR="00703779" w:rsidRDefault="00703779" w:rsidP="00703779">
      <w:pPr>
        <w:rPr>
          <w:lang w:val="en-US"/>
        </w:rPr>
      </w:pPr>
      <w:r>
        <w:rPr>
          <w:lang w:val="en-US"/>
        </w:rPr>
        <w:t xml:space="preserve">The following regulations are </w:t>
      </w:r>
      <w:r w:rsidRPr="00703779">
        <w:t>proposed</w:t>
      </w:r>
      <w:r>
        <w:rPr>
          <w:lang w:val="en-US"/>
        </w:rPr>
        <w:t>:</w:t>
      </w:r>
    </w:p>
    <w:p w14:paraId="10519908" w14:textId="5E63774F" w:rsidR="00320B9F" w:rsidRPr="00B26C7A" w:rsidRDefault="00320B9F"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requires an accredited operator to retain certain records, in English and for at least 3 years, unless other</w:t>
      </w:r>
      <w:r w:rsidR="0076676C" w:rsidRPr="00B26C7A">
        <w:rPr>
          <w:rFonts w:asciiTheme="minorHAnsi" w:hAnsiTheme="minorHAnsi" w:cstheme="minorHAnsi"/>
          <w:color w:val="auto"/>
          <w:sz w:val="20"/>
          <w:szCs w:val="20"/>
        </w:rPr>
        <w:t>wise</w:t>
      </w:r>
      <w:r w:rsidRPr="00B26C7A">
        <w:rPr>
          <w:rFonts w:asciiTheme="minorHAnsi" w:hAnsiTheme="minorHAnsi" w:cstheme="minorHAnsi"/>
          <w:color w:val="auto"/>
          <w:sz w:val="20"/>
          <w:szCs w:val="20"/>
        </w:rPr>
        <w:t xml:space="preserve"> specified by the Safety Director. </w:t>
      </w:r>
      <w:r w:rsidR="009F270C" w:rsidRPr="00B26C7A">
        <w:rPr>
          <w:rFonts w:asciiTheme="minorHAnsi" w:hAnsiTheme="minorHAnsi" w:cstheme="minorHAnsi"/>
          <w:color w:val="auto"/>
          <w:sz w:val="20"/>
          <w:szCs w:val="20"/>
        </w:rPr>
        <w:t>Records include:</w:t>
      </w:r>
    </w:p>
    <w:p w14:paraId="3EFDFD1C" w14:textId="7D8A2C3F" w:rsidR="009F270C" w:rsidRDefault="00CA407C" w:rsidP="00B26C7A">
      <w:pPr>
        <w:pStyle w:val="ListBullet"/>
        <w:numPr>
          <w:ilvl w:val="1"/>
          <w:numId w:val="18"/>
        </w:numPr>
        <w:rPr>
          <w:lang w:val="en-US"/>
        </w:rPr>
      </w:pPr>
      <w:r>
        <w:rPr>
          <w:lang w:val="en-US"/>
        </w:rPr>
        <w:t>n</w:t>
      </w:r>
      <w:r w:rsidR="009F270C">
        <w:rPr>
          <w:lang w:val="en-US"/>
        </w:rPr>
        <w:t xml:space="preserve">ame, address driver licence number and driver </w:t>
      </w:r>
      <w:r>
        <w:rPr>
          <w:lang w:val="en-US"/>
        </w:rPr>
        <w:t>accreditation</w:t>
      </w:r>
      <w:r w:rsidR="009F270C">
        <w:rPr>
          <w:lang w:val="en-US"/>
        </w:rPr>
        <w:t xml:space="preserve"> of each person who drives the bus operated by the accredited operator</w:t>
      </w:r>
    </w:p>
    <w:p w14:paraId="6D21C79E" w14:textId="5BAFCCFF" w:rsidR="00CA407C" w:rsidRDefault="00E42514" w:rsidP="00B26C7A">
      <w:pPr>
        <w:pStyle w:val="ListBullet"/>
        <w:numPr>
          <w:ilvl w:val="1"/>
          <w:numId w:val="18"/>
        </w:numPr>
        <w:rPr>
          <w:lang w:val="en-US"/>
        </w:rPr>
      </w:pPr>
      <w:r>
        <w:rPr>
          <w:lang w:val="en-US"/>
        </w:rPr>
        <w:t xml:space="preserve">record </w:t>
      </w:r>
      <w:r w:rsidR="006C2D5C">
        <w:rPr>
          <w:lang w:val="en-US"/>
        </w:rPr>
        <w:t xml:space="preserve">of </w:t>
      </w:r>
      <w:r w:rsidR="00AA750B">
        <w:rPr>
          <w:lang w:val="en-US"/>
        </w:rPr>
        <w:t xml:space="preserve">vehicle </w:t>
      </w:r>
      <w:r w:rsidR="006C2D5C">
        <w:rPr>
          <w:lang w:val="en-US"/>
        </w:rPr>
        <w:t xml:space="preserve">registration number, </w:t>
      </w:r>
      <w:r w:rsidR="00AA750B">
        <w:rPr>
          <w:lang w:val="en-US"/>
        </w:rPr>
        <w:t>vehicle identification number</w:t>
      </w:r>
      <w:r w:rsidR="006C2D5C">
        <w:rPr>
          <w:lang w:val="en-US"/>
        </w:rPr>
        <w:t xml:space="preserve">, and </w:t>
      </w:r>
      <w:r w:rsidR="00AA750B">
        <w:rPr>
          <w:lang w:val="en-US"/>
        </w:rPr>
        <w:t>maximum carrying</w:t>
      </w:r>
      <w:r w:rsidR="006C2D5C">
        <w:rPr>
          <w:lang w:val="en-US"/>
        </w:rPr>
        <w:t xml:space="preserve"> capacity of each bus</w:t>
      </w:r>
    </w:p>
    <w:p w14:paraId="12497E21" w14:textId="6FF08AAB" w:rsidR="00CE1DF3" w:rsidRDefault="00CE1DF3" w:rsidP="00B26C7A">
      <w:pPr>
        <w:pStyle w:val="ListBullet"/>
        <w:numPr>
          <w:ilvl w:val="1"/>
          <w:numId w:val="18"/>
        </w:numPr>
        <w:rPr>
          <w:lang w:val="en-US"/>
        </w:rPr>
      </w:pPr>
      <w:r>
        <w:rPr>
          <w:lang w:val="en-US"/>
        </w:rPr>
        <w:t xml:space="preserve">record of </w:t>
      </w:r>
      <w:r w:rsidR="003A29BF">
        <w:rPr>
          <w:lang w:val="en-US"/>
        </w:rPr>
        <w:t xml:space="preserve">the </w:t>
      </w:r>
      <w:r>
        <w:rPr>
          <w:lang w:val="en-US"/>
        </w:rPr>
        <w:t>total number of buses in the fleet of the accredited operator</w:t>
      </w:r>
    </w:p>
    <w:p w14:paraId="2BFBC422" w14:textId="22CD37B6" w:rsidR="006E1E75" w:rsidRDefault="006E1E75" w:rsidP="00B26C7A">
      <w:pPr>
        <w:pStyle w:val="ListBullet"/>
        <w:numPr>
          <w:ilvl w:val="1"/>
          <w:numId w:val="18"/>
        </w:numPr>
        <w:rPr>
          <w:lang w:val="en-US"/>
        </w:rPr>
      </w:pPr>
      <w:r>
        <w:rPr>
          <w:lang w:val="en-US"/>
        </w:rPr>
        <w:t>any document required to demonstrate compliance with conditions of accreditation</w:t>
      </w:r>
    </w:p>
    <w:p w14:paraId="2EC1D067" w14:textId="0CF5D947" w:rsidR="006E1E75" w:rsidRDefault="006E1E75" w:rsidP="00B26C7A">
      <w:pPr>
        <w:pStyle w:val="ListBullet"/>
        <w:numPr>
          <w:ilvl w:val="1"/>
          <w:numId w:val="18"/>
        </w:numPr>
        <w:rPr>
          <w:lang w:val="en-US"/>
        </w:rPr>
      </w:pPr>
      <w:r>
        <w:rPr>
          <w:lang w:val="en-US"/>
        </w:rPr>
        <w:t>any document produced as part of the MIS or MMS</w:t>
      </w:r>
    </w:p>
    <w:p w14:paraId="4E9D40C3" w14:textId="3E475555" w:rsidR="00781A92" w:rsidRDefault="00781A92" w:rsidP="00B26C7A">
      <w:pPr>
        <w:pStyle w:val="ListBullet"/>
        <w:numPr>
          <w:ilvl w:val="1"/>
          <w:numId w:val="18"/>
        </w:numPr>
        <w:rPr>
          <w:lang w:val="en-US"/>
        </w:rPr>
      </w:pPr>
      <w:r>
        <w:rPr>
          <w:lang w:val="en-US"/>
        </w:rPr>
        <w:t>an</w:t>
      </w:r>
      <w:r w:rsidR="00C272FA">
        <w:rPr>
          <w:lang w:val="en-US"/>
        </w:rPr>
        <w:t>y</w:t>
      </w:r>
      <w:r>
        <w:rPr>
          <w:lang w:val="en-US"/>
        </w:rPr>
        <w:t xml:space="preserve"> document produced as part of the annual </w:t>
      </w:r>
      <w:r w:rsidR="000C7B34">
        <w:rPr>
          <w:lang w:val="en-US"/>
        </w:rPr>
        <w:t>a</w:t>
      </w:r>
      <w:r>
        <w:rPr>
          <w:lang w:val="en-US"/>
        </w:rPr>
        <w:t xml:space="preserve">udit of bus service operations under the </w:t>
      </w:r>
      <w:r w:rsidR="0005301B">
        <w:rPr>
          <w:lang w:val="en-US"/>
        </w:rPr>
        <w:t>r</w:t>
      </w:r>
      <w:r>
        <w:rPr>
          <w:lang w:val="en-US"/>
        </w:rPr>
        <w:t>egulations</w:t>
      </w:r>
    </w:p>
    <w:p w14:paraId="44E57B51" w14:textId="60278A6E" w:rsidR="00781A92" w:rsidRDefault="00781A92" w:rsidP="00B26C7A">
      <w:pPr>
        <w:pStyle w:val="ListBullet"/>
        <w:numPr>
          <w:ilvl w:val="1"/>
          <w:numId w:val="18"/>
        </w:numPr>
        <w:rPr>
          <w:lang w:val="en-US"/>
        </w:rPr>
      </w:pPr>
      <w:r>
        <w:rPr>
          <w:lang w:val="en-US"/>
        </w:rPr>
        <w:t xml:space="preserve">evidence of </w:t>
      </w:r>
      <w:r w:rsidR="003A26BD">
        <w:rPr>
          <w:lang w:val="en-US"/>
        </w:rPr>
        <w:t>inspection</w:t>
      </w:r>
      <w:r w:rsidR="00835C67">
        <w:rPr>
          <w:lang w:val="en-US"/>
        </w:rPr>
        <w:t>s</w:t>
      </w:r>
      <w:r>
        <w:rPr>
          <w:lang w:val="en-US"/>
        </w:rPr>
        <w:t xml:space="preserve"> for each </w:t>
      </w:r>
      <w:r w:rsidR="003A26BD">
        <w:rPr>
          <w:lang w:val="en-US"/>
        </w:rPr>
        <w:t>bus</w:t>
      </w:r>
    </w:p>
    <w:p w14:paraId="271EFA8D" w14:textId="77777777" w:rsidR="00891994" w:rsidRDefault="00781A92" w:rsidP="00B26C7A">
      <w:pPr>
        <w:pStyle w:val="ListBullet"/>
        <w:numPr>
          <w:ilvl w:val="1"/>
          <w:numId w:val="18"/>
        </w:numPr>
        <w:rPr>
          <w:lang w:val="en-US"/>
        </w:rPr>
      </w:pPr>
      <w:r w:rsidRPr="00804FD8">
        <w:rPr>
          <w:lang w:val="en-US"/>
        </w:rPr>
        <w:t xml:space="preserve">evidence of </w:t>
      </w:r>
      <w:r w:rsidR="003A26BD" w:rsidRPr="00804FD8">
        <w:rPr>
          <w:lang w:val="en-US"/>
        </w:rPr>
        <w:t xml:space="preserve">any action to rectify </w:t>
      </w:r>
      <w:r w:rsidR="002E5554">
        <w:rPr>
          <w:lang w:val="en-US"/>
        </w:rPr>
        <w:t>a bus defect or issues</w:t>
      </w:r>
      <w:r w:rsidR="003A26BD" w:rsidRPr="00804FD8">
        <w:rPr>
          <w:lang w:val="en-US"/>
        </w:rPr>
        <w:t xml:space="preserve"> </w:t>
      </w:r>
      <w:r w:rsidR="003A26BD" w:rsidRPr="007251EA">
        <w:rPr>
          <w:lang w:val="en-US"/>
        </w:rPr>
        <w:t xml:space="preserve">identified </w:t>
      </w:r>
      <w:r w:rsidR="002E5554">
        <w:rPr>
          <w:lang w:val="en-US"/>
        </w:rPr>
        <w:t xml:space="preserve">by a licensed bus </w:t>
      </w:r>
      <w:r w:rsidR="000B7244">
        <w:rPr>
          <w:lang w:val="en-US"/>
        </w:rPr>
        <w:t>tester</w:t>
      </w:r>
      <w:r w:rsidR="003A26BD" w:rsidRPr="007251EA">
        <w:rPr>
          <w:lang w:val="en-US"/>
        </w:rPr>
        <w:t xml:space="preserve"> during the inspection</w:t>
      </w:r>
    </w:p>
    <w:p w14:paraId="681880EC" w14:textId="0E929D8E" w:rsidR="00781A92" w:rsidRPr="00804FD8" w:rsidRDefault="00891994" w:rsidP="00B26C7A">
      <w:pPr>
        <w:pStyle w:val="ListBullet"/>
        <w:numPr>
          <w:ilvl w:val="1"/>
          <w:numId w:val="18"/>
        </w:numPr>
        <w:rPr>
          <w:lang w:val="en-US"/>
        </w:rPr>
      </w:pPr>
      <w:r>
        <w:rPr>
          <w:lang w:val="en-US"/>
        </w:rPr>
        <w:t>any other records that the accredited bus operator is required to keep as a condition of accreditation</w:t>
      </w:r>
      <w:r w:rsidR="00804FD8">
        <w:rPr>
          <w:lang w:val="en-US"/>
        </w:rPr>
        <w:t>.</w:t>
      </w:r>
    </w:p>
    <w:p w14:paraId="08C89205" w14:textId="0F7D5636" w:rsidR="00E86174" w:rsidRPr="00B26C7A" w:rsidRDefault="00E86174"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 xml:space="preserve">A regulation which requires a registered operator to retain certain records, in English and for at least 3 years, unless other specified by the Safety Director. </w:t>
      </w:r>
      <w:r w:rsidR="0031072F" w:rsidRPr="00B26C7A">
        <w:rPr>
          <w:rFonts w:asciiTheme="minorHAnsi" w:hAnsiTheme="minorHAnsi" w:cstheme="minorHAnsi"/>
          <w:color w:val="auto"/>
          <w:sz w:val="20"/>
          <w:szCs w:val="20"/>
        </w:rPr>
        <w:t>Records include:</w:t>
      </w:r>
    </w:p>
    <w:p w14:paraId="0145CB53" w14:textId="62A5C6A5" w:rsidR="007251EA" w:rsidRDefault="007251EA" w:rsidP="00B26C7A">
      <w:pPr>
        <w:pStyle w:val="ListBullet"/>
        <w:numPr>
          <w:ilvl w:val="1"/>
          <w:numId w:val="18"/>
        </w:numPr>
        <w:rPr>
          <w:lang w:val="en-US"/>
        </w:rPr>
      </w:pPr>
      <w:r>
        <w:rPr>
          <w:lang w:val="en-US"/>
        </w:rPr>
        <w:t xml:space="preserve">record of </w:t>
      </w:r>
      <w:r w:rsidR="00580F9D">
        <w:rPr>
          <w:lang w:val="en-US"/>
        </w:rPr>
        <w:t xml:space="preserve">vehicle </w:t>
      </w:r>
      <w:r>
        <w:rPr>
          <w:lang w:val="en-US"/>
        </w:rPr>
        <w:t xml:space="preserve">registration number, </w:t>
      </w:r>
      <w:r w:rsidR="00580F9D">
        <w:rPr>
          <w:lang w:val="en-US"/>
        </w:rPr>
        <w:t>vehicle identification number</w:t>
      </w:r>
      <w:r>
        <w:rPr>
          <w:lang w:val="en-US"/>
        </w:rPr>
        <w:t xml:space="preserve">, and </w:t>
      </w:r>
      <w:r w:rsidR="00580F9D">
        <w:rPr>
          <w:lang w:val="en-US"/>
        </w:rPr>
        <w:t>maximum carrying</w:t>
      </w:r>
      <w:r>
        <w:rPr>
          <w:lang w:val="en-US"/>
        </w:rPr>
        <w:t xml:space="preserve"> capacity of each bus</w:t>
      </w:r>
    </w:p>
    <w:p w14:paraId="045DDC44" w14:textId="747DF4BD" w:rsidR="00CE1DF3" w:rsidRDefault="00CE1DF3" w:rsidP="00B26C7A">
      <w:pPr>
        <w:pStyle w:val="ListBullet"/>
        <w:numPr>
          <w:ilvl w:val="1"/>
          <w:numId w:val="18"/>
        </w:numPr>
        <w:rPr>
          <w:lang w:val="en-US"/>
        </w:rPr>
      </w:pPr>
      <w:r>
        <w:rPr>
          <w:lang w:val="en-US"/>
        </w:rPr>
        <w:t xml:space="preserve">record of </w:t>
      </w:r>
      <w:r w:rsidR="003A29BF">
        <w:rPr>
          <w:lang w:val="en-US"/>
        </w:rPr>
        <w:t xml:space="preserve">the </w:t>
      </w:r>
      <w:r>
        <w:rPr>
          <w:lang w:val="en-US"/>
        </w:rPr>
        <w:t xml:space="preserve">total number of buses in the fleet of the </w:t>
      </w:r>
      <w:r w:rsidR="00876DEE">
        <w:rPr>
          <w:lang w:val="en-US"/>
        </w:rPr>
        <w:t xml:space="preserve">registered </w:t>
      </w:r>
      <w:r>
        <w:rPr>
          <w:lang w:val="en-US"/>
        </w:rPr>
        <w:t>operator</w:t>
      </w:r>
    </w:p>
    <w:p w14:paraId="599DDBC3" w14:textId="57F1BB2C" w:rsidR="007251EA" w:rsidRDefault="007251EA" w:rsidP="00B26C7A">
      <w:pPr>
        <w:pStyle w:val="ListBullet"/>
        <w:numPr>
          <w:ilvl w:val="1"/>
          <w:numId w:val="18"/>
        </w:numPr>
        <w:rPr>
          <w:lang w:val="en-US"/>
        </w:rPr>
      </w:pPr>
      <w:r>
        <w:rPr>
          <w:lang w:val="en-US"/>
        </w:rPr>
        <w:lastRenderedPageBreak/>
        <w:t>evidence of inspection</w:t>
      </w:r>
      <w:r w:rsidR="00835C67">
        <w:rPr>
          <w:lang w:val="en-US"/>
        </w:rPr>
        <w:t>s</w:t>
      </w:r>
      <w:r>
        <w:rPr>
          <w:lang w:val="en-US"/>
        </w:rPr>
        <w:t xml:space="preserve"> for each bus</w:t>
      </w:r>
    </w:p>
    <w:p w14:paraId="1804B580" w14:textId="52249A8A" w:rsidR="007251EA" w:rsidRPr="00804FD8" w:rsidRDefault="007251EA" w:rsidP="00B26C7A">
      <w:pPr>
        <w:pStyle w:val="ListBullet"/>
        <w:numPr>
          <w:ilvl w:val="1"/>
          <w:numId w:val="18"/>
        </w:numPr>
        <w:rPr>
          <w:lang w:val="en-US"/>
        </w:rPr>
      </w:pPr>
      <w:r w:rsidRPr="00804FD8">
        <w:rPr>
          <w:lang w:val="en-US"/>
        </w:rPr>
        <w:t xml:space="preserve">evidence of any action to rectify </w:t>
      </w:r>
      <w:r w:rsidR="00EA0B21">
        <w:rPr>
          <w:lang w:val="en-US"/>
        </w:rPr>
        <w:t xml:space="preserve">a bus </w:t>
      </w:r>
      <w:r w:rsidRPr="00804FD8">
        <w:rPr>
          <w:lang w:val="en-US"/>
        </w:rPr>
        <w:t xml:space="preserve">defects </w:t>
      </w:r>
      <w:r w:rsidR="00EA0B21">
        <w:rPr>
          <w:lang w:val="en-US"/>
        </w:rPr>
        <w:t xml:space="preserve">or issue </w:t>
      </w:r>
      <w:r w:rsidRPr="007251EA">
        <w:rPr>
          <w:lang w:val="en-US"/>
        </w:rPr>
        <w:t xml:space="preserve">identified </w:t>
      </w:r>
      <w:r w:rsidR="002E5554">
        <w:rPr>
          <w:lang w:val="en-US"/>
        </w:rPr>
        <w:t xml:space="preserve">by a licensed bus </w:t>
      </w:r>
      <w:r w:rsidR="000B7244">
        <w:rPr>
          <w:lang w:val="en-US"/>
        </w:rPr>
        <w:t>tester</w:t>
      </w:r>
      <w:r w:rsidR="002E5554">
        <w:rPr>
          <w:lang w:val="en-US"/>
        </w:rPr>
        <w:t xml:space="preserve"> </w:t>
      </w:r>
      <w:r w:rsidRPr="007251EA">
        <w:rPr>
          <w:lang w:val="en-US"/>
        </w:rPr>
        <w:t>during the inspection</w:t>
      </w:r>
      <w:r>
        <w:rPr>
          <w:lang w:val="en-US"/>
        </w:rPr>
        <w:t>.</w:t>
      </w:r>
    </w:p>
    <w:p w14:paraId="256880A1" w14:textId="13E282E2" w:rsidR="00320B9F" w:rsidRPr="00B26C7A" w:rsidRDefault="00320B9F"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 xml:space="preserve">A regulation relating to the disclosure of records </w:t>
      </w:r>
      <w:r w:rsidR="00E86174" w:rsidRPr="00B26C7A">
        <w:rPr>
          <w:rFonts w:asciiTheme="minorHAnsi" w:hAnsiTheme="minorHAnsi" w:cstheme="minorHAnsi"/>
          <w:color w:val="auto"/>
          <w:sz w:val="20"/>
          <w:szCs w:val="20"/>
        </w:rPr>
        <w:t>by accredited bus operators</w:t>
      </w:r>
      <w:r w:rsidR="004238BB" w:rsidRPr="00B26C7A">
        <w:rPr>
          <w:rFonts w:asciiTheme="minorHAnsi" w:hAnsiTheme="minorHAnsi" w:cstheme="minorHAnsi"/>
          <w:color w:val="auto"/>
          <w:sz w:val="20"/>
          <w:szCs w:val="20"/>
        </w:rPr>
        <w:t>.</w:t>
      </w:r>
    </w:p>
    <w:p w14:paraId="4724FB3E" w14:textId="548B8CB0" w:rsidR="00702373" w:rsidRPr="00123970" w:rsidRDefault="00702373" w:rsidP="006B4BFD">
      <w:pPr>
        <w:pStyle w:val="Heading3"/>
      </w:pPr>
      <w:bookmarkStart w:id="971" w:name="_Toc32909867"/>
      <w:bookmarkStart w:id="972" w:name="_Toc45704396"/>
      <w:r w:rsidRPr="00123970">
        <w:t>Bus inspections</w:t>
      </w:r>
      <w:bookmarkEnd w:id="971"/>
      <w:bookmarkEnd w:id="972"/>
    </w:p>
    <w:p w14:paraId="2D9B15AA" w14:textId="1F5052A5" w:rsidR="00F416F6" w:rsidRPr="00123970" w:rsidRDefault="00F416F6" w:rsidP="00F416F6">
      <w:r w:rsidRPr="00123970">
        <w:t>The following regulations are proposed:</w:t>
      </w:r>
    </w:p>
    <w:p w14:paraId="677F5503" w14:textId="7BA4D38A" w:rsidR="00F416F6" w:rsidRPr="00B26C7A" w:rsidRDefault="00EA7242"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specifies</w:t>
      </w:r>
      <w:r w:rsidR="007F6C24" w:rsidRPr="00B26C7A">
        <w:rPr>
          <w:rFonts w:asciiTheme="minorHAnsi" w:hAnsiTheme="minorHAnsi" w:cstheme="minorHAnsi"/>
          <w:color w:val="auto"/>
          <w:sz w:val="20"/>
          <w:szCs w:val="20"/>
        </w:rPr>
        <w:t xml:space="preserve"> the manner in which bus inspections must be carried out</w:t>
      </w:r>
      <w:r w:rsidR="003A29BF" w:rsidRPr="00B26C7A">
        <w:rPr>
          <w:rFonts w:asciiTheme="minorHAnsi" w:hAnsiTheme="minorHAnsi" w:cstheme="minorHAnsi"/>
          <w:color w:val="auto"/>
          <w:sz w:val="20"/>
          <w:szCs w:val="20"/>
        </w:rPr>
        <w:t xml:space="preserve"> for accredited operators</w:t>
      </w:r>
      <w:r w:rsidR="003243E6" w:rsidRPr="00B26C7A">
        <w:rPr>
          <w:rFonts w:asciiTheme="minorHAnsi" w:hAnsiTheme="minorHAnsi" w:cstheme="minorHAnsi"/>
          <w:color w:val="auto"/>
          <w:sz w:val="20"/>
          <w:szCs w:val="20"/>
        </w:rPr>
        <w:t>, including that</w:t>
      </w:r>
      <w:r w:rsidR="00B26C7A">
        <w:rPr>
          <w:rFonts w:asciiTheme="minorHAnsi" w:hAnsiTheme="minorHAnsi" w:cstheme="minorHAnsi"/>
          <w:color w:val="auto"/>
          <w:sz w:val="20"/>
          <w:szCs w:val="20"/>
        </w:rPr>
        <w:t>:</w:t>
      </w:r>
    </w:p>
    <w:p w14:paraId="3EB48B8B" w14:textId="31B721F2" w:rsidR="003243E6" w:rsidRDefault="003243E6" w:rsidP="00B26C7A">
      <w:pPr>
        <w:pStyle w:val="ListBullet"/>
        <w:numPr>
          <w:ilvl w:val="1"/>
          <w:numId w:val="18"/>
        </w:numPr>
        <w:rPr>
          <w:lang w:val="en-US"/>
        </w:rPr>
      </w:pPr>
      <w:r>
        <w:rPr>
          <w:lang w:val="en-US"/>
        </w:rPr>
        <w:t>the inspection must be carried out</w:t>
      </w:r>
      <w:r w:rsidR="00807103">
        <w:rPr>
          <w:lang w:val="en-US"/>
        </w:rPr>
        <w:t xml:space="preserve"> by </w:t>
      </w:r>
      <w:r w:rsidR="00891D11">
        <w:rPr>
          <w:lang w:val="en-US"/>
        </w:rPr>
        <w:t>a licensed</w:t>
      </w:r>
      <w:r w:rsidR="00807103">
        <w:rPr>
          <w:lang w:val="en-US"/>
        </w:rPr>
        <w:t xml:space="preserve"> bus tester</w:t>
      </w:r>
    </w:p>
    <w:p w14:paraId="6E8230FA" w14:textId="31E986D7" w:rsidR="00807103" w:rsidRDefault="00807103" w:rsidP="00B26C7A">
      <w:pPr>
        <w:pStyle w:val="ListBullet"/>
        <w:numPr>
          <w:ilvl w:val="1"/>
          <w:numId w:val="18"/>
        </w:numPr>
        <w:rPr>
          <w:lang w:val="en-US"/>
        </w:rPr>
      </w:pPr>
      <w:r>
        <w:rPr>
          <w:lang w:val="en-US"/>
        </w:rPr>
        <w:t xml:space="preserve">the Safety Director may </w:t>
      </w:r>
      <w:r w:rsidR="00903387">
        <w:rPr>
          <w:lang w:val="en-US"/>
        </w:rPr>
        <w:t>fix intervals at which the bus operator must ensure a licensed bus tester conduct</w:t>
      </w:r>
      <w:r w:rsidR="00DA07F0">
        <w:rPr>
          <w:lang w:val="en-US"/>
        </w:rPr>
        <w:t>s</w:t>
      </w:r>
      <w:r w:rsidR="00903387">
        <w:rPr>
          <w:lang w:val="en-US"/>
        </w:rPr>
        <w:t xml:space="preserve"> bus safety inspections</w:t>
      </w:r>
    </w:p>
    <w:p w14:paraId="05260170" w14:textId="5DF0C9BF" w:rsidR="003A29BF" w:rsidRPr="00B26C7A" w:rsidRDefault="003A29BF"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specifies the manner in which bus inspections must be carried out for registered operators, including that:</w:t>
      </w:r>
    </w:p>
    <w:p w14:paraId="6D8F9322" w14:textId="77777777" w:rsidR="003A29BF" w:rsidRDefault="003A29BF" w:rsidP="00B26C7A">
      <w:pPr>
        <w:pStyle w:val="ListBullet"/>
        <w:numPr>
          <w:ilvl w:val="1"/>
          <w:numId w:val="18"/>
        </w:numPr>
        <w:rPr>
          <w:lang w:val="en-US"/>
        </w:rPr>
      </w:pPr>
      <w:r>
        <w:rPr>
          <w:lang w:val="en-US"/>
        </w:rPr>
        <w:t>the inspection must be carried out by a licensed bus tester</w:t>
      </w:r>
    </w:p>
    <w:p w14:paraId="380C6B8C" w14:textId="6B31FC65" w:rsidR="003A29BF" w:rsidRPr="00EA5AAD" w:rsidRDefault="003A29BF" w:rsidP="00B26C7A">
      <w:pPr>
        <w:pStyle w:val="ListBullet"/>
        <w:numPr>
          <w:ilvl w:val="1"/>
          <w:numId w:val="18"/>
        </w:numPr>
        <w:rPr>
          <w:lang w:val="en-US"/>
        </w:rPr>
      </w:pPr>
      <w:r w:rsidRPr="00865C84">
        <w:rPr>
          <w:lang w:val="en-US"/>
        </w:rPr>
        <w:t>the</w:t>
      </w:r>
      <w:r w:rsidR="00B65864" w:rsidRPr="00865C84">
        <w:rPr>
          <w:lang w:val="en-US"/>
        </w:rPr>
        <w:t xml:space="preserve"> inspection </w:t>
      </w:r>
      <w:r w:rsidR="001B58B9" w:rsidRPr="00865C84">
        <w:rPr>
          <w:lang w:val="en-US"/>
        </w:rPr>
        <w:t xml:space="preserve">may be carried out annual or </w:t>
      </w:r>
      <w:r w:rsidR="001B58B9">
        <w:rPr>
          <w:lang w:val="en-US"/>
        </w:rPr>
        <w:t>t</w:t>
      </w:r>
      <w:r w:rsidR="00B65864" w:rsidRPr="00865C84">
        <w:rPr>
          <w:lang w:val="en-US"/>
        </w:rPr>
        <w:t>he Safety Director</w:t>
      </w:r>
      <w:r w:rsidRPr="00865C84">
        <w:rPr>
          <w:lang w:val="en-US"/>
        </w:rPr>
        <w:t xml:space="preserve"> may fix intervals at which the bus operator must ensure a licensed bus tester conduct</w:t>
      </w:r>
      <w:r w:rsidRPr="00ED1847">
        <w:rPr>
          <w:lang w:val="en-US"/>
        </w:rPr>
        <w:t>s bus safety inspections</w:t>
      </w:r>
    </w:p>
    <w:p w14:paraId="4F86BECA" w14:textId="6903A636" w:rsidR="003A29BF" w:rsidRPr="00B26C7A" w:rsidRDefault="00CD21E9"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 xml:space="preserve">A regulation which enables </w:t>
      </w:r>
      <w:r w:rsidR="003A29BF" w:rsidRPr="00B26C7A">
        <w:rPr>
          <w:rFonts w:asciiTheme="minorHAnsi" w:hAnsiTheme="minorHAnsi" w:cstheme="minorHAnsi"/>
          <w:color w:val="auto"/>
          <w:sz w:val="20"/>
          <w:szCs w:val="20"/>
        </w:rPr>
        <w:t xml:space="preserve">the Safety Director </w:t>
      </w:r>
      <w:r w:rsidR="00121534" w:rsidRPr="00B26C7A">
        <w:rPr>
          <w:rFonts w:asciiTheme="minorHAnsi" w:hAnsiTheme="minorHAnsi" w:cstheme="minorHAnsi"/>
          <w:color w:val="auto"/>
          <w:sz w:val="20"/>
          <w:szCs w:val="20"/>
        </w:rPr>
        <w:t>to</w:t>
      </w:r>
      <w:r w:rsidR="003A29BF" w:rsidRPr="00B26C7A">
        <w:rPr>
          <w:rFonts w:asciiTheme="minorHAnsi" w:hAnsiTheme="minorHAnsi" w:cstheme="minorHAnsi"/>
          <w:color w:val="auto"/>
          <w:sz w:val="20"/>
          <w:szCs w:val="20"/>
        </w:rPr>
        <w:t xml:space="preserve"> exempt a bus operator from a bus safety inspection if that bus has undergone a satisfactory safety inspection outside Victoria.</w:t>
      </w:r>
    </w:p>
    <w:p w14:paraId="0C62A083" w14:textId="44B270DC" w:rsidR="003243E6" w:rsidRPr="00B26C7A" w:rsidRDefault="008A657E"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specifies requirements of licensed bus tester</w:t>
      </w:r>
      <w:r w:rsidR="004E6D02" w:rsidRPr="00B26C7A">
        <w:rPr>
          <w:rFonts w:asciiTheme="minorHAnsi" w:hAnsiTheme="minorHAnsi" w:cstheme="minorHAnsi"/>
          <w:color w:val="auto"/>
          <w:sz w:val="20"/>
          <w:szCs w:val="20"/>
        </w:rPr>
        <w:t>s</w:t>
      </w:r>
      <w:r w:rsidRPr="00B26C7A">
        <w:rPr>
          <w:rFonts w:asciiTheme="minorHAnsi" w:hAnsiTheme="minorHAnsi" w:cstheme="minorHAnsi"/>
          <w:color w:val="auto"/>
          <w:sz w:val="20"/>
          <w:szCs w:val="20"/>
        </w:rPr>
        <w:t xml:space="preserve"> when carrying out safety inspections. </w:t>
      </w:r>
    </w:p>
    <w:p w14:paraId="3AB8228D" w14:textId="3C7B94B6" w:rsidR="00E3312A" w:rsidRPr="00B26C7A" w:rsidRDefault="004C46D5"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w:t>
      </w:r>
      <w:r w:rsidR="00F503D5" w:rsidRPr="00B26C7A">
        <w:rPr>
          <w:rFonts w:asciiTheme="minorHAnsi" w:hAnsiTheme="minorHAnsi" w:cstheme="minorHAnsi"/>
          <w:color w:val="auto"/>
          <w:sz w:val="20"/>
          <w:szCs w:val="20"/>
        </w:rPr>
        <w:t xml:space="preserve"> requires a licensed bus tester to provide an inspection report to the Safety Director, if requested by the Safety Director. </w:t>
      </w:r>
    </w:p>
    <w:p w14:paraId="08A11E52" w14:textId="31C9FD3E" w:rsidR="00702373" w:rsidRDefault="00394566" w:rsidP="006B4BFD">
      <w:pPr>
        <w:pStyle w:val="Heading3"/>
      </w:pPr>
      <w:bookmarkStart w:id="973" w:name="_Toc32909868"/>
      <w:bookmarkStart w:id="974" w:name="_Toc45704397"/>
      <w:r>
        <w:t xml:space="preserve">Reporting </w:t>
      </w:r>
      <w:r w:rsidR="00702373">
        <w:t>and investigation</w:t>
      </w:r>
      <w:bookmarkEnd w:id="973"/>
      <w:r w:rsidR="00D17B8C">
        <w:t xml:space="preserve"> of bus incidents</w:t>
      </w:r>
      <w:bookmarkEnd w:id="974"/>
    </w:p>
    <w:p w14:paraId="161DE5FE" w14:textId="77777777" w:rsidR="00F50486" w:rsidRDefault="00F50486" w:rsidP="00F50486">
      <w:r>
        <w:t>The following regulations are proposed:</w:t>
      </w:r>
    </w:p>
    <w:p w14:paraId="4EC93991" w14:textId="06D09561" w:rsidR="0093747C" w:rsidRPr="00B26C7A" w:rsidRDefault="009829FD"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specifies prescribed incidents</w:t>
      </w:r>
      <w:r w:rsidR="00EB0C95" w:rsidRPr="00B26C7A">
        <w:rPr>
          <w:rFonts w:asciiTheme="minorHAnsi" w:hAnsiTheme="minorHAnsi" w:cstheme="minorHAnsi"/>
          <w:color w:val="auto"/>
          <w:sz w:val="20"/>
          <w:szCs w:val="20"/>
        </w:rPr>
        <w:t xml:space="preserve"> for the purposes of </w:t>
      </w:r>
      <w:r w:rsidR="00A27673" w:rsidRPr="00B26C7A">
        <w:rPr>
          <w:rFonts w:asciiTheme="minorHAnsi" w:hAnsiTheme="minorHAnsi" w:cstheme="minorHAnsi"/>
          <w:color w:val="auto"/>
          <w:sz w:val="20"/>
          <w:szCs w:val="20"/>
        </w:rPr>
        <w:t xml:space="preserve">section 65 of the </w:t>
      </w:r>
      <w:r w:rsidR="003A2F6F" w:rsidRPr="00B26C7A">
        <w:rPr>
          <w:rFonts w:asciiTheme="minorHAnsi" w:hAnsiTheme="minorHAnsi" w:cstheme="minorHAnsi"/>
          <w:color w:val="auto"/>
          <w:sz w:val="20"/>
          <w:szCs w:val="20"/>
        </w:rPr>
        <w:t>Bus Safety Act</w:t>
      </w:r>
      <w:r w:rsidR="00237A2E" w:rsidRPr="00B26C7A">
        <w:rPr>
          <w:rFonts w:asciiTheme="minorHAnsi" w:hAnsiTheme="minorHAnsi" w:cstheme="minorHAnsi"/>
          <w:color w:val="auto"/>
          <w:sz w:val="20"/>
          <w:szCs w:val="20"/>
        </w:rPr>
        <w:t>.</w:t>
      </w:r>
    </w:p>
    <w:p w14:paraId="2C6D78A8" w14:textId="5B02C28D" w:rsidR="00151D1A" w:rsidRPr="00B26C7A" w:rsidRDefault="00F84C58"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 xml:space="preserve">A regulation which prescribes </w:t>
      </w:r>
      <w:r w:rsidR="009E1612" w:rsidRPr="00B26C7A">
        <w:rPr>
          <w:rFonts w:asciiTheme="minorHAnsi" w:hAnsiTheme="minorHAnsi" w:cstheme="minorHAnsi"/>
          <w:color w:val="auto"/>
          <w:sz w:val="20"/>
          <w:szCs w:val="20"/>
        </w:rPr>
        <w:t>the manner and timeframe in which</w:t>
      </w:r>
      <w:r w:rsidR="00151D1A" w:rsidRPr="00B26C7A">
        <w:rPr>
          <w:rFonts w:asciiTheme="minorHAnsi" w:hAnsiTheme="minorHAnsi" w:cstheme="minorHAnsi"/>
          <w:color w:val="auto"/>
          <w:sz w:val="20"/>
          <w:szCs w:val="20"/>
        </w:rPr>
        <w:t xml:space="preserve"> </w:t>
      </w:r>
      <w:r w:rsidR="00B36E58" w:rsidRPr="00B26C7A">
        <w:rPr>
          <w:rFonts w:asciiTheme="minorHAnsi" w:hAnsiTheme="minorHAnsi" w:cstheme="minorHAnsi"/>
          <w:color w:val="auto"/>
          <w:sz w:val="20"/>
          <w:szCs w:val="20"/>
        </w:rPr>
        <w:t>categories</w:t>
      </w:r>
      <w:r w:rsidR="00151D1A" w:rsidRPr="00B26C7A">
        <w:rPr>
          <w:rFonts w:asciiTheme="minorHAnsi" w:hAnsiTheme="minorHAnsi" w:cstheme="minorHAnsi"/>
          <w:color w:val="auto"/>
          <w:sz w:val="20"/>
          <w:szCs w:val="20"/>
        </w:rPr>
        <w:t xml:space="preserve"> of incidents </w:t>
      </w:r>
      <w:r w:rsidR="00B36E58" w:rsidRPr="00B26C7A">
        <w:rPr>
          <w:rFonts w:asciiTheme="minorHAnsi" w:hAnsiTheme="minorHAnsi" w:cstheme="minorHAnsi"/>
          <w:color w:val="auto"/>
          <w:sz w:val="20"/>
          <w:szCs w:val="20"/>
        </w:rPr>
        <w:t>must be notified to the Safety Director</w:t>
      </w:r>
      <w:r w:rsidR="00151D1A" w:rsidRPr="00B26C7A">
        <w:rPr>
          <w:rFonts w:asciiTheme="minorHAnsi" w:hAnsiTheme="minorHAnsi" w:cstheme="minorHAnsi"/>
          <w:color w:val="auto"/>
          <w:sz w:val="20"/>
          <w:szCs w:val="20"/>
        </w:rPr>
        <w:t>:</w:t>
      </w:r>
    </w:p>
    <w:p w14:paraId="136B8C76" w14:textId="725C4951" w:rsidR="00151D1A" w:rsidRPr="00B26C7A" w:rsidRDefault="00151D1A" w:rsidP="00B26C7A">
      <w:pPr>
        <w:pStyle w:val="ListBullet"/>
        <w:numPr>
          <w:ilvl w:val="1"/>
          <w:numId w:val="18"/>
        </w:numPr>
        <w:rPr>
          <w:lang w:val="en-US"/>
        </w:rPr>
      </w:pPr>
      <w:r>
        <w:rPr>
          <w:lang w:val="en-US"/>
        </w:rPr>
        <w:t>c</w:t>
      </w:r>
      <w:r w:rsidR="00425FA9" w:rsidRPr="00865C84">
        <w:rPr>
          <w:lang w:val="en-US"/>
        </w:rPr>
        <w:t>ategory</w:t>
      </w:r>
      <w:r w:rsidR="00425FA9" w:rsidRPr="00B26C7A">
        <w:rPr>
          <w:lang w:val="en-US"/>
        </w:rPr>
        <w:t xml:space="preserve"> 1</w:t>
      </w:r>
      <w:r w:rsidRPr="00B26C7A">
        <w:rPr>
          <w:lang w:val="en-US"/>
        </w:rPr>
        <w:t xml:space="preserve"> </w:t>
      </w:r>
      <w:r w:rsidR="00627ED2" w:rsidRPr="00B26C7A">
        <w:rPr>
          <w:lang w:val="en-US"/>
        </w:rPr>
        <w:t xml:space="preserve">incident </w:t>
      </w:r>
      <w:r w:rsidRPr="00B26C7A">
        <w:rPr>
          <w:lang w:val="en-US"/>
        </w:rPr>
        <w:t xml:space="preserve">– </w:t>
      </w:r>
      <w:r w:rsidR="00A92C10" w:rsidRPr="00B26C7A">
        <w:rPr>
          <w:lang w:val="en-US"/>
        </w:rPr>
        <w:t xml:space="preserve">orally as soon as possible after the operator becomes aware that an incident has </w:t>
      </w:r>
      <w:r w:rsidR="00C42751" w:rsidRPr="00B26C7A">
        <w:rPr>
          <w:lang w:val="en-US"/>
        </w:rPr>
        <w:t>occurred</w:t>
      </w:r>
      <w:r w:rsidR="00CD70CF" w:rsidRPr="00B26C7A">
        <w:rPr>
          <w:lang w:val="en-US"/>
        </w:rPr>
        <w:t>, followed by</w:t>
      </w:r>
      <w:r w:rsidR="00824DB3" w:rsidRPr="00B26C7A">
        <w:rPr>
          <w:lang w:val="en-US"/>
        </w:rPr>
        <w:t xml:space="preserve"> in writing</w:t>
      </w:r>
      <w:r w:rsidR="00CD70CF" w:rsidRPr="00B26C7A">
        <w:rPr>
          <w:lang w:val="en-US"/>
        </w:rPr>
        <w:t xml:space="preserve"> within 72 hours</w:t>
      </w:r>
      <w:r w:rsidR="00C42751" w:rsidRPr="00B26C7A">
        <w:rPr>
          <w:lang w:val="en-US"/>
        </w:rPr>
        <w:t xml:space="preserve"> after the occurrence of the incident</w:t>
      </w:r>
    </w:p>
    <w:p w14:paraId="50BFB21B" w14:textId="114BF752" w:rsidR="00151D1A" w:rsidRPr="00B26C7A" w:rsidRDefault="00151D1A" w:rsidP="00B26C7A">
      <w:pPr>
        <w:pStyle w:val="ListBullet"/>
        <w:numPr>
          <w:ilvl w:val="1"/>
          <w:numId w:val="18"/>
        </w:numPr>
        <w:rPr>
          <w:lang w:val="en-US"/>
        </w:rPr>
      </w:pPr>
      <w:r w:rsidRPr="00B26C7A">
        <w:rPr>
          <w:lang w:val="en-US"/>
        </w:rPr>
        <w:t>c</w:t>
      </w:r>
      <w:r w:rsidR="00425FA9" w:rsidRPr="00B26C7A">
        <w:rPr>
          <w:lang w:val="en-US"/>
        </w:rPr>
        <w:t xml:space="preserve">ategory 2 </w:t>
      </w:r>
      <w:r w:rsidR="00627ED2" w:rsidRPr="00B26C7A">
        <w:rPr>
          <w:lang w:val="en-US"/>
        </w:rPr>
        <w:t xml:space="preserve">incident </w:t>
      </w:r>
      <w:r w:rsidRPr="00B26C7A">
        <w:rPr>
          <w:lang w:val="en-US"/>
        </w:rPr>
        <w:t xml:space="preserve">– </w:t>
      </w:r>
      <w:r w:rsidR="00824DB3" w:rsidRPr="00B26C7A">
        <w:rPr>
          <w:lang w:val="en-US"/>
        </w:rPr>
        <w:t>in</w:t>
      </w:r>
      <w:r w:rsidR="00B42BDF" w:rsidRPr="00B26C7A">
        <w:rPr>
          <w:lang w:val="en-US"/>
        </w:rPr>
        <w:t xml:space="preserve"> </w:t>
      </w:r>
      <w:r w:rsidR="00824DB3" w:rsidRPr="00B26C7A">
        <w:rPr>
          <w:lang w:val="en-US"/>
        </w:rPr>
        <w:t xml:space="preserve">writing within 72 hours after the </w:t>
      </w:r>
      <w:r w:rsidR="00D30F79" w:rsidRPr="00B26C7A">
        <w:rPr>
          <w:lang w:val="en-US"/>
        </w:rPr>
        <w:t>occurrence</w:t>
      </w:r>
      <w:r w:rsidR="00824DB3" w:rsidRPr="00B26C7A">
        <w:rPr>
          <w:lang w:val="en-US"/>
        </w:rPr>
        <w:t xml:space="preserve"> of the incident </w:t>
      </w:r>
    </w:p>
    <w:p w14:paraId="79E5A0CC" w14:textId="6B3187E4" w:rsidR="00F84C58" w:rsidRPr="00B26C7A" w:rsidRDefault="00151D1A" w:rsidP="00B26C7A">
      <w:pPr>
        <w:pStyle w:val="ListBullet"/>
        <w:numPr>
          <w:ilvl w:val="1"/>
          <w:numId w:val="18"/>
        </w:numPr>
        <w:rPr>
          <w:lang w:val="en-US"/>
        </w:rPr>
      </w:pPr>
      <w:r w:rsidRPr="00B26C7A">
        <w:rPr>
          <w:lang w:val="en-US"/>
        </w:rPr>
        <w:t>c</w:t>
      </w:r>
      <w:r w:rsidR="00425FA9" w:rsidRPr="00B26C7A">
        <w:rPr>
          <w:lang w:val="en-US"/>
        </w:rPr>
        <w:t>ategory 3</w:t>
      </w:r>
      <w:r w:rsidR="00627ED2" w:rsidRPr="00B26C7A">
        <w:rPr>
          <w:lang w:val="en-US"/>
        </w:rPr>
        <w:t xml:space="preserve"> incident</w:t>
      </w:r>
      <w:r w:rsidR="00425FA9" w:rsidRPr="00B26C7A">
        <w:rPr>
          <w:lang w:val="en-US"/>
        </w:rPr>
        <w:t xml:space="preserve"> </w:t>
      </w:r>
      <w:r w:rsidR="00491737" w:rsidRPr="00B26C7A">
        <w:rPr>
          <w:lang w:val="en-US"/>
        </w:rPr>
        <w:t xml:space="preserve">– </w:t>
      </w:r>
      <w:r w:rsidR="00B42BDF" w:rsidRPr="00B26C7A">
        <w:rPr>
          <w:lang w:val="en-US"/>
        </w:rPr>
        <w:t xml:space="preserve">in a </w:t>
      </w:r>
      <w:r w:rsidR="00824DB3" w:rsidRPr="00B26C7A">
        <w:rPr>
          <w:lang w:val="en-US"/>
        </w:rPr>
        <w:t xml:space="preserve">written report </w:t>
      </w:r>
      <w:r w:rsidR="00391192" w:rsidRPr="00B26C7A">
        <w:rPr>
          <w:lang w:val="en-US"/>
        </w:rPr>
        <w:t xml:space="preserve">provided monthly within 5 days of the last day of each </w:t>
      </w:r>
      <w:r w:rsidR="005774CF" w:rsidRPr="00B26C7A">
        <w:rPr>
          <w:lang w:val="en-US"/>
        </w:rPr>
        <w:t>calendar</w:t>
      </w:r>
      <w:r w:rsidR="00313951" w:rsidRPr="00B26C7A">
        <w:rPr>
          <w:lang w:val="en-US"/>
        </w:rPr>
        <w:t xml:space="preserve"> month</w:t>
      </w:r>
      <w:r w:rsidR="00425FA9" w:rsidRPr="00B26C7A">
        <w:rPr>
          <w:lang w:val="en-US"/>
        </w:rPr>
        <w:t>.</w:t>
      </w:r>
      <w:r w:rsidR="00F84C58" w:rsidRPr="00B26C7A">
        <w:rPr>
          <w:lang w:val="en-US"/>
        </w:rPr>
        <w:t xml:space="preserve"> </w:t>
      </w:r>
    </w:p>
    <w:p w14:paraId="050E740D" w14:textId="660C6AFE" w:rsidR="00F84C58" w:rsidRPr="00B26C7A" w:rsidRDefault="00A54E5B" w:rsidP="00B26C7A">
      <w:pPr>
        <w:pStyle w:val="ListParagraph"/>
        <w:numPr>
          <w:ilvl w:val="0"/>
          <w:numId w:val="34"/>
        </w:numPr>
        <w:rPr>
          <w:rFonts w:asciiTheme="minorHAnsi" w:hAnsiTheme="minorHAnsi" w:cstheme="minorHAnsi"/>
          <w:color w:val="auto"/>
          <w:sz w:val="20"/>
          <w:szCs w:val="20"/>
        </w:rPr>
      </w:pPr>
      <w:r w:rsidRPr="00B26C7A">
        <w:rPr>
          <w:rFonts w:asciiTheme="minorHAnsi" w:hAnsiTheme="minorHAnsi" w:cstheme="minorHAnsi"/>
          <w:color w:val="auto"/>
          <w:sz w:val="20"/>
          <w:szCs w:val="20"/>
        </w:rPr>
        <w:t>A regulation which prescribes the manner and</w:t>
      </w:r>
      <w:r w:rsidR="00013B11" w:rsidRPr="00B26C7A">
        <w:rPr>
          <w:rFonts w:asciiTheme="minorHAnsi" w:hAnsiTheme="minorHAnsi" w:cstheme="minorHAnsi"/>
          <w:color w:val="auto"/>
          <w:sz w:val="20"/>
          <w:szCs w:val="20"/>
        </w:rPr>
        <w:t xml:space="preserve"> </w:t>
      </w:r>
      <w:r w:rsidR="00C17CBE" w:rsidRPr="00B26C7A">
        <w:rPr>
          <w:rFonts w:asciiTheme="minorHAnsi" w:hAnsiTheme="minorHAnsi" w:cstheme="minorHAnsi"/>
          <w:color w:val="auto"/>
          <w:sz w:val="20"/>
          <w:szCs w:val="20"/>
        </w:rPr>
        <w:t xml:space="preserve">form in which bus operators </w:t>
      </w:r>
      <w:r w:rsidR="00503693" w:rsidRPr="00B26C7A">
        <w:rPr>
          <w:rFonts w:asciiTheme="minorHAnsi" w:hAnsiTheme="minorHAnsi" w:cstheme="minorHAnsi"/>
          <w:color w:val="auto"/>
          <w:sz w:val="20"/>
          <w:szCs w:val="20"/>
        </w:rPr>
        <w:t xml:space="preserve">must </w:t>
      </w:r>
      <w:r w:rsidR="00C17CBE" w:rsidRPr="00B26C7A">
        <w:rPr>
          <w:rFonts w:asciiTheme="minorHAnsi" w:hAnsiTheme="minorHAnsi" w:cstheme="minorHAnsi"/>
          <w:color w:val="auto"/>
          <w:sz w:val="20"/>
          <w:szCs w:val="20"/>
        </w:rPr>
        <w:t>undertake a bus incident investigation</w:t>
      </w:r>
      <w:r w:rsidR="00EB2405" w:rsidRPr="00B26C7A">
        <w:rPr>
          <w:rFonts w:asciiTheme="minorHAnsi" w:hAnsiTheme="minorHAnsi" w:cstheme="minorHAnsi"/>
          <w:color w:val="auto"/>
          <w:sz w:val="20"/>
          <w:szCs w:val="20"/>
        </w:rPr>
        <w:t xml:space="preserve"> if directed by the Safety Director</w:t>
      </w:r>
      <w:r w:rsidR="00491737" w:rsidRPr="00B26C7A">
        <w:rPr>
          <w:rFonts w:asciiTheme="minorHAnsi" w:hAnsiTheme="minorHAnsi" w:cstheme="minorHAnsi"/>
          <w:color w:val="auto"/>
          <w:sz w:val="20"/>
          <w:szCs w:val="20"/>
        </w:rPr>
        <w:t>.</w:t>
      </w:r>
    </w:p>
    <w:p w14:paraId="34287228" w14:textId="71425155" w:rsidR="007F0B10" w:rsidRDefault="007F0B10" w:rsidP="00232F80">
      <w:pPr>
        <w:pStyle w:val="Heading3"/>
      </w:pPr>
      <w:bookmarkStart w:id="975" w:name="_Toc45704398"/>
      <w:r>
        <w:t>Penalty units</w:t>
      </w:r>
      <w:bookmarkEnd w:id="975"/>
    </w:p>
    <w:p w14:paraId="5C9814A0" w14:textId="00AE9F21" w:rsidR="00232F80" w:rsidRDefault="00232F80" w:rsidP="00DA7D59">
      <w:r w:rsidRPr="00FF71A0">
        <w:fldChar w:fldCharType="begin"/>
      </w:r>
      <w:r w:rsidRPr="00FF71A0">
        <w:instrText xml:space="preserve"> REF _Ref43994538 \h </w:instrText>
      </w:r>
      <w:r w:rsidR="00FF71A0" w:rsidRPr="00FF71A0">
        <w:instrText xml:space="preserve"> \* MERGEFORMAT </w:instrText>
      </w:r>
      <w:r w:rsidRPr="00FF71A0">
        <w:fldChar w:fldCharType="separate"/>
      </w:r>
      <w:r w:rsidR="00277F6E" w:rsidRPr="00277F6E">
        <w:t xml:space="preserve">Table </w:t>
      </w:r>
      <w:r w:rsidR="00277F6E" w:rsidRPr="00277F6E">
        <w:rPr>
          <w:noProof/>
        </w:rPr>
        <w:t>8</w:t>
      </w:r>
      <w:r w:rsidR="00277F6E" w:rsidRPr="00277F6E">
        <w:rPr>
          <w:noProof/>
        </w:rPr>
        <w:noBreakHyphen/>
        <w:t>1</w:t>
      </w:r>
      <w:r w:rsidRPr="00FF71A0">
        <w:fldChar w:fldCharType="end"/>
      </w:r>
      <w:r>
        <w:t xml:space="preserve"> outlines the </w:t>
      </w:r>
      <w:r w:rsidR="00D11072">
        <w:t xml:space="preserve">penalties associated with breaches in the proposed regulations. </w:t>
      </w:r>
    </w:p>
    <w:p w14:paraId="1B67A504" w14:textId="45B9C223" w:rsidR="007F0B10" w:rsidRPr="00796C72" w:rsidRDefault="007F0B10" w:rsidP="007620AA">
      <w:pPr>
        <w:pStyle w:val="Caption"/>
        <w:keepNext/>
        <w:spacing w:after="60"/>
        <w:rPr>
          <w:b/>
          <w:i w:val="0"/>
        </w:rPr>
      </w:pPr>
      <w:bookmarkStart w:id="976" w:name="_Ref43994538"/>
      <w:bookmarkStart w:id="977" w:name="_Toc44437404"/>
      <w:bookmarkStart w:id="978" w:name="_Toc44597475"/>
      <w:bookmarkStart w:id="979" w:name="_Toc44597539"/>
      <w:bookmarkStart w:id="980" w:name="_Toc44600109"/>
      <w:bookmarkStart w:id="981" w:name="_Toc44600564"/>
      <w:bookmarkStart w:id="982" w:name="_Toc44600731"/>
      <w:bookmarkStart w:id="983" w:name="_Toc44601228"/>
      <w:bookmarkStart w:id="984" w:name="_Toc44601281"/>
      <w:bookmarkStart w:id="985" w:name="_Toc44603429"/>
      <w:bookmarkStart w:id="986" w:name="_Toc45704477"/>
      <w:r w:rsidRPr="00796C72">
        <w:rPr>
          <w:b/>
          <w:i w:val="0"/>
        </w:rPr>
        <w:t xml:space="preserve">Table </w:t>
      </w:r>
      <w:r w:rsidR="00D2483C">
        <w:rPr>
          <w:b/>
          <w:i w:val="0"/>
        </w:rPr>
        <w:fldChar w:fldCharType="begin"/>
      </w:r>
      <w:r w:rsidR="00D2483C">
        <w:rPr>
          <w:b/>
          <w:i w:val="0"/>
        </w:rPr>
        <w:instrText xml:space="preserve"> STYLEREF 1 \s </w:instrText>
      </w:r>
      <w:r w:rsidR="00D2483C">
        <w:rPr>
          <w:b/>
          <w:i w:val="0"/>
        </w:rPr>
        <w:fldChar w:fldCharType="separate"/>
      </w:r>
      <w:r w:rsidR="00277F6E">
        <w:rPr>
          <w:b/>
          <w:i w:val="0"/>
          <w:noProof/>
        </w:rPr>
        <w:t>8</w:t>
      </w:r>
      <w:r w:rsidR="00D2483C">
        <w:rPr>
          <w:b/>
          <w:i w:val="0"/>
        </w:rPr>
        <w:fldChar w:fldCharType="end"/>
      </w:r>
      <w:r w:rsidR="00D2483C">
        <w:rPr>
          <w:b/>
          <w:i w:val="0"/>
        </w:rPr>
        <w:noBreakHyphen/>
      </w:r>
      <w:r w:rsidR="00D2483C">
        <w:rPr>
          <w:b/>
          <w:i w:val="0"/>
        </w:rPr>
        <w:fldChar w:fldCharType="begin"/>
      </w:r>
      <w:r w:rsidR="00D2483C">
        <w:rPr>
          <w:b/>
          <w:i w:val="0"/>
        </w:rPr>
        <w:instrText xml:space="preserve"> SEQ Table \* ARABIC \s 1 </w:instrText>
      </w:r>
      <w:r w:rsidR="00D2483C">
        <w:rPr>
          <w:b/>
          <w:i w:val="0"/>
        </w:rPr>
        <w:fldChar w:fldCharType="separate"/>
      </w:r>
      <w:r w:rsidR="00277F6E">
        <w:rPr>
          <w:b/>
          <w:i w:val="0"/>
          <w:noProof/>
        </w:rPr>
        <w:t>1</w:t>
      </w:r>
      <w:r w:rsidR="00D2483C">
        <w:rPr>
          <w:b/>
          <w:i w:val="0"/>
        </w:rPr>
        <w:fldChar w:fldCharType="end"/>
      </w:r>
      <w:bookmarkEnd w:id="976"/>
      <w:r w:rsidR="00DA7D59" w:rsidRPr="00796C72">
        <w:rPr>
          <w:b/>
          <w:i w:val="0"/>
        </w:rPr>
        <w:t xml:space="preserve">: </w:t>
      </w:r>
      <w:r w:rsidR="00DA7D59" w:rsidRPr="007620AA">
        <w:rPr>
          <w:b/>
          <w:bCs/>
          <w:i w:val="0"/>
          <w:iCs w:val="0"/>
        </w:rPr>
        <w:t>Penalty</w:t>
      </w:r>
      <w:r w:rsidR="00DA7D59" w:rsidRPr="00796C72">
        <w:rPr>
          <w:b/>
          <w:i w:val="0"/>
        </w:rPr>
        <w:t xml:space="preserve"> units </w:t>
      </w:r>
      <w:r w:rsidR="00D05678" w:rsidRPr="00796C72">
        <w:rPr>
          <w:b/>
          <w:i w:val="0"/>
        </w:rPr>
        <w:t>associated with breaches in the p</w:t>
      </w:r>
      <w:r w:rsidR="00DA7D59" w:rsidRPr="00796C72">
        <w:rPr>
          <w:b/>
          <w:i w:val="0"/>
        </w:rPr>
        <w:t xml:space="preserve">roposed </w:t>
      </w:r>
      <w:r w:rsidR="00796C72" w:rsidRPr="00796C72">
        <w:rPr>
          <w:b/>
          <w:i w:val="0"/>
        </w:rPr>
        <w:t>regulations</w:t>
      </w:r>
      <w:bookmarkEnd w:id="977"/>
      <w:bookmarkEnd w:id="978"/>
      <w:bookmarkEnd w:id="979"/>
      <w:bookmarkEnd w:id="980"/>
      <w:bookmarkEnd w:id="981"/>
      <w:bookmarkEnd w:id="982"/>
      <w:bookmarkEnd w:id="983"/>
      <w:bookmarkEnd w:id="984"/>
      <w:bookmarkEnd w:id="985"/>
      <w:bookmarkEnd w:id="986"/>
      <w:r w:rsidR="00D05678" w:rsidRPr="00796C72">
        <w:rPr>
          <w:b/>
          <w:i w:val="0"/>
        </w:rPr>
        <w:t xml:space="preserve"> </w:t>
      </w:r>
    </w:p>
    <w:tbl>
      <w:tblPr>
        <w:tblStyle w:val="TableGrid"/>
        <w:tblpPr w:leftFromText="180" w:rightFromText="180" w:vertAnchor="text" w:tblpX="45" w:tblpY="1"/>
        <w:tblOverlap w:val="never"/>
        <w:tblW w:w="9015" w:type="dxa"/>
        <w:tblLook w:val="04A0" w:firstRow="1" w:lastRow="0" w:firstColumn="1" w:lastColumn="0" w:noHBand="0" w:noVBand="1"/>
      </w:tblPr>
      <w:tblGrid>
        <w:gridCol w:w="2253"/>
        <w:gridCol w:w="3180"/>
        <w:gridCol w:w="1791"/>
        <w:gridCol w:w="1791"/>
      </w:tblGrid>
      <w:tr w:rsidR="00E57663" w:rsidRPr="006C355D" w14:paraId="039FBEDF" w14:textId="77777777" w:rsidTr="009535F5">
        <w:tc>
          <w:tcPr>
            <w:tcW w:w="2232" w:type="dxa"/>
            <w:shd w:val="clear" w:color="auto" w:fill="D6ECED"/>
          </w:tcPr>
          <w:p w14:paraId="178B701D" w14:textId="77777777" w:rsidR="007F0B10" w:rsidRPr="003C6441" w:rsidRDefault="007F0B10" w:rsidP="00D21044">
            <w:pPr>
              <w:pStyle w:val="ListParagraph"/>
              <w:spacing w:before="60" w:after="60"/>
              <w:ind w:left="0"/>
              <w:contextualSpacing w:val="0"/>
              <w:rPr>
                <w:rFonts w:ascii="Arial" w:hAnsi="Arial" w:cs="Arial"/>
                <w:b/>
                <w:bCs/>
                <w:color w:val="auto"/>
                <w:sz w:val="18"/>
                <w:szCs w:val="18"/>
              </w:rPr>
            </w:pPr>
            <w:r w:rsidRPr="003C6441">
              <w:rPr>
                <w:rFonts w:ascii="Arial" w:hAnsi="Arial" w:cs="Arial"/>
                <w:b/>
                <w:bCs/>
                <w:color w:val="auto"/>
                <w:sz w:val="18"/>
                <w:szCs w:val="18"/>
              </w:rPr>
              <w:t>Regulation</w:t>
            </w:r>
          </w:p>
        </w:tc>
        <w:tc>
          <w:tcPr>
            <w:tcW w:w="3150" w:type="dxa"/>
            <w:shd w:val="clear" w:color="auto" w:fill="D6ECED"/>
          </w:tcPr>
          <w:p w14:paraId="5B58C1A1" w14:textId="77777777" w:rsidR="007F0B10" w:rsidRPr="003C6441" w:rsidRDefault="007F0B10" w:rsidP="00D21044">
            <w:pPr>
              <w:pStyle w:val="ListParagraph"/>
              <w:spacing w:before="60" w:after="60"/>
              <w:ind w:left="0"/>
              <w:contextualSpacing w:val="0"/>
              <w:rPr>
                <w:rFonts w:ascii="Arial" w:hAnsi="Arial" w:cs="Arial"/>
                <w:b/>
                <w:bCs/>
                <w:color w:val="auto"/>
                <w:sz w:val="18"/>
                <w:szCs w:val="18"/>
              </w:rPr>
            </w:pPr>
            <w:r w:rsidRPr="003C6441">
              <w:rPr>
                <w:rFonts w:ascii="Arial" w:hAnsi="Arial" w:cs="Arial"/>
                <w:b/>
                <w:bCs/>
                <w:color w:val="auto"/>
                <w:sz w:val="18"/>
                <w:szCs w:val="18"/>
              </w:rPr>
              <w:t>Description</w:t>
            </w:r>
          </w:p>
        </w:tc>
        <w:tc>
          <w:tcPr>
            <w:tcW w:w="1774" w:type="dxa"/>
            <w:shd w:val="clear" w:color="auto" w:fill="D6ECED"/>
          </w:tcPr>
          <w:p w14:paraId="7709270F" w14:textId="77777777" w:rsidR="007F0B10" w:rsidRPr="003C6441" w:rsidRDefault="007F0B10" w:rsidP="00D21044">
            <w:pPr>
              <w:pStyle w:val="ListParagraph"/>
              <w:spacing w:before="60" w:after="60"/>
              <w:ind w:left="0"/>
              <w:contextualSpacing w:val="0"/>
              <w:rPr>
                <w:rFonts w:ascii="Arial" w:hAnsi="Arial" w:cs="Arial"/>
                <w:b/>
                <w:bCs/>
                <w:color w:val="auto"/>
                <w:sz w:val="18"/>
                <w:szCs w:val="18"/>
              </w:rPr>
            </w:pPr>
            <w:r w:rsidRPr="003C6441">
              <w:rPr>
                <w:rFonts w:ascii="Arial" w:hAnsi="Arial" w:cs="Arial"/>
                <w:b/>
                <w:bCs/>
                <w:color w:val="auto"/>
                <w:sz w:val="18"/>
                <w:szCs w:val="18"/>
              </w:rPr>
              <w:t>Penalty Units</w:t>
            </w:r>
          </w:p>
        </w:tc>
        <w:tc>
          <w:tcPr>
            <w:tcW w:w="1774" w:type="dxa"/>
            <w:shd w:val="clear" w:color="auto" w:fill="D6ECED"/>
          </w:tcPr>
          <w:p w14:paraId="352C6808" w14:textId="77777777" w:rsidR="007F0B10" w:rsidRPr="003C6441" w:rsidRDefault="007F0B10" w:rsidP="00D21044">
            <w:pPr>
              <w:pStyle w:val="ListParagraph"/>
              <w:spacing w:before="60" w:after="60"/>
              <w:ind w:left="0"/>
              <w:contextualSpacing w:val="0"/>
              <w:rPr>
                <w:rFonts w:ascii="Arial" w:hAnsi="Arial" w:cs="Arial"/>
                <w:b/>
                <w:bCs/>
                <w:color w:val="auto"/>
                <w:sz w:val="18"/>
                <w:szCs w:val="18"/>
              </w:rPr>
            </w:pPr>
            <w:r w:rsidRPr="003C6441">
              <w:rPr>
                <w:rFonts w:ascii="Arial" w:hAnsi="Arial" w:cs="Arial"/>
                <w:b/>
                <w:bCs/>
                <w:color w:val="auto"/>
                <w:sz w:val="18"/>
                <w:szCs w:val="18"/>
              </w:rPr>
              <w:t>Dollar Value (2020-21)</w:t>
            </w:r>
          </w:p>
        </w:tc>
      </w:tr>
      <w:tr w:rsidR="00E57663" w:rsidRPr="006C355D" w14:paraId="1CBDDD27" w14:textId="77777777" w:rsidTr="009535F5">
        <w:tc>
          <w:tcPr>
            <w:tcW w:w="2232" w:type="dxa"/>
          </w:tcPr>
          <w:p w14:paraId="226A1AD3"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6(2) – Maximum number of passengers</w:t>
            </w:r>
          </w:p>
        </w:tc>
        <w:tc>
          <w:tcPr>
            <w:tcW w:w="3150" w:type="dxa"/>
          </w:tcPr>
          <w:p w14:paraId="5B93D1C4"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Operator must display notice of the maximum number of passengers</w:t>
            </w:r>
          </w:p>
        </w:tc>
        <w:tc>
          <w:tcPr>
            <w:tcW w:w="1774" w:type="dxa"/>
          </w:tcPr>
          <w:p w14:paraId="50E3201F"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5 penalty units</w:t>
            </w:r>
          </w:p>
        </w:tc>
        <w:tc>
          <w:tcPr>
            <w:tcW w:w="1774" w:type="dxa"/>
          </w:tcPr>
          <w:p w14:paraId="34542FE3"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$826.10</w:t>
            </w:r>
          </w:p>
        </w:tc>
      </w:tr>
      <w:tr w:rsidR="00E57663" w:rsidRPr="006C355D" w14:paraId="33F95462" w14:textId="77777777" w:rsidTr="009535F5">
        <w:tc>
          <w:tcPr>
            <w:tcW w:w="2232" w:type="dxa"/>
          </w:tcPr>
          <w:p w14:paraId="3AD9D1CC"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7(1) - Bus standards</w:t>
            </w:r>
          </w:p>
        </w:tc>
        <w:tc>
          <w:tcPr>
            <w:tcW w:w="3150" w:type="dxa"/>
          </w:tcPr>
          <w:p w14:paraId="51525487"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Operator must ensure that each bus used to provide the bus service complies with each applicable bus standards</w:t>
            </w:r>
          </w:p>
        </w:tc>
        <w:tc>
          <w:tcPr>
            <w:tcW w:w="1774" w:type="dxa"/>
          </w:tcPr>
          <w:p w14:paraId="5E819B94"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20 penalty units</w:t>
            </w:r>
          </w:p>
        </w:tc>
        <w:tc>
          <w:tcPr>
            <w:tcW w:w="1774" w:type="dxa"/>
          </w:tcPr>
          <w:p w14:paraId="2D3A631F"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$3,304.40</w:t>
            </w:r>
          </w:p>
        </w:tc>
      </w:tr>
      <w:tr w:rsidR="00E57663" w:rsidRPr="006C355D" w14:paraId="383A3112" w14:textId="77777777" w:rsidTr="009535F5">
        <w:tc>
          <w:tcPr>
            <w:tcW w:w="2232" w:type="dxa"/>
          </w:tcPr>
          <w:p w14:paraId="7F270F4F"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lastRenderedPageBreak/>
              <w:t>Reg. 8(1) – Devices for school buses</w:t>
            </w:r>
          </w:p>
        </w:tc>
        <w:tc>
          <w:tcPr>
            <w:tcW w:w="3150" w:type="dxa"/>
          </w:tcPr>
          <w:p w14:paraId="1883567E"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Operator of school bus must ensure complying lights and signs fitted to bus</w:t>
            </w:r>
          </w:p>
        </w:tc>
        <w:tc>
          <w:tcPr>
            <w:tcW w:w="1774" w:type="dxa"/>
          </w:tcPr>
          <w:p w14:paraId="0199DEF1"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20 penalty units </w:t>
            </w:r>
          </w:p>
        </w:tc>
        <w:tc>
          <w:tcPr>
            <w:tcW w:w="1774" w:type="dxa"/>
          </w:tcPr>
          <w:p w14:paraId="070A7BC0"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$3,304.40</w:t>
            </w:r>
          </w:p>
        </w:tc>
      </w:tr>
      <w:tr w:rsidR="00E57663" w:rsidRPr="006C355D" w14:paraId="49179CB3" w14:textId="77777777" w:rsidTr="009535F5">
        <w:tc>
          <w:tcPr>
            <w:tcW w:w="2232" w:type="dxa"/>
          </w:tcPr>
          <w:p w14:paraId="2B7946FC"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9(1) – Fire extinguishers</w:t>
            </w:r>
          </w:p>
        </w:tc>
        <w:tc>
          <w:tcPr>
            <w:tcW w:w="3150" w:type="dxa"/>
          </w:tcPr>
          <w:p w14:paraId="66A4FF9F"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Operator must ensure fire extinguishers are provided on bus in accordance with requirements for that bus</w:t>
            </w:r>
          </w:p>
        </w:tc>
        <w:tc>
          <w:tcPr>
            <w:tcW w:w="1774" w:type="dxa"/>
          </w:tcPr>
          <w:p w14:paraId="62EF5AF0"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10 penalty units </w:t>
            </w:r>
          </w:p>
        </w:tc>
        <w:tc>
          <w:tcPr>
            <w:tcW w:w="1774" w:type="dxa"/>
          </w:tcPr>
          <w:p w14:paraId="1380A3C6"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$1,652.20</w:t>
            </w:r>
          </w:p>
        </w:tc>
      </w:tr>
      <w:tr w:rsidR="00E57663" w:rsidRPr="006C355D" w14:paraId="3EE4876D" w14:textId="77777777" w:rsidTr="009535F5">
        <w:tc>
          <w:tcPr>
            <w:tcW w:w="2232" w:type="dxa"/>
          </w:tcPr>
          <w:p w14:paraId="29E35A97"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9(2) – Fire extinguishers</w:t>
            </w:r>
          </w:p>
        </w:tc>
        <w:tc>
          <w:tcPr>
            <w:tcW w:w="3150" w:type="dxa"/>
          </w:tcPr>
          <w:p w14:paraId="12172B59"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Operator must ensure fire extinguishers fitted on bus are operational </w:t>
            </w:r>
          </w:p>
        </w:tc>
        <w:tc>
          <w:tcPr>
            <w:tcW w:w="1774" w:type="dxa"/>
          </w:tcPr>
          <w:p w14:paraId="1DE6BCAB"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10 penalty units </w:t>
            </w:r>
          </w:p>
        </w:tc>
        <w:tc>
          <w:tcPr>
            <w:tcW w:w="1774" w:type="dxa"/>
          </w:tcPr>
          <w:p w14:paraId="37E09C9A"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$1,652.20</w:t>
            </w:r>
          </w:p>
        </w:tc>
      </w:tr>
      <w:tr w:rsidR="00E57663" w:rsidRPr="006C355D" w14:paraId="3DADE802" w14:textId="77777777" w:rsidTr="009535F5">
        <w:tc>
          <w:tcPr>
            <w:tcW w:w="2232" w:type="dxa"/>
          </w:tcPr>
          <w:p w14:paraId="602C4560"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Reg. 10(1) – Signage – accreditation number </w:t>
            </w:r>
          </w:p>
        </w:tc>
        <w:tc>
          <w:tcPr>
            <w:tcW w:w="3150" w:type="dxa"/>
          </w:tcPr>
          <w:p w14:paraId="1D6E597B"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Accredited bus operator must display accreditation number on bus</w:t>
            </w:r>
          </w:p>
        </w:tc>
        <w:tc>
          <w:tcPr>
            <w:tcW w:w="1774" w:type="dxa"/>
          </w:tcPr>
          <w:p w14:paraId="2D6B82D9"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10 penalty units  </w:t>
            </w:r>
          </w:p>
        </w:tc>
        <w:tc>
          <w:tcPr>
            <w:tcW w:w="1774" w:type="dxa"/>
          </w:tcPr>
          <w:p w14:paraId="10879D65"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$1,652.20</w:t>
            </w:r>
          </w:p>
        </w:tc>
      </w:tr>
      <w:tr w:rsidR="00E57663" w:rsidRPr="006C355D" w14:paraId="2093FAC7" w14:textId="77777777" w:rsidTr="009535F5">
        <w:tc>
          <w:tcPr>
            <w:tcW w:w="2232" w:type="dxa"/>
          </w:tcPr>
          <w:p w14:paraId="53AA7708"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10(3) – Signage – accreditation number</w:t>
            </w:r>
          </w:p>
        </w:tc>
        <w:tc>
          <w:tcPr>
            <w:tcW w:w="3150" w:type="dxa"/>
          </w:tcPr>
          <w:p w14:paraId="4DA553BC"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Person must not display accreditation number unless bus is used by accredited bus operator with that accreditation number</w:t>
            </w:r>
          </w:p>
        </w:tc>
        <w:tc>
          <w:tcPr>
            <w:tcW w:w="1774" w:type="dxa"/>
          </w:tcPr>
          <w:p w14:paraId="5A8A275D"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10 penalty units </w:t>
            </w:r>
          </w:p>
        </w:tc>
        <w:tc>
          <w:tcPr>
            <w:tcW w:w="1774" w:type="dxa"/>
          </w:tcPr>
          <w:p w14:paraId="01151359"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$1,652.20</w:t>
            </w:r>
          </w:p>
        </w:tc>
      </w:tr>
      <w:tr w:rsidR="00E57663" w:rsidRPr="006C355D" w14:paraId="071B8D75" w14:textId="77777777" w:rsidTr="009535F5">
        <w:tc>
          <w:tcPr>
            <w:tcW w:w="2232" w:type="dxa"/>
          </w:tcPr>
          <w:p w14:paraId="680855AB"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11(1) – Signage – registration number</w:t>
            </w:r>
          </w:p>
        </w:tc>
        <w:tc>
          <w:tcPr>
            <w:tcW w:w="3150" w:type="dxa"/>
          </w:tcPr>
          <w:p w14:paraId="22CB815D"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Registered bus operator must display registration number on bus </w:t>
            </w:r>
          </w:p>
        </w:tc>
        <w:tc>
          <w:tcPr>
            <w:tcW w:w="1774" w:type="dxa"/>
          </w:tcPr>
          <w:p w14:paraId="742E8EB8"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10 penalty units </w:t>
            </w:r>
          </w:p>
        </w:tc>
        <w:tc>
          <w:tcPr>
            <w:tcW w:w="1774" w:type="dxa"/>
          </w:tcPr>
          <w:p w14:paraId="3926230D"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$1,652.20</w:t>
            </w:r>
          </w:p>
        </w:tc>
      </w:tr>
      <w:tr w:rsidR="00E57663" w:rsidRPr="006C355D" w14:paraId="770D00F7" w14:textId="77777777" w:rsidTr="009535F5">
        <w:tc>
          <w:tcPr>
            <w:tcW w:w="2232" w:type="dxa"/>
          </w:tcPr>
          <w:p w14:paraId="470E6BEA"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11(3) – Signage – registration number</w:t>
            </w:r>
          </w:p>
        </w:tc>
        <w:tc>
          <w:tcPr>
            <w:tcW w:w="3150" w:type="dxa"/>
          </w:tcPr>
          <w:p w14:paraId="0F4EC282"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Person must not display registration number unless bus is used by registered bus operator with that registration number</w:t>
            </w:r>
          </w:p>
        </w:tc>
        <w:tc>
          <w:tcPr>
            <w:tcW w:w="1774" w:type="dxa"/>
          </w:tcPr>
          <w:p w14:paraId="5B88A82D"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10 penalty units </w:t>
            </w:r>
          </w:p>
        </w:tc>
        <w:tc>
          <w:tcPr>
            <w:tcW w:w="1774" w:type="dxa"/>
          </w:tcPr>
          <w:p w14:paraId="24A8B3F8"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$1,652.20</w:t>
            </w:r>
          </w:p>
        </w:tc>
      </w:tr>
      <w:tr w:rsidR="00E57663" w:rsidRPr="006C355D" w14:paraId="2C1425EA" w14:textId="77777777" w:rsidTr="009535F5">
        <w:tc>
          <w:tcPr>
            <w:tcW w:w="2232" w:type="dxa"/>
          </w:tcPr>
          <w:p w14:paraId="48EAF5B2"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12(2) – Device must operate</w:t>
            </w:r>
          </w:p>
        </w:tc>
        <w:tc>
          <w:tcPr>
            <w:tcW w:w="3150" w:type="dxa"/>
          </w:tcPr>
          <w:p w14:paraId="78E09224"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Driver of school bus must ensure each light, sign or other device operates when bus is stationary</w:t>
            </w:r>
          </w:p>
        </w:tc>
        <w:tc>
          <w:tcPr>
            <w:tcW w:w="1774" w:type="dxa"/>
          </w:tcPr>
          <w:p w14:paraId="5A535F2B"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10 penalty units</w:t>
            </w:r>
          </w:p>
        </w:tc>
        <w:tc>
          <w:tcPr>
            <w:tcW w:w="1774" w:type="dxa"/>
          </w:tcPr>
          <w:p w14:paraId="4B76EAA2"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$1,652.20</w:t>
            </w:r>
          </w:p>
        </w:tc>
      </w:tr>
      <w:tr w:rsidR="00E57663" w:rsidRPr="006C355D" w14:paraId="23F54BD9" w14:textId="77777777" w:rsidTr="009535F5">
        <w:tc>
          <w:tcPr>
            <w:tcW w:w="2232" w:type="dxa"/>
          </w:tcPr>
          <w:p w14:paraId="1BFF4C6A"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12(5) – Device must operate</w:t>
            </w:r>
          </w:p>
        </w:tc>
        <w:tc>
          <w:tcPr>
            <w:tcW w:w="3150" w:type="dxa"/>
          </w:tcPr>
          <w:p w14:paraId="2C234026"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Operator must not allow bus to be used for school bus service before light, sign or other device is operational </w:t>
            </w:r>
          </w:p>
        </w:tc>
        <w:tc>
          <w:tcPr>
            <w:tcW w:w="1774" w:type="dxa"/>
          </w:tcPr>
          <w:p w14:paraId="5F60A9C6"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20 penalty units </w:t>
            </w:r>
          </w:p>
        </w:tc>
        <w:tc>
          <w:tcPr>
            <w:tcW w:w="1774" w:type="dxa"/>
          </w:tcPr>
          <w:p w14:paraId="1A5E0512"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$3,304.4</w:t>
            </w:r>
          </w:p>
        </w:tc>
      </w:tr>
      <w:tr w:rsidR="00E57663" w:rsidRPr="006C355D" w14:paraId="43913B71" w14:textId="77777777" w:rsidTr="009535F5">
        <w:tc>
          <w:tcPr>
            <w:tcW w:w="2232" w:type="dxa"/>
          </w:tcPr>
          <w:p w14:paraId="146B822D"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13 – Driver must not have alcohol or drugs present</w:t>
            </w:r>
          </w:p>
        </w:tc>
        <w:tc>
          <w:tcPr>
            <w:tcW w:w="3150" w:type="dxa"/>
          </w:tcPr>
          <w:p w14:paraId="7B6DB09E"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Driver must not have alcohol or drugs present in the driver’s blood or breath immediately before or while driving a bus</w:t>
            </w:r>
          </w:p>
        </w:tc>
        <w:tc>
          <w:tcPr>
            <w:tcW w:w="1774" w:type="dxa"/>
          </w:tcPr>
          <w:p w14:paraId="3A1D870C"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10 penalty units</w:t>
            </w:r>
          </w:p>
        </w:tc>
        <w:tc>
          <w:tcPr>
            <w:tcW w:w="1774" w:type="dxa"/>
          </w:tcPr>
          <w:p w14:paraId="19D2B5B2"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$1,652.20</w:t>
            </w:r>
          </w:p>
        </w:tc>
      </w:tr>
      <w:tr w:rsidR="00E57663" w:rsidRPr="006C355D" w14:paraId="6DBBCF7E" w14:textId="77777777" w:rsidTr="009535F5">
        <w:tc>
          <w:tcPr>
            <w:tcW w:w="2232" w:type="dxa"/>
          </w:tcPr>
          <w:p w14:paraId="35A2265C"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31(1) – Retention of records</w:t>
            </w:r>
          </w:p>
        </w:tc>
        <w:tc>
          <w:tcPr>
            <w:tcW w:w="3150" w:type="dxa"/>
          </w:tcPr>
          <w:p w14:paraId="28A655C4"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Accredited bus operator must keep records in a safe and secure location for specified period </w:t>
            </w:r>
          </w:p>
        </w:tc>
        <w:tc>
          <w:tcPr>
            <w:tcW w:w="1774" w:type="dxa"/>
          </w:tcPr>
          <w:p w14:paraId="1034F87A"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10 penalty units</w:t>
            </w:r>
          </w:p>
        </w:tc>
        <w:tc>
          <w:tcPr>
            <w:tcW w:w="1774" w:type="dxa"/>
          </w:tcPr>
          <w:p w14:paraId="5B2D239B"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$1,652.20</w:t>
            </w:r>
          </w:p>
        </w:tc>
      </w:tr>
      <w:tr w:rsidR="00E57663" w:rsidRPr="006C355D" w14:paraId="7E6BD77F" w14:textId="77777777" w:rsidTr="009535F5">
        <w:tc>
          <w:tcPr>
            <w:tcW w:w="2232" w:type="dxa"/>
          </w:tcPr>
          <w:p w14:paraId="5913FAF9"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Reg. 31(2) – Retention of records </w:t>
            </w:r>
          </w:p>
        </w:tc>
        <w:tc>
          <w:tcPr>
            <w:tcW w:w="3150" w:type="dxa"/>
          </w:tcPr>
          <w:p w14:paraId="6E90195E"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Registered bus operator must keep records in a safe and secure location for specified period </w:t>
            </w:r>
          </w:p>
        </w:tc>
        <w:tc>
          <w:tcPr>
            <w:tcW w:w="1774" w:type="dxa"/>
          </w:tcPr>
          <w:p w14:paraId="292A0F1B"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10 penalty units </w:t>
            </w:r>
          </w:p>
        </w:tc>
        <w:tc>
          <w:tcPr>
            <w:tcW w:w="1774" w:type="dxa"/>
          </w:tcPr>
          <w:p w14:paraId="4D923E46"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$1,652.20</w:t>
            </w:r>
          </w:p>
        </w:tc>
      </w:tr>
      <w:tr w:rsidR="00E57663" w:rsidRPr="006C355D" w14:paraId="4426AA4A" w14:textId="77777777" w:rsidTr="009535F5">
        <w:tc>
          <w:tcPr>
            <w:tcW w:w="2232" w:type="dxa"/>
          </w:tcPr>
          <w:p w14:paraId="0A371BB3"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31(3) – Retention of records</w:t>
            </w:r>
          </w:p>
        </w:tc>
        <w:tc>
          <w:tcPr>
            <w:tcW w:w="3150" w:type="dxa"/>
          </w:tcPr>
          <w:p w14:paraId="7F2E5F8A"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Operator must keep records in the English language</w:t>
            </w:r>
          </w:p>
        </w:tc>
        <w:tc>
          <w:tcPr>
            <w:tcW w:w="1774" w:type="dxa"/>
          </w:tcPr>
          <w:p w14:paraId="31143635"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10 penalty units</w:t>
            </w:r>
          </w:p>
        </w:tc>
        <w:tc>
          <w:tcPr>
            <w:tcW w:w="1774" w:type="dxa"/>
          </w:tcPr>
          <w:p w14:paraId="6F705981"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$1,652.20</w:t>
            </w:r>
          </w:p>
        </w:tc>
      </w:tr>
      <w:tr w:rsidR="00E57663" w:rsidRPr="006C355D" w14:paraId="290E5A34" w14:textId="77777777" w:rsidTr="009535F5">
        <w:tc>
          <w:tcPr>
            <w:tcW w:w="2232" w:type="dxa"/>
          </w:tcPr>
          <w:p w14:paraId="1A5FBF9D"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32(1) – Disclosure of records</w:t>
            </w:r>
          </w:p>
        </w:tc>
        <w:tc>
          <w:tcPr>
            <w:tcW w:w="3150" w:type="dxa"/>
          </w:tcPr>
          <w:p w14:paraId="66469EA2"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Accredited bus operator must not make a record of, disclose to any person, or make use of driver records except without consent or otherwise authorised or required</w:t>
            </w:r>
          </w:p>
        </w:tc>
        <w:tc>
          <w:tcPr>
            <w:tcW w:w="1774" w:type="dxa"/>
          </w:tcPr>
          <w:p w14:paraId="3E409A52"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20 penalty units</w:t>
            </w:r>
          </w:p>
        </w:tc>
        <w:tc>
          <w:tcPr>
            <w:tcW w:w="1774" w:type="dxa"/>
          </w:tcPr>
          <w:p w14:paraId="4F6D2417"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$3,304.4</w:t>
            </w:r>
          </w:p>
        </w:tc>
      </w:tr>
      <w:tr w:rsidR="00E57663" w:rsidRPr="006C355D" w14:paraId="6256D2DA" w14:textId="77777777" w:rsidTr="009535F5">
        <w:tc>
          <w:tcPr>
            <w:tcW w:w="2232" w:type="dxa"/>
          </w:tcPr>
          <w:p w14:paraId="26A73A2F"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39(1) – Bus incident investigation</w:t>
            </w:r>
          </w:p>
        </w:tc>
        <w:tc>
          <w:tcPr>
            <w:tcW w:w="3150" w:type="dxa"/>
          </w:tcPr>
          <w:p w14:paraId="786FE6E0"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Operator must comply with direction to undertake investigation into bus incident </w:t>
            </w:r>
          </w:p>
        </w:tc>
        <w:tc>
          <w:tcPr>
            <w:tcW w:w="1774" w:type="dxa"/>
          </w:tcPr>
          <w:p w14:paraId="77F91C5A"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2 penalty units </w:t>
            </w:r>
          </w:p>
        </w:tc>
        <w:tc>
          <w:tcPr>
            <w:tcW w:w="1774" w:type="dxa"/>
          </w:tcPr>
          <w:p w14:paraId="2AC1A800"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$330.44</w:t>
            </w:r>
          </w:p>
        </w:tc>
      </w:tr>
      <w:tr w:rsidR="00E57663" w:rsidRPr="006C355D" w14:paraId="3CE2A7C3" w14:textId="77777777" w:rsidTr="009535F5">
        <w:tc>
          <w:tcPr>
            <w:tcW w:w="2232" w:type="dxa"/>
          </w:tcPr>
          <w:p w14:paraId="37E3E0A5"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39(3) – Bus incident investigation</w:t>
            </w:r>
          </w:p>
        </w:tc>
        <w:tc>
          <w:tcPr>
            <w:tcW w:w="3150" w:type="dxa"/>
          </w:tcPr>
          <w:p w14:paraId="3C2DDF8D"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Operator must commence investigation within 7 days of direction </w:t>
            </w:r>
          </w:p>
        </w:tc>
        <w:tc>
          <w:tcPr>
            <w:tcW w:w="1774" w:type="dxa"/>
          </w:tcPr>
          <w:p w14:paraId="46E5F43F"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2 penalty units </w:t>
            </w:r>
          </w:p>
        </w:tc>
        <w:tc>
          <w:tcPr>
            <w:tcW w:w="1774" w:type="dxa"/>
          </w:tcPr>
          <w:p w14:paraId="7ED7EE6C"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$330.44</w:t>
            </w:r>
          </w:p>
        </w:tc>
      </w:tr>
      <w:tr w:rsidR="00E57663" w:rsidRPr="006C355D" w14:paraId="60740679" w14:textId="77777777" w:rsidTr="009535F5">
        <w:tc>
          <w:tcPr>
            <w:tcW w:w="2232" w:type="dxa"/>
          </w:tcPr>
          <w:p w14:paraId="5E4AA780"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Reg. 40(2) – Bus incident investigation report</w:t>
            </w:r>
          </w:p>
        </w:tc>
        <w:tc>
          <w:tcPr>
            <w:tcW w:w="3150" w:type="dxa"/>
          </w:tcPr>
          <w:p w14:paraId="7108B429"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Bus operator must provide investigation report to Safety Director within specified time </w:t>
            </w:r>
          </w:p>
        </w:tc>
        <w:tc>
          <w:tcPr>
            <w:tcW w:w="1774" w:type="dxa"/>
          </w:tcPr>
          <w:p w14:paraId="75F480DA"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 xml:space="preserve">5 penalty unit </w:t>
            </w:r>
          </w:p>
        </w:tc>
        <w:tc>
          <w:tcPr>
            <w:tcW w:w="1774" w:type="dxa"/>
          </w:tcPr>
          <w:p w14:paraId="4000240E" w14:textId="77777777" w:rsidR="007F0B10" w:rsidRPr="003C6441" w:rsidRDefault="007F0B10" w:rsidP="00D21044">
            <w:pPr>
              <w:pStyle w:val="ListParagraph"/>
              <w:spacing w:before="60" w:after="60"/>
              <w:ind w:left="0"/>
              <w:contextualSpacing w:val="0"/>
              <w:rPr>
                <w:rFonts w:ascii="Arial" w:hAnsi="Arial" w:cs="Arial"/>
                <w:color w:val="auto"/>
                <w:sz w:val="18"/>
                <w:szCs w:val="18"/>
              </w:rPr>
            </w:pPr>
            <w:r w:rsidRPr="003C6441">
              <w:rPr>
                <w:rFonts w:ascii="Arial" w:hAnsi="Arial" w:cs="Arial"/>
                <w:color w:val="auto"/>
                <w:sz w:val="18"/>
                <w:szCs w:val="18"/>
              </w:rPr>
              <w:t>$826.10</w:t>
            </w:r>
          </w:p>
        </w:tc>
      </w:tr>
    </w:tbl>
    <w:p w14:paraId="65495CB1" w14:textId="77777777" w:rsidR="007F0B10" w:rsidRDefault="007F0B10" w:rsidP="00796C72">
      <w:pPr>
        <w:pStyle w:val="ListBullet"/>
        <w:numPr>
          <w:ilvl w:val="0"/>
          <w:numId w:val="0"/>
        </w:numPr>
        <w:ind w:left="360" w:hanging="360"/>
      </w:pPr>
    </w:p>
    <w:p w14:paraId="7994B7AC" w14:textId="77777777" w:rsidR="001A706B" w:rsidRDefault="001A706B" w:rsidP="00AF1E95">
      <w:pPr>
        <w:pStyle w:val="Heading2"/>
      </w:pPr>
      <w:bookmarkStart w:id="987" w:name="_Toc509312018"/>
      <w:bookmarkStart w:id="988" w:name="_Toc32909870"/>
      <w:bookmarkStart w:id="989" w:name="_Ref505766958"/>
      <w:bookmarkStart w:id="990" w:name="_Toc45704399"/>
      <w:r>
        <w:lastRenderedPageBreak/>
        <w:t>Impact on small business</w:t>
      </w:r>
      <w:bookmarkEnd w:id="987"/>
      <w:bookmarkEnd w:id="988"/>
      <w:bookmarkEnd w:id="990"/>
      <w:r>
        <w:t xml:space="preserve"> </w:t>
      </w:r>
      <w:bookmarkEnd w:id="989"/>
    </w:p>
    <w:p w14:paraId="49854B56" w14:textId="0241AD21" w:rsidR="00197A2C" w:rsidRPr="0022044A" w:rsidRDefault="00197A2C" w:rsidP="0022044A">
      <w:r w:rsidRPr="0022044A">
        <w:t xml:space="preserve">The purpose of this section is to analyse the proposed </w:t>
      </w:r>
      <w:r w:rsidR="00865C84">
        <w:t>r</w:t>
      </w:r>
      <w:r w:rsidRPr="0022044A">
        <w:t xml:space="preserve">egulations and assess whether any elements of the proposed </w:t>
      </w:r>
      <w:r w:rsidR="00865C84">
        <w:t>r</w:t>
      </w:r>
      <w:r w:rsidRPr="0022044A">
        <w:t>egulations impose a disproportionate burden on small businesses operating in the commercial passenger vehicle industry.</w:t>
      </w:r>
    </w:p>
    <w:p w14:paraId="2F9F3931" w14:textId="77777777" w:rsidR="00890F5E" w:rsidRPr="00DE0B32" w:rsidRDefault="00890F5E" w:rsidP="00890F5E">
      <w:pPr>
        <w:pStyle w:val="Heading3"/>
        <w:tabs>
          <w:tab w:val="num" w:pos="567"/>
        </w:tabs>
        <w:spacing w:before="240" w:after="120"/>
        <w:ind w:left="567" w:hanging="567"/>
        <w:rPr>
          <w:rFonts w:ascii="Arial" w:hAnsi="Arial" w:cs="Arial"/>
        </w:rPr>
      </w:pPr>
      <w:bookmarkStart w:id="991" w:name="_Toc509312019"/>
      <w:bookmarkStart w:id="992" w:name="_Toc32909871"/>
      <w:bookmarkStart w:id="993" w:name="_Toc45704400"/>
      <w:r w:rsidRPr="00DE0B32">
        <w:rPr>
          <w:rFonts w:ascii="Arial" w:hAnsi="Arial" w:cs="Arial"/>
        </w:rPr>
        <w:t>Structure of the industry</w:t>
      </w:r>
      <w:bookmarkEnd w:id="991"/>
      <w:bookmarkEnd w:id="992"/>
      <w:bookmarkEnd w:id="993"/>
    </w:p>
    <w:p w14:paraId="0A61EAC4" w14:textId="10C1E983" w:rsidR="00890F5E" w:rsidRPr="0022044A" w:rsidRDefault="00890F5E" w:rsidP="0022044A">
      <w:r w:rsidRPr="0022044A">
        <w:t xml:space="preserve">The bus service industry </w:t>
      </w:r>
      <w:r w:rsidR="00631DD0">
        <w:t xml:space="preserve">for which these regulations apply </w:t>
      </w:r>
      <w:r w:rsidRPr="0022044A">
        <w:t>is made up of:</w:t>
      </w:r>
    </w:p>
    <w:p w14:paraId="1B4844FA" w14:textId="77777777" w:rsidR="0022044A" w:rsidRPr="00EC4633" w:rsidRDefault="0022044A" w:rsidP="00EC4633">
      <w:pPr>
        <w:pStyle w:val="ListParagraph"/>
        <w:numPr>
          <w:ilvl w:val="0"/>
          <w:numId w:val="34"/>
        </w:numPr>
        <w:rPr>
          <w:rFonts w:asciiTheme="minorHAnsi" w:hAnsiTheme="minorHAnsi" w:cstheme="minorHAnsi"/>
          <w:color w:val="auto"/>
          <w:sz w:val="20"/>
          <w:szCs w:val="20"/>
        </w:rPr>
      </w:pPr>
      <w:r w:rsidRPr="00EC4633">
        <w:rPr>
          <w:rFonts w:asciiTheme="minorHAnsi" w:hAnsiTheme="minorHAnsi" w:cstheme="minorHAnsi"/>
          <w:color w:val="auto"/>
          <w:sz w:val="20"/>
          <w:szCs w:val="20"/>
        </w:rPr>
        <w:t>accredited bus operators</w:t>
      </w:r>
    </w:p>
    <w:p w14:paraId="7FF60B15" w14:textId="43F4507A" w:rsidR="0022044A" w:rsidRPr="00EC4633" w:rsidRDefault="0022044A" w:rsidP="00EC4633">
      <w:pPr>
        <w:pStyle w:val="ListParagraph"/>
        <w:numPr>
          <w:ilvl w:val="0"/>
          <w:numId w:val="34"/>
        </w:numPr>
        <w:rPr>
          <w:rFonts w:asciiTheme="minorHAnsi" w:hAnsiTheme="minorHAnsi" w:cstheme="minorHAnsi"/>
          <w:color w:val="auto"/>
          <w:sz w:val="20"/>
          <w:szCs w:val="20"/>
        </w:rPr>
      </w:pPr>
      <w:r w:rsidRPr="00EC4633">
        <w:rPr>
          <w:rFonts w:asciiTheme="minorHAnsi" w:hAnsiTheme="minorHAnsi" w:cstheme="minorHAnsi"/>
          <w:color w:val="auto"/>
          <w:sz w:val="20"/>
          <w:szCs w:val="20"/>
        </w:rPr>
        <w:t>registered bus operators</w:t>
      </w:r>
      <w:r w:rsidR="002E5491" w:rsidRPr="00EC4633">
        <w:rPr>
          <w:rFonts w:asciiTheme="minorHAnsi" w:hAnsiTheme="minorHAnsi" w:cstheme="minorHAnsi"/>
          <w:color w:val="auto"/>
          <w:sz w:val="20"/>
          <w:szCs w:val="20"/>
        </w:rPr>
        <w:t>.</w:t>
      </w:r>
    </w:p>
    <w:p w14:paraId="290E1592" w14:textId="16284B5C" w:rsidR="00573B63" w:rsidRDefault="00890F5E" w:rsidP="0022044A">
      <w:r w:rsidRPr="0022044A">
        <w:t xml:space="preserve">Generally, </w:t>
      </w:r>
      <w:r w:rsidR="0022044A">
        <w:t>registered bus operators</w:t>
      </w:r>
      <w:r w:rsidR="003908BC">
        <w:t xml:space="preserve"> </w:t>
      </w:r>
      <w:r w:rsidRPr="0022044A">
        <w:t>are likely to be small businesse</w:t>
      </w:r>
      <w:r w:rsidR="00E4661C">
        <w:t>s such as community or not-for-profit b</w:t>
      </w:r>
      <w:r w:rsidR="00F117B9">
        <w:t>us</w:t>
      </w:r>
      <w:r w:rsidR="00E4661C">
        <w:t xml:space="preserve"> services,</w:t>
      </w:r>
      <w:r w:rsidR="00F117B9">
        <w:t xml:space="preserve"> hire and drive bus services</w:t>
      </w:r>
      <w:r w:rsidR="00E4661C">
        <w:t xml:space="preserve"> </w:t>
      </w:r>
      <w:r w:rsidR="00946363">
        <w:t xml:space="preserve">and </w:t>
      </w:r>
      <w:r w:rsidR="00E4661C">
        <w:t xml:space="preserve">commercial </w:t>
      </w:r>
      <w:r w:rsidR="00946363">
        <w:t xml:space="preserve">or courtesy </w:t>
      </w:r>
      <w:r w:rsidR="00E4661C">
        <w:t>mini-buses</w:t>
      </w:r>
      <w:r w:rsidR="00946363">
        <w:t>.</w:t>
      </w:r>
    </w:p>
    <w:p w14:paraId="4576FA56" w14:textId="77777777" w:rsidR="00890F5E" w:rsidRPr="00DE0B32" w:rsidRDefault="00890F5E" w:rsidP="00890F5E">
      <w:pPr>
        <w:pStyle w:val="Heading3"/>
        <w:tabs>
          <w:tab w:val="num" w:pos="567"/>
        </w:tabs>
        <w:spacing w:before="240" w:after="120"/>
        <w:ind w:left="567" w:hanging="567"/>
        <w:rPr>
          <w:rFonts w:ascii="Arial" w:hAnsi="Arial" w:cs="Arial"/>
        </w:rPr>
      </w:pPr>
      <w:bookmarkStart w:id="994" w:name="_Toc509312020"/>
      <w:bookmarkStart w:id="995" w:name="_Toc32909872"/>
      <w:bookmarkStart w:id="996" w:name="_Toc45704401"/>
      <w:r w:rsidRPr="00DE0B32">
        <w:rPr>
          <w:rFonts w:ascii="Arial" w:hAnsi="Arial" w:cs="Arial"/>
        </w:rPr>
        <w:t>Which requirements have potential effects on small businesses?</w:t>
      </w:r>
      <w:bookmarkEnd w:id="994"/>
      <w:bookmarkEnd w:id="995"/>
      <w:bookmarkEnd w:id="996"/>
    </w:p>
    <w:p w14:paraId="55B58D72" w14:textId="22DFCA49" w:rsidR="00632587" w:rsidRPr="00632587" w:rsidRDefault="00632587" w:rsidP="00632587">
      <w:r w:rsidRPr="00632587">
        <w:t xml:space="preserve">Of the requirements imposed by the proposed </w:t>
      </w:r>
      <w:r w:rsidR="002E5C31">
        <w:t>r</w:t>
      </w:r>
      <w:r w:rsidRPr="00632587">
        <w:t>egulations, the following have</w:t>
      </w:r>
      <w:r w:rsidR="00676635">
        <w:t xml:space="preserve"> the most </w:t>
      </w:r>
      <w:r w:rsidRPr="00632587">
        <w:t>significant impact on small businesses</w:t>
      </w:r>
      <w:r>
        <w:t>:</w:t>
      </w:r>
    </w:p>
    <w:p w14:paraId="1C200E88" w14:textId="359CBA86" w:rsidR="00BA47FA" w:rsidRPr="00EC4633" w:rsidRDefault="00015BB1" w:rsidP="00EC4633">
      <w:pPr>
        <w:pStyle w:val="ListParagraph"/>
        <w:numPr>
          <w:ilvl w:val="0"/>
          <w:numId w:val="34"/>
        </w:numPr>
        <w:rPr>
          <w:rFonts w:asciiTheme="minorHAnsi" w:hAnsiTheme="minorHAnsi" w:cstheme="minorHAnsi"/>
          <w:color w:val="auto"/>
          <w:sz w:val="20"/>
          <w:szCs w:val="20"/>
        </w:rPr>
      </w:pPr>
      <w:r w:rsidRPr="00EC4633">
        <w:rPr>
          <w:rFonts w:asciiTheme="minorHAnsi" w:hAnsiTheme="minorHAnsi" w:cstheme="minorHAnsi"/>
          <w:color w:val="auto"/>
          <w:sz w:val="20"/>
          <w:szCs w:val="20"/>
        </w:rPr>
        <w:t>s</w:t>
      </w:r>
      <w:r w:rsidR="001C5DE0" w:rsidRPr="00EC4633">
        <w:rPr>
          <w:rFonts w:asciiTheme="minorHAnsi" w:hAnsiTheme="minorHAnsi" w:cstheme="minorHAnsi"/>
          <w:color w:val="auto"/>
          <w:sz w:val="20"/>
          <w:szCs w:val="20"/>
        </w:rPr>
        <w:t xml:space="preserve">afety </w:t>
      </w:r>
      <w:r w:rsidR="00BA47FA" w:rsidRPr="00EC4633">
        <w:rPr>
          <w:rFonts w:asciiTheme="minorHAnsi" w:hAnsiTheme="minorHAnsi" w:cstheme="minorHAnsi"/>
          <w:color w:val="auto"/>
          <w:sz w:val="20"/>
          <w:szCs w:val="20"/>
        </w:rPr>
        <w:t>inspections</w:t>
      </w:r>
    </w:p>
    <w:p w14:paraId="45564314" w14:textId="57C4DBDE" w:rsidR="00632587" w:rsidRPr="00EC4633" w:rsidRDefault="009832BF" w:rsidP="00EC4633">
      <w:pPr>
        <w:pStyle w:val="ListParagraph"/>
        <w:numPr>
          <w:ilvl w:val="0"/>
          <w:numId w:val="34"/>
        </w:numPr>
        <w:rPr>
          <w:rFonts w:asciiTheme="minorHAnsi" w:hAnsiTheme="minorHAnsi" w:cstheme="minorHAnsi"/>
          <w:color w:val="auto"/>
          <w:sz w:val="20"/>
          <w:szCs w:val="20"/>
        </w:rPr>
      </w:pPr>
      <w:r w:rsidRPr="00EC4633">
        <w:rPr>
          <w:rFonts w:asciiTheme="minorHAnsi" w:hAnsiTheme="minorHAnsi" w:cstheme="minorHAnsi"/>
          <w:color w:val="auto"/>
          <w:sz w:val="20"/>
          <w:szCs w:val="20"/>
        </w:rPr>
        <w:t>notif</w:t>
      </w:r>
      <w:r w:rsidR="00A85B29" w:rsidRPr="00EC4633">
        <w:rPr>
          <w:rFonts w:asciiTheme="minorHAnsi" w:hAnsiTheme="minorHAnsi" w:cstheme="minorHAnsi"/>
          <w:color w:val="auto"/>
          <w:sz w:val="20"/>
          <w:szCs w:val="20"/>
        </w:rPr>
        <w:t xml:space="preserve">ying </w:t>
      </w:r>
      <w:r w:rsidR="00F158D7" w:rsidRPr="00EC4633">
        <w:rPr>
          <w:rFonts w:asciiTheme="minorHAnsi" w:hAnsiTheme="minorHAnsi" w:cstheme="minorHAnsi"/>
          <w:color w:val="auto"/>
          <w:sz w:val="20"/>
          <w:szCs w:val="20"/>
        </w:rPr>
        <w:t xml:space="preserve">prescribed </w:t>
      </w:r>
      <w:r w:rsidR="00632587" w:rsidRPr="00EC4633">
        <w:rPr>
          <w:rFonts w:asciiTheme="minorHAnsi" w:hAnsiTheme="minorHAnsi" w:cstheme="minorHAnsi"/>
          <w:color w:val="auto"/>
          <w:sz w:val="20"/>
          <w:szCs w:val="20"/>
        </w:rPr>
        <w:t xml:space="preserve">incidents to the </w:t>
      </w:r>
      <w:r w:rsidR="00B14BE8" w:rsidRPr="00EC4633">
        <w:rPr>
          <w:rFonts w:asciiTheme="minorHAnsi" w:hAnsiTheme="minorHAnsi" w:cstheme="minorHAnsi"/>
          <w:color w:val="auto"/>
          <w:sz w:val="20"/>
          <w:szCs w:val="20"/>
        </w:rPr>
        <w:t>Safety Director</w:t>
      </w:r>
      <w:r w:rsidR="002E5C31" w:rsidRPr="00EC4633">
        <w:rPr>
          <w:rFonts w:asciiTheme="minorHAnsi" w:hAnsiTheme="minorHAnsi" w:cstheme="minorHAnsi"/>
          <w:color w:val="auto"/>
          <w:sz w:val="20"/>
          <w:szCs w:val="20"/>
        </w:rPr>
        <w:t>.</w:t>
      </w:r>
    </w:p>
    <w:p w14:paraId="74DB2C3D" w14:textId="02B7D224" w:rsidR="00632587" w:rsidRDefault="00632587" w:rsidP="00632587">
      <w:pPr>
        <w:pStyle w:val="ListBullet"/>
        <w:numPr>
          <w:ilvl w:val="0"/>
          <w:numId w:val="0"/>
        </w:numPr>
      </w:pPr>
    </w:p>
    <w:p w14:paraId="610560AE" w14:textId="3BE6E316" w:rsidR="00632587" w:rsidRDefault="00632587" w:rsidP="00632587">
      <w:pPr>
        <w:pStyle w:val="ListBullet"/>
        <w:numPr>
          <w:ilvl w:val="0"/>
          <w:numId w:val="0"/>
        </w:numPr>
      </w:pPr>
      <w:r>
        <w:t>Some</w:t>
      </w:r>
      <w:r w:rsidR="00C60860">
        <w:t xml:space="preserve"> </w:t>
      </w:r>
      <w:r>
        <w:t>requirements</w:t>
      </w:r>
      <w:r w:rsidR="00A217F3">
        <w:t xml:space="preserve"> that impose a significant burden</w:t>
      </w:r>
      <w:r w:rsidR="00750629">
        <w:t xml:space="preserve"> </w:t>
      </w:r>
      <w:r w:rsidR="003B4BE2">
        <w:t>are only imposed on accredited bus operators</w:t>
      </w:r>
      <w:r w:rsidR="00464E73">
        <w:t xml:space="preserve">. </w:t>
      </w:r>
      <w:r w:rsidR="003B4BE2">
        <w:t>This includes requirements to establish and maintain a</w:t>
      </w:r>
      <w:r w:rsidR="0067571D">
        <w:t>n</w:t>
      </w:r>
      <w:r w:rsidR="003B4BE2">
        <w:t xml:space="preserve"> MIS and MMS</w:t>
      </w:r>
      <w:r w:rsidR="00816B65">
        <w:t>.</w:t>
      </w:r>
      <w:r w:rsidR="00464E73" w:rsidRPr="00464E73">
        <w:t xml:space="preserve"> </w:t>
      </w:r>
      <w:r w:rsidR="00464E73">
        <w:t xml:space="preserve">Accredited bus operators are generally not considered to be a small business, and therefore the impact of these requirements will not be considered further in this section. </w:t>
      </w:r>
    </w:p>
    <w:p w14:paraId="5D321A0B" w14:textId="77777777" w:rsidR="00FF4DC9" w:rsidRPr="006779A1" w:rsidRDefault="00FF4DC9" w:rsidP="00FF4DC9">
      <w:pPr>
        <w:pStyle w:val="Heading3"/>
        <w:tabs>
          <w:tab w:val="num" w:pos="567"/>
        </w:tabs>
        <w:spacing w:before="240" w:after="120"/>
        <w:ind w:left="567" w:hanging="567"/>
      </w:pPr>
      <w:bookmarkStart w:id="997" w:name="_Toc509312021"/>
      <w:bookmarkStart w:id="998" w:name="_Toc32909873"/>
      <w:bookmarkStart w:id="999" w:name="_Toc45704402"/>
      <w:r w:rsidRPr="00FF4DC9">
        <w:rPr>
          <w:rFonts w:ascii="Arial" w:hAnsi="Arial" w:cs="Arial"/>
        </w:rPr>
        <w:t>Do the proposed Regulations place a disproportionate</w:t>
      </w:r>
      <w:r w:rsidRPr="006779A1">
        <w:t xml:space="preserve"> burden on small businesses? How is this mitigated?</w:t>
      </w:r>
      <w:bookmarkEnd w:id="997"/>
      <w:bookmarkEnd w:id="998"/>
      <w:bookmarkEnd w:id="999"/>
    </w:p>
    <w:p w14:paraId="661DEDC9" w14:textId="77777777" w:rsidR="00FF4DC9" w:rsidRPr="006A5286" w:rsidRDefault="00FF4DC9" w:rsidP="006A5286">
      <w:r w:rsidRPr="006A5286">
        <w:t>Small businesses may be disproportionately affected by regulations, especially where the scale of operations in the business means that small businesses:</w:t>
      </w:r>
    </w:p>
    <w:p w14:paraId="25383766" w14:textId="77777777" w:rsidR="00FF4DC9" w:rsidRPr="00EC4633" w:rsidRDefault="00FF4DC9" w:rsidP="00EC4633">
      <w:pPr>
        <w:pStyle w:val="ListParagraph"/>
        <w:numPr>
          <w:ilvl w:val="0"/>
          <w:numId w:val="34"/>
        </w:numPr>
        <w:rPr>
          <w:rFonts w:asciiTheme="minorHAnsi" w:hAnsiTheme="minorHAnsi" w:cstheme="minorHAnsi"/>
          <w:color w:val="auto"/>
          <w:sz w:val="20"/>
          <w:szCs w:val="20"/>
        </w:rPr>
      </w:pPr>
      <w:r w:rsidRPr="00EC4633">
        <w:rPr>
          <w:rFonts w:asciiTheme="minorHAnsi" w:hAnsiTheme="minorHAnsi" w:cstheme="minorHAnsi"/>
          <w:color w:val="auto"/>
          <w:sz w:val="20"/>
          <w:szCs w:val="20"/>
        </w:rPr>
        <w:t xml:space="preserve">are unable to sufficiently interpret regulatory requirements </w:t>
      </w:r>
    </w:p>
    <w:p w14:paraId="78B215CC" w14:textId="77777777" w:rsidR="00FF4DC9" w:rsidRPr="00EC4633" w:rsidRDefault="00FF4DC9" w:rsidP="00EC4633">
      <w:pPr>
        <w:pStyle w:val="ListParagraph"/>
        <w:numPr>
          <w:ilvl w:val="0"/>
          <w:numId w:val="34"/>
        </w:numPr>
        <w:rPr>
          <w:rFonts w:asciiTheme="minorHAnsi" w:hAnsiTheme="minorHAnsi" w:cstheme="minorHAnsi"/>
          <w:color w:val="auto"/>
          <w:sz w:val="20"/>
          <w:szCs w:val="20"/>
        </w:rPr>
      </w:pPr>
      <w:r w:rsidRPr="00EC4633">
        <w:rPr>
          <w:rFonts w:asciiTheme="minorHAnsi" w:hAnsiTheme="minorHAnsi" w:cstheme="minorHAnsi"/>
          <w:color w:val="auto"/>
          <w:sz w:val="20"/>
          <w:szCs w:val="20"/>
        </w:rPr>
        <w:t>find that the resources required to comply with regulatory requirements are higher relative to the size of their operations and/or cost/revenue base</w:t>
      </w:r>
    </w:p>
    <w:p w14:paraId="62FB39D4" w14:textId="7076F2BB" w:rsidR="00FF4DC9" w:rsidRPr="00EC4633" w:rsidRDefault="00FF4DC9" w:rsidP="00EC4633">
      <w:pPr>
        <w:pStyle w:val="ListParagraph"/>
        <w:numPr>
          <w:ilvl w:val="0"/>
          <w:numId w:val="34"/>
        </w:numPr>
        <w:rPr>
          <w:rFonts w:asciiTheme="minorHAnsi" w:hAnsiTheme="minorHAnsi" w:cstheme="minorHAnsi"/>
          <w:color w:val="auto"/>
          <w:sz w:val="20"/>
          <w:szCs w:val="20"/>
        </w:rPr>
      </w:pPr>
      <w:r w:rsidRPr="00EC4633">
        <w:rPr>
          <w:rFonts w:asciiTheme="minorHAnsi" w:hAnsiTheme="minorHAnsi" w:cstheme="minorHAnsi"/>
          <w:color w:val="auto"/>
          <w:sz w:val="20"/>
          <w:szCs w:val="20"/>
        </w:rPr>
        <w:t>are less able to keep pace with regulatory change.</w:t>
      </w:r>
    </w:p>
    <w:p w14:paraId="332EB520" w14:textId="73A55887" w:rsidR="00E70438" w:rsidRDefault="006A5286" w:rsidP="006A5286">
      <w:r>
        <w:t>DoT</w:t>
      </w:r>
      <w:r w:rsidR="00FF4DC9" w:rsidRPr="006A5286">
        <w:t xml:space="preserve"> has</w:t>
      </w:r>
      <w:r w:rsidR="007F7E01">
        <w:t xml:space="preserve"> considered the impact </w:t>
      </w:r>
      <w:r w:rsidR="00AE1798">
        <w:t xml:space="preserve">of the proposed </w:t>
      </w:r>
      <w:r w:rsidR="0067571D">
        <w:t>r</w:t>
      </w:r>
      <w:r w:rsidR="00AE1798">
        <w:t xml:space="preserve">egulations </w:t>
      </w:r>
      <w:r w:rsidR="001B2CCA">
        <w:t xml:space="preserve">on small business when reviewing and designing </w:t>
      </w:r>
      <w:r w:rsidR="00E70438">
        <w:t xml:space="preserve">the proposed </w:t>
      </w:r>
      <w:r w:rsidR="0067571D">
        <w:t>r</w:t>
      </w:r>
      <w:r w:rsidR="00E70438">
        <w:t xml:space="preserve">egulations. </w:t>
      </w:r>
    </w:p>
    <w:p w14:paraId="775C0D70" w14:textId="77777777" w:rsidR="00017F3F" w:rsidRDefault="00E70438" w:rsidP="006A5286">
      <w:r>
        <w:t xml:space="preserve">As indicated in previous sections of this RIS, regulatory requirements under the Bus Safety Act and regulations are structured based on whether a bus operator is accredited </w:t>
      </w:r>
      <w:r w:rsidR="002C3AF0">
        <w:t xml:space="preserve">or registered. More regulatory requirements are imposed on accredited operators. </w:t>
      </w:r>
    </w:p>
    <w:p w14:paraId="5F3CFD19" w14:textId="1C6BFBA7" w:rsidR="00017F3F" w:rsidRDefault="00772799" w:rsidP="006A5286">
      <w:r>
        <w:t xml:space="preserve">DoT </w:t>
      </w:r>
      <w:r w:rsidR="00414D70">
        <w:t xml:space="preserve">notes </w:t>
      </w:r>
      <w:r>
        <w:t xml:space="preserve">that </w:t>
      </w:r>
      <w:r w:rsidR="00BD14F6">
        <w:t xml:space="preserve">any </w:t>
      </w:r>
      <w:r w:rsidR="00287AEE">
        <w:t xml:space="preserve">registered operators who </w:t>
      </w:r>
      <w:r>
        <w:t xml:space="preserve">are </w:t>
      </w:r>
      <w:r w:rsidR="00287AEE">
        <w:t>also small business</w:t>
      </w:r>
      <w:r>
        <w:t>es</w:t>
      </w:r>
      <w:r w:rsidR="00287AEE">
        <w:t>, ha</w:t>
      </w:r>
      <w:r w:rsidR="001A06F1">
        <w:t>ve</w:t>
      </w:r>
      <w:r w:rsidR="00287AEE">
        <w:t xml:space="preserve"> </w:t>
      </w:r>
      <w:r w:rsidR="004348B4">
        <w:t xml:space="preserve">a lower number of </w:t>
      </w:r>
      <w:r w:rsidR="0017584D">
        <w:t>regulatory</w:t>
      </w:r>
      <w:r w:rsidR="004348B4">
        <w:t xml:space="preserve"> requirement</w:t>
      </w:r>
      <w:r w:rsidR="0017584D">
        <w:t>s to comply with.</w:t>
      </w:r>
      <w:r w:rsidR="00924C05">
        <w:t xml:space="preserve"> In addition, the existing regulatory requirements that are impose</w:t>
      </w:r>
      <w:r>
        <w:t>d</w:t>
      </w:r>
      <w:r w:rsidR="00924C05">
        <w:t xml:space="preserve"> on registered operators, such as an annual roadworthy inspection and incident notification</w:t>
      </w:r>
      <w:r w:rsidR="0067571D">
        <w:t>,</w:t>
      </w:r>
      <w:r w:rsidR="00924C05">
        <w:t xml:space="preserve"> </w:t>
      </w:r>
      <w:r w:rsidR="00C5448C">
        <w:t xml:space="preserve">are prescriptive requirements which do not require </w:t>
      </w:r>
      <w:r w:rsidR="00E47797">
        <w:t xml:space="preserve">significant </w:t>
      </w:r>
      <w:r w:rsidR="00C5448C">
        <w:t>interpretation</w:t>
      </w:r>
      <w:r w:rsidR="00A07797">
        <w:t xml:space="preserve">. </w:t>
      </w:r>
    </w:p>
    <w:p w14:paraId="4133C45D" w14:textId="294234BF" w:rsidR="00E70438" w:rsidRDefault="00E47797" w:rsidP="006A5286">
      <w:r>
        <w:t xml:space="preserve">As part of this RIS, </w:t>
      </w:r>
      <w:r w:rsidR="0017584D">
        <w:t xml:space="preserve">DoT is </w:t>
      </w:r>
      <w:r>
        <w:t xml:space="preserve">also </w:t>
      </w:r>
      <w:r w:rsidR="0017584D">
        <w:t xml:space="preserve">recommending and seeking feedback on some new requirements </w:t>
      </w:r>
      <w:r>
        <w:t>to be imposed on registered oper</w:t>
      </w:r>
      <w:r w:rsidR="009F608C">
        <w:t>a</w:t>
      </w:r>
      <w:r>
        <w:t>tors</w:t>
      </w:r>
      <w:r w:rsidR="00A34AC6">
        <w:t>. These requirements are</w:t>
      </w:r>
      <w:r w:rsidR="006006B3">
        <w:t xml:space="preserve"> displaying a sign on the bus with the registration number of the operator and </w:t>
      </w:r>
      <w:r w:rsidR="00017F3F">
        <w:t xml:space="preserve">keeping some records in relation to the operator’s business and operations. </w:t>
      </w:r>
      <w:r w:rsidR="00490DEF">
        <w:t xml:space="preserve">DoT </w:t>
      </w:r>
      <w:r w:rsidR="009B46E7">
        <w:t>has considered what the minimum regulatory obligations</w:t>
      </w:r>
      <w:r w:rsidR="0067571D">
        <w:t xml:space="preserve"> is</w:t>
      </w:r>
      <w:r w:rsidR="009B46E7">
        <w:t xml:space="preserve"> ne</w:t>
      </w:r>
      <w:r w:rsidR="00216CC0">
        <w:t xml:space="preserve">cessary to achieve the objectives (e.g. improved compliance monitoring and enforcement) and </w:t>
      </w:r>
      <w:r w:rsidR="00490DEF">
        <w:t xml:space="preserve">does not expect that these requirements </w:t>
      </w:r>
      <w:r w:rsidR="00C54B20">
        <w:t>to have a disproportionate effect on small businesses,</w:t>
      </w:r>
      <w:r w:rsidR="00875705">
        <w:t xml:space="preserve"> For example, registered operators </w:t>
      </w:r>
      <w:r w:rsidR="000232B3">
        <w:t xml:space="preserve">are likely to already keep some records in relation to their </w:t>
      </w:r>
      <w:r w:rsidR="00B90BBE">
        <w:t>drivers and vehicles used to provide bus services.</w:t>
      </w:r>
      <w:r w:rsidR="00A24B54">
        <w:t xml:space="preserve"> While there is a compliance burden</w:t>
      </w:r>
      <w:r w:rsidR="00A92A7C">
        <w:t xml:space="preserve">, </w:t>
      </w:r>
      <w:r w:rsidR="002A4638">
        <w:t xml:space="preserve">DoT does not expect </w:t>
      </w:r>
      <w:r w:rsidR="00A92A7C">
        <w:t xml:space="preserve">small businesses </w:t>
      </w:r>
      <w:r w:rsidR="002A4638">
        <w:t>to be</w:t>
      </w:r>
      <w:r w:rsidR="00A92A7C">
        <w:t xml:space="preserve"> dis</w:t>
      </w:r>
      <w:r w:rsidR="00F75D7D">
        <w:t>proportionately affected.</w:t>
      </w:r>
    </w:p>
    <w:p w14:paraId="38B4EB98" w14:textId="0C448F9D" w:rsidR="009F608C" w:rsidRDefault="00F75D7D" w:rsidP="006A5286">
      <w:r>
        <w:lastRenderedPageBreak/>
        <w:t>Some</w:t>
      </w:r>
      <w:r w:rsidR="00875705">
        <w:t xml:space="preserve"> accredited operators may also be small businesses</w:t>
      </w:r>
      <w:r w:rsidR="000232B3">
        <w:t xml:space="preserve">. </w:t>
      </w:r>
      <w:r w:rsidR="001B2592">
        <w:t xml:space="preserve">In </w:t>
      </w:r>
      <w:r w:rsidR="008E188F">
        <w:t>general,</w:t>
      </w:r>
      <w:r w:rsidR="001B2592">
        <w:t xml:space="preserve"> there are more </w:t>
      </w:r>
      <w:r w:rsidR="0042716E">
        <w:t xml:space="preserve">obligations imposed </w:t>
      </w:r>
      <w:r w:rsidR="008169FF">
        <w:t xml:space="preserve">on accredited operators and some of these obligations </w:t>
      </w:r>
      <w:r w:rsidR="008946BF">
        <w:t xml:space="preserve">are less prescriptive and require the operator </w:t>
      </w:r>
      <w:r w:rsidR="00AD20E8">
        <w:t>to implement systems, procedures and</w:t>
      </w:r>
      <w:r w:rsidR="00DA1A26">
        <w:t>/or</w:t>
      </w:r>
      <w:r w:rsidR="00AD20E8">
        <w:t xml:space="preserve"> processes. </w:t>
      </w:r>
      <w:r w:rsidR="0030558D">
        <w:t xml:space="preserve">Such requirements </w:t>
      </w:r>
      <w:r w:rsidR="003D2CD5">
        <w:t>are more complex</w:t>
      </w:r>
      <w:r w:rsidR="00862B55">
        <w:t xml:space="preserve"> and require greater interpretation.</w:t>
      </w:r>
      <w:r w:rsidR="003D2CD5">
        <w:t xml:space="preserve"> </w:t>
      </w:r>
      <w:r w:rsidR="00AD20E8">
        <w:t xml:space="preserve">Accordingly, </w:t>
      </w:r>
      <w:r w:rsidR="0030558D">
        <w:t>it may be more difficult for operators</w:t>
      </w:r>
      <w:r w:rsidR="00862B55">
        <w:t xml:space="preserve"> to c</w:t>
      </w:r>
      <w:r w:rsidR="00123FD9">
        <w:t>omply. The purpose</w:t>
      </w:r>
      <w:r w:rsidR="005078AD">
        <w:t xml:space="preserve"> of </w:t>
      </w:r>
      <w:r w:rsidR="00A25C37">
        <w:t>not being prescriptive is</w:t>
      </w:r>
      <w:r w:rsidR="0067571D">
        <w:t>,</w:t>
      </w:r>
      <w:r w:rsidR="00A25C37">
        <w:t xml:space="preserve"> in part</w:t>
      </w:r>
      <w:r w:rsidR="0067571D">
        <w:t>,</w:t>
      </w:r>
      <w:r w:rsidR="00A25C37">
        <w:t xml:space="preserve"> so that the complexity of systems, processes and procedures scale with the complexity of operations and </w:t>
      </w:r>
      <w:r w:rsidR="006A0914">
        <w:t>the nature of safety risks that must be managed.</w:t>
      </w:r>
      <w:r w:rsidR="00865269">
        <w:t xml:space="preserve"> </w:t>
      </w:r>
      <w:r w:rsidR="00CD5877">
        <w:t xml:space="preserve">The primary obligations </w:t>
      </w:r>
      <w:r w:rsidR="00716211">
        <w:t xml:space="preserve">of </w:t>
      </w:r>
      <w:r w:rsidR="0067571D">
        <w:t>this</w:t>
      </w:r>
      <w:r w:rsidR="00716211">
        <w:t xml:space="preserve"> nature</w:t>
      </w:r>
      <w:r w:rsidR="00CD5877">
        <w:t xml:space="preserve"> </w:t>
      </w:r>
      <w:r w:rsidR="00E95EFB">
        <w:t>are the requirements to implement a</w:t>
      </w:r>
      <w:r w:rsidR="0067571D">
        <w:t>n M</w:t>
      </w:r>
      <w:r w:rsidR="00072CD7">
        <w:t>I</w:t>
      </w:r>
      <w:r w:rsidR="0067571D">
        <w:t>S and M</w:t>
      </w:r>
      <w:r w:rsidR="00072CD7">
        <w:t>M</w:t>
      </w:r>
      <w:r w:rsidR="0067571D">
        <w:t>S</w:t>
      </w:r>
      <w:r w:rsidR="002F5810">
        <w:t>.</w:t>
      </w:r>
      <w:r w:rsidR="00865269">
        <w:t xml:space="preserve"> DoT notes that these </w:t>
      </w:r>
      <w:r w:rsidR="0067571D">
        <w:t xml:space="preserve">proposed </w:t>
      </w:r>
      <w:r w:rsidR="00865269">
        <w:t xml:space="preserve">regulations are also in the current </w:t>
      </w:r>
      <w:r w:rsidR="00973073">
        <w:t>Regulations</w:t>
      </w:r>
      <w:r w:rsidR="00397D1E">
        <w:t>. T</w:t>
      </w:r>
      <w:r w:rsidR="00973073">
        <w:t xml:space="preserve">o ensure that operators </w:t>
      </w:r>
      <w:r w:rsidR="00C75766">
        <w:t xml:space="preserve">are able to understand their obligations, TSV has prepared guidance materials such as factsheets, case studies, </w:t>
      </w:r>
      <w:r w:rsidR="008C54D8">
        <w:t>and examples</w:t>
      </w:r>
      <w:r w:rsidR="001B6DD9">
        <w:t xml:space="preserve"> of systems</w:t>
      </w:r>
      <w:r w:rsidR="00A32E6B">
        <w:t xml:space="preserve">. </w:t>
      </w:r>
    </w:p>
    <w:p w14:paraId="3BCF24B4" w14:textId="762AAF6D" w:rsidR="00B90BBE" w:rsidRDefault="00B90BBE" w:rsidP="006A5286">
      <w:r>
        <w:t xml:space="preserve">For all operators, TSV also has a role in ensuring that </w:t>
      </w:r>
      <w:r w:rsidR="0049366B">
        <w:t xml:space="preserve">any operator is able to understand </w:t>
      </w:r>
      <w:r w:rsidR="00E42814">
        <w:t>and comply with regulatory obligations.</w:t>
      </w:r>
      <w:r w:rsidR="003A1286">
        <w:t xml:space="preserve"> Accordingly, </w:t>
      </w:r>
      <w:r w:rsidR="00C65016">
        <w:t xml:space="preserve">TSV can take steps to make it easier for operators to comply. This includes </w:t>
      </w:r>
      <w:r w:rsidR="003B0CFE">
        <w:t>preparing and disseminating guidance material</w:t>
      </w:r>
      <w:r w:rsidR="005F0D44">
        <w:t xml:space="preserve"> or </w:t>
      </w:r>
      <w:r w:rsidR="009A037D">
        <w:t xml:space="preserve">taking advantage of technology and </w:t>
      </w:r>
      <w:r w:rsidR="003B0CFE">
        <w:t>IT s</w:t>
      </w:r>
      <w:r w:rsidR="009A037D">
        <w:t xml:space="preserve">ystems so that </w:t>
      </w:r>
      <w:r w:rsidR="000D64DE">
        <w:t xml:space="preserve">it is faster and simpler for </w:t>
      </w:r>
      <w:r w:rsidR="00AD36D5">
        <w:t xml:space="preserve">operators to submit information to the regulator. These measures will also assist </w:t>
      </w:r>
      <w:r w:rsidR="00AE0B50">
        <w:t>small bus</w:t>
      </w:r>
      <w:r w:rsidR="003B33CC">
        <w:t>inesses.</w:t>
      </w:r>
    </w:p>
    <w:p w14:paraId="5DA5E10F" w14:textId="77777777" w:rsidR="00FF4DC9" w:rsidRDefault="00FF4DC9" w:rsidP="00AF1E95">
      <w:pPr>
        <w:pStyle w:val="Heading2"/>
      </w:pPr>
      <w:bookmarkStart w:id="1000" w:name="_Toc503979989"/>
      <w:bookmarkStart w:id="1001" w:name="_Toc503979990"/>
      <w:bookmarkStart w:id="1002" w:name="_Toc509312022"/>
      <w:bookmarkStart w:id="1003" w:name="_Toc32909874"/>
      <w:bookmarkStart w:id="1004" w:name="_Toc45704403"/>
      <w:bookmarkEnd w:id="1000"/>
      <w:bookmarkEnd w:id="1001"/>
      <w:r>
        <w:t>Statement of compliance with National Competition Policy</w:t>
      </w:r>
      <w:bookmarkEnd w:id="1002"/>
      <w:bookmarkEnd w:id="1003"/>
      <w:bookmarkEnd w:id="1004"/>
      <w:r>
        <w:t xml:space="preserve"> </w:t>
      </w:r>
    </w:p>
    <w:p w14:paraId="3FB7ED5E" w14:textId="77777777" w:rsidR="00FF4DC9" w:rsidRPr="00FC78A1" w:rsidRDefault="00FF4DC9" w:rsidP="00FF4DC9">
      <w:pPr>
        <w:pStyle w:val="Heading3"/>
        <w:tabs>
          <w:tab w:val="num" w:pos="567"/>
        </w:tabs>
        <w:spacing w:before="240" w:after="120"/>
        <w:ind w:left="567" w:hanging="567"/>
      </w:pPr>
      <w:bookmarkStart w:id="1005" w:name="_Toc509312023"/>
      <w:bookmarkStart w:id="1006" w:name="_Toc32909875"/>
      <w:bookmarkStart w:id="1007" w:name="_Toc45704404"/>
      <w:r w:rsidRPr="00FC78A1">
        <w:t>Background</w:t>
      </w:r>
      <w:bookmarkEnd w:id="1005"/>
      <w:bookmarkEnd w:id="1006"/>
      <w:bookmarkEnd w:id="1007"/>
    </w:p>
    <w:p w14:paraId="0E19FEBA" w14:textId="6A151D94" w:rsidR="00FF4DC9" w:rsidRDefault="00FF4DC9" w:rsidP="00164E85">
      <w:r>
        <w:t>The National Competition Policy agreements set out specific requirements arising out of new legislation adopted by jurisdictions which are party to those agreements. Clause 5(1) of the Competition Principles Agreement sets out the basic principle which must be applied to both existing legislation</w:t>
      </w:r>
      <w:r w:rsidR="009243EB">
        <w:t xml:space="preserve"> </w:t>
      </w:r>
      <w:r>
        <w:t xml:space="preserve">under the legislative review process, and to proposed legislation: </w:t>
      </w:r>
    </w:p>
    <w:p w14:paraId="164DD54D" w14:textId="77777777" w:rsidR="00FF4DC9" w:rsidRPr="00164E85" w:rsidRDefault="00FF4DC9" w:rsidP="00164E85">
      <w:pPr>
        <w:ind w:left="720"/>
        <w:rPr>
          <w:i/>
        </w:rPr>
      </w:pPr>
      <w:r w:rsidRPr="00164E85">
        <w:rPr>
          <w:i/>
        </w:rPr>
        <w:t xml:space="preserve">The guiding principle is that legislation (including Acts, enactments, Ordinances or Regulations) should not restrict competition unless it can be demonstrated that: </w:t>
      </w:r>
    </w:p>
    <w:p w14:paraId="42FCB97F" w14:textId="72951515" w:rsidR="00FF4DC9" w:rsidRPr="00164E85" w:rsidRDefault="00164E85" w:rsidP="003F4906">
      <w:pPr>
        <w:ind w:left="720"/>
        <w:rPr>
          <w:i/>
        </w:rPr>
      </w:pPr>
      <w:r w:rsidRPr="00164E85">
        <w:rPr>
          <w:i/>
        </w:rPr>
        <w:t xml:space="preserve">(a) </w:t>
      </w:r>
      <w:r w:rsidR="00FF4DC9" w:rsidRPr="00164E85">
        <w:rPr>
          <w:i/>
        </w:rPr>
        <w:t>The benefits of the restriction to the community as a whole outweigh the costs; and</w:t>
      </w:r>
    </w:p>
    <w:p w14:paraId="746524C2" w14:textId="13772D39" w:rsidR="00FF4DC9" w:rsidRPr="00164E85" w:rsidRDefault="00164E85" w:rsidP="003F4906">
      <w:pPr>
        <w:ind w:left="720"/>
        <w:rPr>
          <w:i/>
        </w:rPr>
      </w:pPr>
      <w:r w:rsidRPr="00164E85">
        <w:rPr>
          <w:i/>
        </w:rPr>
        <w:t xml:space="preserve">(b) </w:t>
      </w:r>
      <w:r w:rsidR="00FF4DC9" w:rsidRPr="00164E85">
        <w:rPr>
          <w:i/>
        </w:rPr>
        <w:t xml:space="preserve">The objectives of the regulation can only be achieved by restricting competition. </w:t>
      </w:r>
    </w:p>
    <w:p w14:paraId="67402EB2" w14:textId="77777777" w:rsidR="00FF4DC9" w:rsidRDefault="00FF4DC9" w:rsidP="00164E85">
      <w:r>
        <w:t>Clause 5(5) provides a specific obligation on parties to the agreement with regard to newly proposed legislation:</w:t>
      </w:r>
    </w:p>
    <w:p w14:paraId="244C4532" w14:textId="77777777" w:rsidR="00FF4DC9" w:rsidRPr="006509DC" w:rsidRDefault="00FF4DC9" w:rsidP="006509DC">
      <w:pPr>
        <w:ind w:left="720"/>
        <w:rPr>
          <w:i/>
        </w:rPr>
      </w:pPr>
      <w:r w:rsidRPr="006509DC">
        <w:rPr>
          <w:i/>
        </w:rPr>
        <w:t xml:space="preserve">Each party will require proposals for new legislation that restricts competition to be accompanied by evidence that the restriction is consistent with the principle set out in sub-clause (1). </w:t>
      </w:r>
    </w:p>
    <w:p w14:paraId="1D076389" w14:textId="77777777" w:rsidR="00FF4DC9" w:rsidRPr="00435039" w:rsidRDefault="00FF4DC9" w:rsidP="00164E85">
      <w:r w:rsidRPr="00435039">
        <w:t>Therefore, all RIS</w:t>
      </w:r>
      <w:r>
        <w:t>s</w:t>
      </w:r>
      <w:r w:rsidRPr="00435039">
        <w:t xml:space="preserve"> must provide evidence that the proposed regulatory instrument is consistent with these National Competition Policy obligations. The</w:t>
      </w:r>
      <w:r>
        <w:t xml:space="preserve"> Organisation for Economic Co-operation and Development (</w:t>
      </w:r>
      <w:r w:rsidRPr="00435039">
        <w:t>OECD</w:t>
      </w:r>
      <w:r>
        <w:t>)</w:t>
      </w:r>
      <w:r w:rsidRPr="00435039">
        <w:t xml:space="preserve"> Competition Assessment Toolkit provides a checklist for identifying potentially significant negative impact</w:t>
      </w:r>
      <w:r>
        <w:t>s</w:t>
      </w:r>
      <w:r w:rsidRPr="00435039">
        <w:t xml:space="preserve"> on competition in the </w:t>
      </w:r>
      <w:r>
        <w:t xml:space="preserve">RIS </w:t>
      </w:r>
      <w:r w:rsidRPr="00435039">
        <w:t>context. This is based on the following four questions:</w:t>
      </w:r>
    </w:p>
    <w:p w14:paraId="3F82467A" w14:textId="77777777" w:rsidR="00FF4DC9" w:rsidRPr="00EC4633" w:rsidRDefault="00FF4DC9" w:rsidP="00EC4633">
      <w:pPr>
        <w:pStyle w:val="ListParagraph"/>
        <w:numPr>
          <w:ilvl w:val="0"/>
          <w:numId w:val="34"/>
        </w:numPr>
        <w:rPr>
          <w:rFonts w:asciiTheme="minorHAnsi" w:hAnsiTheme="minorHAnsi" w:cstheme="minorHAnsi"/>
          <w:color w:val="auto"/>
          <w:sz w:val="20"/>
          <w:szCs w:val="20"/>
        </w:rPr>
      </w:pPr>
      <w:r w:rsidRPr="00EC4633">
        <w:rPr>
          <w:rFonts w:asciiTheme="minorHAnsi" w:hAnsiTheme="minorHAnsi" w:cstheme="minorHAnsi"/>
          <w:color w:val="auto"/>
          <w:sz w:val="20"/>
          <w:szCs w:val="20"/>
        </w:rPr>
        <w:t>Does the proposed regulation limit the number or range of suppliers?</w:t>
      </w:r>
    </w:p>
    <w:p w14:paraId="03D689A5" w14:textId="77777777" w:rsidR="00FF4DC9" w:rsidRPr="00EC4633" w:rsidRDefault="00FF4DC9" w:rsidP="00EC4633">
      <w:pPr>
        <w:pStyle w:val="ListParagraph"/>
        <w:numPr>
          <w:ilvl w:val="0"/>
          <w:numId w:val="34"/>
        </w:numPr>
        <w:rPr>
          <w:rFonts w:asciiTheme="minorHAnsi" w:hAnsiTheme="minorHAnsi" w:cstheme="minorHAnsi"/>
          <w:color w:val="auto"/>
          <w:sz w:val="20"/>
          <w:szCs w:val="20"/>
        </w:rPr>
      </w:pPr>
      <w:r w:rsidRPr="00EC4633">
        <w:rPr>
          <w:rFonts w:asciiTheme="minorHAnsi" w:hAnsiTheme="minorHAnsi" w:cstheme="minorHAnsi"/>
          <w:color w:val="auto"/>
          <w:sz w:val="20"/>
          <w:szCs w:val="20"/>
        </w:rPr>
        <w:t>Does the proposed regulation limit the ability of suppliers to complete?</w:t>
      </w:r>
    </w:p>
    <w:p w14:paraId="586B31D1" w14:textId="77777777" w:rsidR="00FF4DC9" w:rsidRPr="00EC4633" w:rsidRDefault="00FF4DC9" w:rsidP="00EC4633">
      <w:pPr>
        <w:pStyle w:val="ListParagraph"/>
        <w:numPr>
          <w:ilvl w:val="0"/>
          <w:numId w:val="34"/>
        </w:numPr>
        <w:rPr>
          <w:rFonts w:asciiTheme="minorHAnsi" w:hAnsiTheme="minorHAnsi" w:cstheme="minorHAnsi"/>
          <w:color w:val="auto"/>
          <w:sz w:val="20"/>
          <w:szCs w:val="20"/>
        </w:rPr>
      </w:pPr>
      <w:r w:rsidRPr="00EC4633">
        <w:rPr>
          <w:rFonts w:asciiTheme="minorHAnsi" w:hAnsiTheme="minorHAnsi" w:cstheme="minorHAnsi"/>
          <w:color w:val="auto"/>
          <w:sz w:val="20"/>
          <w:szCs w:val="20"/>
        </w:rPr>
        <w:t>Does the proposed regulation limit to the incentives for suppliers to compete?</w:t>
      </w:r>
    </w:p>
    <w:p w14:paraId="23630594" w14:textId="77777777" w:rsidR="00FF4DC9" w:rsidRPr="00EC4633" w:rsidRDefault="00FF4DC9" w:rsidP="00EC4633">
      <w:pPr>
        <w:pStyle w:val="ListParagraph"/>
        <w:numPr>
          <w:ilvl w:val="0"/>
          <w:numId w:val="34"/>
        </w:numPr>
        <w:rPr>
          <w:rFonts w:asciiTheme="minorHAnsi" w:hAnsiTheme="minorHAnsi" w:cstheme="minorHAnsi"/>
          <w:color w:val="auto"/>
          <w:sz w:val="20"/>
          <w:szCs w:val="20"/>
        </w:rPr>
      </w:pPr>
      <w:r w:rsidRPr="00EC4633">
        <w:rPr>
          <w:rFonts w:asciiTheme="minorHAnsi" w:hAnsiTheme="minorHAnsi" w:cstheme="minorHAnsi"/>
          <w:color w:val="auto"/>
          <w:sz w:val="20"/>
          <w:szCs w:val="20"/>
        </w:rPr>
        <w:t>Does the proposed regulation limit the choices and information available to consumers?</w:t>
      </w:r>
    </w:p>
    <w:p w14:paraId="28D9D2C3" w14:textId="77777777" w:rsidR="00FF4DC9" w:rsidRPr="00435039" w:rsidRDefault="00FF4DC9" w:rsidP="006509DC">
      <w:r w:rsidRPr="00435039">
        <w:t xml:space="preserve">According to the OECD, if all four of these questions can be answered in the negative, it is unlikely that the proposed regulations will have any significant negative impact on competition and further investigation of competition impacts is not likely to be warranted.  </w:t>
      </w:r>
    </w:p>
    <w:p w14:paraId="47774E11" w14:textId="77777777" w:rsidR="00FF4DC9" w:rsidRDefault="00FF4DC9" w:rsidP="00FF4DC9">
      <w:pPr>
        <w:pStyle w:val="Heading3"/>
        <w:tabs>
          <w:tab w:val="num" w:pos="567"/>
        </w:tabs>
        <w:spacing w:before="240" w:after="120"/>
        <w:ind w:left="567" w:hanging="567"/>
      </w:pPr>
      <w:bookmarkStart w:id="1008" w:name="_Toc509312024"/>
      <w:bookmarkStart w:id="1009" w:name="_Toc32909876"/>
      <w:bookmarkStart w:id="1010" w:name="_Toc45704405"/>
      <w:r>
        <w:t>Assessment</w:t>
      </w:r>
      <w:bookmarkEnd w:id="1008"/>
      <w:bookmarkEnd w:id="1009"/>
      <w:bookmarkEnd w:id="1010"/>
    </w:p>
    <w:p w14:paraId="5F8A312C" w14:textId="0EA45063" w:rsidR="00A10974" w:rsidRDefault="00FF4DC9" w:rsidP="003971FA">
      <w:r w:rsidRPr="003971FA">
        <w:t xml:space="preserve">From the analysis of the costs and benefits, </w:t>
      </w:r>
      <w:r w:rsidR="008F5E2E">
        <w:t xml:space="preserve">there may be some barrier to entry </w:t>
      </w:r>
      <w:r w:rsidR="00DD626D">
        <w:t>imposed by the proposed regulations</w:t>
      </w:r>
      <w:r w:rsidR="008F5E2E">
        <w:t>.</w:t>
      </w:r>
      <w:r w:rsidR="00F125CE">
        <w:t xml:space="preserve"> There are two broad areas of costs imposed by the proposed regulations that may pose a barrier to entry – the costs of entry and costs of continuing to operate a bus service.</w:t>
      </w:r>
      <w:r w:rsidR="008F5E2E">
        <w:t xml:space="preserve"> </w:t>
      </w:r>
      <w:r w:rsidR="00F125CE">
        <w:t>The costs of entry imposed by the regulations include the application fees</w:t>
      </w:r>
      <w:r w:rsidR="004B1429">
        <w:t xml:space="preserve">, </w:t>
      </w:r>
      <w:r w:rsidR="001E484B">
        <w:t>administrative costs of applying for accreditation or registration</w:t>
      </w:r>
      <w:r w:rsidR="004B1429">
        <w:t>, and the development of an MIS and MMS</w:t>
      </w:r>
      <w:r w:rsidR="001E484B">
        <w:t xml:space="preserve">. </w:t>
      </w:r>
      <w:r w:rsidR="00B20D25">
        <w:t xml:space="preserve">The costs of conducting a </w:t>
      </w:r>
      <w:r w:rsidR="00B20D25">
        <w:lastRenderedPageBreak/>
        <w:t xml:space="preserve">bus service includes costs associated with </w:t>
      </w:r>
      <w:r w:rsidR="00BC1621">
        <w:t xml:space="preserve">maintaining an MIS and MMS, </w:t>
      </w:r>
      <w:r w:rsidR="00C1368B">
        <w:t>bus safety incident notification requirements</w:t>
      </w:r>
      <w:r w:rsidR="00B20D25">
        <w:t xml:space="preserve">, record keeping requirements </w:t>
      </w:r>
      <w:r w:rsidR="00506B81">
        <w:t xml:space="preserve">and </w:t>
      </w:r>
      <w:r w:rsidR="00B20D25">
        <w:t xml:space="preserve">roadworthy inspection costs (in the case of registered operators). </w:t>
      </w:r>
      <w:r w:rsidR="003C2C8E">
        <w:t xml:space="preserve">Both these </w:t>
      </w:r>
      <w:r w:rsidR="00E2133B">
        <w:t xml:space="preserve">types of </w:t>
      </w:r>
      <w:r w:rsidR="003C2C8E">
        <w:t xml:space="preserve">costs </w:t>
      </w:r>
      <w:r w:rsidR="00117EA3">
        <w:t xml:space="preserve">affect an operator’s decisions on whether </w:t>
      </w:r>
      <w:r w:rsidR="001F0323">
        <w:t xml:space="preserve">they think it </w:t>
      </w:r>
      <w:r w:rsidR="00CB1911">
        <w:t>is</w:t>
      </w:r>
      <w:r w:rsidR="00117EA3">
        <w:t xml:space="preserve"> worthwhile to enter the </w:t>
      </w:r>
      <w:r w:rsidR="00B96940">
        <w:t xml:space="preserve">bus </w:t>
      </w:r>
      <w:r w:rsidR="00117EA3">
        <w:t>industry based on their own assessment of benefits and costs</w:t>
      </w:r>
      <w:r w:rsidR="00B96940">
        <w:t xml:space="preserve">. If the assessment is that the costs are too </w:t>
      </w:r>
      <w:r w:rsidR="004465BC">
        <w:t>large</w:t>
      </w:r>
      <w:r w:rsidR="00B96940">
        <w:t xml:space="preserve"> </w:t>
      </w:r>
      <w:r w:rsidR="004465BC">
        <w:t>relative</w:t>
      </w:r>
      <w:r w:rsidR="00B96940">
        <w:t xml:space="preserve"> to the benefits, the operator will not enter the bus industry. </w:t>
      </w:r>
      <w:r w:rsidR="00570949">
        <w:t>These costs may be particularly onerous on small businesses</w:t>
      </w:r>
      <w:r w:rsidR="00A10974">
        <w:t xml:space="preserve">. </w:t>
      </w:r>
    </w:p>
    <w:p w14:paraId="675D65C9" w14:textId="213654ED" w:rsidR="00841B5A" w:rsidRDefault="00A10974">
      <w:pPr>
        <w:spacing w:before="0" w:after="0"/>
        <w:rPr>
          <w:rFonts w:asciiTheme="majorHAnsi" w:eastAsiaTheme="majorEastAsia" w:hAnsiTheme="majorHAnsi" w:cstheme="majorBidi"/>
          <w:color w:val="16A3A7"/>
          <w:sz w:val="40"/>
          <w:szCs w:val="32"/>
        </w:rPr>
      </w:pPr>
      <w:r>
        <w:t xml:space="preserve">Nonetheless, </w:t>
      </w:r>
      <w:r w:rsidR="000D529D">
        <w:t>these compliance costs are necessary to</w:t>
      </w:r>
      <w:r w:rsidR="00C20000">
        <w:t xml:space="preserve"> ensure the safety of bus service</w:t>
      </w:r>
      <w:r w:rsidR="00047BEB">
        <w:t>s</w:t>
      </w:r>
      <w:r w:rsidR="00C20000">
        <w:t xml:space="preserve">. </w:t>
      </w:r>
      <w:r w:rsidR="003B3CE0">
        <w:t xml:space="preserve">In recommending the proposed regulations, DoT has considered the minimum </w:t>
      </w:r>
      <w:r w:rsidR="00D3101F">
        <w:t xml:space="preserve">regulations </w:t>
      </w:r>
      <w:r w:rsidR="003B3CE0">
        <w:t xml:space="preserve">required </w:t>
      </w:r>
      <w:r w:rsidR="00395D3E">
        <w:t>t</w:t>
      </w:r>
      <w:r w:rsidR="00DE7159">
        <w:t>o achieve the objectives of the proposed regulations</w:t>
      </w:r>
      <w:r w:rsidR="00047EBB">
        <w:t xml:space="preserve"> (refer to Section </w:t>
      </w:r>
      <w:r w:rsidR="00047EBB">
        <w:fldChar w:fldCharType="begin"/>
      </w:r>
      <w:r w:rsidR="00047EBB">
        <w:instrText xml:space="preserve"> REF _Ref43309294 \r \h </w:instrText>
      </w:r>
      <w:r w:rsidR="00047EBB">
        <w:fldChar w:fldCharType="separate"/>
      </w:r>
      <w:r w:rsidR="00277F6E">
        <w:t>4</w:t>
      </w:r>
      <w:r w:rsidR="00047EBB">
        <w:fldChar w:fldCharType="end"/>
      </w:r>
      <w:r w:rsidR="00047EBB">
        <w:t xml:space="preserve"> for </w:t>
      </w:r>
      <w:r w:rsidR="000C363F">
        <w:t xml:space="preserve">further discussion on the </w:t>
      </w:r>
      <w:r w:rsidR="00047EBB">
        <w:t>objectives)</w:t>
      </w:r>
      <w:r w:rsidR="00DE7159">
        <w:t xml:space="preserve">. </w:t>
      </w:r>
      <w:r w:rsidR="00D3101F">
        <w:t>Broad c</w:t>
      </w:r>
      <w:r w:rsidR="00BF2037">
        <w:t>onsideration was given to</w:t>
      </w:r>
      <w:r w:rsidR="00696699">
        <w:t xml:space="preserve"> </w:t>
      </w:r>
      <w:r w:rsidR="009C542C">
        <w:t>assessing the r</w:t>
      </w:r>
      <w:r w:rsidR="00696699">
        <w:t>elative risks of various cohorts of</w:t>
      </w:r>
      <w:r w:rsidR="00D3101F">
        <w:t xml:space="preserve"> </w:t>
      </w:r>
      <w:r w:rsidR="00696699">
        <w:t>bus industry participant</w:t>
      </w:r>
      <w:r w:rsidR="005B10F5">
        <w:t>s</w:t>
      </w:r>
      <w:r w:rsidR="00696699">
        <w:t xml:space="preserve"> so that the costs w</w:t>
      </w:r>
      <w:r w:rsidR="005B10F5">
        <w:t>ould</w:t>
      </w:r>
      <w:r w:rsidR="00696699">
        <w:t xml:space="preserve"> not place a </w:t>
      </w:r>
      <w:r w:rsidR="009C542C">
        <w:t xml:space="preserve">disproportionate </w:t>
      </w:r>
      <w:r w:rsidR="00C55C9F">
        <w:t xml:space="preserve">burden </w:t>
      </w:r>
      <w:r w:rsidR="009C542C">
        <w:t>on certain sector</w:t>
      </w:r>
      <w:r w:rsidR="004C45F6">
        <w:t>s</w:t>
      </w:r>
      <w:r w:rsidR="009C542C">
        <w:t xml:space="preserve"> of the industry with</w:t>
      </w:r>
      <w:r w:rsidR="001E30BB">
        <w:t>out</w:t>
      </w:r>
      <w:r w:rsidR="009C542C">
        <w:t xml:space="preserve"> due consideration to the impacts on both safety outcomes and</w:t>
      </w:r>
      <w:r w:rsidR="00122EB2">
        <w:t xml:space="preserve"> costs.</w:t>
      </w:r>
      <w:r w:rsidR="004D0521">
        <w:t xml:space="preserve"> As such, the costs, and </w:t>
      </w:r>
      <w:r w:rsidR="001677C9">
        <w:t>consequential barriers to entry</w:t>
      </w:r>
      <w:r w:rsidR="004D0521">
        <w:t>, are justified in this con</w:t>
      </w:r>
      <w:r w:rsidR="00A512FC">
        <w:t>text.</w:t>
      </w:r>
      <w:r w:rsidR="00696699">
        <w:t xml:space="preserve"> </w:t>
      </w:r>
      <w:bookmarkStart w:id="1011" w:name="_Toc32909877"/>
    </w:p>
    <w:p w14:paraId="36394F68" w14:textId="77777777" w:rsidR="0095677C" w:rsidRDefault="0095677C">
      <w:pPr>
        <w:spacing w:before="0" w:after="0"/>
        <w:rPr>
          <w:rFonts w:asciiTheme="majorHAnsi" w:eastAsiaTheme="majorEastAsia" w:hAnsiTheme="majorHAnsi" w:cstheme="majorBidi"/>
          <w:color w:val="16A3A7"/>
          <w:sz w:val="40"/>
          <w:szCs w:val="32"/>
        </w:rPr>
      </w:pPr>
      <w:r>
        <w:br w:type="page"/>
      </w:r>
    </w:p>
    <w:p w14:paraId="3970CFF9" w14:textId="53B3DD30" w:rsidR="003B3CEB" w:rsidRDefault="003B3CEB" w:rsidP="003B3CEB">
      <w:pPr>
        <w:pStyle w:val="Heading1"/>
      </w:pPr>
      <w:bookmarkStart w:id="1012" w:name="_Toc45704406"/>
      <w:r>
        <w:lastRenderedPageBreak/>
        <w:t>Implementation</w:t>
      </w:r>
      <w:bookmarkEnd w:id="1011"/>
      <w:bookmarkEnd w:id="1012"/>
    </w:p>
    <w:p w14:paraId="6DF8BCA0" w14:textId="743EF4F1" w:rsidR="006621CB" w:rsidRPr="00123715" w:rsidRDefault="00823FB1" w:rsidP="00123715">
      <w:r w:rsidRPr="00123715">
        <w:t>TSV</w:t>
      </w:r>
      <w:r w:rsidR="00123715" w:rsidRPr="00123715">
        <w:t xml:space="preserve"> </w:t>
      </w:r>
      <w:r w:rsidR="006621CB" w:rsidRPr="00123715">
        <w:t>will be the primary regulatory agency to implement the proposed regulations</w:t>
      </w:r>
      <w:r w:rsidR="00AC2A2C">
        <w:t>.</w:t>
      </w:r>
      <w:r w:rsidR="006621CB" w:rsidRPr="00123715">
        <w:t xml:space="preserve"> </w:t>
      </w:r>
      <w:r w:rsidR="00E6331D">
        <w:t>O</w:t>
      </w:r>
      <w:r w:rsidR="006621CB" w:rsidRPr="00123715">
        <w:t>ther agencies</w:t>
      </w:r>
      <w:r w:rsidR="00662276">
        <w:t xml:space="preserve"> </w:t>
      </w:r>
      <w:r w:rsidR="006E0F39">
        <w:t>will be</w:t>
      </w:r>
      <w:r w:rsidR="006E0F39" w:rsidRPr="00123715">
        <w:t xml:space="preserve"> </w:t>
      </w:r>
      <w:r w:rsidR="006621CB" w:rsidRPr="00123715">
        <w:t>involved in the compliance</w:t>
      </w:r>
      <w:r w:rsidR="00123715">
        <w:t xml:space="preserve"> </w:t>
      </w:r>
      <w:r w:rsidR="006621CB" w:rsidRPr="00123715">
        <w:t xml:space="preserve">monitoring and enforcement of </w:t>
      </w:r>
      <w:r w:rsidR="00123715">
        <w:t>bus safety laws</w:t>
      </w:r>
      <w:r w:rsidR="006621CB" w:rsidRPr="00123715">
        <w:t xml:space="preserve"> </w:t>
      </w:r>
      <w:r w:rsidR="00662276">
        <w:t>such as</w:t>
      </w:r>
      <w:r w:rsidR="00662276" w:rsidRPr="00123715">
        <w:t xml:space="preserve"> </w:t>
      </w:r>
      <w:r w:rsidR="006621CB" w:rsidRPr="00123715">
        <w:t>Victoria Police</w:t>
      </w:r>
      <w:r w:rsidR="00123715">
        <w:t>.</w:t>
      </w:r>
    </w:p>
    <w:p w14:paraId="5E700997" w14:textId="77777777" w:rsidR="00C47488" w:rsidRDefault="00C47488" w:rsidP="00AF1E95">
      <w:pPr>
        <w:pStyle w:val="Heading2"/>
      </w:pPr>
      <w:bookmarkStart w:id="1013" w:name="_Toc509312026"/>
      <w:bookmarkStart w:id="1014" w:name="_Toc32909878"/>
      <w:bookmarkStart w:id="1015" w:name="_Toc45704407"/>
      <w:r>
        <w:t xml:space="preserve">Making of the </w:t>
      </w:r>
      <w:r w:rsidRPr="00A855B6">
        <w:t>proposed</w:t>
      </w:r>
      <w:r>
        <w:t xml:space="preserve"> Regulations</w:t>
      </w:r>
      <w:bookmarkEnd w:id="1013"/>
      <w:bookmarkEnd w:id="1014"/>
      <w:bookmarkEnd w:id="1015"/>
    </w:p>
    <w:p w14:paraId="66C43A02" w14:textId="06675EE0" w:rsidR="00C47488" w:rsidRPr="001541E9" w:rsidRDefault="00C47488" w:rsidP="00E920D4">
      <w:r>
        <w:t xml:space="preserve">Following the public comment period, </w:t>
      </w:r>
      <w:r w:rsidR="008672DA">
        <w:t>DoT</w:t>
      </w:r>
      <w:r>
        <w:t xml:space="preserve"> will consider all submissions and comments made by stakeholders on the proposed </w:t>
      </w:r>
      <w:r w:rsidR="003D6F14">
        <w:t>r</w:t>
      </w:r>
      <w:r>
        <w:t xml:space="preserve">egulations. After this, </w:t>
      </w:r>
      <w:r w:rsidR="006A3FA9">
        <w:t>DoT</w:t>
      </w:r>
      <w:r>
        <w:t xml:space="preserve"> will submit its final recommendations to the Minister for Public Transport for approval. The Minister for Public Transport will publish a notice of decision in the Government Gazette and in newspapers which will outline the changes </w:t>
      </w:r>
      <w:r w:rsidR="003C0104">
        <w:t>in</w:t>
      </w:r>
      <w:r>
        <w:t xml:space="preserve"> the exposure draft of the proposed </w:t>
      </w:r>
      <w:r w:rsidR="003C0104">
        <w:t>r</w:t>
      </w:r>
      <w:r>
        <w:t>egulations</w:t>
      </w:r>
      <w:r w:rsidR="00D807B5">
        <w:t>.</w:t>
      </w:r>
      <w:r>
        <w:t xml:space="preserve"> </w:t>
      </w:r>
      <w:r w:rsidR="00AA3C32">
        <w:t>DoT</w:t>
      </w:r>
      <w:r>
        <w:t xml:space="preserve"> expects the regulations to be made </w:t>
      </w:r>
      <w:r w:rsidR="00E920D4">
        <w:t xml:space="preserve">before the current </w:t>
      </w:r>
      <w:r w:rsidR="009211B4">
        <w:t>R</w:t>
      </w:r>
      <w:r w:rsidR="00AA3C32">
        <w:t>egulations</w:t>
      </w:r>
      <w:r w:rsidR="00E920D4">
        <w:t xml:space="preserve"> expire in October 2020</w:t>
      </w:r>
      <w:r>
        <w:t>.</w:t>
      </w:r>
    </w:p>
    <w:p w14:paraId="10F2539E" w14:textId="7045B5DE" w:rsidR="00C47488" w:rsidRPr="00302D9F" w:rsidRDefault="00C47488" w:rsidP="00AF1E95">
      <w:pPr>
        <w:pStyle w:val="Heading2"/>
      </w:pPr>
      <w:bookmarkStart w:id="1016" w:name="_Toc509312027"/>
      <w:bookmarkStart w:id="1017" w:name="_Toc32909879"/>
      <w:bookmarkStart w:id="1018" w:name="_Toc45704408"/>
      <w:r w:rsidRPr="00302D9F">
        <w:t>Role of the regulator</w:t>
      </w:r>
      <w:bookmarkEnd w:id="1016"/>
      <w:bookmarkEnd w:id="1017"/>
      <w:r w:rsidR="00254D7E">
        <w:t xml:space="preserve"> and other agencies</w:t>
      </w:r>
      <w:bookmarkEnd w:id="1018"/>
    </w:p>
    <w:p w14:paraId="3B7E95A9" w14:textId="41A0621E" w:rsidR="00C47488" w:rsidRPr="001541E9" w:rsidRDefault="00C47488" w:rsidP="00C47488">
      <w:pPr>
        <w:pStyle w:val="Heading3"/>
        <w:tabs>
          <w:tab w:val="num" w:pos="567"/>
        </w:tabs>
        <w:spacing w:before="240" w:after="120"/>
        <w:ind w:left="567" w:hanging="567"/>
      </w:pPr>
      <w:bookmarkStart w:id="1019" w:name="_Toc509312028"/>
      <w:bookmarkStart w:id="1020" w:name="_Toc32909880"/>
      <w:bookmarkStart w:id="1021" w:name="_Toc45704409"/>
      <w:r>
        <w:t>Powers of</w:t>
      </w:r>
      <w:r w:rsidRPr="001541E9">
        <w:t xml:space="preserve"> </w:t>
      </w:r>
      <w:r w:rsidR="00DF28D6">
        <w:t xml:space="preserve">the </w:t>
      </w:r>
      <w:r w:rsidRPr="001541E9">
        <w:t xml:space="preserve">regulator and </w:t>
      </w:r>
      <w:bookmarkEnd w:id="1019"/>
      <w:r w:rsidR="001D6757">
        <w:t>transport safety officers</w:t>
      </w:r>
      <w:bookmarkEnd w:id="1020"/>
      <w:bookmarkEnd w:id="1021"/>
    </w:p>
    <w:p w14:paraId="69D29529" w14:textId="46AF5A4B" w:rsidR="00D0229E" w:rsidRDefault="00D0229E" w:rsidP="00C47488">
      <w:r w:rsidRPr="00D0229E">
        <w:t xml:space="preserve">Provisions contained in the </w:t>
      </w:r>
      <w:r w:rsidRPr="00082133">
        <w:rPr>
          <w:i/>
        </w:rPr>
        <w:t>Transport Integration Act 2010</w:t>
      </w:r>
      <w:r w:rsidRPr="00D0229E">
        <w:t>, and</w:t>
      </w:r>
      <w:r w:rsidR="00996961">
        <w:t xml:space="preserve"> the</w:t>
      </w:r>
      <w:r w:rsidRPr="00D0229E">
        <w:t xml:space="preserve"> </w:t>
      </w:r>
      <w:r w:rsidRPr="00082133">
        <w:rPr>
          <w:i/>
        </w:rPr>
        <w:t xml:space="preserve">Transport (Safety Schemes Compliance </w:t>
      </w:r>
      <w:r w:rsidR="00F435AA">
        <w:rPr>
          <w:i/>
        </w:rPr>
        <w:t>a</w:t>
      </w:r>
      <w:r w:rsidRPr="00082133">
        <w:rPr>
          <w:i/>
        </w:rPr>
        <w:t>nd Enforcement) Act 2014</w:t>
      </w:r>
      <w:r w:rsidRPr="00D0229E">
        <w:t xml:space="preserve"> empower</w:t>
      </w:r>
      <w:r w:rsidR="00A610CA">
        <w:t xml:space="preserve"> the Director, Transport Safety and</w:t>
      </w:r>
      <w:r w:rsidRPr="00D0229E">
        <w:t xml:space="preserve"> </w:t>
      </w:r>
      <w:r w:rsidR="00FE3721">
        <w:t xml:space="preserve">transport safety officers </w:t>
      </w:r>
      <w:r w:rsidRPr="00D0229E">
        <w:t>to draw from a hierarchy of regulatory tools</w:t>
      </w:r>
      <w:r w:rsidR="007A1AC6">
        <w:t xml:space="preserve"> in </w:t>
      </w:r>
      <w:r w:rsidR="00FD01E2">
        <w:t>relation</w:t>
      </w:r>
      <w:r w:rsidR="007A1AC6">
        <w:t xml:space="preserve"> to compliance and investigatory powers for buses. </w:t>
      </w:r>
    </w:p>
    <w:p w14:paraId="246E3EE0" w14:textId="77777777" w:rsidR="001A01E6" w:rsidRPr="001A01E6" w:rsidRDefault="001A01E6" w:rsidP="001A01E6">
      <w:r w:rsidRPr="001A01E6">
        <w:t xml:space="preserve">These include infringement notices, improvement notices (which require a duty holder to remedy a safety breach) and in more critical circumstances, prohibition notices (which enable the Safety Director to prohibit the duty holder from carrying out an unsafe activity until the situation is remedied). In each case, failure to comply with any of these notices is an offence.  </w:t>
      </w:r>
    </w:p>
    <w:p w14:paraId="12E96535" w14:textId="77777777" w:rsidR="00C47488" w:rsidRPr="00B16066" w:rsidRDefault="00C47488" w:rsidP="00C47488">
      <w:pPr>
        <w:pStyle w:val="Heading3"/>
        <w:tabs>
          <w:tab w:val="num" w:pos="567"/>
        </w:tabs>
        <w:spacing w:before="240" w:after="120"/>
        <w:ind w:left="567" w:hanging="567"/>
      </w:pPr>
      <w:bookmarkStart w:id="1022" w:name="_Toc509312033"/>
      <w:bookmarkStart w:id="1023" w:name="_Toc32909882"/>
      <w:bookmarkStart w:id="1024" w:name="_Toc45704410"/>
      <w:r w:rsidRPr="00B16066">
        <w:t>Victoria Police</w:t>
      </w:r>
      <w:bookmarkEnd w:id="1022"/>
      <w:bookmarkEnd w:id="1023"/>
      <w:bookmarkEnd w:id="1024"/>
    </w:p>
    <w:p w14:paraId="51563242" w14:textId="6B8AAA9F" w:rsidR="003C6187" w:rsidRPr="00B04582" w:rsidRDefault="00C47488" w:rsidP="003C6187">
      <w:r w:rsidRPr="00B04582">
        <w:t>Victoria Police has an important role to play in promoting road safety and</w:t>
      </w:r>
      <w:r w:rsidR="00864A40">
        <w:t xml:space="preserve"> actively enforc</w:t>
      </w:r>
      <w:r w:rsidR="006572BF">
        <w:t>ing</w:t>
      </w:r>
      <w:r w:rsidR="00864A40">
        <w:t xml:space="preserve"> the requirements of the Road Safety Act and </w:t>
      </w:r>
      <w:r w:rsidR="006572BF">
        <w:t>its r</w:t>
      </w:r>
      <w:r w:rsidR="00864A40">
        <w:t xml:space="preserve">egulations. </w:t>
      </w:r>
      <w:r w:rsidR="003C6187" w:rsidRPr="00B04582">
        <w:t xml:space="preserve">Victoria Police </w:t>
      </w:r>
      <w:r w:rsidR="003C6187">
        <w:t>have powers under the Road Safety Act to enforce laws in relation to all users and vehicles on Victoria</w:t>
      </w:r>
      <w:r w:rsidR="00EF0DBE">
        <w:t>n</w:t>
      </w:r>
      <w:r w:rsidR="003C6187">
        <w:t xml:space="preserve"> roads including buses and bus drivers. </w:t>
      </w:r>
    </w:p>
    <w:p w14:paraId="0C348D42" w14:textId="1F4EFA34" w:rsidR="003C6187" w:rsidRDefault="003C6187" w:rsidP="003C6187">
      <w:r w:rsidRPr="00B04582">
        <w:t xml:space="preserve">Victoria Police also has a role in ensuring the safety of </w:t>
      </w:r>
      <w:r>
        <w:t xml:space="preserve">buses </w:t>
      </w:r>
      <w:r w:rsidRPr="00B04582">
        <w:t xml:space="preserve">under the </w:t>
      </w:r>
      <w:r w:rsidR="004141A5">
        <w:t>Road Safety Act</w:t>
      </w:r>
      <w:r w:rsidRPr="00B04582">
        <w:t xml:space="preserve">. For example, Victoria Police perform </w:t>
      </w:r>
      <w:r w:rsidR="00AD6946">
        <w:t xml:space="preserve">drug and alcohol </w:t>
      </w:r>
      <w:r w:rsidRPr="00B04582">
        <w:t xml:space="preserve">tests to ensure that drivers of </w:t>
      </w:r>
      <w:r>
        <w:t xml:space="preserve">buses, within the meaning of the </w:t>
      </w:r>
      <w:r w:rsidR="004141A5">
        <w:t>Road Safety Act</w:t>
      </w:r>
      <w:r>
        <w:t xml:space="preserve">, </w:t>
      </w:r>
      <w:r w:rsidRPr="00B04582">
        <w:t>maintain a zero BAC.</w:t>
      </w:r>
    </w:p>
    <w:p w14:paraId="6CFDB8F9" w14:textId="68EE5420" w:rsidR="00267242" w:rsidRDefault="008C7600" w:rsidP="00C47488">
      <w:r>
        <w:t xml:space="preserve">Victoria Police are </w:t>
      </w:r>
      <w:r w:rsidR="001432F7">
        <w:t xml:space="preserve">also </w:t>
      </w:r>
      <w:r>
        <w:t xml:space="preserve">empowered to </w:t>
      </w:r>
      <w:r w:rsidR="00487693">
        <w:t xml:space="preserve">enforce the requirements of the Bus Safety Act. </w:t>
      </w:r>
      <w:r w:rsidR="00C746AD">
        <w:t>C</w:t>
      </w:r>
      <w:r w:rsidR="00C47488" w:rsidRPr="00B04582">
        <w:t>onsequentially,</w:t>
      </w:r>
      <w:r w:rsidR="00AC7FDC">
        <w:t xml:space="preserve"> and subject to priorities and resources,</w:t>
      </w:r>
      <w:r w:rsidR="00C47488" w:rsidRPr="00B04582">
        <w:t xml:space="preserve"> the police have a role in compliance monitoring and enforcement of </w:t>
      </w:r>
      <w:r w:rsidR="00E203F0">
        <w:t>bus saf</w:t>
      </w:r>
      <w:r w:rsidR="007D2767">
        <w:t>ety laws</w:t>
      </w:r>
      <w:r w:rsidR="00C47488" w:rsidRPr="00B04582">
        <w:t>.</w:t>
      </w:r>
    </w:p>
    <w:p w14:paraId="49896E9E" w14:textId="141DB567" w:rsidR="00AC7FDC" w:rsidRPr="001C3C69" w:rsidRDefault="00A169A2" w:rsidP="00C47488">
      <w:r w:rsidRPr="001C3C69">
        <w:t>In the past, TSV has conducted joint compliance monitoring and enforcement operations</w:t>
      </w:r>
      <w:r w:rsidR="000956E8" w:rsidRPr="001C3C69">
        <w:t xml:space="preserve"> with Vic</w:t>
      </w:r>
      <w:r w:rsidR="001432F7" w:rsidRPr="001C3C69">
        <w:t>toria Police</w:t>
      </w:r>
      <w:r w:rsidRPr="001C3C69">
        <w:t>.</w:t>
      </w:r>
      <w:r w:rsidR="00896AD3" w:rsidRPr="001C3C69">
        <w:t xml:space="preserve"> </w:t>
      </w:r>
      <w:r w:rsidR="00E26DFF" w:rsidRPr="001C3C69">
        <w:t xml:space="preserve">While Victoria Police have powers under the </w:t>
      </w:r>
      <w:r w:rsidR="003A2F6F">
        <w:t>Bus Safety Act</w:t>
      </w:r>
      <w:r w:rsidR="005C0E97" w:rsidRPr="001C3C69">
        <w:t xml:space="preserve">, TSV are the primary regulator </w:t>
      </w:r>
      <w:r w:rsidR="00D72D6A" w:rsidRPr="001C3C69">
        <w:t>of bus safety under th</w:t>
      </w:r>
      <w:r w:rsidR="001C3C69" w:rsidRPr="001C3C69">
        <w:t>e</w:t>
      </w:r>
      <w:r w:rsidR="00D72D6A" w:rsidRPr="001C3C69">
        <w:t xml:space="preserve"> </w:t>
      </w:r>
      <w:r w:rsidR="003A2F6F">
        <w:t>Bus Safety Act</w:t>
      </w:r>
      <w:r w:rsidR="00D72D6A" w:rsidRPr="001C3C69">
        <w:t xml:space="preserve"> and </w:t>
      </w:r>
      <w:r w:rsidR="005C7BA0">
        <w:t>its</w:t>
      </w:r>
      <w:r w:rsidR="00D72D6A" w:rsidRPr="001C3C69">
        <w:t xml:space="preserve"> regulations. </w:t>
      </w:r>
      <w:r w:rsidR="00AE1B8D" w:rsidRPr="001C3C69">
        <w:t xml:space="preserve">The joint efforts by TSV and Victoria Police are </w:t>
      </w:r>
      <w:r w:rsidR="00011B33" w:rsidRPr="001C3C69">
        <w:t xml:space="preserve">chiefly to combine efforts to </w:t>
      </w:r>
      <w:r w:rsidR="005C4316" w:rsidRPr="001C3C69">
        <w:t>comprehensively enforce</w:t>
      </w:r>
      <w:r w:rsidR="00011B33" w:rsidRPr="001C3C69">
        <w:t xml:space="preserve"> road safety under the </w:t>
      </w:r>
      <w:r w:rsidR="004141A5">
        <w:t>Road Safety Act</w:t>
      </w:r>
      <w:r w:rsidR="005C4316" w:rsidRPr="001C3C69">
        <w:t>.</w:t>
      </w:r>
      <w:r w:rsidR="001432F7" w:rsidRPr="001C3C69" w:rsidDel="00896AD3">
        <w:t xml:space="preserve"> </w:t>
      </w:r>
      <w:r w:rsidR="001432F7" w:rsidRPr="001C3C69">
        <w:t>This option still could be exercised in the future.</w:t>
      </w:r>
    </w:p>
    <w:p w14:paraId="6424F3F8" w14:textId="5CB2A05F" w:rsidR="004C1FB2" w:rsidRPr="00E96597" w:rsidRDefault="004C1FB2" w:rsidP="001C3C69">
      <w:pPr>
        <w:pStyle w:val="Heading3"/>
        <w:tabs>
          <w:tab w:val="num" w:pos="567"/>
        </w:tabs>
        <w:spacing w:before="240" w:after="120"/>
        <w:ind w:left="567" w:hanging="567"/>
      </w:pPr>
      <w:bookmarkStart w:id="1025" w:name="_Toc45704411"/>
      <w:r w:rsidRPr="00B1659C">
        <w:t>WorkSaf</w:t>
      </w:r>
      <w:r w:rsidRPr="00C131FA">
        <w:t>e</w:t>
      </w:r>
      <w:bookmarkEnd w:id="1025"/>
    </w:p>
    <w:p w14:paraId="78E0F371" w14:textId="7CD9933A" w:rsidR="00495E4B" w:rsidRPr="00495E4B" w:rsidRDefault="008E269D" w:rsidP="00495E4B">
      <w:r>
        <w:t xml:space="preserve">WorkSafe is the regulator responsible for workplace safety and administers the </w:t>
      </w:r>
      <w:r w:rsidR="001C1C48" w:rsidRPr="001C1C48">
        <w:t>OHS Act</w:t>
      </w:r>
      <w:r w:rsidR="001C1C48">
        <w:t>. The safety duties under the Bus Safety Act are based on the duties under the OHS Act.</w:t>
      </w:r>
      <w:r w:rsidR="00FB57EE">
        <w:t xml:space="preserve"> There are provisions in the Bus Safety Act that provide that </w:t>
      </w:r>
      <w:r w:rsidR="00370AA9">
        <w:t>to the extent of any inconsistency between the Bus Safety Act and the OHS Act, the OHS Act prevails.</w:t>
      </w:r>
      <w:r w:rsidR="00152603">
        <w:t xml:space="preserve"> This provision recognises WorkSafe’s role in being the state’s primary</w:t>
      </w:r>
      <w:r w:rsidR="00542EF5">
        <w:t xml:space="preserve"> workplace</w:t>
      </w:r>
      <w:r w:rsidR="00152603">
        <w:t xml:space="preserve"> safety regulator and that other safety schemes should not be inconsistent</w:t>
      </w:r>
      <w:r w:rsidR="00542EF5">
        <w:t xml:space="preserve"> or conflict with the OHS Act</w:t>
      </w:r>
      <w:r w:rsidR="00152603">
        <w:t>.</w:t>
      </w:r>
      <w:r w:rsidR="00370AA9">
        <w:t xml:space="preserve"> In effect, this means that </w:t>
      </w:r>
      <w:r w:rsidR="00FF7873">
        <w:t xml:space="preserve">WorkSafe could enforce safety requirements in </w:t>
      </w:r>
      <w:r w:rsidR="00AE742E">
        <w:t xml:space="preserve">buses as they are also workplaces. In practice, the majority of compliance monitoring and enforcement is undertaken by TSV as the specific regulator </w:t>
      </w:r>
      <w:r w:rsidR="002356CC">
        <w:t>for bus safety</w:t>
      </w:r>
      <w:r w:rsidR="00542EF5">
        <w:t xml:space="preserve"> as it is resourced to </w:t>
      </w:r>
      <w:r w:rsidR="00542EF5">
        <w:lastRenderedPageBreak/>
        <w:t>undertake this function</w:t>
      </w:r>
      <w:r w:rsidR="002356CC">
        <w:t xml:space="preserve">. </w:t>
      </w:r>
      <w:bookmarkStart w:id="1026" w:name="_Hlk43359039"/>
      <w:r w:rsidR="002356CC">
        <w:t xml:space="preserve">However, WorkSafe could </w:t>
      </w:r>
      <w:r w:rsidR="00542EF5">
        <w:t xml:space="preserve">investigate </w:t>
      </w:r>
      <w:r w:rsidR="002356CC">
        <w:t>more serious safety breaches</w:t>
      </w:r>
      <w:r w:rsidR="00542EF5">
        <w:t>, if, in the circumstances</w:t>
      </w:r>
      <w:r w:rsidR="00570F08">
        <w:t xml:space="preserve"> having regard to competing priorities</w:t>
      </w:r>
      <w:r w:rsidR="00542EF5">
        <w:t>, it is warranted</w:t>
      </w:r>
      <w:r w:rsidR="002356CC">
        <w:t>.</w:t>
      </w:r>
      <w:bookmarkEnd w:id="1026"/>
    </w:p>
    <w:p w14:paraId="153E2E49" w14:textId="77777777" w:rsidR="00254D7E" w:rsidRDefault="00254D7E" w:rsidP="00CC5F2D">
      <w:pPr>
        <w:pStyle w:val="Heading2"/>
      </w:pPr>
      <w:bookmarkStart w:id="1027" w:name="_Toc45704412"/>
      <w:r>
        <w:t>Changes to processes and systems</w:t>
      </w:r>
      <w:bookmarkEnd w:id="1027"/>
    </w:p>
    <w:p w14:paraId="7FAECDA8" w14:textId="05E0FB3B" w:rsidR="002029E1" w:rsidRDefault="00254D7E" w:rsidP="00160F92">
      <w:r>
        <w:t>In order to implement the proposed regulations, TSV may be required to make a range of changes to their processes.</w:t>
      </w:r>
      <w:r w:rsidR="002029E1">
        <w:t xml:space="preserve"> In particular, guidance will need to be provided to accredited and</w:t>
      </w:r>
      <w:r w:rsidR="00AE2796">
        <w:t xml:space="preserve"> registered</w:t>
      </w:r>
      <w:r w:rsidR="002029E1">
        <w:t xml:space="preserve"> bus operators on the incremental changes under the proposed regulations.</w:t>
      </w:r>
    </w:p>
    <w:p w14:paraId="352F7BE3" w14:textId="2312AF46" w:rsidR="000914F4" w:rsidRDefault="002029E1" w:rsidP="00160F92">
      <w:r>
        <w:t xml:space="preserve">The regulations </w:t>
      </w:r>
      <w:r w:rsidR="00D7659E">
        <w:t xml:space="preserve">are proposed to </w:t>
      </w:r>
      <w:r>
        <w:t>introduce new obligations for registered operators</w:t>
      </w:r>
      <w:r w:rsidR="00DE3443">
        <w:t xml:space="preserve"> to keep records</w:t>
      </w:r>
      <w:r w:rsidR="00C95292">
        <w:t>, as well as introducing new types of records that need to be kept by accredited operators</w:t>
      </w:r>
      <w:r w:rsidR="000C3E10">
        <w:t>. TSV will have a role in ensuring that all operators are aware of these new requirements</w:t>
      </w:r>
      <w:r w:rsidR="0057773B">
        <w:t>.</w:t>
      </w:r>
    </w:p>
    <w:p w14:paraId="34259E87" w14:textId="4AE2E6E3" w:rsidR="00017445" w:rsidRDefault="00017445" w:rsidP="00160F92">
      <w:r>
        <w:t xml:space="preserve">The regulations </w:t>
      </w:r>
      <w:r w:rsidR="00565709">
        <w:t>create</w:t>
      </w:r>
      <w:r w:rsidR="007C4759">
        <w:t xml:space="preserve"> </w:t>
      </w:r>
      <w:r w:rsidR="00565709">
        <w:t>different categories</w:t>
      </w:r>
      <w:r w:rsidR="007C4759">
        <w:t xml:space="preserve"> of bus incidents that need to be reported to TSV</w:t>
      </w:r>
      <w:r w:rsidR="00565709">
        <w:t xml:space="preserve"> at different times, depending on the type and seriousness of the incident. </w:t>
      </w:r>
      <w:r w:rsidR="009E14F7">
        <w:t>TSV will need to provide g</w:t>
      </w:r>
      <w:r w:rsidR="00565709">
        <w:t xml:space="preserve">uidance to bus operators </w:t>
      </w:r>
      <w:r w:rsidR="009E14F7">
        <w:t xml:space="preserve">on the new incident reporting scheme to ensure that operators are aware of which bus safety incidents falls within which category. </w:t>
      </w:r>
    </w:p>
    <w:p w14:paraId="7EF5469C" w14:textId="4BCBE732" w:rsidR="00234770" w:rsidRDefault="00234770" w:rsidP="00160F92">
      <w:r>
        <w:t xml:space="preserve">In addition, new signage requirements will need to be communicated to the industry to ensure industry is aware of </w:t>
      </w:r>
      <w:r w:rsidR="00DD3EDF">
        <w:t>what is required to comply</w:t>
      </w:r>
      <w:r w:rsidR="002A5DE4">
        <w:t>.</w:t>
      </w:r>
    </w:p>
    <w:p w14:paraId="424AF6A8" w14:textId="7701CA59" w:rsidR="00BB1F11" w:rsidRDefault="000914F4" w:rsidP="00201E01">
      <w:r>
        <w:t>In general, TSV will largely build on and modify existing systems</w:t>
      </w:r>
      <w:r w:rsidR="00956A07">
        <w:t xml:space="preserve"> to implement the new regulations</w:t>
      </w:r>
      <w:r>
        <w:t xml:space="preserve">, meaning that the cost of implementing the proposed regulations is not expected to be </w:t>
      </w:r>
      <w:r w:rsidR="00CD1D5D">
        <w:t xml:space="preserve">significant. Many systems </w:t>
      </w:r>
      <w:r w:rsidR="000976E5">
        <w:t>for the</w:t>
      </w:r>
      <w:r w:rsidR="00CD1D5D">
        <w:t xml:space="preserve"> collect</w:t>
      </w:r>
      <w:r w:rsidR="000976E5">
        <w:t>ion and storage of data</w:t>
      </w:r>
      <w:r w:rsidR="00CD1D5D">
        <w:t xml:space="preserve"> </w:t>
      </w:r>
      <w:r w:rsidR="00BF143F">
        <w:t xml:space="preserve">have already been built, </w:t>
      </w:r>
      <w:r w:rsidR="00BA3ADD">
        <w:t>therefore</w:t>
      </w:r>
      <w:r w:rsidR="00BF143F">
        <w:t xml:space="preserve"> minor changes</w:t>
      </w:r>
      <w:r w:rsidR="00CD1D5D">
        <w:t xml:space="preserve"> </w:t>
      </w:r>
      <w:r w:rsidR="00BA3ADD">
        <w:t xml:space="preserve">may be required </w:t>
      </w:r>
      <w:r w:rsidR="008150F3">
        <w:t xml:space="preserve">to </w:t>
      </w:r>
      <w:r w:rsidR="00BA3ADD">
        <w:t xml:space="preserve">capture and store </w:t>
      </w:r>
      <w:r w:rsidR="001C60A5">
        <w:t>any new data</w:t>
      </w:r>
      <w:r w:rsidR="00CD1D5D">
        <w:t xml:space="preserve"> </w:t>
      </w:r>
      <w:r w:rsidR="0084531A">
        <w:t xml:space="preserve">or aggregates of data in a meaningful way. </w:t>
      </w:r>
    </w:p>
    <w:p w14:paraId="2B6A010D" w14:textId="682DF4E6" w:rsidR="00494386" w:rsidRDefault="008E3FDB" w:rsidP="00201E01">
      <w:r w:rsidRPr="003405FF">
        <w:t xml:space="preserve">Any changes </w:t>
      </w:r>
      <w:r w:rsidR="00FE07B6">
        <w:t xml:space="preserve">to processes </w:t>
      </w:r>
      <w:r w:rsidR="00C06831">
        <w:t>required</w:t>
      </w:r>
      <w:r w:rsidR="00FE07B6">
        <w:t xml:space="preserve">, as well as guidance provided to the industry on the changes for the proposed regulations, will </w:t>
      </w:r>
      <w:r w:rsidR="003405FF" w:rsidRPr="003405FF">
        <w:t>be made after the proposed regulations are approved but prior to commencement of the proposed regulations.</w:t>
      </w:r>
    </w:p>
    <w:p w14:paraId="461903B4" w14:textId="4E2AECFC" w:rsidR="00542EF5" w:rsidRDefault="00542EF5" w:rsidP="00201E01">
      <w:r>
        <w:t xml:space="preserve">There may also be an opportunity for TSV to improve </w:t>
      </w:r>
      <w:r w:rsidR="00570F08">
        <w:t xml:space="preserve">systems and processes more generally. For example, TSV could assess the way that it collects </w:t>
      </w:r>
      <w:r w:rsidR="0059342E">
        <w:t>and</w:t>
      </w:r>
      <w:r w:rsidR="00570F08">
        <w:t xml:space="preserve"> analyses information to better inform its regulatory operations, such as compliance monitoring and enforcement. Such improvement</w:t>
      </w:r>
      <w:r w:rsidR="007073F9">
        <w:t>s</w:t>
      </w:r>
      <w:r w:rsidR="00570F08">
        <w:t xml:space="preserve"> could assist DoT in future legislative and regulatory reviews. </w:t>
      </w:r>
    </w:p>
    <w:p w14:paraId="56E405DE" w14:textId="3B6DC459" w:rsidR="00570F08" w:rsidRDefault="00570F08" w:rsidP="00201E01">
      <w:r>
        <w:t xml:space="preserve">As part of the development of this RIS and the draft regulations, DoT </w:t>
      </w:r>
      <w:r w:rsidR="007073F9">
        <w:t xml:space="preserve">has identified some opportunities to improve the way that it collects and analyses information for policy development. This includes undertaking deeper analysis of data, collecting data from a wider range of sources, or integrating data from multiple sources (e.g. using VicRoads or Victoria Police data together with TSV data collected). The benefit of this approach is it enables greater insight into trends that are </w:t>
      </w:r>
      <w:r w:rsidR="003C319E">
        <w:t>occurring</w:t>
      </w:r>
      <w:r w:rsidR="007073F9">
        <w:t>, and enable</w:t>
      </w:r>
      <w:r w:rsidR="003C319E">
        <w:t>s</w:t>
      </w:r>
      <w:r w:rsidR="007073F9">
        <w:t xml:space="preserve"> better decision making as the benefits and costs of alternative options are known with better accuracy. DoT notes that it is not always possible to collect perfect information in all circumstances, but endeavours to investigate opportunities to make these improvements</w:t>
      </w:r>
      <w:r w:rsidR="003C319E">
        <w:t xml:space="preserve"> following the implementation of the regulations to inform future regulatory reviews and reviews of other transport portfolio schemes. </w:t>
      </w:r>
      <w:r w:rsidR="007073F9">
        <w:t xml:space="preserve"> </w:t>
      </w:r>
    </w:p>
    <w:p w14:paraId="1378FB92" w14:textId="77777777" w:rsidR="00DC757A" w:rsidRDefault="00BB1F11" w:rsidP="003D0D78">
      <w:pPr>
        <w:pStyle w:val="Heading2"/>
      </w:pPr>
      <w:bookmarkStart w:id="1028" w:name="_Toc45704413"/>
      <w:r>
        <w:t>Timing of commencement</w:t>
      </w:r>
      <w:bookmarkEnd w:id="1028"/>
    </w:p>
    <w:p w14:paraId="2357CE28" w14:textId="3AF9171C" w:rsidR="00DC757A" w:rsidRDefault="00DC757A" w:rsidP="00DC757A">
      <w:r w:rsidRPr="00DC757A">
        <w:t>The</w:t>
      </w:r>
      <w:r w:rsidR="00781756">
        <w:t xml:space="preserve"> existing Bus Safety Regulations will expire on 1</w:t>
      </w:r>
      <w:r w:rsidR="00FA3FDD">
        <w:t xml:space="preserve">2 October 2020. DoT </w:t>
      </w:r>
      <w:r w:rsidR="000C38C8">
        <w:t>expects</w:t>
      </w:r>
      <w:r w:rsidR="00FA3FDD">
        <w:t xml:space="preserve"> that the actual commencement of the proposed </w:t>
      </w:r>
      <w:r w:rsidR="000C38C8">
        <w:t>regulations</w:t>
      </w:r>
      <w:r w:rsidR="00FA3FDD">
        <w:t xml:space="preserve"> will </w:t>
      </w:r>
      <w:r w:rsidR="00761330">
        <w:t>be</w:t>
      </w:r>
      <w:r w:rsidR="000C38C8">
        <w:t xml:space="preserve"> prior to this date.</w:t>
      </w:r>
      <w:r w:rsidRPr="00DC757A">
        <w:t xml:space="preserve"> </w:t>
      </w:r>
    </w:p>
    <w:p w14:paraId="41C3AA0C" w14:textId="477474CC" w:rsidR="00DC757A" w:rsidRPr="00DC757A" w:rsidRDefault="002B4942" w:rsidP="00DC757A">
      <w:r>
        <w:t>Given the</w:t>
      </w:r>
      <w:r w:rsidR="004D0185">
        <w:t xml:space="preserve"> substantive safety </w:t>
      </w:r>
      <w:r w:rsidR="007F09A7">
        <w:t xml:space="preserve">duties will largely remain unchanged (as a function of the overarching safety duties scheme under the </w:t>
      </w:r>
      <w:r w:rsidR="003A2F6F">
        <w:t>Bus Safety Act</w:t>
      </w:r>
      <w:r w:rsidR="007F09A7">
        <w:t xml:space="preserve">), </w:t>
      </w:r>
      <w:r w:rsidR="002B633A">
        <w:t>TSV is expected to conti</w:t>
      </w:r>
      <w:r w:rsidR="00702F81">
        <w:t>nue compliance monitoring and enforcement of the</w:t>
      </w:r>
      <w:r w:rsidR="003D0D78">
        <w:t xml:space="preserve"> </w:t>
      </w:r>
      <w:r w:rsidR="00A157BB">
        <w:t>bus safety law</w:t>
      </w:r>
      <w:r w:rsidR="00815F08">
        <w:t>s</w:t>
      </w:r>
      <w:r>
        <w:t xml:space="preserve"> during transition from the expir</w:t>
      </w:r>
      <w:r w:rsidR="00D807B5">
        <w:t>ing</w:t>
      </w:r>
      <w:r>
        <w:t xml:space="preserve"> regulations to the proposed regulations.  </w:t>
      </w:r>
    </w:p>
    <w:p w14:paraId="0A5F5FCF" w14:textId="690A69FB" w:rsidR="00DC757A" w:rsidRPr="00DC757A" w:rsidRDefault="00C2625B" w:rsidP="00DC757A">
      <w:r>
        <w:t xml:space="preserve">DoT and </w:t>
      </w:r>
      <w:r w:rsidR="004D1FEF">
        <w:t>TSV</w:t>
      </w:r>
      <w:r w:rsidR="00DC757A" w:rsidRPr="00DC757A">
        <w:t xml:space="preserve"> will communicate with the industry regarding the commencement of the new </w:t>
      </w:r>
      <w:r w:rsidR="000C363A">
        <w:t>regulations</w:t>
      </w:r>
      <w:r w:rsidR="00DC757A" w:rsidRPr="00DC757A">
        <w:t xml:space="preserve">, and the approach to compliance monitoring and enforcement before the new </w:t>
      </w:r>
      <w:r w:rsidR="00C703A5">
        <w:t>regulations</w:t>
      </w:r>
      <w:r w:rsidR="00DC757A" w:rsidRPr="00DC757A">
        <w:t xml:space="preserve"> commence. </w:t>
      </w:r>
    </w:p>
    <w:p w14:paraId="2C51BB26" w14:textId="77777777" w:rsidR="00BE0EE3" w:rsidRPr="00302D9F" w:rsidRDefault="00BE0EE3" w:rsidP="00BE0EE3">
      <w:pPr>
        <w:pStyle w:val="Heading2"/>
        <w:tabs>
          <w:tab w:val="num" w:pos="567"/>
        </w:tabs>
        <w:ind w:left="567" w:hanging="567"/>
      </w:pPr>
      <w:bookmarkStart w:id="1029" w:name="_Toc509312040"/>
      <w:bookmarkStart w:id="1030" w:name="_Toc45704414"/>
      <w:r w:rsidRPr="00302D9F">
        <w:lastRenderedPageBreak/>
        <w:t>Communication and consultation</w:t>
      </w:r>
      <w:bookmarkEnd w:id="1029"/>
      <w:bookmarkEnd w:id="1030"/>
    </w:p>
    <w:p w14:paraId="1CDC0B49" w14:textId="5888E9A9" w:rsidR="00BE0EE3" w:rsidRPr="00BE0EE3" w:rsidRDefault="00BE0EE3" w:rsidP="00BE0EE3">
      <w:r>
        <w:t xml:space="preserve">TSV will undertake to provide updates and communication to the industry in a variety of ways </w:t>
      </w:r>
      <w:r w:rsidRPr="00BE0EE3">
        <w:t>such as via its website, letters to stakeholders and other stakeholder forums.</w:t>
      </w:r>
    </w:p>
    <w:p w14:paraId="40A9AC5D" w14:textId="187AB123" w:rsidR="00BE0EE3" w:rsidRDefault="00BE0EE3" w:rsidP="00BE0EE3">
      <w:r>
        <w:t xml:space="preserve">TSV </w:t>
      </w:r>
      <w:r w:rsidRPr="00BE0EE3">
        <w:t xml:space="preserve">will be the primary agency to undertake communication and consultation with the industry and the public to implement </w:t>
      </w:r>
      <w:r>
        <w:t>the new</w:t>
      </w:r>
      <w:r w:rsidRPr="00BE0EE3">
        <w:t xml:space="preserve"> regulations.</w:t>
      </w:r>
    </w:p>
    <w:p w14:paraId="4567D420" w14:textId="3A71F495" w:rsidR="00AD6946" w:rsidRDefault="00AD6946">
      <w:pPr>
        <w:spacing w:before="0" w:after="0"/>
      </w:pPr>
      <w:r>
        <w:br w:type="page"/>
      </w:r>
    </w:p>
    <w:p w14:paraId="4D3C6875" w14:textId="38D8BF61" w:rsidR="003B3CEB" w:rsidRPr="00D5209B" w:rsidRDefault="003B3CEB" w:rsidP="003B3CEB">
      <w:pPr>
        <w:pStyle w:val="Heading1"/>
      </w:pPr>
      <w:bookmarkStart w:id="1031" w:name="_Toc32909883"/>
      <w:bookmarkStart w:id="1032" w:name="_Toc45704415"/>
      <w:r w:rsidRPr="00D5209B">
        <w:lastRenderedPageBreak/>
        <w:t>Evaluation Strategy</w:t>
      </w:r>
      <w:bookmarkEnd w:id="1031"/>
      <w:bookmarkEnd w:id="1032"/>
    </w:p>
    <w:p w14:paraId="243E1390" w14:textId="711C44F3" w:rsidR="0007739D" w:rsidRPr="00FE363C" w:rsidRDefault="0007739D" w:rsidP="00AF1E95">
      <w:pPr>
        <w:pStyle w:val="Heading2"/>
      </w:pPr>
      <w:bookmarkStart w:id="1033" w:name="_Toc509312042"/>
      <w:bookmarkStart w:id="1034" w:name="_Toc32909884"/>
      <w:bookmarkStart w:id="1035" w:name="_Toc45704416"/>
      <w:r w:rsidRPr="00FE363C">
        <w:t>Purpose of an evaluation</w:t>
      </w:r>
      <w:bookmarkEnd w:id="1033"/>
      <w:bookmarkEnd w:id="1034"/>
      <w:bookmarkEnd w:id="1035"/>
    </w:p>
    <w:p w14:paraId="7C81421E" w14:textId="30C0EEFC" w:rsidR="0007739D" w:rsidRDefault="0007739D" w:rsidP="0017041E">
      <w:r w:rsidRPr="00FE363C">
        <w:t xml:space="preserve">It is important to undertake an evaluation of the proposed </w:t>
      </w:r>
      <w:r w:rsidR="00B7048D">
        <w:t>r</w:t>
      </w:r>
      <w:r w:rsidRPr="00FE363C">
        <w:t xml:space="preserve">egulations to </w:t>
      </w:r>
      <w:r w:rsidRPr="0017041E">
        <w:t>assess whether</w:t>
      </w:r>
      <w:r w:rsidRPr="00FE363C">
        <w:t xml:space="preserve"> the proposed </w:t>
      </w:r>
      <w:r w:rsidR="00B7048D">
        <w:t>r</w:t>
      </w:r>
      <w:r w:rsidRPr="00FE363C">
        <w:t xml:space="preserve">egulations are the appropriate intervention to meet their identified objectives. An evaluation strategy </w:t>
      </w:r>
      <w:r w:rsidR="00D93333">
        <w:t xml:space="preserve">is a strategy that outlines how the evaluation of the proposed </w:t>
      </w:r>
      <w:r w:rsidR="00B7048D">
        <w:t>r</w:t>
      </w:r>
      <w:r w:rsidR="00D93333">
        <w:t xml:space="preserve">egulations will be </w:t>
      </w:r>
      <w:r w:rsidRPr="00FE363C">
        <w:t>undertaken.</w:t>
      </w:r>
    </w:p>
    <w:p w14:paraId="16A9EE9A" w14:textId="77777777" w:rsidR="008A05E4" w:rsidRPr="00FE363C" w:rsidRDefault="008A05E4" w:rsidP="008A05E4">
      <w:r w:rsidRPr="00FE363C">
        <w:t xml:space="preserve">The proposed </w:t>
      </w:r>
      <w:r>
        <w:t>r</w:t>
      </w:r>
      <w:r w:rsidRPr="00FE363C">
        <w:t xml:space="preserve">egulations </w:t>
      </w:r>
      <w:r>
        <w:t>are largely a remake of the existing set of bus safety regulations. A</w:t>
      </w:r>
      <w:r w:rsidRPr="00FE363C">
        <w:t xml:space="preserve">n evaluation of the proposed </w:t>
      </w:r>
      <w:r>
        <w:t>r</w:t>
      </w:r>
      <w:r w:rsidRPr="00FE363C">
        <w:t xml:space="preserve">egulations will need to consider the performance </w:t>
      </w:r>
      <w:r>
        <w:t xml:space="preserve">bus services industry, including bus operators, bus drivers, passengers and the broader community generally. </w:t>
      </w:r>
    </w:p>
    <w:p w14:paraId="747A2343" w14:textId="77777777" w:rsidR="0007739D" w:rsidRPr="00FE363C" w:rsidRDefault="0007739D" w:rsidP="00AF1E95">
      <w:pPr>
        <w:pStyle w:val="Heading2"/>
      </w:pPr>
      <w:bookmarkStart w:id="1036" w:name="_Toc509312043"/>
      <w:bookmarkStart w:id="1037" w:name="_Toc32909885"/>
      <w:bookmarkStart w:id="1038" w:name="_Toc45704417"/>
      <w:r w:rsidRPr="00FE363C">
        <w:t>The approach to evaluation</w:t>
      </w:r>
      <w:bookmarkEnd w:id="1036"/>
      <w:bookmarkEnd w:id="1037"/>
      <w:bookmarkEnd w:id="1038"/>
    </w:p>
    <w:p w14:paraId="0CA7C9DD" w14:textId="77777777" w:rsidR="0007739D" w:rsidRPr="00FC78A1" w:rsidRDefault="0007739D" w:rsidP="0007739D">
      <w:pPr>
        <w:pStyle w:val="Heading3"/>
        <w:tabs>
          <w:tab w:val="num" w:pos="567"/>
        </w:tabs>
        <w:spacing w:before="240" w:after="120"/>
        <w:ind w:left="567" w:hanging="567"/>
      </w:pPr>
      <w:bookmarkStart w:id="1039" w:name="_Toc509312044"/>
      <w:bookmarkStart w:id="1040" w:name="_Toc32909886"/>
      <w:bookmarkStart w:id="1041" w:name="_Toc45704418"/>
      <w:r w:rsidRPr="00FC78A1">
        <w:t>Timing, evidence and monitoring</w:t>
      </w:r>
      <w:bookmarkEnd w:id="1039"/>
      <w:bookmarkEnd w:id="1040"/>
      <w:bookmarkEnd w:id="1041"/>
    </w:p>
    <w:p w14:paraId="203096E1" w14:textId="609FC4AF" w:rsidR="00F434E3" w:rsidRDefault="00F434E3" w:rsidP="00F434E3">
      <w:r>
        <w:t xml:space="preserve">The </w:t>
      </w:r>
      <w:r w:rsidRPr="0096237F">
        <w:rPr>
          <w:i/>
        </w:rPr>
        <w:t>Subordinate Legislation Act 1994</w:t>
      </w:r>
      <w:r>
        <w:t xml:space="preserve"> provides for the automatic revocation of regulations after ten years of operation. In addition, the Act requires that </w:t>
      </w:r>
      <w:r w:rsidR="00B61A2B">
        <w:t>a</w:t>
      </w:r>
      <w:r w:rsidR="00C04116">
        <w:t xml:space="preserve"> RIS</w:t>
      </w:r>
      <w:r w:rsidR="00B61A2B">
        <w:t xml:space="preserve"> i</w:t>
      </w:r>
      <w:r>
        <w:t>s are prepared and that there is appropriate public consultation undertaken to provide the community with an opportunity to comment</w:t>
      </w:r>
      <w:r w:rsidRPr="0035425E">
        <w:t xml:space="preserve"> </w:t>
      </w:r>
      <w:r>
        <w:t>when regulations are proposed to be made.</w:t>
      </w:r>
    </w:p>
    <w:p w14:paraId="0E220D6B" w14:textId="6C4963CF" w:rsidR="00EE70E3" w:rsidRDefault="00F604EE" w:rsidP="00F434E3">
      <w:r>
        <w:t xml:space="preserve">The Department of Transport </w:t>
      </w:r>
      <w:r w:rsidR="009E47F4">
        <w:t xml:space="preserve">will review the operation of the proposed regulations </w:t>
      </w:r>
      <w:r w:rsidR="00F434E3">
        <w:t xml:space="preserve">before the sunset date of the proposed regulations (i.e. ten years from the date of making). </w:t>
      </w:r>
      <w:r w:rsidR="00491C71" w:rsidRPr="00FE363C">
        <w:t>The review will evaluate the effectiveness of the</w:t>
      </w:r>
      <w:r w:rsidR="00491C71">
        <w:t xml:space="preserve"> proposed </w:t>
      </w:r>
      <w:r w:rsidR="006E4F4E">
        <w:t>regulation and</w:t>
      </w:r>
      <w:r w:rsidR="00665848">
        <w:t xml:space="preserve"> </w:t>
      </w:r>
      <w:r w:rsidR="00E230DE">
        <w:t xml:space="preserve">inform </w:t>
      </w:r>
      <w:r w:rsidR="00F434E3">
        <w:t>the preparation of the possible future</w:t>
      </w:r>
      <w:r w:rsidR="00C04116">
        <w:t xml:space="preserve"> RIS</w:t>
      </w:r>
      <w:r w:rsidR="00F434E3">
        <w:t xml:space="preserve">, if regulations are still considered necessary to achieve the objectives. </w:t>
      </w:r>
    </w:p>
    <w:p w14:paraId="595E408B" w14:textId="3FF5B8EC" w:rsidR="0007739D" w:rsidRDefault="00F604EE" w:rsidP="003E5422">
      <w:r>
        <w:t xml:space="preserve">The Department </w:t>
      </w:r>
      <w:r w:rsidR="00F434E3">
        <w:t>will be responsible for undertaking the review</w:t>
      </w:r>
      <w:r w:rsidR="00EE70E3">
        <w:t xml:space="preserve"> and would</w:t>
      </w:r>
      <w:r w:rsidR="006E4F4E">
        <w:t xml:space="preserve"> </w:t>
      </w:r>
      <w:r w:rsidR="00EE70E3" w:rsidRPr="00FE363C">
        <w:t xml:space="preserve">commence approximately 12 to 18 months before the expiry of the </w:t>
      </w:r>
      <w:r w:rsidR="00EE70E3">
        <w:t xml:space="preserve">proposed </w:t>
      </w:r>
      <w:r w:rsidR="00EE70E3" w:rsidRPr="00FE363C">
        <w:t>Regulations in 20</w:t>
      </w:r>
      <w:r w:rsidR="00EE70E3">
        <w:t>30</w:t>
      </w:r>
      <w:r>
        <w:t xml:space="preserve">. </w:t>
      </w:r>
      <w:r w:rsidR="00046E9C">
        <w:t xml:space="preserve">The </w:t>
      </w:r>
      <w:r w:rsidR="00863B92">
        <w:t>Department</w:t>
      </w:r>
      <w:r w:rsidR="0007739D" w:rsidRPr="00FE363C">
        <w:t xml:space="preserve"> will undertake the evaluation drawing on information and input from the </w:t>
      </w:r>
      <w:r w:rsidR="00CC6E45">
        <w:t>TSV</w:t>
      </w:r>
      <w:r w:rsidR="00046E9C">
        <w:t xml:space="preserve">. </w:t>
      </w:r>
      <w:r w:rsidR="0007739D" w:rsidRPr="00FE363C">
        <w:t xml:space="preserve">This includes compliance </w:t>
      </w:r>
      <w:r w:rsidR="00A626F5">
        <w:t xml:space="preserve">monitoring and enforcement </w:t>
      </w:r>
      <w:r w:rsidR="0007739D" w:rsidRPr="00FE363C">
        <w:t>data,</w:t>
      </w:r>
      <w:r w:rsidR="00A72968">
        <w:t xml:space="preserve"> and </w:t>
      </w:r>
      <w:r w:rsidR="0007739D" w:rsidRPr="00FE363C">
        <w:t>information and data kept by the industry as records</w:t>
      </w:r>
      <w:r w:rsidR="00CC6E45">
        <w:t>.</w:t>
      </w:r>
    </w:p>
    <w:p w14:paraId="784CD25A" w14:textId="47765340" w:rsidR="00E43EE3" w:rsidRDefault="00E43EE3" w:rsidP="00E43EE3">
      <w:pPr>
        <w:rPr>
          <w:color w:val="auto"/>
          <w:szCs w:val="22"/>
        </w:rPr>
      </w:pPr>
      <w:r>
        <w:t>DoT has also indicated that a future review of regulatory fees will be undertaken. There are several factors and circumstances such that DoT is recommending that the structure and levels of fees do not change at this time. However, DoT is committing to undertaking a full review of fees within three</w:t>
      </w:r>
      <w:r w:rsidR="003C319E">
        <w:t xml:space="preserve"> to five</w:t>
      </w:r>
      <w:r>
        <w:t xml:space="preserve"> years of the commencement of the proposed Regulations.</w:t>
      </w:r>
      <w:r w:rsidR="003C319E">
        <w:t xml:space="preserve"> DoT considers that this timeframe is appropriate having regard to the time that may be needed to undertake any organisational restructure, and the implementation of any reforms. Additionally, in the current environment of the COVID-19 pandemic, there is considerable uncertainty in relation to planning and priorities, but DoT considers that a timeframe of three to five years sufficient to undertake a review of regulatory fees.</w:t>
      </w:r>
      <w:r>
        <w:t xml:space="preserve"> As part of this review, DoT will examine and assess the efficiency of the cost base associated with bus safety regulation, and a range of options for the recovery of costs. Information assessed to date, and submissions made for the purposes of consultation on this RIS will inform this review.</w:t>
      </w:r>
    </w:p>
    <w:p w14:paraId="7578B5C6" w14:textId="1D31C580" w:rsidR="0007739D" w:rsidRPr="00FC78A1" w:rsidRDefault="006E4F4E" w:rsidP="0007739D">
      <w:pPr>
        <w:pStyle w:val="Heading3"/>
        <w:tabs>
          <w:tab w:val="num" w:pos="567"/>
        </w:tabs>
        <w:spacing w:before="240" w:after="120"/>
        <w:ind w:left="567" w:hanging="567"/>
      </w:pPr>
      <w:bookmarkStart w:id="1042" w:name="_Toc32909887"/>
      <w:bookmarkStart w:id="1043" w:name="_Toc45704419"/>
      <w:r>
        <w:t>Objectives of the regulatory proposal</w:t>
      </w:r>
      <w:bookmarkEnd w:id="1042"/>
      <w:bookmarkEnd w:id="1043"/>
    </w:p>
    <w:p w14:paraId="522C8D4C" w14:textId="047BEE87" w:rsidR="00687822" w:rsidRDefault="00687822" w:rsidP="00687822">
      <w:r>
        <w:t>DoT’s objective</w:t>
      </w:r>
      <w:r w:rsidR="00444024">
        <w:t xml:space="preserve"> in making the proposed regulations</w:t>
      </w:r>
      <w:r w:rsidR="00A03FFE">
        <w:t xml:space="preserve"> (as discussed in Section </w:t>
      </w:r>
      <w:r w:rsidR="00A03FFE">
        <w:fldChar w:fldCharType="begin"/>
      </w:r>
      <w:r w:rsidR="00A03FFE">
        <w:instrText xml:space="preserve"> REF _Ref43309294 \r \h </w:instrText>
      </w:r>
      <w:r w:rsidR="00A03FFE">
        <w:fldChar w:fldCharType="separate"/>
      </w:r>
      <w:r w:rsidR="00277F6E">
        <w:t>4</w:t>
      </w:r>
      <w:r w:rsidR="00A03FFE">
        <w:fldChar w:fldCharType="end"/>
      </w:r>
      <w:r w:rsidR="00A03FFE">
        <w:t>)</w:t>
      </w:r>
      <w:r>
        <w:t xml:space="preserve"> is to promote and improve the safety of bus services provided in Victoria while </w:t>
      </w:r>
      <w:r w:rsidRPr="00A23F17">
        <w:t xml:space="preserve">minimising </w:t>
      </w:r>
      <w:r>
        <w:t xml:space="preserve">regulatory and compliance costs to </w:t>
      </w:r>
      <w:r w:rsidRPr="00A23F17">
        <w:t>industry</w:t>
      </w:r>
      <w:r>
        <w:t xml:space="preserve"> and enabling effective enforcement of bus safety laws</w:t>
      </w:r>
      <w:r w:rsidRPr="00A23F17">
        <w:t xml:space="preserve">. </w:t>
      </w:r>
    </w:p>
    <w:p w14:paraId="556971DF" w14:textId="1B892C33" w:rsidR="0007739D" w:rsidRDefault="0007739D" w:rsidP="00C24352">
      <w:r w:rsidRPr="00FE363C">
        <w:t xml:space="preserve">Accordingly, </w:t>
      </w:r>
      <w:r>
        <w:t>the proposed approach to the evaluation</w:t>
      </w:r>
      <w:r w:rsidR="00687822">
        <w:t xml:space="preserve"> involves</w:t>
      </w:r>
      <w:r>
        <w:t>:</w:t>
      </w:r>
    </w:p>
    <w:p w14:paraId="49425E4A" w14:textId="7BFA8F18" w:rsidR="0007739D" w:rsidRPr="00C27798" w:rsidRDefault="00444024"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t>i</w:t>
      </w:r>
      <w:r w:rsidR="0007739D" w:rsidRPr="00C27798">
        <w:rPr>
          <w:rFonts w:asciiTheme="minorHAnsi" w:hAnsiTheme="minorHAnsi" w:cstheme="minorHAnsi"/>
          <w:color w:val="auto"/>
          <w:sz w:val="20"/>
          <w:szCs w:val="20"/>
        </w:rPr>
        <w:t xml:space="preserve">dentifying the proposed </w:t>
      </w:r>
      <w:r w:rsidR="00BF29F8" w:rsidRPr="00C27798">
        <w:rPr>
          <w:rFonts w:asciiTheme="minorHAnsi" w:hAnsiTheme="minorHAnsi" w:cstheme="minorHAnsi"/>
          <w:color w:val="auto"/>
          <w:sz w:val="20"/>
          <w:szCs w:val="20"/>
        </w:rPr>
        <w:t>r</w:t>
      </w:r>
      <w:r w:rsidR="0007739D" w:rsidRPr="00C27798">
        <w:rPr>
          <w:rFonts w:asciiTheme="minorHAnsi" w:hAnsiTheme="minorHAnsi" w:cstheme="minorHAnsi"/>
          <w:color w:val="auto"/>
          <w:sz w:val="20"/>
          <w:szCs w:val="20"/>
        </w:rPr>
        <w:t>egulations that are relevant to the specific objective</w:t>
      </w:r>
    </w:p>
    <w:p w14:paraId="12281467" w14:textId="4C5B36FF" w:rsidR="0007739D" w:rsidRPr="00C27798" w:rsidRDefault="00444024"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t>i</w:t>
      </w:r>
      <w:r w:rsidR="0007739D" w:rsidRPr="00C27798">
        <w:rPr>
          <w:rFonts w:asciiTheme="minorHAnsi" w:hAnsiTheme="minorHAnsi" w:cstheme="minorHAnsi"/>
          <w:color w:val="auto"/>
          <w:sz w:val="20"/>
          <w:szCs w:val="20"/>
        </w:rPr>
        <w:t xml:space="preserve">dentifying indicators </w:t>
      </w:r>
      <w:r w:rsidR="002E7B43" w:rsidRPr="00C27798">
        <w:rPr>
          <w:rFonts w:asciiTheme="minorHAnsi" w:hAnsiTheme="minorHAnsi" w:cstheme="minorHAnsi"/>
          <w:color w:val="auto"/>
          <w:sz w:val="20"/>
          <w:szCs w:val="20"/>
        </w:rPr>
        <w:t xml:space="preserve">– </w:t>
      </w:r>
      <w:r w:rsidR="0007739D" w:rsidRPr="00C27798">
        <w:rPr>
          <w:rFonts w:asciiTheme="minorHAnsi" w:hAnsiTheme="minorHAnsi" w:cstheme="minorHAnsi"/>
          <w:color w:val="auto"/>
          <w:sz w:val="20"/>
          <w:szCs w:val="20"/>
        </w:rPr>
        <w:t>the changes in outputs or outcomes providing an indication that the objectives of the intervention are being achieved</w:t>
      </w:r>
    </w:p>
    <w:p w14:paraId="26A36CE4" w14:textId="732C6350" w:rsidR="0007739D" w:rsidRPr="00C27798" w:rsidRDefault="00444024"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t>i</w:t>
      </w:r>
      <w:r w:rsidR="0007739D" w:rsidRPr="00C27798">
        <w:rPr>
          <w:rFonts w:asciiTheme="minorHAnsi" w:hAnsiTheme="minorHAnsi" w:cstheme="minorHAnsi"/>
          <w:color w:val="auto"/>
          <w:sz w:val="20"/>
          <w:szCs w:val="20"/>
        </w:rPr>
        <w:t xml:space="preserve">dentifying the baseline data </w:t>
      </w:r>
      <w:r w:rsidR="002E7B43" w:rsidRPr="00C27798">
        <w:rPr>
          <w:rFonts w:asciiTheme="minorHAnsi" w:hAnsiTheme="minorHAnsi" w:cstheme="minorHAnsi"/>
          <w:color w:val="auto"/>
          <w:sz w:val="20"/>
          <w:szCs w:val="20"/>
        </w:rPr>
        <w:t>–</w:t>
      </w:r>
      <w:r w:rsidR="0007739D" w:rsidRPr="00C27798">
        <w:rPr>
          <w:rFonts w:asciiTheme="minorHAnsi" w:hAnsiTheme="minorHAnsi" w:cstheme="minorHAnsi"/>
          <w:color w:val="auto"/>
          <w:sz w:val="20"/>
          <w:szCs w:val="20"/>
        </w:rPr>
        <w:t xml:space="preserve"> the data that will be collected prior to the commencement of the intervention, that will be used as the basis of the analysis</w:t>
      </w:r>
    </w:p>
    <w:p w14:paraId="66952684" w14:textId="2BEAD5F1" w:rsidR="0007739D" w:rsidRPr="00C27798" w:rsidRDefault="00444024"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t>d</w:t>
      </w:r>
      <w:r w:rsidR="0007739D" w:rsidRPr="00C27798">
        <w:rPr>
          <w:rFonts w:asciiTheme="minorHAnsi" w:hAnsiTheme="minorHAnsi" w:cstheme="minorHAnsi"/>
          <w:color w:val="auto"/>
          <w:sz w:val="20"/>
          <w:szCs w:val="20"/>
        </w:rPr>
        <w:t xml:space="preserve">ata to be collected </w:t>
      </w:r>
      <w:r w:rsidR="002E7B43" w:rsidRPr="00C27798">
        <w:rPr>
          <w:rFonts w:asciiTheme="minorHAnsi" w:hAnsiTheme="minorHAnsi" w:cstheme="minorHAnsi"/>
          <w:color w:val="auto"/>
          <w:sz w:val="20"/>
          <w:szCs w:val="20"/>
        </w:rPr>
        <w:t>–</w:t>
      </w:r>
      <w:r w:rsidR="0007739D" w:rsidRPr="00C27798">
        <w:rPr>
          <w:rFonts w:asciiTheme="minorHAnsi" w:hAnsiTheme="minorHAnsi" w:cstheme="minorHAnsi"/>
          <w:color w:val="auto"/>
          <w:sz w:val="20"/>
          <w:szCs w:val="20"/>
        </w:rPr>
        <w:t xml:space="preserve"> the data that will be collected after the commencement of the intervention</w:t>
      </w:r>
      <w:r w:rsidR="000A3D56" w:rsidRPr="00C27798">
        <w:rPr>
          <w:rFonts w:asciiTheme="minorHAnsi" w:hAnsiTheme="minorHAnsi" w:cstheme="minorHAnsi"/>
          <w:color w:val="auto"/>
          <w:sz w:val="20"/>
          <w:szCs w:val="20"/>
        </w:rPr>
        <w:t>, with t</w:t>
      </w:r>
      <w:r w:rsidR="0007739D" w:rsidRPr="00C27798">
        <w:rPr>
          <w:rFonts w:asciiTheme="minorHAnsi" w:hAnsiTheme="minorHAnsi" w:cstheme="minorHAnsi"/>
          <w:color w:val="auto"/>
          <w:sz w:val="20"/>
          <w:szCs w:val="20"/>
        </w:rPr>
        <w:t>his data assessed against the baseline data</w:t>
      </w:r>
    </w:p>
    <w:p w14:paraId="02F37EEF" w14:textId="02BF4DB5" w:rsidR="0007739D" w:rsidRPr="00C27798" w:rsidRDefault="00FF24AD"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lastRenderedPageBreak/>
        <w:t>t</w:t>
      </w:r>
      <w:r w:rsidR="0007739D" w:rsidRPr="00C27798">
        <w:rPr>
          <w:rFonts w:asciiTheme="minorHAnsi" w:hAnsiTheme="minorHAnsi" w:cstheme="minorHAnsi"/>
          <w:color w:val="auto"/>
          <w:sz w:val="20"/>
          <w:szCs w:val="20"/>
        </w:rPr>
        <w:t>he evaluation will consist of a comparison of the outputs and outcomes post-implementation against the baseline data</w:t>
      </w:r>
    </w:p>
    <w:p w14:paraId="2DF9EA88" w14:textId="0014CB09" w:rsidR="002F50BB" w:rsidRDefault="0007739D" w:rsidP="002F50BB">
      <w:pPr>
        <w:rPr>
          <w:szCs w:val="20"/>
        </w:rPr>
      </w:pPr>
      <w:r w:rsidRPr="00E11AB4">
        <w:rPr>
          <w:szCs w:val="20"/>
        </w:rPr>
        <w:t xml:space="preserve">In terms of the proposed </w:t>
      </w:r>
      <w:r w:rsidR="00BF29F8">
        <w:rPr>
          <w:szCs w:val="20"/>
        </w:rPr>
        <w:t>r</w:t>
      </w:r>
      <w:r w:rsidRPr="00E11AB4">
        <w:rPr>
          <w:szCs w:val="20"/>
        </w:rPr>
        <w:t>egulations, the evaluation will consider whether the requirement</w:t>
      </w:r>
      <w:r w:rsidR="00226B45">
        <w:rPr>
          <w:szCs w:val="20"/>
        </w:rPr>
        <w:t xml:space="preserve">s relating to management systems, </w:t>
      </w:r>
      <w:r w:rsidR="002F50BB">
        <w:rPr>
          <w:szCs w:val="20"/>
        </w:rPr>
        <w:t>annual inspections and inciden</w:t>
      </w:r>
      <w:r w:rsidR="00FF24AD">
        <w:rPr>
          <w:szCs w:val="20"/>
        </w:rPr>
        <w:t>t</w:t>
      </w:r>
      <w:r w:rsidR="002F50BB">
        <w:rPr>
          <w:szCs w:val="20"/>
        </w:rPr>
        <w:t xml:space="preserve"> reporting is still </w:t>
      </w:r>
      <w:r w:rsidRPr="00E11AB4">
        <w:rPr>
          <w:szCs w:val="20"/>
        </w:rPr>
        <w:t>appropriate or whether the industry is adopting different approaches to managing safety.</w:t>
      </w:r>
    </w:p>
    <w:p w14:paraId="67A73A3F" w14:textId="2260A30C" w:rsidR="0007739D" w:rsidRPr="00E11AB4" w:rsidRDefault="002F50BB" w:rsidP="00E11AB4">
      <w:pPr>
        <w:rPr>
          <w:szCs w:val="20"/>
        </w:rPr>
      </w:pPr>
      <w:r>
        <w:rPr>
          <w:szCs w:val="20"/>
        </w:rPr>
        <w:t>T</w:t>
      </w:r>
      <w:r w:rsidR="0007739D" w:rsidRPr="00E11AB4">
        <w:rPr>
          <w:szCs w:val="20"/>
        </w:rPr>
        <w:t>he safety of</w:t>
      </w:r>
      <w:r>
        <w:rPr>
          <w:szCs w:val="20"/>
        </w:rPr>
        <w:t xml:space="preserve"> accredited and registered</w:t>
      </w:r>
      <w:r w:rsidR="0007739D" w:rsidRPr="00E11AB4">
        <w:rPr>
          <w:szCs w:val="20"/>
        </w:rPr>
        <w:t xml:space="preserve"> </w:t>
      </w:r>
      <w:r>
        <w:rPr>
          <w:szCs w:val="20"/>
        </w:rPr>
        <w:t>bus services</w:t>
      </w:r>
      <w:r w:rsidR="0007739D" w:rsidRPr="00E11AB4">
        <w:rPr>
          <w:szCs w:val="20"/>
        </w:rPr>
        <w:t xml:space="preserve"> </w:t>
      </w:r>
      <w:r>
        <w:rPr>
          <w:szCs w:val="20"/>
        </w:rPr>
        <w:t>need</w:t>
      </w:r>
      <w:r w:rsidR="00270F8A">
        <w:rPr>
          <w:szCs w:val="20"/>
        </w:rPr>
        <w:t>s</w:t>
      </w:r>
      <w:r>
        <w:rPr>
          <w:szCs w:val="20"/>
        </w:rPr>
        <w:t xml:space="preserve"> to continue to be monitored. </w:t>
      </w:r>
      <w:r w:rsidR="00270F8A">
        <w:rPr>
          <w:szCs w:val="20"/>
        </w:rPr>
        <w:t>This includes</w:t>
      </w:r>
      <w:r w:rsidR="0007739D" w:rsidRPr="00E11AB4">
        <w:rPr>
          <w:szCs w:val="20"/>
        </w:rPr>
        <w:t xml:space="preserve"> </w:t>
      </w:r>
      <w:r w:rsidR="00270F8A">
        <w:rPr>
          <w:szCs w:val="20"/>
        </w:rPr>
        <w:t>monitoring</w:t>
      </w:r>
      <w:r w:rsidR="0007739D" w:rsidRPr="00E11AB4">
        <w:rPr>
          <w:szCs w:val="20"/>
        </w:rPr>
        <w:t xml:space="preserve"> whether there are proportional levels of </w:t>
      </w:r>
      <w:r w:rsidR="00DF7704">
        <w:rPr>
          <w:szCs w:val="20"/>
        </w:rPr>
        <w:t xml:space="preserve">safety </w:t>
      </w:r>
      <w:r w:rsidR="00A01FA1">
        <w:rPr>
          <w:szCs w:val="20"/>
        </w:rPr>
        <w:t>incidents</w:t>
      </w:r>
      <w:r w:rsidR="00DF7704">
        <w:rPr>
          <w:szCs w:val="20"/>
        </w:rPr>
        <w:t xml:space="preserve"> between accredited and registered bus </w:t>
      </w:r>
      <w:r w:rsidR="000246E7">
        <w:rPr>
          <w:szCs w:val="20"/>
        </w:rPr>
        <w:t>services.</w:t>
      </w:r>
    </w:p>
    <w:p w14:paraId="70236E2D" w14:textId="77777777" w:rsidR="00516BCB" w:rsidRPr="005641FF" w:rsidRDefault="00516BCB" w:rsidP="00516BCB">
      <w:pPr>
        <w:pStyle w:val="Heading3"/>
        <w:tabs>
          <w:tab w:val="num" w:pos="567"/>
        </w:tabs>
        <w:spacing w:before="240" w:after="120"/>
        <w:ind w:left="567" w:hanging="567"/>
      </w:pPr>
      <w:bookmarkStart w:id="1044" w:name="_Toc32909888"/>
      <w:bookmarkStart w:id="1045" w:name="_Toc45704420"/>
      <w:r w:rsidRPr="005641FF">
        <w:t>Baseline data</w:t>
      </w:r>
      <w:bookmarkEnd w:id="1044"/>
      <w:bookmarkEnd w:id="1045"/>
    </w:p>
    <w:p w14:paraId="1A46A5DE" w14:textId="77777777" w:rsidR="00516BCB" w:rsidRPr="00E11AB4" w:rsidRDefault="00516BCB" w:rsidP="00516BCB">
      <w:pPr>
        <w:pStyle w:val="BodyText"/>
        <w:rPr>
          <w:sz w:val="20"/>
          <w:szCs w:val="20"/>
        </w:rPr>
      </w:pPr>
      <w:r w:rsidRPr="00E11AB4">
        <w:rPr>
          <w:sz w:val="20"/>
          <w:szCs w:val="20"/>
        </w:rPr>
        <w:t xml:space="preserve">The evaluation will be informed by the </w:t>
      </w:r>
      <w:r>
        <w:rPr>
          <w:sz w:val="20"/>
          <w:szCs w:val="20"/>
        </w:rPr>
        <w:t xml:space="preserve">current </w:t>
      </w:r>
      <w:r w:rsidRPr="00E11AB4">
        <w:rPr>
          <w:sz w:val="20"/>
          <w:szCs w:val="20"/>
        </w:rPr>
        <w:t>data available in relation to:</w:t>
      </w:r>
    </w:p>
    <w:p w14:paraId="0A4A4720" w14:textId="732FEC92" w:rsidR="008E7D2D" w:rsidRPr="00C27798" w:rsidRDefault="00C3125B"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t>d</w:t>
      </w:r>
      <w:r w:rsidR="008E7D2D" w:rsidRPr="00C27798">
        <w:rPr>
          <w:rFonts w:asciiTheme="minorHAnsi" w:hAnsiTheme="minorHAnsi" w:cstheme="minorHAnsi"/>
          <w:color w:val="auto"/>
          <w:sz w:val="20"/>
          <w:szCs w:val="20"/>
        </w:rPr>
        <w:t>ata on safety outcomes in the bus industry, including fatalities and serious injuries</w:t>
      </w:r>
    </w:p>
    <w:p w14:paraId="2355F052" w14:textId="7EF7BDC3" w:rsidR="00516BCB" w:rsidRPr="00C27798" w:rsidRDefault="00516BCB"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t>vehicle inspections</w:t>
      </w:r>
      <w:r w:rsidR="008E7D2D" w:rsidRPr="00C27798">
        <w:rPr>
          <w:rFonts w:asciiTheme="minorHAnsi" w:hAnsiTheme="minorHAnsi" w:cstheme="minorHAnsi"/>
          <w:color w:val="auto"/>
          <w:sz w:val="20"/>
          <w:szCs w:val="20"/>
        </w:rPr>
        <w:t xml:space="preserve"> which includes the results of the inspections and actions taken to address identified defects and issues</w:t>
      </w:r>
    </w:p>
    <w:p w14:paraId="1E6F634A" w14:textId="77777777" w:rsidR="008E7D2D" w:rsidRPr="00C27798" w:rsidRDefault="00516BCB"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t>bus safety incidents</w:t>
      </w:r>
      <w:r w:rsidR="008E7D2D" w:rsidRPr="00C27798">
        <w:rPr>
          <w:rFonts w:asciiTheme="minorHAnsi" w:hAnsiTheme="minorHAnsi" w:cstheme="minorHAnsi"/>
          <w:color w:val="auto"/>
          <w:sz w:val="20"/>
          <w:szCs w:val="20"/>
        </w:rPr>
        <w:t>, and</w:t>
      </w:r>
    </w:p>
    <w:p w14:paraId="32F135E2" w14:textId="38BDC72E" w:rsidR="00516BCB" w:rsidRPr="00C27798" w:rsidRDefault="008E7D2D"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t>other compliance, investigative and enforcement activit</w:t>
      </w:r>
      <w:r w:rsidR="00FF24AD" w:rsidRPr="00C27798">
        <w:rPr>
          <w:rFonts w:asciiTheme="minorHAnsi" w:hAnsiTheme="minorHAnsi" w:cstheme="minorHAnsi"/>
          <w:color w:val="auto"/>
          <w:sz w:val="20"/>
          <w:szCs w:val="20"/>
        </w:rPr>
        <w:t>ies</w:t>
      </w:r>
      <w:r w:rsidRPr="00C27798">
        <w:rPr>
          <w:rFonts w:asciiTheme="minorHAnsi" w:hAnsiTheme="minorHAnsi" w:cstheme="minorHAnsi"/>
          <w:color w:val="auto"/>
          <w:sz w:val="20"/>
          <w:szCs w:val="20"/>
        </w:rPr>
        <w:t xml:space="preserve"> conducted by the regulator</w:t>
      </w:r>
      <w:r w:rsidR="00516BCB" w:rsidRPr="00C27798">
        <w:rPr>
          <w:rFonts w:asciiTheme="minorHAnsi" w:hAnsiTheme="minorHAnsi" w:cstheme="minorHAnsi"/>
          <w:color w:val="auto"/>
          <w:sz w:val="20"/>
          <w:szCs w:val="20"/>
        </w:rPr>
        <w:t>.</w:t>
      </w:r>
    </w:p>
    <w:p w14:paraId="6AACEC80" w14:textId="77777777" w:rsidR="00516BCB" w:rsidRPr="005641FF" w:rsidRDefault="00516BCB" w:rsidP="00516BCB">
      <w:pPr>
        <w:pStyle w:val="Heading3"/>
        <w:tabs>
          <w:tab w:val="num" w:pos="567"/>
        </w:tabs>
        <w:spacing w:before="240" w:after="120"/>
        <w:ind w:left="567" w:hanging="567"/>
      </w:pPr>
      <w:bookmarkStart w:id="1046" w:name="_Toc32909889"/>
      <w:bookmarkStart w:id="1047" w:name="_Toc45704421"/>
      <w:r w:rsidRPr="005641FF">
        <w:t>Information and data to be collected</w:t>
      </w:r>
      <w:bookmarkEnd w:id="1046"/>
      <w:bookmarkEnd w:id="1047"/>
    </w:p>
    <w:p w14:paraId="06F9DCB2" w14:textId="77777777" w:rsidR="00516BCB" w:rsidRPr="00E11AB4" w:rsidRDefault="00516BCB" w:rsidP="00516BCB">
      <w:pPr>
        <w:pStyle w:val="BodyText"/>
        <w:rPr>
          <w:sz w:val="20"/>
          <w:szCs w:val="20"/>
        </w:rPr>
      </w:pPr>
      <w:r w:rsidRPr="00E11AB4">
        <w:rPr>
          <w:sz w:val="20"/>
          <w:szCs w:val="20"/>
        </w:rPr>
        <w:t xml:space="preserve">The regulator </w:t>
      </w:r>
      <w:r>
        <w:rPr>
          <w:sz w:val="20"/>
          <w:szCs w:val="20"/>
        </w:rPr>
        <w:t xml:space="preserve">has the </w:t>
      </w:r>
      <w:r w:rsidRPr="00E11AB4">
        <w:rPr>
          <w:sz w:val="20"/>
          <w:szCs w:val="20"/>
        </w:rPr>
        <w:t xml:space="preserve">power to monitor data on incidents which have an impact on driver and passenger safety in the </w:t>
      </w:r>
      <w:r>
        <w:rPr>
          <w:sz w:val="20"/>
          <w:szCs w:val="20"/>
        </w:rPr>
        <w:t xml:space="preserve">bus industry </w:t>
      </w:r>
      <w:r w:rsidRPr="00E11AB4">
        <w:rPr>
          <w:sz w:val="20"/>
          <w:szCs w:val="20"/>
        </w:rPr>
        <w:t>through:</w:t>
      </w:r>
    </w:p>
    <w:p w14:paraId="3A94453F" w14:textId="77777777" w:rsidR="00516BCB" w:rsidRPr="00C27798" w:rsidRDefault="00516BCB"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t>audits of bus services, including data on the number of infringements, improvements notices and prohibition notices</w:t>
      </w:r>
    </w:p>
    <w:p w14:paraId="65315EA5" w14:textId="77777777" w:rsidR="00516BCB" w:rsidRPr="00C27798" w:rsidRDefault="00516BCB"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t xml:space="preserve">reports from notifiable incidents to the regulator. </w:t>
      </w:r>
    </w:p>
    <w:p w14:paraId="3208DB33" w14:textId="638EEEF1" w:rsidR="00516BCB" w:rsidRPr="00E11AB4" w:rsidRDefault="00516BCB" w:rsidP="00516BCB">
      <w:pPr>
        <w:pStyle w:val="BodyText"/>
        <w:rPr>
          <w:sz w:val="20"/>
          <w:szCs w:val="20"/>
        </w:rPr>
      </w:pPr>
      <w:r w:rsidRPr="00E11AB4">
        <w:rPr>
          <w:sz w:val="20"/>
          <w:szCs w:val="20"/>
        </w:rPr>
        <w:t xml:space="preserve">Information and data to assess the effectiveness of the proposed </w:t>
      </w:r>
      <w:r w:rsidR="006117C3">
        <w:rPr>
          <w:sz w:val="20"/>
          <w:szCs w:val="20"/>
        </w:rPr>
        <w:t>r</w:t>
      </w:r>
      <w:r w:rsidRPr="00E11AB4">
        <w:rPr>
          <w:sz w:val="20"/>
          <w:szCs w:val="20"/>
        </w:rPr>
        <w:t>egulations will be collected through:</w:t>
      </w:r>
    </w:p>
    <w:p w14:paraId="18CE05A7" w14:textId="77777777" w:rsidR="00516BCB" w:rsidRPr="00C27798" w:rsidRDefault="00516BCB"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t xml:space="preserve">safety audits </w:t>
      </w:r>
    </w:p>
    <w:p w14:paraId="32BB8E24" w14:textId="785891A9" w:rsidR="00516BCB" w:rsidRPr="00C27798" w:rsidRDefault="00516BCB"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t>vehicle inspections</w:t>
      </w:r>
      <w:r w:rsidR="006117C3" w:rsidRPr="00C27798">
        <w:rPr>
          <w:rFonts w:asciiTheme="minorHAnsi" w:hAnsiTheme="minorHAnsi" w:cstheme="minorHAnsi"/>
          <w:color w:val="auto"/>
          <w:sz w:val="20"/>
          <w:szCs w:val="20"/>
        </w:rPr>
        <w:t>, and</w:t>
      </w:r>
    </w:p>
    <w:p w14:paraId="5C0D80EA" w14:textId="5454E835" w:rsidR="00D83DD8" w:rsidRPr="00C27798" w:rsidRDefault="00516BCB" w:rsidP="00C27798">
      <w:pPr>
        <w:pStyle w:val="ListParagraph"/>
        <w:numPr>
          <w:ilvl w:val="0"/>
          <w:numId w:val="34"/>
        </w:numPr>
        <w:rPr>
          <w:rFonts w:asciiTheme="minorHAnsi" w:hAnsiTheme="minorHAnsi" w:cstheme="minorHAnsi"/>
          <w:color w:val="auto"/>
          <w:sz w:val="20"/>
          <w:szCs w:val="20"/>
        </w:rPr>
      </w:pPr>
      <w:r w:rsidRPr="00C27798">
        <w:rPr>
          <w:rFonts w:asciiTheme="minorHAnsi" w:hAnsiTheme="minorHAnsi" w:cstheme="minorHAnsi"/>
          <w:color w:val="auto"/>
          <w:sz w:val="20"/>
          <w:szCs w:val="20"/>
        </w:rPr>
        <w:t>investigations arising from incidents notified to the regulator.</w:t>
      </w:r>
    </w:p>
    <w:p w14:paraId="02D02FCD" w14:textId="30B91C43" w:rsidR="004A7BA5" w:rsidRPr="0077334C" w:rsidRDefault="0096246F" w:rsidP="0095677C">
      <w:pPr>
        <w:pStyle w:val="Heading5"/>
      </w:pPr>
      <w:r w:rsidRPr="0077334C">
        <w:t>Current d</w:t>
      </w:r>
      <w:r w:rsidR="004A7BA5" w:rsidRPr="0077334C">
        <w:t>ata limitations</w:t>
      </w:r>
    </w:p>
    <w:p w14:paraId="323B5E07" w14:textId="0A3B2F4F" w:rsidR="00D83DD8" w:rsidRDefault="00D83DD8" w:rsidP="00D83DD8">
      <w:pPr>
        <w:pStyle w:val="BodyText"/>
        <w:rPr>
          <w:sz w:val="20"/>
          <w:szCs w:val="20"/>
        </w:rPr>
      </w:pPr>
      <w:r>
        <w:rPr>
          <w:sz w:val="20"/>
          <w:szCs w:val="20"/>
        </w:rPr>
        <w:t xml:space="preserve">DoT notes that, as part of the development of this RIS, there have been some difficulties in accessing data and gaining insights from that data. There are measures that could be taken to address these issues to improve the data that is available for analysis and to help improve decision making. Therefore, for the purpose of future regulatory reviews, in addition to the data that has been collected, there </w:t>
      </w:r>
      <w:r w:rsidR="00D807B5">
        <w:rPr>
          <w:sz w:val="20"/>
          <w:szCs w:val="20"/>
        </w:rPr>
        <w:t>are</w:t>
      </w:r>
      <w:r>
        <w:rPr>
          <w:sz w:val="20"/>
          <w:szCs w:val="20"/>
        </w:rPr>
        <w:t xml:space="preserve"> additional data sources that could be sourced or different assessment methodologies that could be applied to existing data. </w:t>
      </w:r>
    </w:p>
    <w:p w14:paraId="2A92F468" w14:textId="73FE4B68" w:rsidR="00D83DD8" w:rsidRDefault="00D83DD8" w:rsidP="00D83DD8">
      <w:pPr>
        <w:pStyle w:val="BodyText"/>
        <w:rPr>
          <w:sz w:val="20"/>
          <w:szCs w:val="20"/>
        </w:rPr>
      </w:pPr>
      <w:r>
        <w:rPr>
          <w:sz w:val="20"/>
          <w:szCs w:val="20"/>
        </w:rPr>
        <w:t xml:space="preserve">There are some issues that are temporary or limited to this review of the regulations. For example, some data was not available or collected in time to inform the review of the regulations. DoT can address this by commencing collection and collation of data earlier in the process of reviewing the regulations. </w:t>
      </w:r>
      <w:r w:rsidR="00F23B93">
        <w:rPr>
          <w:sz w:val="20"/>
          <w:szCs w:val="20"/>
        </w:rPr>
        <w:t xml:space="preserve">Another </w:t>
      </w:r>
      <w:r>
        <w:rPr>
          <w:sz w:val="20"/>
          <w:szCs w:val="20"/>
        </w:rPr>
        <w:t xml:space="preserve">issue which </w:t>
      </w:r>
      <w:r w:rsidR="00F23B93">
        <w:rPr>
          <w:sz w:val="20"/>
          <w:szCs w:val="20"/>
        </w:rPr>
        <w:t>is</w:t>
      </w:r>
      <w:r>
        <w:rPr>
          <w:sz w:val="20"/>
          <w:szCs w:val="20"/>
        </w:rPr>
        <w:t xml:space="preserve"> not expected to affect future regulatory reviews is TSV’s adoption of a new database in 2018 for recording and reporting information. DoT found that some data was incomplete and not suitable for presenting in this RIS. While this affected how some data is presented in this review, DoT does not expect that </w:t>
      </w:r>
      <w:r w:rsidR="00E66322">
        <w:rPr>
          <w:sz w:val="20"/>
          <w:szCs w:val="20"/>
        </w:rPr>
        <w:t xml:space="preserve">it </w:t>
      </w:r>
      <w:r>
        <w:rPr>
          <w:sz w:val="20"/>
          <w:szCs w:val="20"/>
        </w:rPr>
        <w:t>would affect future reviews.</w:t>
      </w:r>
    </w:p>
    <w:p w14:paraId="6F3DA38E" w14:textId="41C07C57" w:rsidR="00C65808" w:rsidRDefault="00D83DD8" w:rsidP="00D83DD8">
      <w:pPr>
        <w:pStyle w:val="BodyText"/>
        <w:rPr>
          <w:sz w:val="20"/>
          <w:szCs w:val="20"/>
        </w:rPr>
      </w:pPr>
      <w:r>
        <w:rPr>
          <w:sz w:val="20"/>
          <w:szCs w:val="20"/>
        </w:rPr>
        <w:t xml:space="preserve">Other data limitations relate to working with data across different databases and systems. For example, VicRoads holds data on vehicle registrations and vehicle owners, which include information on the manufacturer and make of different buses. There can be some difficulty in matching databases when data is collected in relation to different regulatory schemes. In the case of regulating for bus safety, the Bus Safety Act regulates vehicles that have a seating capacity for </w:t>
      </w:r>
      <w:r w:rsidR="002D61D1">
        <w:rPr>
          <w:sz w:val="20"/>
          <w:szCs w:val="20"/>
        </w:rPr>
        <w:t>10</w:t>
      </w:r>
      <w:r>
        <w:rPr>
          <w:sz w:val="20"/>
          <w:szCs w:val="20"/>
        </w:rPr>
        <w:t xml:space="preserve"> or more </w:t>
      </w:r>
      <w:r w:rsidR="00411CC1">
        <w:rPr>
          <w:sz w:val="20"/>
          <w:szCs w:val="20"/>
        </w:rPr>
        <w:t>adults</w:t>
      </w:r>
      <w:r>
        <w:rPr>
          <w:sz w:val="20"/>
          <w:szCs w:val="20"/>
        </w:rPr>
        <w:t xml:space="preserve"> and are used to provide a bus service</w:t>
      </w:r>
      <w:r w:rsidR="00D62A69">
        <w:rPr>
          <w:sz w:val="20"/>
          <w:szCs w:val="20"/>
        </w:rPr>
        <w:t>.</w:t>
      </w:r>
      <w:r>
        <w:rPr>
          <w:sz w:val="20"/>
          <w:szCs w:val="20"/>
        </w:rPr>
        <w:t xml:space="preserve"> On the other hand, the vehicle registration system under the Road Safety Act defines buses as vehicles with capacity for more than 13 </w:t>
      </w:r>
      <w:r w:rsidR="00411CC1">
        <w:rPr>
          <w:sz w:val="20"/>
          <w:szCs w:val="20"/>
        </w:rPr>
        <w:t>adults</w:t>
      </w:r>
      <w:r>
        <w:rPr>
          <w:sz w:val="20"/>
          <w:szCs w:val="20"/>
        </w:rPr>
        <w:t xml:space="preserve">. Effectively, this means that some ‘buses’, which have capacity between 10 to 12 </w:t>
      </w:r>
      <w:r w:rsidR="00411CC1">
        <w:rPr>
          <w:sz w:val="20"/>
          <w:szCs w:val="20"/>
        </w:rPr>
        <w:t xml:space="preserve">adults </w:t>
      </w:r>
      <w:r>
        <w:rPr>
          <w:sz w:val="20"/>
          <w:szCs w:val="20"/>
        </w:rPr>
        <w:t xml:space="preserve">could be captured as conventional passenger motor vehicles. The VicRoads system also does not record whether buses are used for private purposes or used to provide a bus service. Other factors that need to be considered are that some vehicles which seat 10 to 12 persons may also be used as a commercial passenger vehicle to transport wheelchair accessible persons, and this would not be captured in the VicRoads database. </w:t>
      </w:r>
    </w:p>
    <w:p w14:paraId="2C8AAA5D" w14:textId="0190780D" w:rsidR="00637B31" w:rsidRDefault="006E3362" w:rsidP="00AC0C7B">
      <w:pPr>
        <w:pStyle w:val="BodyText"/>
        <w:rPr>
          <w:sz w:val="20"/>
          <w:szCs w:val="20"/>
        </w:rPr>
      </w:pPr>
      <w:r w:rsidRPr="006E3362">
        <w:rPr>
          <w:sz w:val="20"/>
          <w:szCs w:val="20"/>
        </w:rPr>
        <w:lastRenderedPageBreak/>
        <w:t>There may be opportunities to access and align currently available data with data collected by Victoria Police in relation to bus safety</w:t>
      </w:r>
      <w:r w:rsidR="00D95A94">
        <w:rPr>
          <w:sz w:val="20"/>
          <w:szCs w:val="20"/>
        </w:rPr>
        <w:t>, including incidents relating to alcohol and drugs</w:t>
      </w:r>
      <w:r w:rsidR="00235EB4">
        <w:rPr>
          <w:sz w:val="20"/>
          <w:szCs w:val="20"/>
        </w:rPr>
        <w:t xml:space="preserve"> and </w:t>
      </w:r>
      <w:r w:rsidR="00D95A94">
        <w:rPr>
          <w:sz w:val="20"/>
          <w:szCs w:val="20"/>
        </w:rPr>
        <w:t>incidents that result in a fatality or serious injury</w:t>
      </w:r>
      <w:r w:rsidR="00EB3161">
        <w:rPr>
          <w:sz w:val="20"/>
          <w:szCs w:val="20"/>
        </w:rPr>
        <w:t>.</w:t>
      </w:r>
      <w:r w:rsidRPr="006E3362">
        <w:rPr>
          <w:sz w:val="20"/>
          <w:szCs w:val="20"/>
        </w:rPr>
        <w:t xml:space="preserve"> While Victoria Police have powers to enforce bus safety laws under the Bus Safety Act and its regulations, Victoria Police plays a greater role in enforcing the requirements of the Road Safety Act. The data collected during Victoria Police’s compliance monitoring and enforcement of the road safety laws is within the context of road safety law, not necessarily bus safety law. For this reason, data collected and used by Victoria Police may not necessarily align with what is required to analyse the efficacy of bus safety laws.</w:t>
      </w:r>
    </w:p>
    <w:p w14:paraId="62B706A8" w14:textId="585BC6EC" w:rsidR="00D83DD8" w:rsidRDefault="00D83DD8" w:rsidP="00D83DD8">
      <w:pPr>
        <w:pStyle w:val="BodyText"/>
        <w:rPr>
          <w:sz w:val="20"/>
          <w:szCs w:val="20"/>
        </w:rPr>
      </w:pPr>
      <w:r>
        <w:rPr>
          <w:sz w:val="20"/>
          <w:szCs w:val="20"/>
        </w:rPr>
        <w:t xml:space="preserve">While DoT has taken best endeavours to ensure the veracity of the data used for analysis, there are some limitations. </w:t>
      </w:r>
      <w:r w:rsidR="00AD380E">
        <w:rPr>
          <w:sz w:val="20"/>
          <w:szCs w:val="20"/>
        </w:rPr>
        <w:t>DoT will consider investigating opportunities</w:t>
      </w:r>
      <w:r w:rsidR="008C469C">
        <w:rPr>
          <w:sz w:val="20"/>
          <w:szCs w:val="20"/>
        </w:rPr>
        <w:t xml:space="preserve"> to </w:t>
      </w:r>
      <w:r w:rsidR="00625978">
        <w:rPr>
          <w:sz w:val="20"/>
          <w:szCs w:val="20"/>
        </w:rPr>
        <w:t xml:space="preserve">ensure that </w:t>
      </w:r>
      <w:r w:rsidR="004D2C84">
        <w:rPr>
          <w:sz w:val="20"/>
          <w:szCs w:val="20"/>
        </w:rPr>
        <w:t>these limitations</w:t>
      </w:r>
      <w:r w:rsidR="00625978">
        <w:rPr>
          <w:sz w:val="20"/>
          <w:szCs w:val="20"/>
        </w:rPr>
        <w:t xml:space="preserve"> are addressed.</w:t>
      </w:r>
      <w:r w:rsidR="00E63859">
        <w:rPr>
          <w:sz w:val="20"/>
          <w:szCs w:val="20"/>
        </w:rPr>
        <w:t xml:space="preserve"> This include</w:t>
      </w:r>
      <w:r w:rsidR="00B72CF6">
        <w:rPr>
          <w:sz w:val="20"/>
          <w:szCs w:val="20"/>
        </w:rPr>
        <w:t>s</w:t>
      </w:r>
      <w:r w:rsidR="00E63859">
        <w:rPr>
          <w:sz w:val="20"/>
          <w:szCs w:val="20"/>
        </w:rPr>
        <w:t xml:space="preserve"> opportunities to </w:t>
      </w:r>
      <w:r w:rsidR="005A5334">
        <w:rPr>
          <w:sz w:val="20"/>
          <w:szCs w:val="20"/>
        </w:rPr>
        <w:t xml:space="preserve">resolve discrepancies in data systems between DoT agencies </w:t>
      </w:r>
      <w:r w:rsidR="00222220">
        <w:rPr>
          <w:sz w:val="20"/>
          <w:szCs w:val="20"/>
        </w:rPr>
        <w:t>(i.e. TSV and VicRoads)</w:t>
      </w:r>
      <w:r w:rsidR="004D2C84">
        <w:rPr>
          <w:sz w:val="20"/>
          <w:szCs w:val="20"/>
        </w:rPr>
        <w:t>,</w:t>
      </w:r>
      <w:r w:rsidR="00222220">
        <w:rPr>
          <w:sz w:val="20"/>
          <w:szCs w:val="20"/>
        </w:rPr>
        <w:t xml:space="preserve"> and well as improvement in </w:t>
      </w:r>
      <w:r w:rsidR="004D2C84">
        <w:rPr>
          <w:sz w:val="20"/>
          <w:szCs w:val="20"/>
        </w:rPr>
        <w:t xml:space="preserve">inter-agency data sharing, particularly in relation to </w:t>
      </w:r>
      <w:r w:rsidR="00222220">
        <w:rPr>
          <w:sz w:val="20"/>
          <w:szCs w:val="20"/>
        </w:rPr>
        <w:t>Victoria Polic</w:t>
      </w:r>
      <w:r w:rsidR="00636131">
        <w:rPr>
          <w:sz w:val="20"/>
          <w:szCs w:val="20"/>
        </w:rPr>
        <w:t>e</w:t>
      </w:r>
      <w:r w:rsidR="004D2C84">
        <w:rPr>
          <w:sz w:val="20"/>
          <w:szCs w:val="20"/>
        </w:rPr>
        <w:t>’s compliance monitoring and enforce</w:t>
      </w:r>
      <w:r w:rsidR="00B72CF6">
        <w:rPr>
          <w:sz w:val="20"/>
          <w:szCs w:val="20"/>
        </w:rPr>
        <w:t>ment</w:t>
      </w:r>
      <w:r w:rsidR="004D2C84">
        <w:rPr>
          <w:sz w:val="20"/>
          <w:szCs w:val="20"/>
        </w:rPr>
        <w:t xml:space="preserve"> of the road safety and bus safety laws</w:t>
      </w:r>
      <w:r>
        <w:rPr>
          <w:sz w:val="20"/>
          <w:szCs w:val="20"/>
        </w:rPr>
        <w:t>.</w:t>
      </w:r>
    </w:p>
    <w:p w14:paraId="437D468D" w14:textId="61C3432D" w:rsidR="00036F61" w:rsidRPr="00077A86" w:rsidRDefault="00036F61" w:rsidP="0095677C">
      <w:pPr>
        <w:pStyle w:val="Heading5"/>
      </w:pPr>
      <w:r>
        <w:t>Quantifying benefits</w:t>
      </w:r>
    </w:p>
    <w:p w14:paraId="228742CF" w14:textId="2D150952" w:rsidR="00D83DD8" w:rsidRDefault="00D83DD8" w:rsidP="00D83DD8">
      <w:pPr>
        <w:pStyle w:val="BodyText"/>
        <w:rPr>
          <w:sz w:val="20"/>
          <w:szCs w:val="20"/>
        </w:rPr>
      </w:pPr>
      <w:bookmarkStart w:id="1048" w:name="_Hlk43359214"/>
      <w:r>
        <w:rPr>
          <w:sz w:val="20"/>
          <w:szCs w:val="20"/>
        </w:rPr>
        <w:t>In a number of cases, DoT has been unable to ascertain, with certainty, the extent of benefits that are attributable to certain interventions</w:t>
      </w:r>
      <w:bookmarkEnd w:id="1048"/>
      <w:r>
        <w:rPr>
          <w:sz w:val="20"/>
          <w:szCs w:val="20"/>
        </w:rPr>
        <w:t xml:space="preserve">. In part, this is because some regulatory requirements have been in place for many years and it difficult to estimate the counterfactual (i.e. determine what would happen in the absence of regulations). </w:t>
      </w:r>
      <w:r w:rsidR="00A5551C">
        <w:rPr>
          <w:sz w:val="20"/>
          <w:szCs w:val="20"/>
        </w:rPr>
        <w:t>For DoT to be best placed to conduct future evaluations, the following measures could be taken:</w:t>
      </w:r>
    </w:p>
    <w:p w14:paraId="3A1AC8A1" w14:textId="7E1AFC69" w:rsidR="00D83DD8" w:rsidRDefault="00A5551C" w:rsidP="00842F5A">
      <w:pPr>
        <w:pStyle w:val="BodyText"/>
        <w:numPr>
          <w:ilvl w:val="0"/>
          <w:numId w:val="31"/>
        </w:numPr>
        <w:rPr>
          <w:rFonts w:eastAsia="Times New Roman"/>
          <w:sz w:val="20"/>
          <w:szCs w:val="20"/>
        </w:rPr>
      </w:pPr>
      <w:r>
        <w:rPr>
          <w:rFonts w:eastAsia="Times New Roman"/>
          <w:sz w:val="20"/>
          <w:szCs w:val="20"/>
        </w:rPr>
        <w:t>D</w:t>
      </w:r>
      <w:r w:rsidR="00D83DD8">
        <w:rPr>
          <w:rFonts w:eastAsia="Times New Roman"/>
          <w:sz w:val="20"/>
          <w:szCs w:val="20"/>
        </w:rPr>
        <w:t xml:space="preserve">eeper analysis of incidents and investigations – some of the data presented in </w:t>
      </w:r>
      <w:r w:rsidR="0077334C">
        <w:rPr>
          <w:rFonts w:eastAsia="Times New Roman"/>
          <w:sz w:val="20"/>
          <w:szCs w:val="20"/>
        </w:rPr>
        <w:t xml:space="preserve">Section </w:t>
      </w:r>
      <w:r w:rsidR="00D83DD8">
        <w:rPr>
          <w:rFonts w:eastAsia="Times New Roman"/>
          <w:sz w:val="20"/>
          <w:szCs w:val="20"/>
        </w:rPr>
        <w:t xml:space="preserve">3 of this RIS is aggregated data. </w:t>
      </w:r>
      <w:r>
        <w:rPr>
          <w:rFonts w:eastAsia="Times New Roman"/>
          <w:sz w:val="20"/>
          <w:szCs w:val="20"/>
        </w:rPr>
        <w:t>A</w:t>
      </w:r>
      <w:r w:rsidR="00D83DD8">
        <w:rPr>
          <w:rFonts w:eastAsia="Times New Roman"/>
          <w:sz w:val="20"/>
          <w:szCs w:val="20"/>
        </w:rPr>
        <w:t xml:space="preserve">ccess to more granular records and </w:t>
      </w:r>
      <w:r>
        <w:rPr>
          <w:rFonts w:eastAsia="Times New Roman"/>
          <w:sz w:val="20"/>
          <w:szCs w:val="20"/>
        </w:rPr>
        <w:t xml:space="preserve">analysis of </w:t>
      </w:r>
      <w:r w:rsidR="00D83DD8">
        <w:rPr>
          <w:rFonts w:eastAsia="Times New Roman"/>
          <w:sz w:val="20"/>
          <w:szCs w:val="20"/>
        </w:rPr>
        <w:t>the causes of incidents or contributing factors</w:t>
      </w:r>
      <w:r w:rsidR="00055F3B">
        <w:rPr>
          <w:rFonts w:eastAsia="Times New Roman"/>
          <w:sz w:val="20"/>
          <w:szCs w:val="20"/>
        </w:rPr>
        <w:t xml:space="preserve"> would</w:t>
      </w:r>
      <w:r w:rsidR="00D83DD8">
        <w:rPr>
          <w:rFonts w:eastAsia="Times New Roman"/>
          <w:sz w:val="20"/>
          <w:szCs w:val="20"/>
        </w:rPr>
        <w:t xml:space="preserve"> better inform the potential benefits of regulatory options. DoT would need to budget and resource this task appropriately. However, preparations could be done as part of forward planning for future regulatory reviews. </w:t>
      </w:r>
    </w:p>
    <w:p w14:paraId="6DAF965F" w14:textId="52B82973" w:rsidR="00D83DD8" w:rsidRPr="00D83DD8" w:rsidRDefault="00D83DD8" w:rsidP="00842F5A">
      <w:pPr>
        <w:pStyle w:val="BodyText"/>
        <w:numPr>
          <w:ilvl w:val="0"/>
          <w:numId w:val="31"/>
        </w:numPr>
        <w:rPr>
          <w:rFonts w:eastAsia="Times New Roman"/>
          <w:sz w:val="20"/>
          <w:szCs w:val="20"/>
        </w:rPr>
      </w:pPr>
      <w:r>
        <w:rPr>
          <w:rFonts w:eastAsia="Times New Roman"/>
          <w:sz w:val="20"/>
          <w:szCs w:val="20"/>
        </w:rPr>
        <w:t xml:space="preserve">International or jurisdictional comparisons – safety data and trends in other jurisdictions may provide some further insights into estimating the counterfactual. </w:t>
      </w:r>
      <w:r w:rsidR="00055F3B">
        <w:rPr>
          <w:rFonts w:eastAsia="Times New Roman"/>
          <w:sz w:val="20"/>
          <w:szCs w:val="20"/>
        </w:rPr>
        <w:t>However,</w:t>
      </w:r>
      <w:r>
        <w:rPr>
          <w:rFonts w:eastAsia="Times New Roman"/>
          <w:sz w:val="20"/>
          <w:szCs w:val="20"/>
        </w:rPr>
        <w:t xml:space="preserve"> a number of other jurisdictions have similar regulatory schemes, so such data may not </w:t>
      </w:r>
      <w:r w:rsidR="00055F3B">
        <w:rPr>
          <w:rFonts w:eastAsia="Times New Roman"/>
          <w:sz w:val="20"/>
          <w:szCs w:val="20"/>
        </w:rPr>
        <w:t>provide a good indication</w:t>
      </w:r>
      <w:r w:rsidR="0077334C">
        <w:rPr>
          <w:rFonts w:eastAsia="Times New Roman"/>
          <w:sz w:val="20"/>
          <w:szCs w:val="20"/>
        </w:rPr>
        <w:t xml:space="preserve"> of the relative performance of the Victorian bus safety regulations compared to</w:t>
      </w:r>
      <w:r w:rsidR="007E7890">
        <w:rPr>
          <w:rFonts w:eastAsia="Times New Roman"/>
          <w:sz w:val="20"/>
          <w:szCs w:val="20"/>
        </w:rPr>
        <w:t xml:space="preserve"> other jurisdictions. </w:t>
      </w:r>
      <w:r>
        <w:rPr>
          <w:rFonts w:eastAsia="Times New Roman"/>
          <w:sz w:val="20"/>
          <w:szCs w:val="20"/>
        </w:rPr>
        <w:t xml:space="preserve"> </w:t>
      </w:r>
    </w:p>
    <w:p w14:paraId="32099AF1" w14:textId="3C6AC8A3" w:rsidR="0096246F" w:rsidRPr="0077334C" w:rsidRDefault="0096246F" w:rsidP="0095677C">
      <w:pPr>
        <w:pStyle w:val="Heading5"/>
      </w:pPr>
      <w:r w:rsidRPr="0077334C">
        <w:t>Technology and data</w:t>
      </w:r>
    </w:p>
    <w:p w14:paraId="64144AC0" w14:textId="77777777" w:rsidR="00C65808" w:rsidRDefault="00D83DD8" w:rsidP="00D83DD8">
      <w:pPr>
        <w:pStyle w:val="BodyText"/>
        <w:rPr>
          <w:sz w:val="20"/>
          <w:szCs w:val="20"/>
        </w:rPr>
      </w:pPr>
      <w:r w:rsidRPr="00D83DD8">
        <w:rPr>
          <w:sz w:val="20"/>
          <w:szCs w:val="20"/>
        </w:rPr>
        <w:t xml:space="preserve">There may also be future technological and regulatory developments that could affect the extent of data that is accessible to DoT. This includes the proliferation of connected and automated vehicles. As the technology utilised in vehicles improves, some of this data may be accessible to government for policy and planning purposes. Such developments may also have an impact on the safety performance of the industry, as operators and drivers could have better tools to manage safety risks. There is some uncertainty as to when the developments may come into effect, but there </w:t>
      </w:r>
      <w:r w:rsidR="006E0C2A">
        <w:rPr>
          <w:sz w:val="20"/>
          <w:szCs w:val="20"/>
        </w:rPr>
        <w:t xml:space="preserve">may </w:t>
      </w:r>
      <w:r w:rsidRPr="00D83DD8">
        <w:rPr>
          <w:sz w:val="20"/>
          <w:szCs w:val="20"/>
        </w:rPr>
        <w:t>be some improvements within the next 10 years.</w:t>
      </w:r>
      <w:r w:rsidR="006B73AA">
        <w:rPr>
          <w:sz w:val="20"/>
          <w:szCs w:val="20"/>
        </w:rPr>
        <w:t xml:space="preserve"> </w:t>
      </w:r>
    </w:p>
    <w:p w14:paraId="2046D2D3" w14:textId="77777777" w:rsidR="00B72CF6" w:rsidRPr="00494385" w:rsidRDefault="00796BAD" w:rsidP="00494385">
      <w:pPr>
        <w:pStyle w:val="BodyText"/>
        <w:rPr>
          <w:rFonts w:eastAsia="Times New Roman"/>
          <w:sz w:val="20"/>
          <w:szCs w:val="20"/>
        </w:rPr>
      </w:pPr>
      <w:r w:rsidRPr="00494385">
        <w:rPr>
          <w:sz w:val="20"/>
          <w:szCs w:val="20"/>
        </w:rPr>
        <w:t>Nonetheless</w:t>
      </w:r>
      <w:r w:rsidR="008A26CE" w:rsidRPr="00494385">
        <w:rPr>
          <w:sz w:val="20"/>
          <w:szCs w:val="20"/>
        </w:rPr>
        <w:t xml:space="preserve">, as technology is continually evolving and the regulatory landscape </w:t>
      </w:r>
      <w:r w:rsidR="001544BF" w:rsidRPr="00494385">
        <w:rPr>
          <w:sz w:val="20"/>
          <w:szCs w:val="20"/>
        </w:rPr>
        <w:t>continually changes</w:t>
      </w:r>
      <w:r w:rsidR="008A26CE" w:rsidRPr="00494385">
        <w:rPr>
          <w:sz w:val="20"/>
          <w:szCs w:val="20"/>
        </w:rPr>
        <w:t xml:space="preserve">, there may be </w:t>
      </w:r>
      <w:r w:rsidR="0013700E" w:rsidRPr="00494385">
        <w:rPr>
          <w:sz w:val="20"/>
          <w:szCs w:val="20"/>
        </w:rPr>
        <w:t xml:space="preserve">opportunities </w:t>
      </w:r>
      <w:r w:rsidR="008A26CE" w:rsidRPr="00494385">
        <w:rPr>
          <w:sz w:val="20"/>
          <w:szCs w:val="20"/>
        </w:rPr>
        <w:t xml:space="preserve">unknown to DoT </w:t>
      </w:r>
      <w:r w:rsidR="00630AF9" w:rsidRPr="00494385">
        <w:rPr>
          <w:sz w:val="20"/>
          <w:szCs w:val="20"/>
        </w:rPr>
        <w:t>now,</w:t>
      </w:r>
      <w:r w:rsidR="008A26CE" w:rsidRPr="00494385">
        <w:rPr>
          <w:sz w:val="20"/>
          <w:szCs w:val="20"/>
        </w:rPr>
        <w:t xml:space="preserve"> but which may present</w:t>
      </w:r>
      <w:r w:rsidR="007B6774" w:rsidRPr="00494385">
        <w:rPr>
          <w:sz w:val="20"/>
          <w:szCs w:val="20"/>
        </w:rPr>
        <w:t xml:space="preserve"> new </w:t>
      </w:r>
      <w:r w:rsidR="001544BF" w:rsidRPr="00494385">
        <w:rPr>
          <w:sz w:val="20"/>
          <w:szCs w:val="20"/>
        </w:rPr>
        <w:t xml:space="preserve">and innovative </w:t>
      </w:r>
      <w:r w:rsidR="007B6774" w:rsidRPr="00494385">
        <w:rPr>
          <w:sz w:val="20"/>
          <w:szCs w:val="20"/>
        </w:rPr>
        <w:t xml:space="preserve">ways </w:t>
      </w:r>
      <w:r w:rsidR="002C1C7B" w:rsidRPr="00494385">
        <w:rPr>
          <w:sz w:val="20"/>
          <w:szCs w:val="20"/>
        </w:rPr>
        <w:t xml:space="preserve">in the future </w:t>
      </w:r>
      <w:r w:rsidR="008A26CE" w:rsidRPr="00494385">
        <w:rPr>
          <w:sz w:val="20"/>
          <w:szCs w:val="20"/>
        </w:rPr>
        <w:t xml:space="preserve">for DoT </w:t>
      </w:r>
      <w:r w:rsidR="007B6774" w:rsidRPr="00494385">
        <w:rPr>
          <w:sz w:val="20"/>
          <w:szCs w:val="20"/>
        </w:rPr>
        <w:t xml:space="preserve">to gather and analyse </w:t>
      </w:r>
      <w:r w:rsidR="008A26CE" w:rsidRPr="00494385">
        <w:rPr>
          <w:sz w:val="20"/>
          <w:szCs w:val="20"/>
        </w:rPr>
        <w:t xml:space="preserve">bus safety </w:t>
      </w:r>
      <w:r w:rsidR="007B6774" w:rsidRPr="00494385">
        <w:rPr>
          <w:sz w:val="20"/>
          <w:szCs w:val="20"/>
        </w:rPr>
        <w:t xml:space="preserve">data. </w:t>
      </w:r>
      <w:r w:rsidR="00CC2AAE" w:rsidRPr="00494385">
        <w:rPr>
          <w:sz w:val="20"/>
          <w:szCs w:val="20"/>
        </w:rPr>
        <w:t xml:space="preserve">DoT will </w:t>
      </w:r>
      <w:r w:rsidR="00657FAF" w:rsidRPr="00494385">
        <w:rPr>
          <w:sz w:val="20"/>
          <w:szCs w:val="20"/>
        </w:rPr>
        <w:t xml:space="preserve">continue to monitor and assess </w:t>
      </w:r>
      <w:r w:rsidR="00CC2AAE" w:rsidRPr="00494385">
        <w:rPr>
          <w:sz w:val="20"/>
          <w:szCs w:val="20"/>
        </w:rPr>
        <w:t xml:space="preserve">these </w:t>
      </w:r>
      <w:r w:rsidR="00657FAF" w:rsidRPr="00494385">
        <w:rPr>
          <w:sz w:val="20"/>
          <w:szCs w:val="20"/>
        </w:rPr>
        <w:t>opportunities</w:t>
      </w:r>
      <w:r w:rsidR="00EC14DD" w:rsidRPr="00494385">
        <w:rPr>
          <w:sz w:val="20"/>
          <w:szCs w:val="20"/>
        </w:rPr>
        <w:t xml:space="preserve"> </w:t>
      </w:r>
      <w:r w:rsidR="00CC2AAE" w:rsidRPr="00494385">
        <w:rPr>
          <w:sz w:val="20"/>
          <w:szCs w:val="20"/>
        </w:rPr>
        <w:t>as they arise.</w:t>
      </w:r>
      <w:r w:rsidR="00657FAF" w:rsidRPr="00494385">
        <w:rPr>
          <w:sz w:val="20"/>
          <w:szCs w:val="20"/>
        </w:rPr>
        <w:t xml:space="preserve"> </w:t>
      </w:r>
    </w:p>
    <w:p w14:paraId="157270BC" w14:textId="39CBEC9B" w:rsidR="0007739D" w:rsidRPr="0086013E" w:rsidRDefault="00AD574A" w:rsidP="0086013E">
      <w:pPr>
        <w:pStyle w:val="Heading3"/>
        <w:tabs>
          <w:tab w:val="num" w:pos="567"/>
        </w:tabs>
        <w:spacing w:before="240" w:after="120"/>
        <w:ind w:left="567" w:hanging="567"/>
      </w:pPr>
      <w:bookmarkStart w:id="1049" w:name="_Toc32909890"/>
      <w:bookmarkStart w:id="1050" w:name="_Toc45704422"/>
      <w:r>
        <w:t>Key performance i</w:t>
      </w:r>
      <w:r w:rsidR="0007739D" w:rsidRPr="0086013E">
        <w:t>ndicators</w:t>
      </w:r>
      <w:bookmarkEnd w:id="1049"/>
      <w:bookmarkEnd w:id="1050"/>
    </w:p>
    <w:p w14:paraId="625B9AB6" w14:textId="39BF9A2B" w:rsidR="0007739D" w:rsidRPr="00E11AB4" w:rsidRDefault="0007739D" w:rsidP="00E11AB4">
      <w:pPr>
        <w:rPr>
          <w:szCs w:val="20"/>
        </w:rPr>
      </w:pPr>
      <w:r w:rsidRPr="00E11AB4">
        <w:rPr>
          <w:szCs w:val="20"/>
        </w:rPr>
        <w:t xml:space="preserve">Safety outcomes are measured through the number of deaths, injuries and vehicle incidents. In terms of the safety of </w:t>
      </w:r>
      <w:r w:rsidR="00854CF1">
        <w:rPr>
          <w:szCs w:val="20"/>
        </w:rPr>
        <w:t>buses</w:t>
      </w:r>
      <w:r w:rsidRPr="00E11AB4">
        <w:rPr>
          <w:szCs w:val="20"/>
        </w:rPr>
        <w:t xml:space="preserve">, the number of deaths, injuries and vehicle incidents resulting from </w:t>
      </w:r>
      <w:r w:rsidR="00854CF1">
        <w:rPr>
          <w:szCs w:val="20"/>
        </w:rPr>
        <w:t>bus operations</w:t>
      </w:r>
      <w:r w:rsidRPr="00E11AB4">
        <w:rPr>
          <w:szCs w:val="20"/>
        </w:rPr>
        <w:t xml:space="preserve"> will be the main indicators of performance. </w:t>
      </w:r>
    </w:p>
    <w:p w14:paraId="6F4B1DB8" w14:textId="4989CAB4" w:rsidR="0007739D" w:rsidRPr="00E11AB4" w:rsidRDefault="0007739D" w:rsidP="00E11AB4">
      <w:pPr>
        <w:rPr>
          <w:szCs w:val="20"/>
        </w:rPr>
      </w:pPr>
      <w:r w:rsidRPr="00E11AB4">
        <w:rPr>
          <w:szCs w:val="20"/>
        </w:rPr>
        <w:t xml:space="preserve">An indicator of whether the industry is actively managing safety risk is whether the industry is adopting </w:t>
      </w:r>
      <w:r w:rsidR="00292C10">
        <w:rPr>
          <w:szCs w:val="20"/>
        </w:rPr>
        <w:t xml:space="preserve">innovative </w:t>
      </w:r>
      <w:r w:rsidRPr="00E11AB4">
        <w:rPr>
          <w:szCs w:val="20"/>
        </w:rPr>
        <w:t>ways of addressing safety risks. This could be assessed through the</w:t>
      </w:r>
      <w:r w:rsidR="00513A63">
        <w:rPr>
          <w:szCs w:val="20"/>
        </w:rPr>
        <w:t xml:space="preserve"> MIS and MMS maintained by accredited bus operators. </w:t>
      </w:r>
      <w:r w:rsidR="009C47CD">
        <w:rPr>
          <w:szCs w:val="20"/>
        </w:rPr>
        <w:t xml:space="preserve">This could give some insight into </w:t>
      </w:r>
      <w:r w:rsidRPr="00E11AB4">
        <w:rPr>
          <w:szCs w:val="20"/>
        </w:rPr>
        <w:t xml:space="preserve">how the industry is ensuring safety. </w:t>
      </w:r>
      <w:r w:rsidR="009C47CD">
        <w:rPr>
          <w:szCs w:val="20"/>
        </w:rPr>
        <w:t>DoT</w:t>
      </w:r>
      <w:r w:rsidRPr="00E11AB4">
        <w:rPr>
          <w:szCs w:val="20"/>
        </w:rPr>
        <w:t xml:space="preserve"> could seek stakeholder input, via interviews or survey</w:t>
      </w:r>
      <w:r w:rsidR="00866DAD">
        <w:rPr>
          <w:szCs w:val="20"/>
        </w:rPr>
        <w:t>s</w:t>
      </w:r>
      <w:r w:rsidRPr="00E11AB4">
        <w:rPr>
          <w:szCs w:val="20"/>
        </w:rPr>
        <w:t>, to inform how this is changing.</w:t>
      </w:r>
    </w:p>
    <w:p w14:paraId="1922A9E4" w14:textId="63F0E593" w:rsidR="009652B3" w:rsidRDefault="009652B3" w:rsidP="002F1156">
      <w:pPr>
        <w:rPr>
          <w:szCs w:val="20"/>
        </w:rPr>
      </w:pPr>
      <w:r w:rsidRPr="002F1156">
        <w:rPr>
          <w:szCs w:val="20"/>
        </w:rPr>
        <w:lastRenderedPageBreak/>
        <w:t xml:space="preserve">Accordingly, measures of success include maintaining levels of safety </w:t>
      </w:r>
      <w:r w:rsidR="002F1156" w:rsidRPr="002F1156">
        <w:rPr>
          <w:szCs w:val="20"/>
        </w:rPr>
        <w:t>outcomes that</w:t>
      </w:r>
      <w:r w:rsidRPr="002F1156">
        <w:rPr>
          <w:szCs w:val="20"/>
        </w:rPr>
        <w:t xml:space="preserve"> are at least as good as current levels. For exampl</w:t>
      </w:r>
      <w:r w:rsidR="002F1156">
        <w:rPr>
          <w:szCs w:val="20"/>
        </w:rPr>
        <w:t>e, observing</w:t>
      </w:r>
      <w:r w:rsidRPr="002F1156">
        <w:rPr>
          <w:szCs w:val="20"/>
        </w:rPr>
        <w:t xml:space="preserve"> no increase</w:t>
      </w:r>
      <w:r w:rsidR="00E20424">
        <w:rPr>
          <w:szCs w:val="20"/>
        </w:rPr>
        <w:t xml:space="preserve"> or even </w:t>
      </w:r>
      <w:r w:rsidR="00DD2E88">
        <w:rPr>
          <w:szCs w:val="20"/>
        </w:rPr>
        <w:t>a decreasing number of</w:t>
      </w:r>
      <w:r w:rsidRPr="002F1156">
        <w:rPr>
          <w:szCs w:val="20"/>
        </w:rPr>
        <w:t xml:space="preserve"> incidents resulting in fatalities </w:t>
      </w:r>
      <w:r w:rsidR="00FF4E51">
        <w:rPr>
          <w:szCs w:val="20"/>
        </w:rPr>
        <w:t>or</w:t>
      </w:r>
      <w:r w:rsidRPr="002F1156">
        <w:rPr>
          <w:szCs w:val="20"/>
        </w:rPr>
        <w:t xml:space="preserve"> serious injuries</w:t>
      </w:r>
      <w:r w:rsidR="00695268">
        <w:rPr>
          <w:szCs w:val="20"/>
        </w:rPr>
        <w:t xml:space="preserve"> </w:t>
      </w:r>
      <w:r w:rsidR="004D76F7">
        <w:rPr>
          <w:szCs w:val="20"/>
        </w:rPr>
        <w:t>as a proportion of total buses or vehicle kilometres</w:t>
      </w:r>
      <w:r w:rsidR="0034016B">
        <w:rPr>
          <w:szCs w:val="20"/>
        </w:rPr>
        <w:t>.</w:t>
      </w:r>
      <w:r w:rsidR="00A8047B">
        <w:rPr>
          <w:szCs w:val="20"/>
        </w:rPr>
        <w:t xml:space="preserve"> </w:t>
      </w:r>
      <w:r w:rsidR="006F7A6F">
        <w:rPr>
          <w:szCs w:val="20"/>
        </w:rPr>
        <w:t>Observing</w:t>
      </w:r>
      <w:r w:rsidR="008D4048">
        <w:rPr>
          <w:szCs w:val="20"/>
        </w:rPr>
        <w:t xml:space="preserve"> no </w:t>
      </w:r>
      <w:r w:rsidR="00A8047B">
        <w:rPr>
          <w:szCs w:val="20"/>
        </w:rPr>
        <w:t>increase in incidents of fatalities or serious injuries in absolute terms may not be appropriate given the</w:t>
      </w:r>
      <w:r w:rsidR="006F7A6F">
        <w:rPr>
          <w:szCs w:val="20"/>
        </w:rPr>
        <w:t xml:space="preserve"> </w:t>
      </w:r>
      <w:r w:rsidR="002013AE">
        <w:rPr>
          <w:szCs w:val="20"/>
        </w:rPr>
        <w:t>number of bus operated by accredited or registered operators are continually changing</w:t>
      </w:r>
      <w:r w:rsidR="00644080">
        <w:rPr>
          <w:szCs w:val="20"/>
        </w:rPr>
        <w:t xml:space="preserve">. </w:t>
      </w:r>
      <w:r w:rsidR="00DA7999">
        <w:rPr>
          <w:szCs w:val="20"/>
        </w:rPr>
        <w:t>If an increase in bus safety incidents is</w:t>
      </w:r>
      <w:r w:rsidR="00FF4E51">
        <w:rPr>
          <w:szCs w:val="20"/>
        </w:rPr>
        <w:t xml:space="preserve"> in</w:t>
      </w:r>
      <w:r w:rsidR="00DA7999">
        <w:rPr>
          <w:szCs w:val="20"/>
        </w:rPr>
        <w:t xml:space="preserve"> proportion to </w:t>
      </w:r>
      <w:r w:rsidR="00FF4E51">
        <w:rPr>
          <w:szCs w:val="20"/>
        </w:rPr>
        <w:t>an</w:t>
      </w:r>
      <w:r w:rsidR="00DA7999">
        <w:rPr>
          <w:szCs w:val="20"/>
        </w:rPr>
        <w:t xml:space="preserve"> increase in </w:t>
      </w:r>
      <w:r w:rsidR="005644AD">
        <w:rPr>
          <w:szCs w:val="20"/>
        </w:rPr>
        <w:t>buses, then this does not necessarily indicate a deterioration of bus safety.</w:t>
      </w:r>
      <w:r w:rsidR="00372F3D">
        <w:rPr>
          <w:szCs w:val="20"/>
        </w:rPr>
        <w:t xml:space="preserve"> </w:t>
      </w:r>
    </w:p>
    <w:p w14:paraId="6C893BCF" w14:textId="6E805522" w:rsidR="00F270C5" w:rsidRPr="002F1156" w:rsidRDefault="00FC6468" w:rsidP="002F1156">
      <w:pPr>
        <w:rPr>
          <w:szCs w:val="20"/>
        </w:rPr>
      </w:pPr>
      <w:r>
        <w:rPr>
          <w:szCs w:val="20"/>
        </w:rPr>
        <w:t>An</w:t>
      </w:r>
      <w:r w:rsidR="00123B49">
        <w:rPr>
          <w:szCs w:val="20"/>
        </w:rPr>
        <w:t>y</w:t>
      </w:r>
      <w:r>
        <w:rPr>
          <w:szCs w:val="20"/>
        </w:rPr>
        <w:t xml:space="preserve"> observed</w:t>
      </w:r>
      <w:r w:rsidR="00F226B2">
        <w:rPr>
          <w:szCs w:val="20"/>
        </w:rPr>
        <w:t xml:space="preserve"> distinct </w:t>
      </w:r>
      <w:r w:rsidR="006A59ED">
        <w:rPr>
          <w:szCs w:val="20"/>
        </w:rPr>
        <w:t xml:space="preserve">upward trend over </w:t>
      </w:r>
      <w:r w:rsidR="007D72CB">
        <w:rPr>
          <w:szCs w:val="20"/>
        </w:rPr>
        <w:t>a period</w:t>
      </w:r>
      <w:r w:rsidR="00965D9A">
        <w:rPr>
          <w:szCs w:val="20"/>
        </w:rPr>
        <w:t xml:space="preserve"> or a spike</w:t>
      </w:r>
      <w:r w:rsidR="009B0CE3">
        <w:rPr>
          <w:szCs w:val="20"/>
        </w:rPr>
        <w:t xml:space="preserve"> in a </w:t>
      </w:r>
      <w:r w:rsidR="00973508">
        <w:rPr>
          <w:szCs w:val="20"/>
        </w:rPr>
        <w:t xml:space="preserve">short period of time </w:t>
      </w:r>
      <w:r w:rsidR="00965D9A">
        <w:rPr>
          <w:szCs w:val="20"/>
        </w:rPr>
        <w:t xml:space="preserve">above the ongoing average </w:t>
      </w:r>
      <w:r w:rsidR="007C1B2C">
        <w:rPr>
          <w:szCs w:val="20"/>
        </w:rPr>
        <w:t xml:space="preserve">for a specific </w:t>
      </w:r>
      <w:r w:rsidR="00F270C5">
        <w:rPr>
          <w:szCs w:val="20"/>
        </w:rPr>
        <w:t>inciden</w:t>
      </w:r>
      <w:r w:rsidR="005D70D5">
        <w:rPr>
          <w:szCs w:val="20"/>
        </w:rPr>
        <w:t>t</w:t>
      </w:r>
      <w:r w:rsidR="007C1B2C">
        <w:rPr>
          <w:szCs w:val="20"/>
        </w:rPr>
        <w:t xml:space="preserve"> </w:t>
      </w:r>
      <w:r w:rsidR="00963153">
        <w:rPr>
          <w:szCs w:val="20"/>
        </w:rPr>
        <w:t xml:space="preserve">type </w:t>
      </w:r>
      <w:r>
        <w:rPr>
          <w:szCs w:val="20"/>
        </w:rPr>
        <w:t>indicates</w:t>
      </w:r>
      <w:r w:rsidR="00373BAF">
        <w:rPr>
          <w:szCs w:val="20"/>
        </w:rPr>
        <w:t xml:space="preserve"> there may be </w:t>
      </w:r>
      <w:r w:rsidR="00FA3C97">
        <w:rPr>
          <w:szCs w:val="20"/>
        </w:rPr>
        <w:t>issues</w:t>
      </w:r>
      <w:r w:rsidR="0041642B">
        <w:rPr>
          <w:szCs w:val="20"/>
        </w:rPr>
        <w:t xml:space="preserve"> with the interventions used to </w:t>
      </w:r>
      <w:r w:rsidR="000102A5">
        <w:rPr>
          <w:szCs w:val="20"/>
        </w:rPr>
        <w:t>minimise</w:t>
      </w:r>
      <w:r w:rsidR="0041642B">
        <w:rPr>
          <w:szCs w:val="20"/>
        </w:rPr>
        <w:t xml:space="preserve"> those bus safety</w:t>
      </w:r>
      <w:r w:rsidR="000102A5">
        <w:rPr>
          <w:szCs w:val="20"/>
        </w:rPr>
        <w:t xml:space="preserve"> </w:t>
      </w:r>
      <w:r w:rsidR="008979BF">
        <w:rPr>
          <w:szCs w:val="20"/>
        </w:rPr>
        <w:t>incidents</w:t>
      </w:r>
      <w:r w:rsidR="000102A5">
        <w:rPr>
          <w:szCs w:val="20"/>
        </w:rPr>
        <w:t>. This may warrant a review o</w:t>
      </w:r>
      <w:r w:rsidR="006A59ED">
        <w:rPr>
          <w:szCs w:val="20"/>
        </w:rPr>
        <w:t xml:space="preserve">f the </w:t>
      </w:r>
      <w:r w:rsidR="004F32E5">
        <w:rPr>
          <w:szCs w:val="20"/>
        </w:rPr>
        <w:t>proposed r</w:t>
      </w:r>
      <w:r w:rsidR="006A59ED">
        <w:rPr>
          <w:szCs w:val="20"/>
        </w:rPr>
        <w:t xml:space="preserve">egulations or the compliance monitoring and enforcement of the </w:t>
      </w:r>
      <w:r w:rsidR="004F32E5">
        <w:rPr>
          <w:szCs w:val="20"/>
        </w:rPr>
        <w:t xml:space="preserve">proposed </w:t>
      </w:r>
      <w:r w:rsidR="00F226B2">
        <w:rPr>
          <w:szCs w:val="20"/>
        </w:rPr>
        <w:t>regulations</w:t>
      </w:r>
      <w:r w:rsidR="006A59ED">
        <w:rPr>
          <w:szCs w:val="20"/>
        </w:rPr>
        <w:t xml:space="preserve">. </w:t>
      </w:r>
      <w:r w:rsidR="004E6BF9">
        <w:rPr>
          <w:szCs w:val="20"/>
        </w:rPr>
        <w:t>Note that any trend or spike in incidents must take into account the number of buses to get a sense of the proportionate change.</w:t>
      </w:r>
    </w:p>
    <w:p w14:paraId="5529E3CF" w14:textId="4C982AFC" w:rsidR="009652B3" w:rsidRPr="007A4E00" w:rsidRDefault="009652B3" w:rsidP="007A4E00">
      <w:pPr>
        <w:rPr>
          <w:szCs w:val="20"/>
        </w:rPr>
      </w:pPr>
      <w:r w:rsidRPr="007A4E00">
        <w:rPr>
          <w:szCs w:val="20"/>
        </w:rPr>
        <w:t>A key consideration of the evaluation will be assessing the interplay between various interventions available to government</w:t>
      </w:r>
      <w:r w:rsidR="00E160DE">
        <w:rPr>
          <w:szCs w:val="20"/>
        </w:rPr>
        <w:t>.</w:t>
      </w:r>
      <w:r w:rsidR="00136C81">
        <w:rPr>
          <w:szCs w:val="20"/>
        </w:rPr>
        <w:t xml:space="preserve"> </w:t>
      </w:r>
      <w:r w:rsidR="00315174">
        <w:rPr>
          <w:szCs w:val="20"/>
        </w:rPr>
        <w:t>For</w:t>
      </w:r>
      <w:r w:rsidR="007A4E00">
        <w:rPr>
          <w:szCs w:val="20"/>
        </w:rPr>
        <w:t xml:space="preserve"> example, the procurement of route bus services, </w:t>
      </w:r>
      <w:r w:rsidRPr="007A4E00">
        <w:rPr>
          <w:szCs w:val="20"/>
        </w:rPr>
        <w:t xml:space="preserve">developing </w:t>
      </w:r>
      <w:r w:rsidR="00164342">
        <w:rPr>
          <w:szCs w:val="20"/>
        </w:rPr>
        <w:t xml:space="preserve">codes of practices and </w:t>
      </w:r>
      <w:r w:rsidRPr="007A4E00">
        <w:rPr>
          <w:szCs w:val="20"/>
        </w:rPr>
        <w:t xml:space="preserve">education campaigns or improving </w:t>
      </w:r>
      <w:r w:rsidR="00164342">
        <w:rPr>
          <w:szCs w:val="20"/>
        </w:rPr>
        <w:t xml:space="preserve">bus stopping </w:t>
      </w:r>
      <w:r w:rsidRPr="007A4E00">
        <w:rPr>
          <w:szCs w:val="20"/>
        </w:rPr>
        <w:t>infrastructure</w:t>
      </w:r>
      <w:r w:rsidR="00164342">
        <w:rPr>
          <w:szCs w:val="20"/>
        </w:rPr>
        <w:t>.</w:t>
      </w:r>
      <w:r w:rsidRPr="007A4E00">
        <w:rPr>
          <w:szCs w:val="20"/>
        </w:rPr>
        <w:t xml:space="preserve"> The availability of comprehensive data that relates to safety outcomes and actions that are undertaken will inform the evaluation to ensure that any improvements in safety are attributed appropriately.</w:t>
      </w:r>
    </w:p>
    <w:p w14:paraId="5B74C41A" w14:textId="77777777" w:rsidR="00F416F6" w:rsidRPr="00E11AB4" w:rsidRDefault="00F416F6">
      <w:pPr>
        <w:spacing w:before="0" w:after="0"/>
        <w:rPr>
          <w:rFonts w:asciiTheme="majorHAnsi" w:eastAsiaTheme="majorEastAsia" w:hAnsiTheme="majorHAnsi" w:cstheme="majorBidi"/>
          <w:color w:val="16A3A7"/>
          <w:szCs w:val="20"/>
        </w:rPr>
      </w:pPr>
      <w:r w:rsidRPr="00E11AB4">
        <w:rPr>
          <w:szCs w:val="20"/>
        </w:rPr>
        <w:br w:type="page"/>
      </w:r>
    </w:p>
    <w:p w14:paraId="68948EC0" w14:textId="2D2ABBD6" w:rsidR="003B3CEB" w:rsidRPr="00D5209B" w:rsidRDefault="003B3CEB" w:rsidP="003B3CEB">
      <w:pPr>
        <w:pStyle w:val="Heading1"/>
      </w:pPr>
      <w:bookmarkStart w:id="1051" w:name="_Toc32909891"/>
      <w:bookmarkStart w:id="1052" w:name="_Toc45704423"/>
      <w:r w:rsidRPr="00D5209B">
        <w:lastRenderedPageBreak/>
        <w:t>Consultation</w:t>
      </w:r>
      <w:bookmarkEnd w:id="1051"/>
      <w:bookmarkEnd w:id="1052"/>
    </w:p>
    <w:p w14:paraId="4668C165" w14:textId="77777777" w:rsidR="00C05625" w:rsidRDefault="00C05625" w:rsidP="00C05625">
      <w:pPr>
        <w:rPr>
          <w:szCs w:val="20"/>
        </w:rPr>
      </w:pPr>
      <w:bookmarkStart w:id="1053" w:name="_Hlk43550385"/>
      <w:r>
        <w:rPr>
          <w:szCs w:val="20"/>
        </w:rPr>
        <w:t xml:space="preserve">A range of parties were consulted in the development of the proposed regulations. </w:t>
      </w:r>
    </w:p>
    <w:p w14:paraId="3BD02465" w14:textId="0042001B" w:rsidR="00C05625" w:rsidRPr="009E7781" w:rsidRDefault="00C05625" w:rsidP="00C05625">
      <w:pPr>
        <w:rPr>
          <w:rFonts w:cstheme="minorHAnsi"/>
          <w:szCs w:val="20"/>
        </w:rPr>
      </w:pPr>
      <w:r>
        <w:rPr>
          <w:szCs w:val="20"/>
        </w:rPr>
        <w:t xml:space="preserve">The Department of </w:t>
      </w:r>
      <w:r w:rsidRPr="000454FA">
        <w:rPr>
          <w:rFonts w:cstheme="minorHAnsi"/>
          <w:szCs w:val="20"/>
        </w:rPr>
        <w:t xml:space="preserve">Transport </w:t>
      </w:r>
      <w:r>
        <w:rPr>
          <w:rFonts w:cstheme="minorHAnsi"/>
          <w:szCs w:val="20"/>
        </w:rPr>
        <w:t xml:space="preserve">reviewed the current Bus Safety Regulations together with </w:t>
      </w:r>
      <w:r w:rsidRPr="000454FA">
        <w:rPr>
          <w:rFonts w:cstheme="minorHAnsi"/>
          <w:szCs w:val="20"/>
        </w:rPr>
        <w:t xml:space="preserve">Transport Safety Victoria (TSV) </w:t>
      </w:r>
      <w:r>
        <w:rPr>
          <w:rFonts w:cstheme="minorHAnsi"/>
          <w:szCs w:val="20"/>
        </w:rPr>
        <w:t xml:space="preserve">to understand where there are opportunities for improvement, or to reduce regulatory burden. </w:t>
      </w:r>
      <w:r w:rsidRPr="00EE0AD7">
        <w:rPr>
          <w:rFonts w:cstheme="minorHAnsi"/>
          <w:szCs w:val="20"/>
        </w:rPr>
        <w:t xml:space="preserve">Consultation with TSV </w:t>
      </w:r>
      <w:r>
        <w:rPr>
          <w:rFonts w:cstheme="minorHAnsi"/>
          <w:szCs w:val="20"/>
        </w:rPr>
        <w:t xml:space="preserve">identified </w:t>
      </w:r>
      <w:r w:rsidRPr="00EE0AD7">
        <w:rPr>
          <w:rFonts w:cstheme="minorHAnsi"/>
          <w:szCs w:val="20"/>
        </w:rPr>
        <w:t xml:space="preserve">several areas of </w:t>
      </w:r>
      <w:r>
        <w:rPr>
          <w:rFonts w:cstheme="minorHAnsi"/>
          <w:szCs w:val="20"/>
        </w:rPr>
        <w:t>improvement</w:t>
      </w:r>
      <w:r w:rsidRPr="00EE0AD7">
        <w:rPr>
          <w:rFonts w:cstheme="minorHAnsi"/>
          <w:szCs w:val="20"/>
        </w:rPr>
        <w:t xml:space="preserve">, which largely related to </w:t>
      </w:r>
      <w:r w:rsidRPr="00DD4012">
        <w:rPr>
          <w:rFonts w:cstheme="minorHAnsi"/>
          <w:szCs w:val="20"/>
        </w:rPr>
        <w:t xml:space="preserve">measures to improve their compliance monitoring and enforcement effort. This includes the </w:t>
      </w:r>
      <w:r>
        <w:rPr>
          <w:rFonts w:cstheme="minorHAnsi"/>
          <w:szCs w:val="20"/>
        </w:rPr>
        <w:t xml:space="preserve">availability of and access to </w:t>
      </w:r>
      <w:r w:rsidRPr="00DD4012">
        <w:rPr>
          <w:rFonts w:cstheme="minorHAnsi"/>
          <w:szCs w:val="20"/>
        </w:rPr>
        <w:t xml:space="preserve">information relating to the bus fleet of operators, </w:t>
      </w:r>
      <w:r w:rsidRPr="009E7781">
        <w:rPr>
          <w:rFonts w:cstheme="minorHAnsi"/>
          <w:szCs w:val="20"/>
        </w:rPr>
        <w:t xml:space="preserve">records of vehicle safety for registered operators, ability to </w:t>
      </w:r>
      <w:r w:rsidR="00605349">
        <w:rPr>
          <w:rFonts w:cstheme="minorHAnsi"/>
          <w:szCs w:val="20"/>
        </w:rPr>
        <w:t xml:space="preserve">identify the </w:t>
      </w:r>
      <w:r w:rsidRPr="009E7781">
        <w:rPr>
          <w:rFonts w:cstheme="minorHAnsi"/>
          <w:szCs w:val="20"/>
        </w:rPr>
        <w:t xml:space="preserve">person responsible for the provision of a bus service during on-road enforcement and providing clarity on incidents required to be notified. These </w:t>
      </w:r>
      <w:r>
        <w:rPr>
          <w:rFonts w:cstheme="minorHAnsi"/>
          <w:szCs w:val="20"/>
        </w:rPr>
        <w:t>improvements</w:t>
      </w:r>
      <w:r w:rsidRPr="009E7781">
        <w:rPr>
          <w:rFonts w:cstheme="minorHAnsi"/>
          <w:szCs w:val="20"/>
        </w:rPr>
        <w:t xml:space="preserve"> have been addressed in the proposed regulations.</w:t>
      </w:r>
    </w:p>
    <w:p w14:paraId="3B111554" w14:textId="77777777" w:rsidR="00C05625" w:rsidRPr="001D163F" w:rsidRDefault="00C05625" w:rsidP="00C05625">
      <w:pPr>
        <w:rPr>
          <w:rFonts w:cstheme="minorHAnsi"/>
          <w:szCs w:val="20"/>
        </w:rPr>
      </w:pPr>
      <w:r>
        <w:rPr>
          <w:rFonts w:cstheme="minorHAnsi"/>
          <w:szCs w:val="20"/>
        </w:rPr>
        <w:t xml:space="preserve">DoT also consulted with </w:t>
      </w:r>
      <w:r w:rsidRPr="007B51F6">
        <w:rPr>
          <w:rFonts w:cstheme="minorHAnsi"/>
          <w:szCs w:val="20"/>
        </w:rPr>
        <w:t>Road Safety Victoria (RSV)</w:t>
      </w:r>
      <w:r>
        <w:rPr>
          <w:rFonts w:cstheme="minorHAnsi"/>
          <w:szCs w:val="20"/>
        </w:rPr>
        <w:t xml:space="preserve"> in respect of the vehicle standards present in the Bus Safety Regulations</w:t>
      </w:r>
      <w:r w:rsidRPr="007B51F6">
        <w:rPr>
          <w:rFonts w:cstheme="minorHAnsi"/>
          <w:szCs w:val="20"/>
        </w:rPr>
        <w:t>.</w:t>
      </w:r>
      <w:r>
        <w:rPr>
          <w:rFonts w:cstheme="minorHAnsi"/>
          <w:szCs w:val="20"/>
        </w:rPr>
        <w:t xml:space="preserve"> Road Safety Victoria is an administrative unit within the Department of Transport. No substantive issues were identified with the interaction of the additional vehicle standards in the Bus Safety Regulations and the ADRs, the Australian Light Vehicle Standards or the heavy vehicles standards in the Heavy Vehicle National Law.  </w:t>
      </w:r>
      <w:r w:rsidRPr="007B51F6">
        <w:rPr>
          <w:rFonts w:cstheme="minorHAnsi"/>
          <w:szCs w:val="20"/>
        </w:rPr>
        <w:t xml:space="preserve"> </w:t>
      </w:r>
    </w:p>
    <w:p w14:paraId="196BFACE" w14:textId="1D3A8A42" w:rsidR="00C05625" w:rsidRPr="009E7781" w:rsidRDefault="00C05625" w:rsidP="00C05625">
      <w:pPr>
        <w:rPr>
          <w:rFonts w:cstheme="minorHAnsi"/>
          <w:szCs w:val="20"/>
        </w:rPr>
      </w:pPr>
      <w:r w:rsidRPr="009E7781">
        <w:rPr>
          <w:rFonts w:cstheme="minorHAnsi"/>
          <w:szCs w:val="20"/>
        </w:rPr>
        <w:t>Early consultation with industry stakeholders was undertaken by DoT</w:t>
      </w:r>
      <w:r>
        <w:rPr>
          <w:rFonts w:cstheme="minorHAnsi"/>
          <w:szCs w:val="20"/>
        </w:rPr>
        <w:t xml:space="preserve">, </w:t>
      </w:r>
      <w:r w:rsidRPr="009E7781">
        <w:rPr>
          <w:rFonts w:cstheme="minorHAnsi"/>
          <w:szCs w:val="20"/>
        </w:rPr>
        <w:t>giving specific attention to the incremental changes in the proposed regulations from the existing Regulations, and the providing rationale for these changes. Industry stakeholders consulted prior to the release of this RIS include</w:t>
      </w:r>
      <w:r>
        <w:rPr>
          <w:rFonts w:cstheme="minorHAnsi"/>
          <w:szCs w:val="20"/>
        </w:rPr>
        <w:t xml:space="preserve"> the Bus Association of Victoria, and certain bus operators.</w:t>
      </w:r>
    </w:p>
    <w:p w14:paraId="45E66F4B" w14:textId="3FA7DA33" w:rsidR="00FF7441" w:rsidRDefault="00111FA7" w:rsidP="00E07EAC">
      <w:pPr>
        <w:pStyle w:val="Heading2"/>
      </w:pPr>
      <w:bookmarkStart w:id="1054" w:name="_Toc45704424"/>
      <w:bookmarkEnd w:id="1053"/>
      <w:r>
        <w:t>S</w:t>
      </w:r>
      <w:r w:rsidR="00FF7441">
        <w:t>takeholder questions</w:t>
      </w:r>
      <w:bookmarkEnd w:id="1054"/>
    </w:p>
    <w:p w14:paraId="061A1910" w14:textId="7424C8F0" w:rsidR="00111FA7" w:rsidRDefault="00111FA7" w:rsidP="00F76888">
      <w:pPr>
        <w:rPr>
          <w:b/>
          <w:bCs/>
        </w:rPr>
      </w:pPr>
      <w:r w:rsidRPr="00A61576">
        <w:t>Do</w:t>
      </w:r>
      <w:r>
        <w:t>T seeks specific feedback on the following matters</w:t>
      </w:r>
      <w:r w:rsidR="00D84F85">
        <w:t xml:space="preserve"> in this RIS:</w:t>
      </w:r>
    </w:p>
    <w:p w14:paraId="429C78EA" w14:textId="256A9D1D" w:rsidR="00F76888" w:rsidRPr="00A61576" w:rsidRDefault="008657E3" w:rsidP="00F76888">
      <w:pPr>
        <w:rPr>
          <w:i/>
          <w:iCs/>
          <w:u w:val="single"/>
        </w:rPr>
      </w:pPr>
      <w:r w:rsidRPr="00A61576">
        <w:rPr>
          <w:i/>
          <w:iCs/>
          <w:u w:val="single"/>
        </w:rPr>
        <w:t>School buses</w:t>
      </w:r>
      <w:r w:rsidR="00BA6FC0" w:rsidRPr="00A61576">
        <w:rPr>
          <w:i/>
          <w:iCs/>
          <w:u w:val="single"/>
        </w:rPr>
        <w:t xml:space="preserve"> (refer to Section 7.2.4 for further discussion) </w:t>
      </w:r>
    </w:p>
    <w:p w14:paraId="3A79FB94" w14:textId="652E771D" w:rsidR="00FF7441" w:rsidRPr="00F76888" w:rsidRDefault="00FF7441" w:rsidP="00F76888">
      <w:r w:rsidRPr="00F76888">
        <w:t>Is there merit in adopting the NSW standard for school bus lights and signs in Victoria? Why or why not?</w:t>
      </w:r>
    </w:p>
    <w:p w14:paraId="74B53614" w14:textId="77777777" w:rsidR="00FF7441" w:rsidRPr="00F76888" w:rsidRDefault="00FF7441" w:rsidP="00F76888">
      <w:r w:rsidRPr="00F76888">
        <w:t>Would you support adopting the NSW standard for school bus lights and signs on Victorian buses?</w:t>
      </w:r>
    </w:p>
    <w:p w14:paraId="78204CF7" w14:textId="7BFFA2A8" w:rsidR="008657E3" w:rsidRPr="00A61576" w:rsidRDefault="008657E3" w:rsidP="00F76888">
      <w:pPr>
        <w:rPr>
          <w:i/>
          <w:iCs/>
          <w:u w:val="single"/>
        </w:rPr>
      </w:pPr>
      <w:r w:rsidRPr="00A61576">
        <w:rPr>
          <w:i/>
          <w:iCs/>
          <w:u w:val="single"/>
        </w:rPr>
        <w:t>Identification</w:t>
      </w:r>
      <w:r w:rsidR="00BA6FC0" w:rsidRPr="00A61576">
        <w:rPr>
          <w:i/>
          <w:iCs/>
          <w:u w:val="single"/>
        </w:rPr>
        <w:t xml:space="preserve"> (refer to Section 7.6 for further discussion)</w:t>
      </w:r>
    </w:p>
    <w:p w14:paraId="228E1844" w14:textId="50A57FAF" w:rsidR="00F76888" w:rsidRPr="00F76888" w:rsidRDefault="00F76888" w:rsidP="00F76888">
      <w:r w:rsidRPr="00F76888">
        <w:t>Do you support the removal of the requirement to display specific accredited bus number plates? Why or why not?</w:t>
      </w:r>
    </w:p>
    <w:p w14:paraId="47483B54" w14:textId="48281CD2" w:rsidR="00D36F97" w:rsidRDefault="00E07EAC" w:rsidP="00E07EAC">
      <w:pPr>
        <w:pStyle w:val="Heading2"/>
      </w:pPr>
      <w:bookmarkStart w:id="1055" w:name="_Toc45704425"/>
      <w:r>
        <w:t>Next steps</w:t>
      </w:r>
      <w:bookmarkEnd w:id="1055"/>
    </w:p>
    <w:p w14:paraId="4C62F5BF" w14:textId="3F9C064C" w:rsidR="008546BB" w:rsidRDefault="00BA6FC0" w:rsidP="00E07EAC">
      <w:r>
        <w:t>S</w:t>
      </w:r>
      <w:r w:rsidR="00E07EAC">
        <w:t>takeholders are invited to make</w:t>
      </w:r>
      <w:r w:rsidR="00E10FF7">
        <w:t xml:space="preserve"> formal submissions or comments on the </w:t>
      </w:r>
      <w:r w:rsidR="00E07EAC">
        <w:t xml:space="preserve">RIS and the </w:t>
      </w:r>
      <w:r w:rsidR="00C062B7">
        <w:t>proposed</w:t>
      </w:r>
      <w:r w:rsidR="00E07EAC">
        <w:t xml:space="preserve"> regulations. </w:t>
      </w:r>
      <w:r w:rsidR="008546BB">
        <w:t xml:space="preserve">Submissions may present analysis of alternative options and recommend changes to the proposed regulations.  </w:t>
      </w:r>
    </w:p>
    <w:p w14:paraId="04174E20" w14:textId="217A6BA4" w:rsidR="00E07EAC" w:rsidRDefault="008546BB" w:rsidP="00E07EAC">
      <w:r>
        <w:t xml:space="preserve">Submissions are required to be made in writing and </w:t>
      </w:r>
      <w:r>
        <w:rPr>
          <w:u w:val="single"/>
        </w:rPr>
        <w:t xml:space="preserve">submitted on the Department’s consultation website, </w:t>
      </w:r>
      <w:hyperlink r:id="rId28" w:history="1">
        <w:r w:rsidRPr="005B2B91">
          <w:rPr>
            <w:rStyle w:val="Hyperlink"/>
          </w:rPr>
          <w:t>Get Involved</w:t>
        </w:r>
      </w:hyperlink>
      <w:r>
        <w:rPr>
          <w:u w:val="single"/>
        </w:rPr>
        <w:t>.</w:t>
      </w:r>
      <w:r>
        <w:t xml:space="preserve"> </w:t>
      </w:r>
      <w:r w:rsidR="00E07EAC">
        <w:t xml:space="preserve">Submissions must be provided to the Department on or before </w:t>
      </w:r>
      <w:r w:rsidR="00814A09" w:rsidRPr="00814A09">
        <w:t xml:space="preserve">13 </w:t>
      </w:r>
      <w:r w:rsidR="00855D18" w:rsidRPr="00814A09">
        <w:t>August</w:t>
      </w:r>
      <w:r w:rsidR="00E07EAC" w:rsidRPr="00814A09">
        <w:t xml:space="preserve"> 2020</w:t>
      </w:r>
      <w:r w:rsidR="00E07EAC">
        <w:t xml:space="preserve">. </w:t>
      </w:r>
    </w:p>
    <w:p w14:paraId="11EC8096" w14:textId="77777777" w:rsidR="00A91A6C" w:rsidRPr="00027147" w:rsidRDefault="00A91A6C" w:rsidP="00A91A6C">
      <w:pPr>
        <w:rPr>
          <w:rFonts w:ascii="Arial" w:eastAsia="Arial" w:hAnsi="Arial" w:cs="Times New Roman"/>
          <w:color w:val="000000"/>
        </w:rPr>
      </w:pPr>
      <w:r w:rsidRPr="00027147">
        <w:rPr>
          <w:rFonts w:ascii="Arial" w:eastAsia="Arial" w:hAnsi="Arial" w:cs="Times New Roman"/>
          <w:color w:val="000000"/>
        </w:rPr>
        <w:t xml:space="preserve">After the consultation period, the Department will consider all feedback received from stakeholders and the community and consider whether any changes to the proposed regulations are required. The Department will make recommendations to the Minister about the final form and content of the regulations for the Minister to make the final decision. </w:t>
      </w:r>
    </w:p>
    <w:p w14:paraId="18C2CBF6" w14:textId="37F2B422" w:rsidR="00625A32" w:rsidRPr="00A61576" w:rsidRDefault="00A91A6C" w:rsidP="00A61576">
      <w:pPr>
        <w:rPr>
          <w:rFonts w:ascii="Arial" w:eastAsia="Arial" w:hAnsi="Arial" w:cs="Times New Roman"/>
          <w:color w:val="000000"/>
        </w:rPr>
      </w:pPr>
      <w:r w:rsidRPr="00027147">
        <w:rPr>
          <w:rFonts w:ascii="Arial" w:eastAsia="Arial" w:hAnsi="Arial" w:cs="Times New Roman"/>
          <w:color w:val="000000"/>
        </w:rPr>
        <w:t>A public notice on the Minister’s decision will be made, with the new regulations proposed to commence later in 2020.</w:t>
      </w:r>
      <w:r w:rsidR="00625A32">
        <w:rPr>
          <w:szCs w:val="20"/>
        </w:rPr>
        <w:br w:type="page"/>
      </w:r>
    </w:p>
    <w:p w14:paraId="2B5FEBF7" w14:textId="77777777" w:rsidR="00625A32" w:rsidRPr="00027147" w:rsidRDefault="00625A32" w:rsidP="00625A32">
      <w:pPr>
        <w:spacing w:before="60" w:after="60"/>
        <w:rPr>
          <w:rFonts w:ascii="Arial" w:eastAsia="Times New Roman" w:hAnsi="Arial" w:cs="Arial"/>
          <w:color w:val="000000"/>
          <w:lang w:eastAsia="en-AU"/>
        </w:rPr>
      </w:pPr>
      <w:r w:rsidRPr="00027147">
        <w:rPr>
          <w:rFonts w:ascii="Arial" w:eastAsia="Times New Roman" w:hAnsi="Arial" w:cs="Arial"/>
          <w:color w:val="000000"/>
          <w:lang w:eastAsia="en-AU"/>
        </w:rPr>
        <w:lastRenderedPageBreak/>
        <w:t>Authorised by the Hon. Ben Carroll MP</w:t>
      </w:r>
    </w:p>
    <w:p w14:paraId="19EC21E6" w14:textId="77777777" w:rsidR="00625A32" w:rsidRPr="00027147" w:rsidRDefault="00625A32" w:rsidP="00625A32">
      <w:pPr>
        <w:spacing w:before="60" w:after="60"/>
        <w:rPr>
          <w:rFonts w:ascii="Arial" w:eastAsia="Times New Roman" w:hAnsi="Arial" w:cs="Arial"/>
          <w:color w:val="000000"/>
          <w:lang w:eastAsia="en-AU"/>
        </w:rPr>
      </w:pPr>
      <w:r w:rsidRPr="00027147">
        <w:rPr>
          <w:rFonts w:ascii="Arial" w:eastAsia="Times New Roman" w:hAnsi="Arial" w:cs="Arial"/>
          <w:color w:val="000000"/>
          <w:lang w:eastAsia="en-AU"/>
        </w:rPr>
        <w:t>Department of Transport, 1 Spring Street Melbourne Victoria 3000</w:t>
      </w:r>
    </w:p>
    <w:p w14:paraId="12DD2CC1" w14:textId="77777777" w:rsidR="00625A32" w:rsidRPr="00027147" w:rsidRDefault="00625A32" w:rsidP="00625A32">
      <w:pPr>
        <w:spacing w:before="60" w:after="60"/>
        <w:rPr>
          <w:rFonts w:ascii="Arial" w:eastAsia="Times New Roman" w:hAnsi="Arial" w:cs="Arial"/>
          <w:color w:val="000000"/>
          <w:lang w:eastAsia="en-AU"/>
        </w:rPr>
      </w:pPr>
      <w:r w:rsidRPr="00027147">
        <w:rPr>
          <w:rFonts w:ascii="Arial" w:eastAsia="Times New Roman" w:hAnsi="Arial" w:cs="Arial"/>
          <w:color w:val="000000"/>
          <w:lang w:eastAsia="en-AU"/>
        </w:rPr>
        <w:t xml:space="preserve">© Copyright State of Victoria, </w:t>
      </w:r>
    </w:p>
    <w:p w14:paraId="4A0AA46E" w14:textId="77777777" w:rsidR="00625A32" w:rsidRPr="00027147" w:rsidRDefault="00625A32" w:rsidP="00625A32">
      <w:pPr>
        <w:spacing w:before="60" w:after="60"/>
        <w:rPr>
          <w:rFonts w:ascii="Arial" w:eastAsia="Times New Roman" w:hAnsi="Arial" w:cs="Arial"/>
          <w:color w:val="000000"/>
          <w:lang w:eastAsia="en-AU"/>
        </w:rPr>
      </w:pPr>
      <w:r w:rsidRPr="00027147">
        <w:rPr>
          <w:rFonts w:ascii="Arial" w:eastAsia="Times New Roman" w:hAnsi="Arial" w:cs="Arial"/>
          <w:color w:val="000000"/>
          <w:lang w:eastAsia="en-AU"/>
        </w:rPr>
        <w:t>Department of Transport 2020</w:t>
      </w:r>
    </w:p>
    <w:p w14:paraId="1552F245" w14:textId="77777777" w:rsidR="00625A32" w:rsidRPr="00027147" w:rsidRDefault="00625A32" w:rsidP="00625A32">
      <w:pPr>
        <w:spacing w:before="60" w:after="60"/>
        <w:rPr>
          <w:rFonts w:ascii="Arial" w:eastAsia="Times New Roman" w:hAnsi="Arial" w:cs="Arial"/>
          <w:color w:val="000000"/>
          <w:lang w:eastAsia="en-AU"/>
        </w:rPr>
      </w:pPr>
      <w:r w:rsidRPr="00027147">
        <w:rPr>
          <w:rFonts w:ascii="Arial" w:eastAsia="Times New Roman" w:hAnsi="Arial" w:cs="Arial"/>
          <w:color w:val="000000"/>
          <w:lang w:eastAsia="en-AU"/>
        </w:rPr>
        <w:t>Except for any logos, emblems, trademarks, artwork and photography this document is made available under the terms of the Creative Commons Attribution 3.0 Australia license.</w:t>
      </w:r>
    </w:p>
    <w:p w14:paraId="2A250088" w14:textId="77777777" w:rsidR="00625A32" w:rsidRPr="00027147" w:rsidRDefault="00625A32" w:rsidP="00625A32">
      <w:pPr>
        <w:spacing w:before="60" w:after="60"/>
        <w:rPr>
          <w:rFonts w:ascii="Arial" w:eastAsia="Times New Roman" w:hAnsi="Arial" w:cs="Arial"/>
          <w:color w:val="000000"/>
          <w:lang w:eastAsia="en-AU"/>
        </w:rPr>
      </w:pPr>
      <w:r w:rsidRPr="00027147">
        <w:rPr>
          <w:rFonts w:ascii="Arial" w:eastAsia="Times New Roman" w:hAnsi="Arial" w:cs="Arial"/>
          <w:color w:val="000000"/>
          <w:lang w:eastAsia="en-AU"/>
        </w:rPr>
        <w:t>This document is also available in an accessible format at getinvolved.transport.vic.gov.au</w:t>
      </w:r>
    </w:p>
    <w:p w14:paraId="707AA02E" w14:textId="77777777" w:rsidR="00E07EAC" w:rsidRPr="007B5CC3" w:rsidRDefault="00E07EAC" w:rsidP="007B5CC3">
      <w:pPr>
        <w:rPr>
          <w:szCs w:val="20"/>
        </w:rPr>
      </w:pPr>
    </w:p>
    <w:sectPr w:rsidR="00E07EAC" w:rsidRPr="007B5CC3" w:rsidSect="008B4762">
      <w:headerReference w:type="default" r:id="rId29"/>
      <w:pgSz w:w="11900" w:h="16840"/>
      <w:pgMar w:top="1497"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74396" w14:textId="77777777" w:rsidR="00FE58C8" w:rsidRDefault="00FE58C8" w:rsidP="004E6414">
      <w:r>
        <w:separator/>
      </w:r>
    </w:p>
  </w:endnote>
  <w:endnote w:type="continuationSeparator" w:id="0">
    <w:p w14:paraId="435AAE96" w14:textId="77777777" w:rsidR="00FE58C8" w:rsidRDefault="00FE58C8" w:rsidP="004E6414">
      <w:r>
        <w:continuationSeparator/>
      </w:r>
    </w:p>
  </w:endnote>
  <w:endnote w:type="continuationNotice" w:id="1">
    <w:p w14:paraId="5B353A61" w14:textId="77777777" w:rsidR="00FE58C8" w:rsidRDefault="00FE58C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Headings)">
    <w:altName w:val="Arial"/>
    <w:panose1 w:val="00000000000000000000"/>
    <w:charset w:val="00"/>
    <w:family w:val="roman"/>
    <w:notTrueType/>
    <w:pitch w:val="default"/>
  </w:font>
  <w:font w:name="Arial (Body)">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1677944"/>
      <w:docPartObj>
        <w:docPartGallery w:val="Page Numbers (Bottom of Page)"/>
        <w:docPartUnique/>
      </w:docPartObj>
    </w:sdtPr>
    <w:sdtEndPr>
      <w:rPr>
        <w:rStyle w:val="PageNumber"/>
      </w:rPr>
    </w:sdtEndPr>
    <w:sdtContent>
      <w:p w14:paraId="1CA997AF" w14:textId="1E87A673" w:rsidR="005E479A" w:rsidRDefault="005E479A" w:rsidP="00797F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FA99AA" w14:textId="6690A6AE" w:rsidR="005E479A" w:rsidRDefault="005E479A" w:rsidP="00526AD0">
    <w:pPr>
      <w:pStyle w:val="Footer"/>
      <w:ind w:right="360"/>
      <w:rPr>
        <w:rStyle w:val="PageNumber"/>
      </w:rPr>
    </w:pPr>
  </w:p>
  <w:p w14:paraId="55C7D8DC" w14:textId="77777777" w:rsidR="005E479A" w:rsidRDefault="005E479A" w:rsidP="004E6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5D74D" w14:textId="04D148CE" w:rsidR="005E479A" w:rsidRDefault="005E479A" w:rsidP="00797FEF">
    <w:pPr>
      <w:pStyle w:val="Footer"/>
      <w:framePr w:wrap="none" w:vAnchor="text" w:hAnchor="margin" w:xAlign="right" w:y="1"/>
      <w:rPr>
        <w:rStyle w:val="PageNumber"/>
      </w:rPr>
    </w:pPr>
    <w:r>
      <w:rPr>
        <w:noProof/>
      </w:rPr>
      <mc:AlternateContent>
        <mc:Choice Requires="wps">
          <w:drawing>
            <wp:anchor distT="0" distB="0" distL="114300" distR="114300" simplePos="0" relativeHeight="251658243" behindDoc="0" locked="0" layoutInCell="0" allowOverlap="1" wp14:anchorId="6BE2B1D8" wp14:editId="789EDB3D">
              <wp:simplePos x="0" y="0"/>
              <wp:positionH relativeFrom="page">
                <wp:posOffset>0</wp:posOffset>
              </wp:positionH>
              <wp:positionV relativeFrom="page">
                <wp:posOffset>10236200</wp:posOffset>
              </wp:positionV>
              <wp:extent cx="7556500" cy="266700"/>
              <wp:effectExtent l="0" t="0" r="0" b="0"/>
              <wp:wrapNone/>
              <wp:docPr id="2" name="MSIPCM9c6544cab6395e4e50342a79" descr="{&quot;HashCode&quot;:-1267603503,&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AED313" w14:textId="38BDEEAD" w:rsidR="005E479A" w:rsidRPr="00BD4722" w:rsidRDefault="005E479A" w:rsidP="00BD4722">
                          <w:pPr>
                            <w:spacing w:before="0" w:after="0"/>
                            <w:rPr>
                              <w:rFonts w:ascii="Calibri" w:hAnsi="Calibri" w:cs="Calibri"/>
                              <w:color w:val="000000"/>
                              <w:sz w:val="22"/>
                            </w:rPr>
                          </w:pPr>
                          <w:r w:rsidRPr="00BD4722">
                            <w:rPr>
                              <w:rFonts w:ascii="Calibri" w:hAnsi="Calibri" w:cs="Calibri"/>
                              <w:color w:val="000000"/>
                              <w:sz w:val="22"/>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B1D8" id="_x0000_t202" coordsize="21600,21600" o:spt="202" path="m,l,21600r21600,l21600,xe">
              <v:stroke joinstyle="miter"/>
              <v:path gradientshapeok="t" o:connecttype="rect"/>
            </v:shapetype>
            <v:shape id="MSIPCM9c6544cab6395e4e50342a79" o:spid="_x0000_s1026" type="#_x0000_t202" alt="{&quot;HashCode&quot;:-1267603503,&quot;Height&quot;:842.0,&quot;Width&quot;:595.0,&quot;Placement&quot;:&quot;Footer&quot;,&quot;Index&quot;:&quot;Primary&quot;,&quot;Section&quot;:1,&quot;Top&quot;:0.0,&quot;Left&quot;:0.0}" style="position:absolute;margin-left:0;margin-top:806pt;width:595pt;height:21pt;z-index:25165824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" o:allowincell="f" filled="f" stroked="f" strokeweight=".5pt">
              <v:textbox inset="20pt,0,,0">
                <w:txbxContent>
                  <w:p w14:paraId="60AED313" w14:textId="38BDEEAD" w:rsidR="005E479A" w:rsidRPr="00BD4722" w:rsidRDefault="005E479A" w:rsidP="00BD4722">
                    <w:pPr>
                      <w:spacing w:before="0" w:after="0"/>
                      <w:rPr>
                        <w:rFonts w:ascii="Calibri" w:hAnsi="Calibri" w:cs="Calibri"/>
                        <w:color w:val="000000"/>
                        <w:sz w:val="22"/>
                      </w:rPr>
                    </w:pPr>
                    <w:r w:rsidRPr="00BD4722">
                      <w:rPr>
                        <w:rFonts w:ascii="Calibri" w:hAnsi="Calibri" w:cs="Calibri"/>
                        <w:color w:val="000000"/>
                        <w:sz w:val="22"/>
                      </w:rPr>
                      <w:t>OFFICIAL</w:t>
                    </w:r>
                  </w:p>
                </w:txbxContent>
              </v:textbox>
              <w10:wrap anchorx="page" anchory="page"/>
            </v:shape>
          </w:pict>
        </mc:Fallback>
      </mc:AlternateContent>
    </w:r>
    <w:sdt>
      <w:sdtPr>
        <w:rPr>
          <w:rStyle w:val="PageNumber"/>
        </w:rPr>
        <w:id w:val="810224116"/>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sdtContent>
    </w:sdt>
  </w:p>
  <w:p w14:paraId="6EC7F9C9" w14:textId="6778482B" w:rsidR="005E479A" w:rsidRPr="00BE1DA0" w:rsidRDefault="005E479A" w:rsidP="00526AD0">
    <w:pPr>
      <w:pStyle w:val="Footer"/>
      <w:tabs>
        <w:tab w:val="clear" w:pos="4680"/>
      </w:tabs>
      <w:ind w:right="360"/>
    </w:pPr>
    <w:r>
      <w:t>Bus Safety Regulations 2020 – Regulatory Impact Statement</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A846C" w14:textId="1B76D917" w:rsidR="005E479A" w:rsidRDefault="005E479A">
    <w:pPr>
      <w:pStyle w:val="Footer"/>
    </w:pPr>
    <w:r>
      <w:rPr>
        <w:noProof/>
      </w:rPr>
      <mc:AlternateContent>
        <mc:Choice Requires="wps">
          <w:drawing>
            <wp:anchor distT="0" distB="0" distL="114300" distR="114300" simplePos="0" relativeHeight="251658244" behindDoc="0" locked="0" layoutInCell="0" allowOverlap="1" wp14:anchorId="3972F7C3" wp14:editId="41D90C7F">
              <wp:simplePos x="0" y="0"/>
              <wp:positionH relativeFrom="page">
                <wp:posOffset>0</wp:posOffset>
              </wp:positionH>
              <wp:positionV relativeFrom="page">
                <wp:posOffset>10236200</wp:posOffset>
              </wp:positionV>
              <wp:extent cx="7556500" cy="266700"/>
              <wp:effectExtent l="0" t="0" r="0" b="0"/>
              <wp:wrapNone/>
              <wp:docPr id="3" name="MSIPCM75e848c49a3b39bb942aca29" descr="{&quot;HashCode&quot;:-1267603503,&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F29F9A" w14:textId="5F866A86" w:rsidR="005E479A" w:rsidRPr="00BD4722" w:rsidRDefault="005E479A" w:rsidP="00BD4722">
                          <w:pPr>
                            <w:spacing w:before="0" w:after="0"/>
                            <w:rPr>
                              <w:rFonts w:ascii="Calibri" w:hAnsi="Calibri" w:cs="Calibri"/>
                              <w:color w:val="000000"/>
                              <w:sz w:val="22"/>
                            </w:rPr>
                          </w:pPr>
                          <w:r w:rsidRPr="00BD4722">
                            <w:rPr>
                              <w:rFonts w:ascii="Calibri" w:hAnsi="Calibri" w:cs="Calibri"/>
                              <w:color w:val="000000"/>
                              <w:sz w:val="22"/>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972F7C3" id="_x0000_t202" coordsize="21600,21600" o:spt="202" path="m,l,21600r21600,l21600,xe">
              <v:stroke joinstyle="miter"/>
              <v:path gradientshapeok="t" o:connecttype="rect"/>
            </v:shapetype>
            <v:shape id="MSIPCM75e848c49a3b39bb942aca29" o:spid="_x0000_s1027" type="#_x0000_t202" alt="{&quot;HashCode&quot;:-1267603503,&quot;Height&quot;:842.0,&quot;Width&quot;:595.0,&quot;Placement&quot;:&quot;Footer&quot;,&quot;Index&quot;:&quot;FirstPage&quot;,&quot;Section&quot;:1,&quot;Top&quot;:0.0,&quot;Left&quot;:0.0}" style="position:absolute;margin-left:0;margin-top:806pt;width:595pt;height:21pt;z-index:2516582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" o:allowincell="f" filled="f" stroked="f" strokeweight=".5pt">
              <v:textbox inset="20pt,0,,0">
                <w:txbxContent>
                  <w:p w14:paraId="1AF29F9A" w14:textId="5F866A86" w:rsidR="005E479A" w:rsidRPr="00BD4722" w:rsidRDefault="005E479A" w:rsidP="00BD4722">
                    <w:pPr>
                      <w:spacing w:before="0" w:after="0"/>
                      <w:rPr>
                        <w:rFonts w:ascii="Calibri" w:hAnsi="Calibri" w:cs="Calibri"/>
                        <w:color w:val="000000"/>
                        <w:sz w:val="22"/>
                      </w:rPr>
                    </w:pPr>
                    <w:r w:rsidRPr="00BD4722">
                      <w:rPr>
                        <w:rFonts w:ascii="Calibri" w:hAnsi="Calibri" w:cs="Calibri"/>
                        <w:color w:val="000000"/>
                        <w:sz w:val="22"/>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A41E8" w14:textId="77777777" w:rsidR="00FE58C8" w:rsidRDefault="00FE58C8" w:rsidP="004E6414">
      <w:r>
        <w:separator/>
      </w:r>
    </w:p>
  </w:footnote>
  <w:footnote w:type="continuationSeparator" w:id="0">
    <w:p w14:paraId="4C9ED65C" w14:textId="77777777" w:rsidR="00FE58C8" w:rsidRDefault="00FE58C8" w:rsidP="004E6414">
      <w:r>
        <w:continuationSeparator/>
      </w:r>
    </w:p>
  </w:footnote>
  <w:footnote w:type="continuationNotice" w:id="1">
    <w:p w14:paraId="7C8AD173" w14:textId="77777777" w:rsidR="00FE58C8" w:rsidRDefault="00FE58C8">
      <w:pPr>
        <w:spacing w:before="0" w:after="0"/>
      </w:pPr>
    </w:p>
  </w:footnote>
  <w:footnote w:id="2">
    <w:p w14:paraId="04F99BD3" w14:textId="77777777" w:rsidR="005E479A" w:rsidRPr="000302E5" w:rsidRDefault="005E479A" w:rsidP="00985302">
      <w:pPr>
        <w:pStyle w:val="FootnoteText"/>
        <w:rPr>
          <w:sz w:val="16"/>
          <w:szCs w:val="16"/>
        </w:rPr>
      </w:pPr>
      <w:r w:rsidRPr="000302E5">
        <w:rPr>
          <w:rStyle w:val="FootnoteReference"/>
          <w:sz w:val="16"/>
          <w:szCs w:val="16"/>
        </w:rPr>
        <w:footnoteRef/>
      </w:r>
      <w:r w:rsidRPr="000302E5">
        <w:rPr>
          <w:sz w:val="16"/>
          <w:szCs w:val="16"/>
        </w:rPr>
        <w:t xml:space="preserve"> See Division 17 of Part 8 of Schedule 2 of the Road Safety (Vehicles) Regulations 2009</w:t>
      </w:r>
    </w:p>
  </w:footnote>
  <w:footnote w:id="3">
    <w:p w14:paraId="52D488CC" w14:textId="6D5939D0" w:rsidR="005E479A" w:rsidRDefault="005E479A" w:rsidP="00A463CD">
      <w:pPr>
        <w:spacing w:before="0" w:after="0"/>
      </w:pPr>
      <w:r w:rsidRPr="00524699">
        <w:rPr>
          <w:rStyle w:val="FootnoteReference"/>
          <w:sz w:val="16"/>
          <w:szCs w:val="16"/>
        </w:rPr>
        <w:footnoteRef/>
      </w:r>
      <w:r w:rsidRPr="00524699">
        <w:rPr>
          <w:sz w:val="16"/>
          <w:szCs w:val="16"/>
        </w:rPr>
        <w:t xml:space="preserve"> Note on data: The </w:t>
      </w:r>
      <w:r>
        <w:rPr>
          <w:sz w:val="16"/>
          <w:szCs w:val="16"/>
        </w:rPr>
        <w:t>Bus Safety Act</w:t>
      </w:r>
      <w:r w:rsidRPr="00524699">
        <w:rPr>
          <w:sz w:val="16"/>
          <w:szCs w:val="16"/>
        </w:rPr>
        <w:t xml:space="preserve"> and the Bus Safety Regulations came into effect on 31 December 2010. As part of the commencement of the new bus safety scheme, there were transitionary measures in place to reduce the implementation burden on the industry. For this reason, some data, such as compliance </w:t>
      </w:r>
      <w:r>
        <w:rPr>
          <w:sz w:val="16"/>
          <w:szCs w:val="16"/>
        </w:rPr>
        <w:t>and applications</w:t>
      </w:r>
      <w:r w:rsidRPr="00524699">
        <w:rPr>
          <w:sz w:val="16"/>
          <w:szCs w:val="16"/>
        </w:rPr>
        <w:t xml:space="preserve"> data, for years 2011</w:t>
      </w:r>
      <w:r>
        <w:rPr>
          <w:sz w:val="16"/>
          <w:szCs w:val="16"/>
        </w:rPr>
        <w:t xml:space="preserve"> to 2015 </w:t>
      </w:r>
      <w:r w:rsidRPr="00524699">
        <w:rPr>
          <w:sz w:val="16"/>
          <w:szCs w:val="16"/>
        </w:rPr>
        <w:t>presented in this RIS may differ from later years.</w:t>
      </w:r>
    </w:p>
  </w:footnote>
  <w:footnote w:id="4">
    <w:p w14:paraId="2E177B49" w14:textId="1737E81F" w:rsidR="005E479A" w:rsidRPr="00143CFE" w:rsidRDefault="005E479A">
      <w:pPr>
        <w:pStyle w:val="FootnoteText"/>
        <w:rPr>
          <w:rFonts w:asciiTheme="minorHAnsi" w:hAnsiTheme="minorHAnsi" w:cstheme="minorHAnsi"/>
          <w:sz w:val="16"/>
          <w:szCs w:val="16"/>
          <w:lang w:val="en-US"/>
        </w:rPr>
      </w:pPr>
      <w:r w:rsidRPr="00143CFE">
        <w:rPr>
          <w:rStyle w:val="FootnoteReference"/>
          <w:rFonts w:asciiTheme="minorHAnsi" w:hAnsiTheme="minorHAnsi" w:cstheme="minorHAnsi"/>
          <w:sz w:val="16"/>
          <w:szCs w:val="16"/>
        </w:rPr>
        <w:footnoteRef/>
      </w:r>
      <w:r w:rsidRPr="00143CFE">
        <w:rPr>
          <w:rFonts w:asciiTheme="minorHAnsi" w:hAnsiTheme="minorHAnsi" w:cstheme="minorHAnsi"/>
          <w:sz w:val="16"/>
          <w:szCs w:val="16"/>
        </w:rPr>
        <w:t xml:space="preserve"> </w:t>
      </w:r>
      <w:r w:rsidRPr="00143CFE">
        <w:rPr>
          <w:rFonts w:asciiTheme="minorHAnsi" w:hAnsiTheme="minorHAnsi" w:cstheme="minorHAnsi"/>
          <w:sz w:val="16"/>
          <w:szCs w:val="16"/>
          <w:lang w:val="en-US"/>
        </w:rPr>
        <w:t>Serious injury is considered by TSV as an injury in which an ambulance</w:t>
      </w:r>
      <w:r>
        <w:rPr>
          <w:rFonts w:asciiTheme="minorHAnsi" w:hAnsiTheme="minorHAnsi" w:cstheme="minorHAnsi"/>
          <w:sz w:val="16"/>
          <w:szCs w:val="16"/>
          <w:lang w:val="en-US"/>
        </w:rPr>
        <w:t xml:space="preserve"> is called to attend.</w:t>
      </w:r>
    </w:p>
  </w:footnote>
  <w:footnote w:id="5">
    <w:p w14:paraId="66087F50" w14:textId="5F7058FF" w:rsidR="005E479A" w:rsidRDefault="005E479A">
      <w:pPr>
        <w:pStyle w:val="FootnoteText"/>
      </w:pPr>
      <w:r>
        <w:rPr>
          <w:rStyle w:val="FootnoteReference"/>
        </w:rPr>
        <w:footnoteRef/>
      </w:r>
      <w:r>
        <w:t xml:space="preserve"> </w:t>
      </w:r>
      <w:r w:rsidRPr="00331857">
        <w:rPr>
          <w:sz w:val="16"/>
          <w:szCs w:val="16"/>
        </w:rPr>
        <w:t>Other refers to a range of minor and miscellaneous issues identified as contributing to incidents relating to mechanical failures.</w:t>
      </w:r>
      <w:r>
        <w:rPr>
          <w:sz w:val="16"/>
          <w:szCs w:val="16"/>
        </w:rPr>
        <w:t xml:space="preserve"> This may include a multitude of specific mechanical failures that are not categorised under a specific category, e.g. failures relating to battery, gearbox, transmissions etc. </w:t>
      </w:r>
    </w:p>
  </w:footnote>
  <w:footnote w:id="6">
    <w:p w14:paraId="2F81EC19" w14:textId="08AAB42F" w:rsidR="005E479A" w:rsidRDefault="005E479A">
      <w:pPr>
        <w:pStyle w:val="FootnoteText"/>
      </w:pPr>
      <w:r>
        <w:rPr>
          <w:rStyle w:val="FootnoteReference"/>
        </w:rPr>
        <w:footnoteRef/>
      </w:r>
      <w:r>
        <w:t xml:space="preserve"> </w:t>
      </w:r>
      <w:r w:rsidRPr="000546C5">
        <w:rPr>
          <w:sz w:val="16"/>
          <w:szCs w:val="16"/>
        </w:rPr>
        <w:t xml:space="preserve">TSV has </w:t>
      </w:r>
      <w:r>
        <w:rPr>
          <w:sz w:val="16"/>
          <w:szCs w:val="16"/>
        </w:rPr>
        <w:t>provided inspection data from 2011 to 2019. Data for years 2011 to 2014 has been omitted since there has been transitional arrangements to the new regulatory scheme. Data for years 2018 to 2019 has been omitted since there is incomplete data due to the transition to a new TSV database for data collected as part of TSV’s regulatory functions.</w:t>
      </w:r>
    </w:p>
  </w:footnote>
  <w:footnote w:id="7">
    <w:p w14:paraId="5E02F198" w14:textId="5C5A0761" w:rsidR="005E479A" w:rsidRDefault="005E479A">
      <w:pPr>
        <w:pStyle w:val="FootnoteText"/>
      </w:pPr>
      <w:r>
        <w:rPr>
          <w:rStyle w:val="FootnoteReference"/>
        </w:rPr>
        <w:footnoteRef/>
      </w:r>
      <w:r>
        <w:t xml:space="preserve"> </w:t>
      </w:r>
      <w:r w:rsidRPr="00F14D30">
        <w:rPr>
          <w:sz w:val="16"/>
          <w:szCs w:val="16"/>
        </w:rPr>
        <w:t>See Division 18 of Part 8 of Schedule 2 of the Road Safety (Vehicles) Regulations 2009</w:t>
      </w:r>
    </w:p>
  </w:footnote>
  <w:footnote w:id="8">
    <w:p w14:paraId="35691E83" w14:textId="130BC87E" w:rsidR="005E479A" w:rsidRDefault="005E479A">
      <w:pPr>
        <w:pStyle w:val="FootnoteText"/>
      </w:pPr>
      <w:r>
        <w:rPr>
          <w:rStyle w:val="FootnoteReference"/>
        </w:rPr>
        <w:footnoteRef/>
      </w:r>
      <w:r>
        <w:t xml:space="preserve"> </w:t>
      </w:r>
      <w:r w:rsidRPr="00B20663">
        <w:rPr>
          <w:sz w:val="16"/>
          <w:szCs w:val="16"/>
        </w:rPr>
        <w:t>Note o</w:t>
      </w:r>
      <w:r>
        <w:rPr>
          <w:sz w:val="16"/>
          <w:szCs w:val="16"/>
        </w:rPr>
        <w:t>n</w:t>
      </w:r>
      <w:r w:rsidRPr="00B20663">
        <w:rPr>
          <w:sz w:val="16"/>
          <w:szCs w:val="16"/>
        </w:rPr>
        <w:t xml:space="preserve"> data:</w:t>
      </w:r>
      <w:r>
        <w:rPr>
          <w:sz w:val="16"/>
          <w:szCs w:val="16"/>
        </w:rPr>
        <w:t xml:space="preserve"> Accredited operators under the old scheme were deemed to be accredited at the commencement of the new bus safety scheme, with deeming lasting for up to 5 years. During this transition period, those bus operators wishing to continue their operations were required to apply for full accreditation under the Bus Safety Act. The spike in accreditations granted in 2014 and 2015 are a result of the deeming provisions expiring and operators applying for accreditation under the new scheme.</w:t>
      </w:r>
    </w:p>
  </w:footnote>
  <w:footnote w:id="9">
    <w:p w14:paraId="60FF95EC" w14:textId="77777777" w:rsidR="005E479A" w:rsidRPr="002E7EF6" w:rsidRDefault="005E479A" w:rsidP="00C141DF">
      <w:pPr>
        <w:pStyle w:val="FootnoteText"/>
        <w:rPr>
          <w:sz w:val="16"/>
          <w:szCs w:val="16"/>
        </w:rPr>
      </w:pPr>
      <w:r w:rsidRPr="002E7EF6">
        <w:rPr>
          <w:rStyle w:val="FootnoteReference"/>
          <w:sz w:val="16"/>
          <w:szCs w:val="16"/>
        </w:rPr>
        <w:footnoteRef/>
      </w:r>
      <w:r w:rsidRPr="002E7EF6">
        <w:rPr>
          <w:sz w:val="16"/>
          <w:szCs w:val="16"/>
        </w:rPr>
        <w:t xml:space="preserve"> </w:t>
      </w:r>
      <w:r w:rsidRPr="00FB1DE7">
        <w:rPr>
          <w:rFonts w:eastAsiaTheme="majorEastAsia"/>
          <w:sz w:val="16"/>
          <w:szCs w:val="16"/>
        </w:rPr>
        <w:t>https://www.dtf.vic.gov.au/sites/default/files/2018-01/Cost-Recovery-Guidelines-Jan2013_0.pdf</w:t>
      </w:r>
    </w:p>
  </w:footnote>
  <w:footnote w:id="10">
    <w:p w14:paraId="6590EE1A" w14:textId="77777777" w:rsidR="005E479A" w:rsidRPr="001A3F60" w:rsidRDefault="005E479A" w:rsidP="001A58D8">
      <w:pPr>
        <w:pStyle w:val="FootnoteText"/>
        <w:rPr>
          <w:sz w:val="16"/>
          <w:szCs w:val="16"/>
        </w:rPr>
      </w:pPr>
      <w:r w:rsidRPr="001A3F60">
        <w:rPr>
          <w:rStyle w:val="FootnoteReference"/>
          <w:sz w:val="16"/>
          <w:szCs w:val="16"/>
        </w:rPr>
        <w:footnoteRef/>
      </w:r>
      <w:r w:rsidRPr="001A3F60">
        <w:rPr>
          <w:sz w:val="16"/>
          <w:szCs w:val="16"/>
        </w:rPr>
        <w:t xml:space="preserve"> </w:t>
      </w:r>
      <w:r w:rsidRPr="001A3F60">
        <w:rPr>
          <w:sz w:val="16"/>
          <w:szCs w:val="16"/>
          <w:lang w:val="en-US"/>
        </w:rPr>
        <w:t xml:space="preserve">The annual accreditation fee </w:t>
      </w:r>
      <w:r>
        <w:rPr>
          <w:sz w:val="16"/>
          <w:szCs w:val="16"/>
          <w:lang w:val="en-US"/>
        </w:rPr>
        <w:t xml:space="preserve">applicable to an operator </w:t>
      </w:r>
      <w:r w:rsidRPr="001A3F60">
        <w:rPr>
          <w:sz w:val="16"/>
          <w:szCs w:val="16"/>
          <w:lang w:val="en-US"/>
        </w:rPr>
        <w:t>is based on the formula (5.5 fee units x (B – 1) + 20 fee units, where B is the number of buses proposed to be operated by the bus operators. The average fee unit applied to all active accredited operators was derived by determining the average number of buses operated by accredited operators (i.e. total buses operators by accredited operators divided by the total number of accredited operators)</w:t>
      </w:r>
    </w:p>
  </w:footnote>
  <w:footnote w:id="11">
    <w:p w14:paraId="013ECE5B" w14:textId="7C3A53F0" w:rsidR="005E479A" w:rsidRPr="006A1ECC" w:rsidRDefault="005E479A">
      <w:pPr>
        <w:pStyle w:val="FootnoteText"/>
        <w:rPr>
          <w:sz w:val="16"/>
          <w:szCs w:val="16"/>
          <w:lang w:val="en-US"/>
        </w:rPr>
      </w:pPr>
      <w:r w:rsidRPr="006A1ECC">
        <w:rPr>
          <w:rStyle w:val="FootnoteReference"/>
          <w:sz w:val="16"/>
          <w:szCs w:val="16"/>
        </w:rPr>
        <w:footnoteRef/>
      </w:r>
      <w:r w:rsidRPr="006A1ECC">
        <w:rPr>
          <w:sz w:val="16"/>
          <w:szCs w:val="16"/>
        </w:rPr>
        <w:t xml:space="preserve"> Note that </w:t>
      </w:r>
      <w:r>
        <w:rPr>
          <w:sz w:val="16"/>
          <w:szCs w:val="16"/>
        </w:rPr>
        <w:t>the seating capacity for adults are able to accommodate seating for children</w:t>
      </w:r>
      <w:r w:rsidRPr="006A1ECC">
        <w:rPr>
          <w:sz w:val="16"/>
          <w:szCs w:val="16"/>
          <w:lang w:val="en-US"/>
        </w:rPr>
        <w:t>.</w:t>
      </w:r>
    </w:p>
  </w:footnote>
  <w:footnote w:id="12">
    <w:p w14:paraId="522AE95F" w14:textId="069959B7" w:rsidR="005E479A" w:rsidRPr="000302E5" w:rsidRDefault="005E479A">
      <w:pPr>
        <w:pStyle w:val="FootnoteText"/>
        <w:rPr>
          <w:sz w:val="16"/>
          <w:szCs w:val="16"/>
        </w:rPr>
      </w:pPr>
      <w:r w:rsidRPr="000302E5">
        <w:rPr>
          <w:rStyle w:val="FootnoteReference"/>
          <w:sz w:val="16"/>
          <w:szCs w:val="16"/>
        </w:rPr>
        <w:footnoteRef/>
      </w:r>
      <w:r w:rsidRPr="000302E5">
        <w:rPr>
          <w:sz w:val="16"/>
          <w:szCs w:val="16"/>
        </w:rPr>
        <w:t xml:space="preserve"> See Division 17 of Part 8 of Schedule 2 of the Road Safety (Vehicles) Regulations 2009</w:t>
      </w:r>
    </w:p>
  </w:footnote>
  <w:footnote w:id="13">
    <w:p w14:paraId="7A7498D6" w14:textId="1ED18D9F" w:rsidR="005E479A" w:rsidRDefault="005E479A" w:rsidP="00B57530">
      <w:pPr>
        <w:pStyle w:val="FootnoteText"/>
      </w:pPr>
      <w:r>
        <w:rPr>
          <w:rStyle w:val="FootnoteReference"/>
        </w:rPr>
        <w:footnoteRef/>
      </w:r>
      <w:r>
        <w:t xml:space="preserve"> </w:t>
      </w:r>
      <w:r w:rsidRPr="00DD391B">
        <w:rPr>
          <w:sz w:val="16"/>
          <w:szCs w:val="16"/>
        </w:rPr>
        <w:t xml:space="preserve">The hourly labour cost used throughout this RIS </w:t>
      </w:r>
      <w:r>
        <w:rPr>
          <w:sz w:val="16"/>
          <w:szCs w:val="16"/>
        </w:rPr>
        <w:t>is</w:t>
      </w:r>
      <w:r w:rsidRPr="00DD391B">
        <w:rPr>
          <w:sz w:val="16"/>
          <w:szCs w:val="16"/>
        </w:rPr>
        <w:t xml:space="preserve"> based on the ABS </w:t>
      </w:r>
      <w:r>
        <w:rPr>
          <w:sz w:val="16"/>
          <w:szCs w:val="16"/>
        </w:rPr>
        <w:t>average weekly earnings for adults of full-time ordinary hours of $1,658.40 (s</w:t>
      </w:r>
      <w:r w:rsidRPr="009507AC">
        <w:rPr>
          <w:sz w:val="16"/>
          <w:szCs w:val="16"/>
        </w:rPr>
        <w:t xml:space="preserve">ee ABS Cat. 6302.0 </w:t>
      </w:r>
      <w:r w:rsidRPr="00DD391B">
        <w:rPr>
          <w:sz w:val="16"/>
          <w:szCs w:val="16"/>
        </w:rPr>
        <w:t>Average Weekly Earnings, Australia</w:t>
      </w:r>
      <w:r w:rsidRPr="009507AC">
        <w:rPr>
          <w:sz w:val="16"/>
          <w:szCs w:val="16"/>
        </w:rPr>
        <w:t>, Nov 2019</w:t>
      </w:r>
      <w:r>
        <w:rPr>
          <w:sz w:val="16"/>
          <w:szCs w:val="16"/>
        </w:rPr>
        <w:t>)</w:t>
      </w:r>
      <w:r w:rsidRPr="009507AC">
        <w:rPr>
          <w:sz w:val="16"/>
          <w:szCs w:val="16"/>
        </w:rPr>
        <w:t>.</w:t>
      </w:r>
      <w:r w:rsidRPr="00DD391B">
        <w:rPr>
          <w:sz w:val="16"/>
          <w:szCs w:val="16"/>
        </w:rPr>
        <w:t xml:space="preserve"> Assuming the average number of hours worked by full-time employees is 38 hours per week</w:t>
      </w:r>
      <w:r>
        <w:rPr>
          <w:sz w:val="16"/>
          <w:szCs w:val="16"/>
        </w:rPr>
        <w:t>, t</w:t>
      </w:r>
      <w:r w:rsidRPr="00DD391B">
        <w:rPr>
          <w:sz w:val="16"/>
          <w:szCs w:val="16"/>
        </w:rPr>
        <w:t>his implies an average hourly wage rate of</w:t>
      </w:r>
      <w:r>
        <w:rPr>
          <w:sz w:val="16"/>
          <w:szCs w:val="16"/>
        </w:rPr>
        <w:t xml:space="preserve"> </w:t>
      </w:r>
      <w:r w:rsidRPr="00DD391B">
        <w:rPr>
          <w:sz w:val="16"/>
          <w:szCs w:val="16"/>
        </w:rPr>
        <w:t>$1,658.40 ÷ 38 = $43.64</w:t>
      </w:r>
      <w:r>
        <w:rPr>
          <w:sz w:val="16"/>
          <w:szCs w:val="16"/>
        </w:rPr>
        <w:t xml:space="preserve">. </w:t>
      </w:r>
      <w:r w:rsidRPr="00DD391B">
        <w:rPr>
          <w:sz w:val="16"/>
          <w:szCs w:val="16"/>
        </w:rPr>
        <w:t>As recommended by the Victorian Guide to Regulation, this hourly wage rate can be multiplied by 1.75 in order to account for on-costs, including non-wage labour costs such as superannuation, long service leave etc. as well as the costs of office space, office equipment and the like. This implies a total hourly labour cost of</w:t>
      </w:r>
      <w:r>
        <w:rPr>
          <w:sz w:val="16"/>
          <w:szCs w:val="16"/>
        </w:rPr>
        <w:t xml:space="preserve"> </w:t>
      </w:r>
      <w:r w:rsidRPr="00DD391B">
        <w:rPr>
          <w:sz w:val="16"/>
          <w:szCs w:val="16"/>
        </w:rPr>
        <w:t>$43.64 x 1.75 = $76.37</w:t>
      </w:r>
      <w:r w:rsidRPr="00DD391B">
        <w:rPr>
          <w:sz w:val="16"/>
          <w:szCs w:val="16"/>
        </w:rPr>
        <w:footnoteRef/>
      </w:r>
      <w:r>
        <w:rPr>
          <w:sz w:val="16"/>
          <w:szCs w:val="16"/>
        </w:rPr>
        <w:t>.</w:t>
      </w:r>
    </w:p>
  </w:footnote>
  <w:footnote w:id="14">
    <w:p w14:paraId="66184765" w14:textId="72670AE9" w:rsidR="005E479A" w:rsidRPr="001073C4" w:rsidRDefault="005E479A" w:rsidP="00B57530">
      <w:pPr>
        <w:pStyle w:val="FootnoteText"/>
        <w:rPr>
          <w:sz w:val="16"/>
          <w:szCs w:val="16"/>
          <w:lang w:val="en-US"/>
        </w:rPr>
      </w:pPr>
      <w:r w:rsidRPr="00477CE6">
        <w:rPr>
          <w:rStyle w:val="FootnoteReference"/>
        </w:rPr>
        <w:footnoteRef/>
      </w:r>
      <w:r w:rsidRPr="00757ECF">
        <w:rPr>
          <w:sz w:val="16"/>
          <w:szCs w:val="16"/>
        </w:rPr>
        <w:t xml:space="preserve"> Annual growth rate estimated based on data from 2016 to 2019. Data prior to 2016 is excluded due to the spike in accreditations</w:t>
      </w:r>
      <w:r w:rsidRPr="001073C4">
        <w:rPr>
          <w:sz w:val="16"/>
          <w:szCs w:val="16"/>
        </w:rPr>
        <w:t xml:space="preserve"> granted in 2014 and 2015 as a result of deeming provisions from the old bus accreditation scheme expiring and operators applying for accreditation under the new scheme.</w:t>
      </w:r>
      <w:r>
        <w:rPr>
          <w:sz w:val="16"/>
          <w:szCs w:val="16"/>
        </w:rPr>
        <w:t xml:space="preserve">  </w:t>
      </w:r>
    </w:p>
  </w:footnote>
  <w:footnote w:id="15">
    <w:p w14:paraId="275605E9" w14:textId="22D5D9B6" w:rsidR="005E479A" w:rsidRPr="00477CE6" w:rsidRDefault="005E479A">
      <w:pPr>
        <w:pStyle w:val="FootnoteText"/>
        <w:rPr>
          <w:lang w:val="en-US"/>
        </w:rPr>
      </w:pPr>
      <w:r>
        <w:rPr>
          <w:rStyle w:val="FootnoteReference"/>
        </w:rPr>
        <w:footnoteRef/>
      </w:r>
      <w:r>
        <w:t xml:space="preserve"> </w:t>
      </w:r>
      <w:r>
        <w:rPr>
          <w:sz w:val="16"/>
          <w:szCs w:val="16"/>
        </w:rPr>
        <w:t xml:space="preserve">The annual growth of active accredited operators (1 per cent) will generally be lower than the number of new applicants per year (40 applicants). The number of active accredited operators reflect net effects of industry entry and industry exit and includes factors such as consolidation of operators or an operator transferring from accreditation to registration within the industry. Applications represent industry entry only. </w:t>
      </w:r>
    </w:p>
  </w:footnote>
  <w:footnote w:id="16">
    <w:p w14:paraId="524E4F67" w14:textId="44EC959F" w:rsidR="005E479A" w:rsidRPr="00FE3948" w:rsidRDefault="005E479A">
      <w:pPr>
        <w:pStyle w:val="FootnoteText"/>
        <w:rPr>
          <w:lang w:val="en-US"/>
        </w:rPr>
      </w:pPr>
      <w:r>
        <w:rPr>
          <w:rStyle w:val="FootnoteReference"/>
        </w:rPr>
        <w:footnoteRef/>
      </w:r>
      <w:r>
        <w:t xml:space="preserve"> </w:t>
      </w:r>
      <w:r w:rsidRPr="00FE3948">
        <w:rPr>
          <w:sz w:val="16"/>
          <w:szCs w:val="16"/>
        </w:rPr>
        <w:t>The NPV</w:t>
      </w:r>
      <w:r>
        <w:rPr>
          <w:sz w:val="16"/>
          <w:szCs w:val="16"/>
        </w:rPr>
        <w:t xml:space="preserve">s calculated </w:t>
      </w:r>
      <w:r w:rsidRPr="00FE3948">
        <w:rPr>
          <w:sz w:val="16"/>
          <w:szCs w:val="16"/>
        </w:rPr>
        <w:t>throughout this RIS assumes an annual discount rate of 4 per cent. All NPVs referred to in this RIS is over a 10-year period and corresponds to the life of the proposed regulations.</w:t>
      </w:r>
      <w:r>
        <w:rPr>
          <w:lang w:val="en-US"/>
        </w:rPr>
        <w:t xml:space="preserve"> </w:t>
      </w:r>
    </w:p>
  </w:footnote>
  <w:footnote w:id="17">
    <w:p w14:paraId="0497876F" w14:textId="77777777" w:rsidR="005E479A" w:rsidRPr="001073C4" w:rsidRDefault="005E479A" w:rsidP="009201D4">
      <w:pPr>
        <w:pStyle w:val="FootnoteText"/>
        <w:rPr>
          <w:sz w:val="16"/>
          <w:szCs w:val="16"/>
          <w:lang w:val="en-US"/>
        </w:rPr>
      </w:pPr>
      <w:r w:rsidRPr="00EE3C8E">
        <w:rPr>
          <w:rStyle w:val="FootnoteReference"/>
          <w:sz w:val="16"/>
          <w:szCs w:val="16"/>
        </w:rPr>
        <w:footnoteRef/>
      </w:r>
      <w:r w:rsidRPr="00EE3C8E">
        <w:rPr>
          <w:color w:val="auto"/>
          <w:sz w:val="16"/>
          <w:szCs w:val="16"/>
        </w:rPr>
        <w:t xml:space="preserve"> Data prior to 2016 is excluded due to the spike in accreditations granted in 2014 and 2015 as a result of deeming provisions from the old bus accreditation scheme expiring and operators applying for accreditation under the new scheme.</w:t>
      </w:r>
    </w:p>
  </w:footnote>
  <w:footnote w:id="18">
    <w:p w14:paraId="4433618D" w14:textId="77777777" w:rsidR="005E479A" w:rsidRPr="00EE3C8E" w:rsidRDefault="005E479A" w:rsidP="009201D4">
      <w:pPr>
        <w:pStyle w:val="FootnoteText"/>
        <w:rPr>
          <w:sz w:val="16"/>
          <w:szCs w:val="16"/>
        </w:rPr>
      </w:pPr>
      <w:r w:rsidRPr="00EE3C8E">
        <w:rPr>
          <w:rStyle w:val="FootnoteReference"/>
          <w:color w:val="auto"/>
          <w:sz w:val="16"/>
          <w:szCs w:val="16"/>
        </w:rPr>
        <w:footnoteRef/>
      </w:r>
      <w:r w:rsidRPr="00EE3C8E">
        <w:rPr>
          <w:color w:val="auto"/>
          <w:sz w:val="16"/>
          <w:szCs w:val="16"/>
        </w:rPr>
        <w:t xml:space="preserve"> Note that buses </w:t>
      </w:r>
      <w:r>
        <w:rPr>
          <w:color w:val="auto"/>
          <w:sz w:val="16"/>
          <w:szCs w:val="16"/>
        </w:rPr>
        <w:t>operating on average</w:t>
      </w:r>
      <w:r w:rsidRPr="00EE3C8E">
        <w:rPr>
          <w:color w:val="auto"/>
          <w:sz w:val="16"/>
          <w:szCs w:val="16"/>
        </w:rPr>
        <w:t xml:space="preserve"> seven days per week will still</w:t>
      </w:r>
      <w:r>
        <w:rPr>
          <w:color w:val="auto"/>
          <w:sz w:val="16"/>
          <w:szCs w:val="16"/>
        </w:rPr>
        <w:t xml:space="preserve"> be out of service a few days per year</w:t>
      </w:r>
      <w:r w:rsidRPr="00EE3C8E">
        <w:rPr>
          <w:color w:val="auto"/>
          <w:sz w:val="16"/>
          <w:szCs w:val="16"/>
        </w:rPr>
        <w:t xml:space="preserve"> for regular maintenance and inspections. </w:t>
      </w:r>
    </w:p>
  </w:footnote>
  <w:footnote w:id="19">
    <w:p w14:paraId="7FA33FCE" w14:textId="3ED6B5E9" w:rsidR="005E479A" w:rsidRPr="00FD67AA" w:rsidRDefault="005E479A">
      <w:pPr>
        <w:pStyle w:val="FootnoteText"/>
        <w:rPr>
          <w:lang w:val="en-US"/>
        </w:rPr>
      </w:pPr>
      <w:r w:rsidRPr="00693C24">
        <w:rPr>
          <w:rStyle w:val="FootnoteReference"/>
          <w:color w:val="auto"/>
        </w:rPr>
        <w:footnoteRef/>
      </w:r>
      <w:r w:rsidRPr="00693C24">
        <w:rPr>
          <w:color w:val="auto"/>
        </w:rPr>
        <w:t xml:space="preserve"> </w:t>
      </w:r>
      <w:hyperlink r:id="rId1" w:history="1">
        <w:r w:rsidRPr="00693C24">
          <w:rPr>
            <w:rStyle w:val="Hyperlink"/>
            <w:rFonts w:eastAsiaTheme="majorEastAsia"/>
            <w:color w:val="auto"/>
            <w:sz w:val="16"/>
            <w:szCs w:val="16"/>
          </w:rPr>
          <w:t>https://www.bitre.gov.au/sites/default/files/Road%20trauma%20Australia%202018%20statistical%20summary.pdf</w:t>
        </w:r>
      </w:hyperlink>
    </w:p>
  </w:footnote>
  <w:footnote w:id="20">
    <w:p w14:paraId="541B0D62" w14:textId="77777777" w:rsidR="005E479A" w:rsidRPr="00D56093" w:rsidRDefault="005E479A" w:rsidP="00143D70">
      <w:pPr>
        <w:pStyle w:val="FootnoteText"/>
        <w:rPr>
          <w:lang w:val="en-US"/>
        </w:rPr>
      </w:pPr>
      <w:r>
        <w:rPr>
          <w:rStyle w:val="FootnoteReference"/>
        </w:rPr>
        <w:footnoteRef/>
      </w:r>
      <w:r>
        <w:t xml:space="preserve"> </w:t>
      </w:r>
      <w:r>
        <w:rPr>
          <w:sz w:val="16"/>
          <w:szCs w:val="16"/>
        </w:rPr>
        <w:t>Average accreditations granted per year is taken as the average from 2016 to 2019. Data prior to 2016 is excluded due to the spike in accreditations granted in 2014 and 2015 as a result of deeming provisions from the old bus accreditation scheme expiring and operators applying for accreditation under the new scheme.</w:t>
      </w:r>
    </w:p>
  </w:footnote>
  <w:footnote w:id="21">
    <w:p w14:paraId="50DD95BC" w14:textId="77777777" w:rsidR="005E479A" w:rsidRPr="00774403" w:rsidRDefault="005E479A" w:rsidP="004E37B0">
      <w:pPr>
        <w:pStyle w:val="FootnoteText"/>
        <w:rPr>
          <w:sz w:val="16"/>
          <w:szCs w:val="16"/>
        </w:rPr>
      </w:pPr>
      <w:r w:rsidRPr="00774403">
        <w:rPr>
          <w:rStyle w:val="FootnoteReference"/>
          <w:sz w:val="16"/>
          <w:szCs w:val="16"/>
        </w:rPr>
        <w:footnoteRef/>
      </w:r>
      <w:r w:rsidRPr="00774403">
        <w:rPr>
          <w:sz w:val="16"/>
          <w:szCs w:val="16"/>
        </w:rPr>
        <w:t xml:space="preserve"> Non-commercial bus services with vehicles that have 10 or more seat</w:t>
      </w:r>
      <w:r>
        <w:rPr>
          <w:sz w:val="16"/>
          <w:szCs w:val="16"/>
        </w:rPr>
        <w:t>s</w:t>
      </w:r>
      <w:r w:rsidRPr="00774403">
        <w:rPr>
          <w:sz w:val="16"/>
          <w:szCs w:val="16"/>
        </w:rPr>
        <w:t xml:space="preserve">, including the driver, are not required to be accredited. These operators are registered. </w:t>
      </w:r>
    </w:p>
  </w:footnote>
  <w:footnote w:id="22">
    <w:p w14:paraId="064110FF" w14:textId="46173ADA" w:rsidR="005E479A" w:rsidRPr="00625B0C" w:rsidRDefault="005E479A" w:rsidP="00D83745">
      <w:pPr>
        <w:pStyle w:val="FootnoteText"/>
        <w:rPr>
          <w:sz w:val="16"/>
          <w:szCs w:val="16"/>
        </w:rPr>
      </w:pPr>
      <w:r w:rsidRPr="00625B0C">
        <w:rPr>
          <w:rStyle w:val="FootnoteReference"/>
          <w:sz w:val="16"/>
          <w:szCs w:val="16"/>
        </w:rPr>
        <w:footnoteRef/>
      </w:r>
      <w:r w:rsidRPr="00625B0C">
        <w:rPr>
          <w:sz w:val="16"/>
          <w:szCs w:val="16"/>
        </w:rPr>
        <w:t xml:space="preserve"> Note on data: Accredited operators under the old scheme were deemed to be accredited at the commencement of the new bus safety scheme, with deeming lasting for up to 5 years. During this transition period, those bus operators wishing to continue their operations were required to apply for full accreditation under the </w:t>
      </w:r>
      <w:r>
        <w:rPr>
          <w:sz w:val="16"/>
          <w:szCs w:val="16"/>
        </w:rPr>
        <w:t>Bus Safety Act</w:t>
      </w:r>
      <w:r w:rsidRPr="00625B0C">
        <w:rPr>
          <w:sz w:val="16"/>
          <w:szCs w:val="16"/>
        </w:rPr>
        <w:t xml:space="preserve">. The spike in accreditations granted in 2014 and 2015 are a result of the deeming provisions expiring and does not represent a long-term trend in applications granted for accreditation. </w:t>
      </w:r>
    </w:p>
  </w:footnote>
  <w:footnote w:id="23">
    <w:p w14:paraId="0935CB80" w14:textId="77777777" w:rsidR="005E479A" w:rsidRDefault="005E479A" w:rsidP="00D83745">
      <w:pPr>
        <w:pStyle w:val="FootnoteText"/>
      </w:pPr>
      <w:r w:rsidRPr="0033276F">
        <w:rPr>
          <w:rStyle w:val="FootnoteReference"/>
          <w:sz w:val="16"/>
          <w:szCs w:val="16"/>
        </w:rPr>
        <w:footnoteRef/>
      </w:r>
      <w:r w:rsidRPr="002851F3">
        <w:rPr>
          <w:sz w:val="16"/>
          <w:szCs w:val="16"/>
        </w:rPr>
        <w:t xml:space="preserve"> Note </w:t>
      </w:r>
      <w:r>
        <w:rPr>
          <w:sz w:val="16"/>
          <w:szCs w:val="16"/>
        </w:rPr>
        <w:t>on data: T</w:t>
      </w:r>
      <w:r w:rsidRPr="002851F3">
        <w:rPr>
          <w:sz w:val="16"/>
          <w:szCs w:val="16"/>
        </w:rPr>
        <w:t xml:space="preserve">he number of applications for registration in 2011 </w:t>
      </w:r>
      <w:r>
        <w:rPr>
          <w:sz w:val="16"/>
          <w:szCs w:val="16"/>
        </w:rPr>
        <w:t>to 2015</w:t>
      </w:r>
      <w:r w:rsidRPr="002851F3">
        <w:rPr>
          <w:sz w:val="16"/>
          <w:szCs w:val="16"/>
        </w:rPr>
        <w:t xml:space="preserve"> are considered outliers and are not included in the </w:t>
      </w:r>
      <w:r w:rsidRPr="00CF557D">
        <w:rPr>
          <w:sz w:val="16"/>
          <w:szCs w:val="16"/>
        </w:rPr>
        <w:t>average applications</w:t>
      </w:r>
      <w:r w:rsidRPr="002851F3">
        <w:rPr>
          <w:sz w:val="16"/>
          <w:szCs w:val="16"/>
        </w:rPr>
        <w:t xml:space="preserve">. This is because during these years there was a large influx of registrations due to the commencement of the </w:t>
      </w:r>
      <w:r>
        <w:rPr>
          <w:sz w:val="16"/>
          <w:szCs w:val="16"/>
        </w:rPr>
        <w:t>new bus safety scheme 2010</w:t>
      </w:r>
      <w:r w:rsidRPr="002851F3">
        <w:rPr>
          <w:sz w:val="16"/>
          <w:szCs w:val="16"/>
        </w:rPr>
        <w:t xml:space="preserve"> which introduced a new registration scheme for the mini-bus sector of the industry.</w:t>
      </w:r>
    </w:p>
  </w:footnote>
  <w:footnote w:id="24">
    <w:p w14:paraId="6504531B" w14:textId="4DC9E626" w:rsidR="005E479A" w:rsidRPr="00AD071A" w:rsidRDefault="005E479A">
      <w:pPr>
        <w:pStyle w:val="FootnoteText"/>
        <w:rPr>
          <w:lang w:val="en-US"/>
        </w:rPr>
      </w:pPr>
      <w:r w:rsidRPr="00AD071A">
        <w:rPr>
          <w:rStyle w:val="FootnoteReference"/>
        </w:rPr>
        <w:footnoteRef/>
      </w:r>
      <w:r w:rsidRPr="00AD071A">
        <w:rPr>
          <w:sz w:val="16"/>
          <w:szCs w:val="16"/>
        </w:rPr>
        <w:t xml:space="preserve"> Based on 3.3 fee units from Schedule 3 of Victoria Police (Fees and Charges) Regulations 2014</w:t>
      </w:r>
      <w:r>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855DD" w14:textId="2D3EB22C" w:rsidR="005E479A" w:rsidRPr="00F316F8" w:rsidRDefault="005E479A" w:rsidP="004E6414">
    <w:pPr>
      <w:pStyle w:val="Header"/>
    </w:pPr>
    <w:r>
      <w:rPr>
        <w:noProof/>
      </w:rPr>
      <w:drawing>
        <wp:anchor distT="0" distB="0" distL="114300" distR="114300" simplePos="0" relativeHeight="251658241" behindDoc="1" locked="0" layoutInCell="1" allowOverlap="1" wp14:anchorId="59461335" wp14:editId="470B00C7">
          <wp:simplePos x="0" y="0"/>
          <wp:positionH relativeFrom="column">
            <wp:posOffset>-914400</wp:posOffset>
          </wp:positionH>
          <wp:positionV relativeFrom="paragraph">
            <wp:posOffset>-278541</wp:posOffset>
          </wp:positionV>
          <wp:extent cx="7573702" cy="77468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png"/>
                  <pic:cNvPicPr/>
                </pic:nvPicPr>
                <pic:blipFill rotWithShape="1">
                  <a:blip r:embed="rId1">
                    <a:extLst>
                      <a:ext uri="{28A0092B-C50C-407E-A947-70E740481C1C}">
                        <a14:useLocalDpi xmlns:a14="http://schemas.microsoft.com/office/drawing/2010/main" val="0"/>
                      </a:ext>
                    </a:extLst>
                  </a:blip>
                  <a:srcRect b="92772"/>
                  <a:stretch/>
                </pic:blipFill>
                <pic:spPr bwMode="auto">
                  <a:xfrm>
                    <a:off x="0" y="0"/>
                    <a:ext cx="7573702" cy="774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FECB4" w14:textId="067DAF91" w:rsidR="005E479A" w:rsidRDefault="005E479A" w:rsidP="004E6414">
    <w:pPr>
      <w:pStyle w:val="Header"/>
    </w:pPr>
    <w:r>
      <w:rPr>
        <w:noProof/>
      </w:rPr>
      <w:drawing>
        <wp:anchor distT="0" distB="0" distL="114300" distR="114300" simplePos="0" relativeHeight="251658240" behindDoc="1" locked="0" layoutInCell="1" allowOverlap="1" wp14:anchorId="1EC4F6D0" wp14:editId="7F9EB608">
          <wp:simplePos x="0" y="0"/>
          <wp:positionH relativeFrom="column">
            <wp:posOffset>-905436</wp:posOffset>
          </wp:positionH>
          <wp:positionV relativeFrom="paragraph">
            <wp:posOffset>-279325</wp:posOffset>
          </wp:positionV>
          <wp:extent cx="7543695" cy="10675545"/>
          <wp:effectExtent l="0" t="0" r="63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 4.png"/>
                  <pic:cNvPicPr/>
                </pic:nvPicPr>
                <pic:blipFill>
                  <a:blip r:embed="rId1">
                    <a:extLst>
                      <a:ext uri="{28A0092B-C50C-407E-A947-70E740481C1C}">
                        <a14:useLocalDpi xmlns:a14="http://schemas.microsoft.com/office/drawing/2010/main" val="0"/>
                      </a:ext>
                    </a:extLst>
                  </a:blip>
                  <a:stretch>
                    <a:fillRect/>
                  </a:stretch>
                </pic:blipFill>
                <pic:spPr>
                  <a:xfrm>
                    <a:off x="0" y="0"/>
                    <a:ext cx="7553456" cy="1068935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BDCD0" w14:textId="56DF7342" w:rsidR="005E479A" w:rsidRPr="00F316F8" w:rsidRDefault="005E479A" w:rsidP="004E6414">
    <w:pPr>
      <w:pStyle w:val="Header"/>
    </w:pPr>
    <w:r>
      <w:rPr>
        <w:noProof/>
      </w:rPr>
      <w:drawing>
        <wp:anchor distT="0" distB="0" distL="114300" distR="114300" simplePos="0" relativeHeight="251658242" behindDoc="1" locked="0" layoutInCell="1" allowOverlap="1" wp14:anchorId="55558F4E" wp14:editId="35D978EA">
          <wp:simplePos x="0" y="0"/>
          <wp:positionH relativeFrom="column">
            <wp:posOffset>-914400</wp:posOffset>
          </wp:positionH>
          <wp:positionV relativeFrom="paragraph">
            <wp:posOffset>-278541</wp:posOffset>
          </wp:positionV>
          <wp:extent cx="7573702" cy="77468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png"/>
                  <pic:cNvPicPr/>
                </pic:nvPicPr>
                <pic:blipFill rotWithShape="1">
                  <a:blip r:embed="rId1">
                    <a:extLst>
                      <a:ext uri="{28A0092B-C50C-407E-A947-70E740481C1C}">
                        <a14:useLocalDpi xmlns:a14="http://schemas.microsoft.com/office/drawing/2010/main" val="0"/>
                      </a:ext>
                    </a:extLst>
                  </a:blip>
                  <a:srcRect b="92772"/>
                  <a:stretch/>
                </pic:blipFill>
                <pic:spPr bwMode="auto">
                  <a:xfrm>
                    <a:off x="0" y="0"/>
                    <a:ext cx="7573702" cy="774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FDCE5282"/>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8DB01022"/>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BE7634C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0F6AD38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A45E67"/>
    <w:multiLevelType w:val="hybridMultilevel"/>
    <w:tmpl w:val="D40694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3E6B2B"/>
    <w:multiLevelType w:val="hybridMultilevel"/>
    <w:tmpl w:val="3D822B6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BB11C2"/>
    <w:multiLevelType w:val="hybridMultilevel"/>
    <w:tmpl w:val="F29C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0471EB"/>
    <w:multiLevelType w:val="hybridMultilevel"/>
    <w:tmpl w:val="0D82A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13D797C"/>
    <w:multiLevelType w:val="hybridMultilevel"/>
    <w:tmpl w:val="D2BE3B06"/>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9" w15:restartNumberingAfterBreak="0">
    <w:nsid w:val="14692151"/>
    <w:multiLevelType w:val="multilevel"/>
    <w:tmpl w:val="2A08DB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50D3D4E"/>
    <w:multiLevelType w:val="hybridMultilevel"/>
    <w:tmpl w:val="1F94C1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9197E7A"/>
    <w:multiLevelType w:val="hybridMultilevel"/>
    <w:tmpl w:val="CE647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1F07DA"/>
    <w:multiLevelType w:val="hybridMultilevel"/>
    <w:tmpl w:val="98767570"/>
    <w:lvl w:ilvl="0" w:tplc="AA307556">
      <w:start w:val="1"/>
      <w:numFmt w:val="decimal"/>
      <w:pStyle w:val="AppendixStyle1"/>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AF15F9"/>
    <w:multiLevelType w:val="hybridMultilevel"/>
    <w:tmpl w:val="7088A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3E0EDD"/>
    <w:multiLevelType w:val="hybridMultilevel"/>
    <w:tmpl w:val="C592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66676C"/>
    <w:multiLevelType w:val="hybridMultilevel"/>
    <w:tmpl w:val="F4D07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C19691F"/>
    <w:multiLevelType w:val="hybridMultilevel"/>
    <w:tmpl w:val="4C62C542"/>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17" w15:restartNumberingAfterBreak="0">
    <w:nsid w:val="2D141659"/>
    <w:multiLevelType w:val="hybridMultilevel"/>
    <w:tmpl w:val="5F4AF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B916FE"/>
    <w:multiLevelType w:val="hybridMultilevel"/>
    <w:tmpl w:val="6CFA3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7E31F6"/>
    <w:multiLevelType w:val="hybridMultilevel"/>
    <w:tmpl w:val="D6DAE7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3FC64537"/>
    <w:multiLevelType w:val="hybridMultilevel"/>
    <w:tmpl w:val="26BEC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7C018E"/>
    <w:multiLevelType w:val="hybridMultilevel"/>
    <w:tmpl w:val="B0CC0398"/>
    <w:lvl w:ilvl="0" w:tplc="0C090003">
      <w:start w:val="1"/>
      <w:numFmt w:val="bullet"/>
      <w:lvlText w:val="o"/>
      <w:lvlJc w:val="left"/>
      <w:pPr>
        <w:ind w:left="1500" w:hanging="360"/>
      </w:pPr>
      <w:rPr>
        <w:rFonts w:ascii="Courier New" w:hAnsi="Courier New" w:cs="Courier New"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22" w15:restartNumberingAfterBreak="0">
    <w:nsid w:val="4366708B"/>
    <w:multiLevelType w:val="hybridMultilevel"/>
    <w:tmpl w:val="C6E61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63F10AD"/>
    <w:multiLevelType w:val="hybridMultilevel"/>
    <w:tmpl w:val="FE5222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69C00EF"/>
    <w:multiLevelType w:val="hybridMultilevel"/>
    <w:tmpl w:val="0C9C0736"/>
    <w:lvl w:ilvl="0" w:tplc="F000C6C8">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7E73A07"/>
    <w:multiLevelType w:val="multilevel"/>
    <w:tmpl w:val="87EE455E"/>
    <w:lvl w:ilvl="0">
      <w:start w:val="1"/>
      <w:numFmt w:val="bullet"/>
      <w:pStyle w:val="Bullet1"/>
      <w:lvlText w:val="–"/>
      <w:lvlJc w:val="left"/>
      <w:pPr>
        <w:tabs>
          <w:tab w:val="num" w:pos="170"/>
        </w:tabs>
        <w:ind w:left="170" w:hanging="170"/>
      </w:pPr>
      <w:rPr>
        <w:rFonts w:ascii="Arial" w:hAnsi="Arial" w:hint="default"/>
      </w:rPr>
    </w:lvl>
    <w:lvl w:ilvl="1">
      <w:start w:val="1"/>
      <w:numFmt w:val="bullet"/>
      <w:pStyle w:val="Bullet2"/>
      <w:lvlText w:val="–"/>
      <w:lvlJc w:val="left"/>
      <w:pPr>
        <w:tabs>
          <w:tab w:val="num" w:pos="340"/>
        </w:tabs>
        <w:ind w:left="340" w:hanging="170"/>
      </w:pPr>
      <w:rPr>
        <w:rFonts w:ascii="Arial" w:hAnsi="Arial" w:hint="default"/>
      </w:rPr>
    </w:lvl>
    <w:lvl w:ilvl="2">
      <w:start w:val="1"/>
      <w:numFmt w:val="bullet"/>
      <w:pStyle w:val="Bullet3"/>
      <w:lvlText w:val="–"/>
      <w:lvlJc w:val="left"/>
      <w:pPr>
        <w:tabs>
          <w:tab w:val="num" w:pos="510"/>
        </w:tabs>
        <w:ind w:left="510" w:hanging="170"/>
      </w:pPr>
      <w:rPr>
        <w:rFonts w:ascii="Arial" w:hAnsi="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E851A14"/>
    <w:multiLevelType w:val="hybridMultilevel"/>
    <w:tmpl w:val="391C5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4A32AAB"/>
    <w:multiLevelType w:val="hybridMultilevel"/>
    <w:tmpl w:val="59CEB06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8" w15:restartNumberingAfterBreak="0">
    <w:nsid w:val="55DB68FC"/>
    <w:multiLevelType w:val="hybridMultilevel"/>
    <w:tmpl w:val="D6A4F65E"/>
    <w:lvl w:ilvl="0" w:tplc="90D84FC0">
      <w:start w:val="1"/>
      <w:numFmt w:val="bullet"/>
      <w:pStyle w:val="bulletL1"/>
      <w:lvlText w:val=""/>
      <w:lvlJc w:val="left"/>
      <w:pPr>
        <w:tabs>
          <w:tab w:val="num" w:pos="360"/>
        </w:tabs>
        <w:ind w:left="360" w:hanging="360"/>
      </w:pPr>
      <w:rPr>
        <w:rFonts w:ascii="Wingdings" w:hAnsi="Wingdings" w:hint="default"/>
        <w:color w:val="626464"/>
        <w:sz w:val="18"/>
      </w:rPr>
    </w:lvl>
    <w:lvl w:ilvl="1" w:tplc="13D088DA">
      <w:start w:val="1"/>
      <w:numFmt w:val="bullet"/>
      <w:pStyle w:val="bulletL2"/>
      <w:lvlText w:val=""/>
      <w:lvlJc w:val="left"/>
      <w:pPr>
        <w:tabs>
          <w:tab w:val="num" w:pos="1080"/>
        </w:tabs>
        <w:ind w:left="1080" w:hanging="360"/>
      </w:pPr>
      <w:rPr>
        <w:rFonts w:ascii="Symbol" w:hAnsi="Symbol" w:hint="default"/>
        <w:sz w:val="19"/>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7511633"/>
    <w:multiLevelType w:val="hybridMultilevel"/>
    <w:tmpl w:val="B4C8C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7690EFD"/>
    <w:multiLevelType w:val="hybridMultilevel"/>
    <w:tmpl w:val="4A40F0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172598"/>
    <w:multiLevelType w:val="hybridMultilevel"/>
    <w:tmpl w:val="06A2E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A6197D"/>
    <w:multiLevelType w:val="hybridMultilevel"/>
    <w:tmpl w:val="0F9C4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701BA3"/>
    <w:multiLevelType w:val="hybridMultilevel"/>
    <w:tmpl w:val="FC3C1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F3503F"/>
    <w:multiLevelType w:val="hybridMultilevel"/>
    <w:tmpl w:val="786EB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B51475B"/>
    <w:multiLevelType w:val="hybridMultilevel"/>
    <w:tmpl w:val="53927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1866992"/>
    <w:multiLevelType w:val="hybridMultilevel"/>
    <w:tmpl w:val="B7945D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1A05DFE"/>
    <w:multiLevelType w:val="multilevel"/>
    <w:tmpl w:val="0C104108"/>
    <w:lvl w:ilvl="0">
      <w:start w:val="1"/>
      <w:numFmt w:val="decimal"/>
      <w:pStyle w:val="ListNumber"/>
      <w:lvlText w:val="%1"/>
      <w:lvlJc w:val="left"/>
      <w:pPr>
        <w:tabs>
          <w:tab w:val="num" w:pos="432"/>
        </w:tabs>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lvl>
    <w:lvl w:ilvl="2">
      <w:numFmt w:val="none"/>
      <w:lvlText w:val=""/>
      <w:lvlJc w:val="left"/>
      <w:pPr>
        <w:tabs>
          <w:tab w:val="num" w:pos="360"/>
        </w:tabs>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numFmt w:val="none"/>
      <w:lvlText w:val=""/>
      <w:lvlJc w:val="left"/>
      <w:pPr>
        <w:tabs>
          <w:tab w:val="num" w:pos="360"/>
        </w:tabs>
      </w:pPr>
    </w:lvl>
  </w:abstractNum>
  <w:abstractNum w:abstractNumId="38" w15:restartNumberingAfterBreak="0">
    <w:nsid w:val="74482EFD"/>
    <w:multiLevelType w:val="hybridMultilevel"/>
    <w:tmpl w:val="D27C5E5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9" w15:restartNumberingAfterBreak="0">
    <w:nsid w:val="745534DC"/>
    <w:multiLevelType w:val="hybridMultilevel"/>
    <w:tmpl w:val="590A56EE"/>
    <w:lvl w:ilvl="0" w:tplc="6BCCE036">
      <w:start w:val="1"/>
      <w:numFmt w:val="upperLetter"/>
      <w:pStyle w:val="Appendix1"/>
      <w:lvlText w:val="Appendix %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74C63370"/>
    <w:multiLevelType w:val="hybridMultilevel"/>
    <w:tmpl w:val="0A56C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853D5E"/>
    <w:multiLevelType w:val="hybridMultilevel"/>
    <w:tmpl w:val="FB743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CEE0922"/>
    <w:multiLevelType w:val="hybridMultilevel"/>
    <w:tmpl w:val="41167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D5D3EE2"/>
    <w:multiLevelType w:val="hybridMultilevel"/>
    <w:tmpl w:val="576886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9"/>
  </w:num>
  <w:num w:numId="6">
    <w:abstractNumId w:val="28"/>
  </w:num>
  <w:num w:numId="7">
    <w:abstractNumId w:val="37"/>
  </w:num>
  <w:num w:numId="8">
    <w:abstractNumId w:val="12"/>
  </w:num>
  <w:num w:numId="9">
    <w:abstractNumId w:val="25"/>
  </w:num>
  <w:num w:numId="10">
    <w:abstractNumId w:val="21"/>
  </w:num>
  <w:num w:numId="11">
    <w:abstractNumId w:val="27"/>
  </w:num>
  <w:num w:numId="12">
    <w:abstractNumId w:val="38"/>
  </w:num>
  <w:num w:numId="13">
    <w:abstractNumId w:val="35"/>
  </w:num>
  <w:num w:numId="14">
    <w:abstractNumId w:val="22"/>
  </w:num>
  <w:num w:numId="15">
    <w:abstractNumId w:val="11"/>
  </w:num>
  <w:num w:numId="16">
    <w:abstractNumId w:val="15"/>
  </w:num>
  <w:num w:numId="17">
    <w:abstractNumId w:val="36"/>
  </w:num>
  <w:num w:numId="18">
    <w:abstractNumId w:val="5"/>
  </w:num>
  <w:num w:numId="19">
    <w:abstractNumId w:val="19"/>
  </w:num>
  <w:num w:numId="20">
    <w:abstractNumId w:val="14"/>
  </w:num>
  <w:num w:numId="21">
    <w:abstractNumId w:val="18"/>
  </w:num>
  <w:num w:numId="22">
    <w:abstractNumId w:val="29"/>
  </w:num>
  <w:num w:numId="23">
    <w:abstractNumId w:val="7"/>
  </w:num>
  <w:num w:numId="24">
    <w:abstractNumId w:val="13"/>
  </w:num>
  <w:num w:numId="25">
    <w:abstractNumId w:val="40"/>
  </w:num>
  <w:num w:numId="26">
    <w:abstractNumId w:val="41"/>
  </w:num>
  <w:num w:numId="27">
    <w:abstractNumId w:val="9"/>
  </w:num>
  <w:num w:numId="28">
    <w:abstractNumId w:val="16"/>
  </w:num>
  <w:num w:numId="29">
    <w:abstractNumId w:val="30"/>
  </w:num>
  <w:num w:numId="30">
    <w:abstractNumId w:val="23"/>
  </w:num>
  <w:num w:numId="31">
    <w:abstractNumId w:val="43"/>
  </w:num>
  <w:num w:numId="32">
    <w:abstractNumId w:val="31"/>
  </w:num>
  <w:num w:numId="33">
    <w:abstractNumId w:val="42"/>
  </w:num>
  <w:num w:numId="34">
    <w:abstractNumId w:val="34"/>
  </w:num>
  <w:num w:numId="35">
    <w:abstractNumId w:val="32"/>
  </w:num>
  <w:num w:numId="36">
    <w:abstractNumId w:val="8"/>
  </w:num>
  <w:num w:numId="37">
    <w:abstractNumId w:val="6"/>
  </w:num>
  <w:num w:numId="38">
    <w:abstractNumId w:val="4"/>
  </w:num>
  <w:num w:numId="39">
    <w:abstractNumId w:val="33"/>
  </w:num>
  <w:num w:numId="40">
    <w:abstractNumId w:val="24"/>
  </w:num>
  <w:num w:numId="41">
    <w:abstractNumId w:val="10"/>
  </w:num>
  <w:num w:numId="42">
    <w:abstractNumId w:val="20"/>
  </w:num>
  <w:num w:numId="43">
    <w:abstractNumId w:val="17"/>
  </w:num>
  <w:num w:numId="44">
    <w:abstractNumId w:val="26"/>
  </w:num>
  <w:num w:numId="45">
    <w:abstractNumId w:val="9"/>
  </w:num>
  <w:num w:numId="46">
    <w:abstractNumId w:val="9"/>
  </w:num>
  <w:num w:numId="47">
    <w:abstractNumId w:val="9"/>
  </w:num>
  <w:num w:numId="48">
    <w:abstractNumId w:val="9"/>
  </w:num>
  <w:num w:numId="49">
    <w:abstractNumId w:val="3"/>
  </w:num>
  <w:num w:numId="50">
    <w:abstractNumId w:val="9"/>
  </w:num>
  <w:num w:numId="51">
    <w:abstractNumId w:val="9"/>
  </w:num>
  <w:num w:numId="52">
    <w:abstractNumId w:val="9"/>
  </w:num>
  <w:num w:numId="53">
    <w:abstractNumId w:val="9"/>
  </w:num>
  <w:num w:numId="54">
    <w:abstractNumId w:val="9"/>
  </w:num>
  <w:num w:numId="55">
    <w:abstractNumId w:val="9"/>
  </w:num>
  <w:num w:numId="56">
    <w:abstractNumId w:val="9"/>
  </w:num>
  <w:num w:numId="57">
    <w:abstractNumId w:val="9"/>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7D"/>
    <w:rsid w:val="000000C9"/>
    <w:rsid w:val="000000EC"/>
    <w:rsid w:val="00000127"/>
    <w:rsid w:val="000001F8"/>
    <w:rsid w:val="00000201"/>
    <w:rsid w:val="000007FD"/>
    <w:rsid w:val="00000FA5"/>
    <w:rsid w:val="0000111A"/>
    <w:rsid w:val="000012E5"/>
    <w:rsid w:val="00001368"/>
    <w:rsid w:val="0000138E"/>
    <w:rsid w:val="000019E8"/>
    <w:rsid w:val="0000213C"/>
    <w:rsid w:val="000025AC"/>
    <w:rsid w:val="0000279B"/>
    <w:rsid w:val="000029AA"/>
    <w:rsid w:val="00002BFE"/>
    <w:rsid w:val="00002C39"/>
    <w:rsid w:val="00002CB1"/>
    <w:rsid w:val="00002E59"/>
    <w:rsid w:val="0000300C"/>
    <w:rsid w:val="00003181"/>
    <w:rsid w:val="0000325E"/>
    <w:rsid w:val="00003296"/>
    <w:rsid w:val="000035E9"/>
    <w:rsid w:val="00003AA1"/>
    <w:rsid w:val="00003AC1"/>
    <w:rsid w:val="00003B00"/>
    <w:rsid w:val="00003BE0"/>
    <w:rsid w:val="00003C4B"/>
    <w:rsid w:val="00003F6C"/>
    <w:rsid w:val="0000402F"/>
    <w:rsid w:val="0000408B"/>
    <w:rsid w:val="0000419C"/>
    <w:rsid w:val="0000420B"/>
    <w:rsid w:val="00004618"/>
    <w:rsid w:val="000047A7"/>
    <w:rsid w:val="00004838"/>
    <w:rsid w:val="00004A14"/>
    <w:rsid w:val="00004D22"/>
    <w:rsid w:val="0000523E"/>
    <w:rsid w:val="00005560"/>
    <w:rsid w:val="00005DB3"/>
    <w:rsid w:val="00005DE2"/>
    <w:rsid w:val="00006123"/>
    <w:rsid w:val="000061D1"/>
    <w:rsid w:val="000061D6"/>
    <w:rsid w:val="000063EC"/>
    <w:rsid w:val="000064A1"/>
    <w:rsid w:val="000065ED"/>
    <w:rsid w:val="00006BFB"/>
    <w:rsid w:val="00006C32"/>
    <w:rsid w:val="00006C61"/>
    <w:rsid w:val="00006D10"/>
    <w:rsid w:val="00006D56"/>
    <w:rsid w:val="00006E02"/>
    <w:rsid w:val="00006E5A"/>
    <w:rsid w:val="00006F42"/>
    <w:rsid w:val="0000702D"/>
    <w:rsid w:val="000072CA"/>
    <w:rsid w:val="0000739C"/>
    <w:rsid w:val="00007867"/>
    <w:rsid w:val="000079F0"/>
    <w:rsid w:val="000079FE"/>
    <w:rsid w:val="00007BC2"/>
    <w:rsid w:val="00007EFD"/>
    <w:rsid w:val="00010291"/>
    <w:rsid w:val="000102A5"/>
    <w:rsid w:val="0001035F"/>
    <w:rsid w:val="0001058F"/>
    <w:rsid w:val="00010924"/>
    <w:rsid w:val="00010AD9"/>
    <w:rsid w:val="00010EF7"/>
    <w:rsid w:val="000112FF"/>
    <w:rsid w:val="0001139C"/>
    <w:rsid w:val="0001154C"/>
    <w:rsid w:val="00011618"/>
    <w:rsid w:val="000117F0"/>
    <w:rsid w:val="0001197A"/>
    <w:rsid w:val="00011AF4"/>
    <w:rsid w:val="00011B33"/>
    <w:rsid w:val="00011E93"/>
    <w:rsid w:val="00012051"/>
    <w:rsid w:val="000122A6"/>
    <w:rsid w:val="000122F2"/>
    <w:rsid w:val="000123B4"/>
    <w:rsid w:val="000125D1"/>
    <w:rsid w:val="000127DC"/>
    <w:rsid w:val="000129C1"/>
    <w:rsid w:val="00012AC8"/>
    <w:rsid w:val="00012E9C"/>
    <w:rsid w:val="00012FDF"/>
    <w:rsid w:val="000139A9"/>
    <w:rsid w:val="00013B11"/>
    <w:rsid w:val="00013BB2"/>
    <w:rsid w:val="00013E17"/>
    <w:rsid w:val="00013E50"/>
    <w:rsid w:val="00014011"/>
    <w:rsid w:val="000143A0"/>
    <w:rsid w:val="0001477E"/>
    <w:rsid w:val="000154B3"/>
    <w:rsid w:val="00015572"/>
    <w:rsid w:val="000155C5"/>
    <w:rsid w:val="00015854"/>
    <w:rsid w:val="00015BB1"/>
    <w:rsid w:val="00015E97"/>
    <w:rsid w:val="000160C6"/>
    <w:rsid w:val="0001629B"/>
    <w:rsid w:val="00016623"/>
    <w:rsid w:val="00016A38"/>
    <w:rsid w:val="00016E48"/>
    <w:rsid w:val="00017445"/>
    <w:rsid w:val="0001763D"/>
    <w:rsid w:val="0001771B"/>
    <w:rsid w:val="00017DD3"/>
    <w:rsid w:val="00017F3F"/>
    <w:rsid w:val="0002014C"/>
    <w:rsid w:val="0002053A"/>
    <w:rsid w:val="00020A8C"/>
    <w:rsid w:val="00020E71"/>
    <w:rsid w:val="000211C4"/>
    <w:rsid w:val="000214B2"/>
    <w:rsid w:val="000215D9"/>
    <w:rsid w:val="0002193C"/>
    <w:rsid w:val="00021975"/>
    <w:rsid w:val="00021B1A"/>
    <w:rsid w:val="00021B76"/>
    <w:rsid w:val="00021CA5"/>
    <w:rsid w:val="00021DF8"/>
    <w:rsid w:val="00021E76"/>
    <w:rsid w:val="00022082"/>
    <w:rsid w:val="000222D4"/>
    <w:rsid w:val="0002239E"/>
    <w:rsid w:val="00022455"/>
    <w:rsid w:val="00022502"/>
    <w:rsid w:val="0002251C"/>
    <w:rsid w:val="00022656"/>
    <w:rsid w:val="00022ABE"/>
    <w:rsid w:val="00022B20"/>
    <w:rsid w:val="00022BB7"/>
    <w:rsid w:val="0002309F"/>
    <w:rsid w:val="000232B3"/>
    <w:rsid w:val="00023655"/>
    <w:rsid w:val="000236EB"/>
    <w:rsid w:val="00023788"/>
    <w:rsid w:val="0002385D"/>
    <w:rsid w:val="00023C37"/>
    <w:rsid w:val="00023C7C"/>
    <w:rsid w:val="00023DAB"/>
    <w:rsid w:val="000243DD"/>
    <w:rsid w:val="000246E7"/>
    <w:rsid w:val="000248DB"/>
    <w:rsid w:val="00024932"/>
    <w:rsid w:val="00024BA8"/>
    <w:rsid w:val="00024CA3"/>
    <w:rsid w:val="00024D88"/>
    <w:rsid w:val="00024E2F"/>
    <w:rsid w:val="00025159"/>
    <w:rsid w:val="0002531F"/>
    <w:rsid w:val="00025C24"/>
    <w:rsid w:val="00025E98"/>
    <w:rsid w:val="000265BD"/>
    <w:rsid w:val="00027017"/>
    <w:rsid w:val="0002737E"/>
    <w:rsid w:val="000279FA"/>
    <w:rsid w:val="00027BD1"/>
    <w:rsid w:val="000302E5"/>
    <w:rsid w:val="00030341"/>
    <w:rsid w:val="00030462"/>
    <w:rsid w:val="000305D2"/>
    <w:rsid w:val="0003069A"/>
    <w:rsid w:val="00030825"/>
    <w:rsid w:val="00030CDB"/>
    <w:rsid w:val="00030EA0"/>
    <w:rsid w:val="000310A6"/>
    <w:rsid w:val="00031142"/>
    <w:rsid w:val="000313F8"/>
    <w:rsid w:val="000314BC"/>
    <w:rsid w:val="00031955"/>
    <w:rsid w:val="00031C1A"/>
    <w:rsid w:val="0003260A"/>
    <w:rsid w:val="0003304A"/>
    <w:rsid w:val="00033234"/>
    <w:rsid w:val="000333CF"/>
    <w:rsid w:val="000339DC"/>
    <w:rsid w:val="00033A3E"/>
    <w:rsid w:val="00033BC7"/>
    <w:rsid w:val="00033C04"/>
    <w:rsid w:val="00033F87"/>
    <w:rsid w:val="000340CD"/>
    <w:rsid w:val="0003421B"/>
    <w:rsid w:val="000342E1"/>
    <w:rsid w:val="00034475"/>
    <w:rsid w:val="00034539"/>
    <w:rsid w:val="0003469F"/>
    <w:rsid w:val="00034BB2"/>
    <w:rsid w:val="00034BE3"/>
    <w:rsid w:val="00034D44"/>
    <w:rsid w:val="000351B2"/>
    <w:rsid w:val="000355B3"/>
    <w:rsid w:val="0003560A"/>
    <w:rsid w:val="000357AC"/>
    <w:rsid w:val="00035A44"/>
    <w:rsid w:val="00035C09"/>
    <w:rsid w:val="00035CEC"/>
    <w:rsid w:val="00035DEA"/>
    <w:rsid w:val="00036029"/>
    <w:rsid w:val="0003636F"/>
    <w:rsid w:val="00036783"/>
    <w:rsid w:val="000368AE"/>
    <w:rsid w:val="000368DD"/>
    <w:rsid w:val="00036939"/>
    <w:rsid w:val="00036DF4"/>
    <w:rsid w:val="00036E6C"/>
    <w:rsid w:val="00036F61"/>
    <w:rsid w:val="00036FAC"/>
    <w:rsid w:val="00037418"/>
    <w:rsid w:val="00037467"/>
    <w:rsid w:val="000374D2"/>
    <w:rsid w:val="0003755E"/>
    <w:rsid w:val="0003782E"/>
    <w:rsid w:val="0003784F"/>
    <w:rsid w:val="00037AC3"/>
    <w:rsid w:val="00037D44"/>
    <w:rsid w:val="00037E16"/>
    <w:rsid w:val="000401A4"/>
    <w:rsid w:val="00040225"/>
    <w:rsid w:val="00040357"/>
    <w:rsid w:val="0004036C"/>
    <w:rsid w:val="0004066D"/>
    <w:rsid w:val="00040A96"/>
    <w:rsid w:val="00040C72"/>
    <w:rsid w:val="00040D68"/>
    <w:rsid w:val="00040FDB"/>
    <w:rsid w:val="0004120A"/>
    <w:rsid w:val="00041464"/>
    <w:rsid w:val="0004174C"/>
    <w:rsid w:val="000417AC"/>
    <w:rsid w:val="000418BE"/>
    <w:rsid w:val="00042277"/>
    <w:rsid w:val="00042456"/>
    <w:rsid w:val="0004287B"/>
    <w:rsid w:val="000429B0"/>
    <w:rsid w:val="00042B9A"/>
    <w:rsid w:val="00042C46"/>
    <w:rsid w:val="00042DC8"/>
    <w:rsid w:val="00042F0D"/>
    <w:rsid w:val="00043281"/>
    <w:rsid w:val="0004355B"/>
    <w:rsid w:val="0004369B"/>
    <w:rsid w:val="00043A1E"/>
    <w:rsid w:val="00043A67"/>
    <w:rsid w:val="00043A75"/>
    <w:rsid w:val="00043C9F"/>
    <w:rsid w:val="0004427D"/>
    <w:rsid w:val="000443B9"/>
    <w:rsid w:val="00044479"/>
    <w:rsid w:val="000445DB"/>
    <w:rsid w:val="00044848"/>
    <w:rsid w:val="00044A54"/>
    <w:rsid w:val="00044BDB"/>
    <w:rsid w:val="00044E1A"/>
    <w:rsid w:val="00044E54"/>
    <w:rsid w:val="00045415"/>
    <w:rsid w:val="00045758"/>
    <w:rsid w:val="000457B2"/>
    <w:rsid w:val="0004587A"/>
    <w:rsid w:val="00045CA2"/>
    <w:rsid w:val="00045E7D"/>
    <w:rsid w:val="000462DB"/>
    <w:rsid w:val="000465FA"/>
    <w:rsid w:val="000467FC"/>
    <w:rsid w:val="0004690A"/>
    <w:rsid w:val="00046E9C"/>
    <w:rsid w:val="00046F89"/>
    <w:rsid w:val="0004712A"/>
    <w:rsid w:val="00047597"/>
    <w:rsid w:val="000477EC"/>
    <w:rsid w:val="00047933"/>
    <w:rsid w:val="00047A5E"/>
    <w:rsid w:val="00047A9E"/>
    <w:rsid w:val="00047B85"/>
    <w:rsid w:val="00047BEB"/>
    <w:rsid w:val="00047CD5"/>
    <w:rsid w:val="00047D02"/>
    <w:rsid w:val="00047D21"/>
    <w:rsid w:val="00047EBB"/>
    <w:rsid w:val="000503FA"/>
    <w:rsid w:val="00050663"/>
    <w:rsid w:val="00050A30"/>
    <w:rsid w:val="00050BA0"/>
    <w:rsid w:val="00050D3B"/>
    <w:rsid w:val="00050E75"/>
    <w:rsid w:val="00050ED3"/>
    <w:rsid w:val="00050F52"/>
    <w:rsid w:val="0005103B"/>
    <w:rsid w:val="000512FB"/>
    <w:rsid w:val="000514B3"/>
    <w:rsid w:val="000517B5"/>
    <w:rsid w:val="000517D0"/>
    <w:rsid w:val="00051910"/>
    <w:rsid w:val="00051C1A"/>
    <w:rsid w:val="0005224A"/>
    <w:rsid w:val="00052746"/>
    <w:rsid w:val="000528A3"/>
    <w:rsid w:val="0005293B"/>
    <w:rsid w:val="00052AB7"/>
    <w:rsid w:val="00052CD3"/>
    <w:rsid w:val="0005301B"/>
    <w:rsid w:val="00053032"/>
    <w:rsid w:val="000532BC"/>
    <w:rsid w:val="000533B0"/>
    <w:rsid w:val="0005385E"/>
    <w:rsid w:val="00053870"/>
    <w:rsid w:val="00053879"/>
    <w:rsid w:val="00053D18"/>
    <w:rsid w:val="00053D85"/>
    <w:rsid w:val="000542FE"/>
    <w:rsid w:val="00054693"/>
    <w:rsid w:val="000546C5"/>
    <w:rsid w:val="000546F6"/>
    <w:rsid w:val="00054AC8"/>
    <w:rsid w:val="00054BCA"/>
    <w:rsid w:val="000552C6"/>
    <w:rsid w:val="00055482"/>
    <w:rsid w:val="000558EC"/>
    <w:rsid w:val="00055B17"/>
    <w:rsid w:val="00055C8E"/>
    <w:rsid w:val="00055D65"/>
    <w:rsid w:val="00055F3B"/>
    <w:rsid w:val="000563C1"/>
    <w:rsid w:val="00056734"/>
    <w:rsid w:val="00056843"/>
    <w:rsid w:val="000568C6"/>
    <w:rsid w:val="000569B8"/>
    <w:rsid w:val="00056A02"/>
    <w:rsid w:val="00056B06"/>
    <w:rsid w:val="00056C69"/>
    <w:rsid w:val="00057015"/>
    <w:rsid w:val="000570CB"/>
    <w:rsid w:val="00057242"/>
    <w:rsid w:val="0005725A"/>
    <w:rsid w:val="00057958"/>
    <w:rsid w:val="00057C71"/>
    <w:rsid w:val="00057ED7"/>
    <w:rsid w:val="0006029D"/>
    <w:rsid w:val="000605E6"/>
    <w:rsid w:val="00060F5C"/>
    <w:rsid w:val="000610B2"/>
    <w:rsid w:val="000615EA"/>
    <w:rsid w:val="000616FB"/>
    <w:rsid w:val="000619AF"/>
    <w:rsid w:val="00061A6D"/>
    <w:rsid w:val="00061AD8"/>
    <w:rsid w:val="00061AF4"/>
    <w:rsid w:val="00061D56"/>
    <w:rsid w:val="00061E50"/>
    <w:rsid w:val="00061F24"/>
    <w:rsid w:val="00061F8B"/>
    <w:rsid w:val="0006251C"/>
    <w:rsid w:val="000625AA"/>
    <w:rsid w:val="00062C6D"/>
    <w:rsid w:val="00062CC2"/>
    <w:rsid w:val="00062DF2"/>
    <w:rsid w:val="00063238"/>
    <w:rsid w:val="00063246"/>
    <w:rsid w:val="0006336D"/>
    <w:rsid w:val="00063A42"/>
    <w:rsid w:val="00063BA7"/>
    <w:rsid w:val="00063FB9"/>
    <w:rsid w:val="0006438C"/>
    <w:rsid w:val="00064AB5"/>
    <w:rsid w:val="00064E19"/>
    <w:rsid w:val="00065416"/>
    <w:rsid w:val="00065705"/>
    <w:rsid w:val="000658AD"/>
    <w:rsid w:val="000658C1"/>
    <w:rsid w:val="0006601B"/>
    <w:rsid w:val="0006608D"/>
    <w:rsid w:val="000660BA"/>
    <w:rsid w:val="0006654B"/>
    <w:rsid w:val="00066882"/>
    <w:rsid w:val="00066BAE"/>
    <w:rsid w:val="00066BE0"/>
    <w:rsid w:val="00067048"/>
    <w:rsid w:val="00067070"/>
    <w:rsid w:val="000671C0"/>
    <w:rsid w:val="000673E6"/>
    <w:rsid w:val="00067449"/>
    <w:rsid w:val="00067537"/>
    <w:rsid w:val="00067730"/>
    <w:rsid w:val="00067731"/>
    <w:rsid w:val="00067B53"/>
    <w:rsid w:val="00067DCC"/>
    <w:rsid w:val="00067EB3"/>
    <w:rsid w:val="00070017"/>
    <w:rsid w:val="00070256"/>
    <w:rsid w:val="000703F5"/>
    <w:rsid w:val="00070818"/>
    <w:rsid w:val="0007084F"/>
    <w:rsid w:val="00070A78"/>
    <w:rsid w:val="00070B0F"/>
    <w:rsid w:val="00070B2B"/>
    <w:rsid w:val="00070EAC"/>
    <w:rsid w:val="00070FA2"/>
    <w:rsid w:val="0007106C"/>
    <w:rsid w:val="00071086"/>
    <w:rsid w:val="00071137"/>
    <w:rsid w:val="00071620"/>
    <w:rsid w:val="000716A5"/>
    <w:rsid w:val="000717C3"/>
    <w:rsid w:val="00071E51"/>
    <w:rsid w:val="00071FAE"/>
    <w:rsid w:val="00072053"/>
    <w:rsid w:val="00072100"/>
    <w:rsid w:val="00072168"/>
    <w:rsid w:val="00072223"/>
    <w:rsid w:val="00072597"/>
    <w:rsid w:val="0007290B"/>
    <w:rsid w:val="00072927"/>
    <w:rsid w:val="00072CD7"/>
    <w:rsid w:val="00073207"/>
    <w:rsid w:val="000732BD"/>
    <w:rsid w:val="00073351"/>
    <w:rsid w:val="000737F5"/>
    <w:rsid w:val="00073C53"/>
    <w:rsid w:val="00073E09"/>
    <w:rsid w:val="00074255"/>
    <w:rsid w:val="000747AA"/>
    <w:rsid w:val="0007494E"/>
    <w:rsid w:val="00074A32"/>
    <w:rsid w:val="00074A56"/>
    <w:rsid w:val="00074CC0"/>
    <w:rsid w:val="00075080"/>
    <w:rsid w:val="00075283"/>
    <w:rsid w:val="0007529A"/>
    <w:rsid w:val="0007546A"/>
    <w:rsid w:val="0007558D"/>
    <w:rsid w:val="00075613"/>
    <w:rsid w:val="000758B4"/>
    <w:rsid w:val="00075B39"/>
    <w:rsid w:val="00075C18"/>
    <w:rsid w:val="00075FDE"/>
    <w:rsid w:val="0007618E"/>
    <w:rsid w:val="00076230"/>
    <w:rsid w:val="0007627E"/>
    <w:rsid w:val="00076BEC"/>
    <w:rsid w:val="00076EE7"/>
    <w:rsid w:val="00076F2E"/>
    <w:rsid w:val="00076F43"/>
    <w:rsid w:val="0007733A"/>
    <w:rsid w:val="0007739D"/>
    <w:rsid w:val="000775CE"/>
    <w:rsid w:val="00077661"/>
    <w:rsid w:val="00077770"/>
    <w:rsid w:val="000777D0"/>
    <w:rsid w:val="000778AA"/>
    <w:rsid w:val="00077B15"/>
    <w:rsid w:val="00077DFC"/>
    <w:rsid w:val="000806F8"/>
    <w:rsid w:val="000807D7"/>
    <w:rsid w:val="0008152F"/>
    <w:rsid w:val="000818D5"/>
    <w:rsid w:val="00081CA6"/>
    <w:rsid w:val="00081FAD"/>
    <w:rsid w:val="00082133"/>
    <w:rsid w:val="00082320"/>
    <w:rsid w:val="00082942"/>
    <w:rsid w:val="00082E57"/>
    <w:rsid w:val="00083210"/>
    <w:rsid w:val="000833A8"/>
    <w:rsid w:val="00083609"/>
    <w:rsid w:val="000837E7"/>
    <w:rsid w:val="0008385D"/>
    <w:rsid w:val="000838E1"/>
    <w:rsid w:val="00083C70"/>
    <w:rsid w:val="00083D44"/>
    <w:rsid w:val="00083DD3"/>
    <w:rsid w:val="00083FEE"/>
    <w:rsid w:val="00084325"/>
    <w:rsid w:val="000843F3"/>
    <w:rsid w:val="0008445B"/>
    <w:rsid w:val="000844C6"/>
    <w:rsid w:val="00084848"/>
    <w:rsid w:val="000849EB"/>
    <w:rsid w:val="00084F4B"/>
    <w:rsid w:val="0008504E"/>
    <w:rsid w:val="00085307"/>
    <w:rsid w:val="0008530A"/>
    <w:rsid w:val="00085BED"/>
    <w:rsid w:val="00085F10"/>
    <w:rsid w:val="00085F23"/>
    <w:rsid w:val="000860C9"/>
    <w:rsid w:val="0008652C"/>
    <w:rsid w:val="00086792"/>
    <w:rsid w:val="000869D2"/>
    <w:rsid w:val="00086A1D"/>
    <w:rsid w:val="00086D48"/>
    <w:rsid w:val="00086DF1"/>
    <w:rsid w:val="00086EDE"/>
    <w:rsid w:val="00087013"/>
    <w:rsid w:val="00087018"/>
    <w:rsid w:val="0008703C"/>
    <w:rsid w:val="00087229"/>
    <w:rsid w:val="0008723E"/>
    <w:rsid w:val="000872BA"/>
    <w:rsid w:val="00087890"/>
    <w:rsid w:val="000878C7"/>
    <w:rsid w:val="00087917"/>
    <w:rsid w:val="0008795B"/>
    <w:rsid w:val="00087B7E"/>
    <w:rsid w:val="000901F1"/>
    <w:rsid w:val="0009033A"/>
    <w:rsid w:val="00090611"/>
    <w:rsid w:val="00090675"/>
    <w:rsid w:val="000906BD"/>
    <w:rsid w:val="000906DC"/>
    <w:rsid w:val="00090787"/>
    <w:rsid w:val="00090BC5"/>
    <w:rsid w:val="00090C74"/>
    <w:rsid w:val="00090E0B"/>
    <w:rsid w:val="0009124D"/>
    <w:rsid w:val="000913F4"/>
    <w:rsid w:val="00091443"/>
    <w:rsid w:val="00091496"/>
    <w:rsid w:val="000914CA"/>
    <w:rsid w:val="000914D6"/>
    <w:rsid w:val="000914F4"/>
    <w:rsid w:val="0009167C"/>
    <w:rsid w:val="000917D5"/>
    <w:rsid w:val="000919F3"/>
    <w:rsid w:val="00091A62"/>
    <w:rsid w:val="00091B8D"/>
    <w:rsid w:val="00091EBA"/>
    <w:rsid w:val="0009223D"/>
    <w:rsid w:val="000922C7"/>
    <w:rsid w:val="000924B0"/>
    <w:rsid w:val="0009258F"/>
    <w:rsid w:val="00092850"/>
    <w:rsid w:val="00092C22"/>
    <w:rsid w:val="00092CEC"/>
    <w:rsid w:val="00093037"/>
    <w:rsid w:val="000932CA"/>
    <w:rsid w:val="00093EDB"/>
    <w:rsid w:val="0009400A"/>
    <w:rsid w:val="00094419"/>
    <w:rsid w:val="000946A0"/>
    <w:rsid w:val="000946D0"/>
    <w:rsid w:val="00094CA5"/>
    <w:rsid w:val="00094E8F"/>
    <w:rsid w:val="00095399"/>
    <w:rsid w:val="000956A2"/>
    <w:rsid w:val="000956E8"/>
    <w:rsid w:val="00095BFB"/>
    <w:rsid w:val="00095CA2"/>
    <w:rsid w:val="0009618D"/>
    <w:rsid w:val="0009638C"/>
    <w:rsid w:val="00096640"/>
    <w:rsid w:val="00096A67"/>
    <w:rsid w:val="000974DB"/>
    <w:rsid w:val="000975CB"/>
    <w:rsid w:val="000976E5"/>
    <w:rsid w:val="00097C3A"/>
    <w:rsid w:val="00097DD3"/>
    <w:rsid w:val="000A0076"/>
    <w:rsid w:val="000A00D9"/>
    <w:rsid w:val="000A02BD"/>
    <w:rsid w:val="000A0427"/>
    <w:rsid w:val="000A0D8C"/>
    <w:rsid w:val="000A0D91"/>
    <w:rsid w:val="000A123C"/>
    <w:rsid w:val="000A149F"/>
    <w:rsid w:val="000A14E6"/>
    <w:rsid w:val="000A1535"/>
    <w:rsid w:val="000A1776"/>
    <w:rsid w:val="000A17B0"/>
    <w:rsid w:val="000A186B"/>
    <w:rsid w:val="000A1940"/>
    <w:rsid w:val="000A1A5F"/>
    <w:rsid w:val="000A1D63"/>
    <w:rsid w:val="000A2088"/>
    <w:rsid w:val="000A20BC"/>
    <w:rsid w:val="000A220B"/>
    <w:rsid w:val="000A290B"/>
    <w:rsid w:val="000A2CC5"/>
    <w:rsid w:val="000A2FC9"/>
    <w:rsid w:val="000A3763"/>
    <w:rsid w:val="000A3D56"/>
    <w:rsid w:val="000A3EF8"/>
    <w:rsid w:val="000A43BB"/>
    <w:rsid w:val="000A46A4"/>
    <w:rsid w:val="000A47F7"/>
    <w:rsid w:val="000A48CE"/>
    <w:rsid w:val="000A4A2D"/>
    <w:rsid w:val="000A4BEA"/>
    <w:rsid w:val="000A4EFF"/>
    <w:rsid w:val="000A4F7F"/>
    <w:rsid w:val="000A51CB"/>
    <w:rsid w:val="000A52B9"/>
    <w:rsid w:val="000A5300"/>
    <w:rsid w:val="000A541F"/>
    <w:rsid w:val="000A555E"/>
    <w:rsid w:val="000A568C"/>
    <w:rsid w:val="000A5729"/>
    <w:rsid w:val="000A590E"/>
    <w:rsid w:val="000A5B27"/>
    <w:rsid w:val="000A5B69"/>
    <w:rsid w:val="000A5C15"/>
    <w:rsid w:val="000A5D2A"/>
    <w:rsid w:val="000A5E18"/>
    <w:rsid w:val="000A5FBF"/>
    <w:rsid w:val="000A6130"/>
    <w:rsid w:val="000A6227"/>
    <w:rsid w:val="000A63C3"/>
    <w:rsid w:val="000A6464"/>
    <w:rsid w:val="000A64F4"/>
    <w:rsid w:val="000A660F"/>
    <w:rsid w:val="000A6691"/>
    <w:rsid w:val="000A69BE"/>
    <w:rsid w:val="000A6DDD"/>
    <w:rsid w:val="000A6FF4"/>
    <w:rsid w:val="000A704F"/>
    <w:rsid w:val="000A76E0"/>
    <w:rsid w:val="000A772A"/>
    <w:rsid w:val="000A799D"/>
    <w:rsid w:val="000A7CAC"/>
    <w:rsid w:val="000A7CED"/>
    <w:rsid w:val="000A7F9B"/>
    <w:rsid w:val="000B0950"/>
    <w:rsid w:val="000B0C30"/>
    <w:rsid w:val="000B0C93"/>
    <w:rsid w:val="000B0E12"/>
    <w:rsid w:val="000B0E7B"/>
    <w:rsid w:val="000B0F74"/>
    <w:rsid w:val="000B1100"/>
    <w:rsid w:val="000B128B"/>
    <w:rsid w:val="000B1356"/>
    <w:rsid w:val="000B1412"/>
    <w:rsid w:val="000B1D6C"/>
    <w:rsid w:val="000B274C"/>
    <w:rsid w:val="000B2A02"/>
    <w:rsid w:val="000B2CD5"/>
    <w:rsid w:val="000B317C"/>
    <w:rsid w:val="000B31C3"/>
    <w:rsid w:val="000B365C"/>
    <w:rsid w:val="000B3833"/>
    <w:rsid w:val="000B3B84"/>
    <w:rsid w:val="000B3D1C"/>
    <w:rsid w:val="000B3E71"/>
    <w:rsid w:val="000B4231"/>
    <w:rsid w:val="000B4364"/>
    <w:rsid w:val="000B44B0"/>
    <w:rsid w:val="000B4625"/>
    <w:rsid w:val="000B485D"/>
    <w:rsid w:val="000B5012"/>
    <w:rsid w:val="000B524C"/>
    <w:rsid w:val="000B526C"/>
    <w:rsid w:val="000B5567"/>
    <w:rsid w:val="000B5A2A"/>
    <w:rsid w:val="000B5F83"/>
    <w:rsid w:val="000B6356"/>
    <w:rsid w:val="000B6753"/>
    <w:rsid w:val="000B69CB"/>
    <w:rsid w:val="000B6D26"/>
    <w:rsid w:val="000B71A0"/>
    <w:rsid w:val="000B7244"/>
    <w:rsid w:val="000B73A9"/>
    <w:rsid w:val="000B7728"/>
    <w:rsid w:val="000B77F8"/>
    <w:rsid w:val="000B7A02"/>
    <w:rsid w:val="000B7A2F"/>
    <w:rsid w:val="000B7AE1"/>
    <w:rsid w:val="000B7B22"/>
    <w:rsid w:val="000B7BD2"/>
    <w:rsid w:val="000B7E60"/>
    <w:rsid w:val="000C0225"/>
    <w:rsid w:val="000C0445"/>
    <w:rsid w:val="000C04CC"/>
    <w:rsid w:val="000C0534"/>
    <w:rsid w:val="000C0543"/>
    <w:rsid w:val="000C060A"/>
    <w:rsid w:val="000C0B3B"/>
    <w:rsid w:val="000C0D88"/>
    <w:rsid w:val="000C11E5"/>
    <w:rsid w:val="000C1209"/>
    <w:rsid w:val="000C1477"/>
    <w:rsid w:val="000C1ED4"/>
    <w:rsid w:val="000C1F41"/>
    <w:rsid w:val="000C2068"/>
    <w:rsid w:val="000C2114"/>
    <w:rsid w:val="000C2262"/>
    <w:rsid w:val="000C23C9"/>
    <w:rsid w:val="000C25D7"/>
    <w:rsid w:val="000C261C"/>
    <w:rsid w:val="000C27D2"/>
    <w:rsid w:val="000C2AF6"/>
    <w:rsid w:val="000C2BB7"/>
    <w:rsid w:val="000C2D2B"/>
    <w:rsid w:val="000C346B"/>
    <w:rsid w:val="000C363A"/>
    <w:rsid w:val="000C363F"/>
    <w:rsid w:val="000C375E"/>
    <w:rsid w:val="000C3840"/>
    <w:rsid w:val="000C38C8"/>
    <w:rsid w:val="000C38DA"/>
    <w:rsid w:val="000C38FC"/>
    <w:rsid w:val="000C3B00"/>
    <w:rsid w:val="000C3E10"/>
    <w:rsid w:val="000C3EE9"/>
    <w:rsid w:val="000C405A"/>
    <w:rsid w:val="000C4154"/>
    <w:rsid w:val="000C41F5"/>
    <w:rsid w:val="000C4234"/>
    <w:rsid w:val="000C44FF"/>
    <w:rsid w:val="000C4720"/>
    <w:rsid w:val="000C4803"/>
    <w:rsid w:val="000C4DA2"/>
    <w:rsid w:val="000C5377"/>
    <w:rsid w:val="000C53A6"/>
    <w:rsid w:val="000C53F3"/>
    <w:rsid w:val="000C554F"/>
    <w:rsid w:val="000C556F"/>
    <w:rsid w:val="000C58C0"/>
    <w:rsid w:val="000C58E2"/>
    <w:rsid w:val="000C5ACC"/>
    <w:rsid w:val="000C5CD7"/>
    <w:rsid w:val="000C5E91"/>
    <w:rsid w:val="000C64E5"/>
    <w:rsid w:val="000C6762"/>
    <w:rsid w:val="000C67BD"/>
    <w:rsid w:val="000C67E2"/>
    <w:rsid w:val="000C685E"/>
    <w:rsid w:val="000C68B6"/>
    <w:rsid w:val="000C7245"/>
    <w:rsid w:val="000C7340"/>
    <w:rsid w:val="000C7546"/>
    <w:rsid w:val="000C7925"/>
    <w:rsid w:val="000C79BB"/>
    <w:rsid w:val="000C79D3"/>
    <w:rsid w:val="000C7B34"/>
    <w:rsid w:val="000C7B46"/>
    <w:rsid w:val="000C7D4F"/>
    <w:rsid w:val="000C7E74"/>
    <w:rsid w:val="000C7ECD"/>
    <w:rsid w:val="000D007E"/>
    <w:rsid w:val="000D0255"/>
    <w:rsid w:val="000D073E"/>
    <w:rsid w:val="000D08EE"/>
    <w:rsid w:val="000D0F88"/>
    <w:rsid w:val="000D1185"/>
    <w:rsid w:val="000D17F5"/>
    <w:rsid w:val="000D1A70"/>
    <w:rsid w:val="000D1C95"/>
    <w:rsid w:val="000D1FA1"/>
    <w:rsid w:val="000D219A"/>
    <w:rsid w:val="000D22D8"/>
    <w:rsid w:val="000D22F6"/>
    <w:rsid w:val="000D233B"/>
    <w:rsid w:val="000D2466"/>
    <w:rsid w:val="000D29D8"/>
    <w:rsid w:val="000D2BBE"/>
    <w:rsid w:val="000D2E44"/>
    <w:rsid w:val="000D2F8F"/>
    <w:rsid w:val="000D32F9"/>
    <w:rsid w:val="000D353F"/>
    <w:rsid w:val="000D3574"/>
    <w:rsid w:val="000D3579"/>
    <w:rsid w:val="000D3B24"/>
    <w:rsid w:val="000D3E67"/>
    <w:rsid w:val="000D426D"/>
    <w:rsid w:val="000D46A9"/>
    <w:rsid w:val="000D4768"/>
    <w:rsid w:val="000D5101"/>
    <w:rsid w:val="000D529D"/>
    <w:rsid w:val="000D55EB"/>
    <w:rsid w:val="000D594B"/>
    <w:rsid w:val="000D5A94"/>
    <w:rsid w:val="000D5B00"/>
    <w:rsid w:val="000D5F1A"/>
    <w:rsid w:val="000D602D"/>
    <w:rsid w:val="000D61C0"/>
    <w:rsid w:val="000D622D"/>
    <w:rsid w:val="000D64DE"/>
    <w:rsid w:val="000D6E55"/>
    <w:rsid w:val="000D6EA0"/>
    <w:rsid w:val="000D6F4F"/>
    <w:rsid w:val="000D7171"/>
    <w:rsid w:val="000D7174"/>
    <w:rsid w:val="000D7435"/>
    <w:rsid w:val="000D7543"/>
    <w:rsid w:val="000D75B3"/>
    <w:rsid w:val="000D7BCC"/>
    <w:rsid w:val="000D7C08"/>
    <w:rsid w:val="000D7C6F"/>
    <w:rsid w:val="000D7FB0"/>
    <w:rsid w:val="000E0121"/>
    <w:rsid w:val="000E04F8"/>
    <w:rsid w:val="000E0A1E"/>
    <w:rsid w:val="000E0CDC"/>
    <w:rsid w:val="000E0F8C"/>
    <w:rsid w:val="000E1112"/>
    <w:rsid w:val="000E1727"/>
    <w:rsid w:val="000E19A3"/>
    <w:rsid w:val="000E1E14"/>
    <w:rsid w:val="000E1FDA"/>
    <w:rsid w:val="000E263C"/>
    <w:rsid w:val="000E26A0"/>
    <w:rsid w:val="000E26BC"/>
    <w:rsid w:val="000E2864"/>
    <w:rsid w:val="000E28DE"/>
    <w:rsid w:val="000E29E9"/>
    <w:rsid w:val="000E2AF1"/>
    <w:rsid w:val="000E2D0B"/>
    <w:rsid w:val="000E2DB3"/>
    <w:rsid w:val="000E2DF9"/>
    <w:rsid w:val="000E2E03"/>
    <w:rsid w:val="000E2F66"/>
    <w:rsid w:val="000E332E"/>
    <w:rsid w:val="000E338C"/>
    <w:rsid w:val="000E3426"/>
    <w:rsid w:val="000E362E"/>
    <w:rsid w:val="000E3A2F"/>
    <w:rsid w:val="000E437F"/>
    <w:rsid w:val="000E4820"/>
    <w:rsid w:val="000E4F08"/>
    <w:rsid w:val="000E4F5C"/>
    <w:rsid w:val="000E5879"/>
    <w:rsid w:val="000E5ACF"/>
    <w:rsid w:val="000E5EEC"/>
    <w:rsid w:val="000E607F"/>
    <w:rsid w:val="000E6225"/>
    <w:rsid w:val="000E630F"/>
    <w:rsid w:val="000E6974"/>
    <w:rsid w:val="000E6D58"/>
    <w:rsid w:val="000E6E64"/>
    <w:rsid w:val="000E6E7F"/>
    <w:rsid w:val="000E716F"/>
    <w:rsid w:val="000E71F7"/>
    <w:rsid w:val="000E7481"/>
    <w:rsid w:val="000E75CF"/>
    <w:rsid w:val="000E7915"/>
    <w:rsid w:val="000E7924"/>
    <w:rsid w:val="000E795D"/>
    <w:rsid w:val="000E79E2"/>
    <w:rsid w:val="000E7D05"/>
    <w:rsid w:val="000E7F3A"/>
    <w:rsid w:val="000F001A"/>
    <w:rsid w:val="000F0638"/>
    <w:rsid w:val="000F06FC"/>
    <w:rsid w:val="000F0A22"/>
    <w:rsid w:val="000F0C77"/>
    <w:rsid w:val="000F1292"/>
    <w:rsid w:val="000F196B"/>
    <w:rsid w:val="000F1BB0"/>
    <w:rsid w:val="000F1BF3"/>
    <w:rsid w:val="000F1F95"/>
    <w:rsid w:val="000F26D1"/>
    <w:rsid w:val="000F27EB"/>
    <w:rsid w:val="000F299C"/>
    <w:rsid w:val="000F2AA6"/>
    <w:rsid w:val="000F2DF8"/>
    <w:rsid w:val="000F2ED2"/>
    <w:rsid w:val="000F2F2F"/>
    <w:rsid w:val="000F2F7E"/>
    <w:rsid w:val="000F32DA"/>
    <w:rsid w:val="000F32DB"/>
    <w:rsid w:val="000F38CB"/>
    <w:rsid w:val="000F3ACC"/>
    <w:rsid w:val="000F3BAA"/>
    <w:rsid w:val="000F3BFB"/>
    <w:rsid w:val="000F3C66"/>
    <w:rsid w:val="000F3FEA"/>
    <w:rsid w:val="000F4246"/>
    <w:rsid w:val="000F4355"/>
    <w:rsid w:val="000F4A52"/>
    <w:rsid w:val="000F4F53"/>
    <w:rsid w:val="000F4F64"/>
    <w:rsid w:val="000F4FC9"/>
    <w:rsid w:val="000F518A"/>
    <w:rsid w:val="000F596C"/>
    <w:rsid w:val="000F5FED"/>
    <w:rsid w:val="000F65D7"/>
    <w:rsid w:val="000F65F3"/>
    <w:rsid w:val="000F6AC3"/>
    <w:rsid w:val="000F6D2C"/>
    <w:rsid w:val="000F72B5"/>
    <w:rsid w:val="000F733A"/>
    <w:rsid w:val="000F7D76"/>
    <w:rsid w:val="000F7FB9"/>
    <w:rsid w:val="00100138"/>
    <w:rsid w:val="001003B9"/>
    <w:rsid w:val="00100569"/>
    <w:rsid w:val="001006DA"/>
    <w:rsid w:val="0010089E"/>
    <w:rsid w:val="001008C3"/>
    <w:rsid w:val="001008CA"/>
    <w:rsid w:val="00100E4C"/>
    <w:rsid w:val="00100EB6"/>
    <w:rsid w:val="001012B5"/>
    <w:rsid w:val="0010130D"/>
    <w:rsid w:val="0010183D"/>
    <w:rsid w:val="00101A1A"/>
    <w:rsid w:val="00101A73"/>
    <w:rsid w:val="00101D71"/>
    <w:rsid w:val="00102349"/>
    <w:rsid w:val="001028F8"/>
    <w:rsid w:val="00102908"/>
    <w:rsid w:val="00102960"/>
    <w:rsid w:val="001029D9"/>
    <w:rsid w:val="00102A3D"/>
    <w:rsid w:val="00102B1E"/>
    <w:rsid w:val="00102C76"/>
    <w:rsid w:val="00102F04"/>
    <w:rsid w:val="00102FC6"/>
    <w:rsid w:val="0010328E"/>
    <w:rsid w:val="00103303"/>
    <w:rsid w:val="00103370"/>
    <w:rsid w:val="001033A7"/>
    <w:rsid w:val="001033A8"/>
    <w:rsid w:val="001035F7"/>
    <w:rsid w:val="00103613"/>
    <w:rsid w:val="0010399D"/>
    <w:rsid w:val="00103A1F"/>
    <w:rsid w:val="00103A3B"/>
    <w:rsid w:val="00103A3E"/>
    <w:rsid w:val="00104029"/>
    <w:rsid w:val="00104258"/>
    <w:rsid w:val="001043EF"/>
    <w:rsid w:val="00104522"/>
    <w:rsid w:val="001046AE"/>
    <w:rsid w:val="00104814"/>
    <w:rsid w:val="00104957"/>
    <w:rsid w:val="00104958"/>
    <w:rsid w:val="001049A2"/>
    <w:rsid w:val="00104CC3"/>
    <w:rsid w:val="001051DF"/>
    <w:rsid w:val="00105513"/>
    <w:rsid w:val="0010552C"/>
    <w:rsid w:val="0010585F"/>
    <w:rsid w:val="00105DC2"/>
    <w:rsid w:val="00105DFB"/>
    <w:rsid w:val="00106094"/>
    <w:rsid w:val="001060AA"/>
    <w:rsid w:val="00106201"/>
    <w:rsid w:val="00106366"/>
    <w:rsid w:val="001063A4"/>
    <w:rsid w:val="00106AEE"/>
    <w:rsid w:val="00106BB3"/>
    <w:rsid w:val="00106E89"/>
    <w:rsid w:val="00107171"/>
    <w:rsid w:val="0010731C"/>
    <w:rsid w:val="00107508"/>
    <w:rsid w:val="0010756D"/>
    <w:rsid w:val="001076D7"/>
    <w:rsid w:val="001078D7"/>
    <w:rsid w:val="00107B26"/>
    <w:rsid w:val="00107BB9"/>
    <w:rsid w:val="00110411"/>
    <w:rsid w:val="00110551"/>
    <w:rsid w:val="00110B0B"/>
    <w:rsid w:val="00110D97"/>
    <w:rsid w:val="00111339"/>
    <w:rsid w:val="0011146B"/>
    <w:rsid w:val="0011146D"/>
    <w:rsid w:val="00111A42"/>
    <w:rsid w:val="00111B20"/>
    <w:rsid w:val="00111FA7"/>
    <w:rsid w:val="00111FC1"/>
    <w:rsid w:val="00111FEA"/>
    <w:rsid w:val="0011212C"/>
    <w:rsid w:val="001123EE"/>
    <w:rsid w:val="001129C2"/>
    <w:rsid w:val="00112AE2"/>
    <w:rsid w:val="00112B67"/>
    <w:rsid w:val="00112C67"/>
    <w:rsid w:val="00112CA4"/>
    <w:rsid w:val="0011328A"/>
    <w:rsid w:val="001133DD"/>
    <w:rsid w:val="001133E0"/>
    <w:rsid w:val="001134D2"/>
    <w:rsid w:val="00113894"/>
    <w:rsid w:val="00113AEA"/>
    <w:rsid w:val="00113B3E"/>
    <w:rsid w:val="00113BB8"/>
    <w:rsid w:val="00113E49"/>
    <w:rsid w:val="00113E89"/>
    <w:rsid w:val="00114342"/>
    <w:rsid w:val="001145C0"/>
    <w:rsid w:val="001145DB"/>
    <w:rsid w:val="00114627"/>
    <w:rsid w:val="001149A3"/>
    <w:rsid w:val="00114DED"/>
    <w:rsid w:val="00114E0E"/>
    <w:rsid w:val="00114F95"/>
    <w:rsid w:val="00115369"/>
    <w:rsid w:val="001153E0"/>
    <w:rsid w:val="0011544F"/>
    <w:rsid w:val="00115839"/>
    <w:rsid w:val="00115B5C"/>
    <w:rsid w:val="00115CB4"/>
    <w:rsid w:val="00115D6E"/>
    <w:rsid w:val="00115D83"/>
    <w:rsid w:val="00115E63"/>
    <w:rsid w:val="0011614F"/>
    <w:rsid w:val="001162C1"/>
    <w:rsid w:val="001166D2"/>
    <w:rsid w:val="001167BF"/>
    <w:rsid w:val="00116815"/>
    <w:rsid w:val="001168E5"/>
    <w:rsid w:val="00116927"/>
    <w:rsid w:val="00116B22"/>
    <w:rsid w:val="00117500"/>
    <w:rsid w:val="0011757E"/>
    <w:rsid w:val="00117610"/>
    <w:rsid w:val="00117861"/>
    <w:rsid w:val="00117904"/>
    <w:rsid w:val="00117B1F"/>
    <w:rsid w:val="00117EA3"/>
    <w:rsid w:val="00120087"/>
    <w:rsid w:val="001200EA"/>
    <w:rsid w:val="0012033D"/>
    <w:rsid w:val="0012035F"/>
    <w:rsid w:val="001206C8"/>
    <w:rsid w:val="0012090A"/>
    <w:rsid w:val="001209E5"/>
    <w:rsid w:val="00120A56"/>
    <w:rsid w:val="00120B6C"/>
    <w:rsid w:val="00120D1D"/>
    <w:rsid w:val="00120E50"/>
    <w:rsid w:val="00121048"/>
    <w:rsid w:val="0012112A"/>
    <w:rsid w:val="001212C7"/>
    <w:rsid w:val="001214F5"/>
    <w:rsid w:val="00121534"/>
    <w:rsid w:val="00121748"/>
    <w:rsid w:val="0012187D"/>
    <w:rsid w:val="00121A3F"/>
    <w:rsid w:val="00121D58"/>
    <w:rsid w:val="00122685"/>
    <w:rsid w:val="001226B4"/>
    <w:rsid w:val="001227AE"/>
    <w:rsid w:val="001229CD"/>
    <w:rsid w:val="001229D7"/>
    <w:rsid w:val="00122B33"/>
    <w:rsid w:val="00122EB2"/>
    <w:rsid w:val="00122FDF"/>
    <w:rsid w:val="0012305C"/>
    <w:rsid w:val="001232FF"/>
    <w:rsid w:val="00123324"/>
    <w:rsid w:val="001234A4"/>
    <w:rsid w:val="001234B2"/>
    <w:rsid w:val="001235AA"/>
    <w:rsid w:val="00123715"/>
    <w:rsid w:val="0012373B"/>
    <w:rsid w:val="00123932"/>
    <w:rsid w:val="00123970"/>
    <w:rsid w:val="0012397F"/>
    <w:rsid w:val="00123B49"/>
    <w:rsid w:val="00123FBC"/>
    <w:rsid w:val="00123FD9"/>
    <w:rsid w:val="001240A5"/>
    <w:rsid w:val="0012410D"/>
    <w:rsid w:val="001243A3"/>
    <w:rsid w:val="00124533"/>
    <w:rsid w:val="00124B73"/>
    <w:rsid w:val="00124C57"/>
    <w:rsid w:val="00124D0B"/>
    <w:rsid w:val="00124EA7"/>
    <w:rsid w:val="00125209"/>
    <w:rsid w:val="00125624"/>
    <w:rsid w:val="00125658"/>
    <w:rsid w:val="0012583B"/>
    <w:rsid w:val="00125B83"/>
    <w:rsid w:val="00125CEC"/>
    <w:rsid w:val="00125E4A"/>
    <w:rsid w:val="001264EC"/>
    <w:rsid w:val="00126553"/>
    <w:rsid w:val="00126B37"/>
    <w:rsid w:val="00126C0C"/>
    <w:rsid w:val="00127288"/>
    <w:rsid w:val="0012777B"/>
    <w:rsid w:val="00127784"/>
    <w:rsid w:val="00127E3F"/>
    <w:rsid w:val="00127EB2"/>
    <w:rsid w:val="00130254"/>
    <w:rsid w:val="00130839"/>
    <w:rsid w:val="00130963"/>
    <w:rsid w:val="00130CD3"/>
    <w:rsid w:val="00130D5A"/>
    <w:rsid w:val="001313F9"/>
    <w:rsid w:val="00131570"/>
    <w:rsid w:val="001317C8"/>
    <w:rsid w:val="00131BFC"/>
    <w:rsid w:val="00131C2D"/>
    <w:rsid w:val="00131CBF"/>
    <w:rsid w:val="00131D2D"/>
    <w:rsid w:val="001321B7"/>
    <w:rsid w:val="001323FD"/>
    <w:rsid w:val="001325D4"/>
    <w:rsid w:val="001327D9"/>
    <w:rsid w:val="00132CD5"/>
    <w:rsid w:val="001336FC"/>
    <w:rsid w:val="0013377E"/>
    <w:rsid w:val="0013380B"/>
    <w:rsid w:val="00133A6F"/>
    <w:rsid w:val="00133CC7"/>
    <w:rsid w:val="0013407C"/>
    <w:rsid w:val="001342FD"/>
    <w:rsid w:val="00134300"/>
    <w:rsid w:val="00134389"/>
    <w:rsid w:val="001345C9"/>
    <w:rsid w:val="00134761"/>
    <w:rsid w:val="00134935"/>
    <w:rsid w:val="00134A1D"/>
    <w:rsid w:val="00134A3D"/>
    <w:rsid w:val="00134FD8"/>
    <w:rsid w:val="0013509C"/>
    <w:rsid w:val="001350A4"/>
    <w:rsid w:val="001351F2"/>
    <w:rsid w:val="0013545B"/>
    <w:rsid w:val="00135466"/>
    <w:rsid w:val="001354E3"/>
    <w:rsid w:val="0013562C"/>
    <w:rsid w:val="001357F0"/>
    <w:rsid w:val="00135A60"/>
    <w:rsid w:val="00135BC5"/>
    <w:rsid w:val="00135D14"/>
    <w:rsid w:val="00135E44"/>
    <w:rsid w:val="00135EB8"/>
    <w:rsid w:val="001360BC"/>
    <w:rsid w:val="00136153"/>
    <w:rsid w:val="00136946"/>
    <w:rsid w:val="00136A73"/>
    <w:rsid w:val="00136B77"/>
    <w:rsid w:val="00136C40"/>
    <w:rsid w:val="00136C81"/>
    <w:rsid w:val="00136DC8"/>
    <w:rsid w:val="0013700E"/>
    <w:rsid w:val="00137138"/>
    <w:rsid w:val="0013714A"/>
    <w:rsid w:val="0013730E"/>
    <w:rsid w:val="0013742C"/>
    <w:rsid w:val="001374CB"/>
    <w:rsid w:val="00137643"/>
    <w:rsid w:val="0013780A"/>
    <w:rsid w:val="00137BB9"/>
    <w:rsid w:val="001405FC"/>
    <w:rsid w:val="0014060D"/>
    <w:rsid w:val="00140883"/>
    <w:rsid w:val="001408BE"/>
    <w:rsid w:val="001408F5"/>
    <w:rsid w:val="001411AC"/>
    <w:rsid w:val="0014138D"/>
    <w:rsid w:val="001413DB"/>
    <w:rsid w:val="00141641"/>
    <w:rsid w:val="001419F1"/>
    <w:rsid w:val="00141B04"/>
    <w:rsid w:val="00141E5F"/>
    <w:rsid w:val="00141F1D"/>
    <w:rsid w:val="0014209D"/>
    <w:rsid w:val="001420D5"/>
    <w:rsid w:val="0014251A"/>
    <w:rsid w:val="001425D5"/>
    <w:rsid w:val="0014260C"/>
    <w:rsid w:val="0014271B"/>
    <w:rsid w:val="001427FC"/>
    <w:rsid w:val="001429BC"/>
    <w:rsid w:val="00142A7E"/>
    <w:rsid w:val="001430C1"/>
    <w:rsid w:val="001432E7"/>
    <w:rsid w:val="001432F7"/>
    <w:rsid w:val="00143794"/>
    <w:rsid w:val="00143C93"/>
    <w:rsid w:val="00143CFE"/>
    <w:rsid w:val="00143D6B"/>
    <w:rsid w:val="00143D70"/>
    <w:rsid w:val="00144177"/>
    <w:rsid w:val="00144280"/>
    <w:rsid w:val="001449FB"/>
    <w:rsid w:val="00144C19"/>
    <w:rsid w:val="00145227"/>
    <w:rsid w:val="00145267"/>
    <w:rsid w:val="001454F1"/>
    <w:rsid w:val="0014554D"/>
    <w:rsid w:val="001455CD"/>
    <w:rsid w:val="00145F8C"/>
    <w:rsid w:val="00145FED"/>
    <w:rsid w:val="0014605B"/>
    <w:rsid w:val="001463AC"/>
    <w:rsid w:val="00146400"/>
    <w:rsid w:val="00146705"/>
    <w:rsid w:val="001467D0"/>
    <w:rsid w:val="00146BAB"/>
    <w:rsid w:val="00146D98"/>
    <w:rsid w:val="00147084"/>
    <w:rsid w:val="001475CD"/>
    <w:rsid w:val="001477C4"/>
    <w:rsid w:val="00147800"/>
    <w:rsid w:val="00147AE9"/>
    <w:rsid w:val="00147BCC"/>
    <w:rsid w:val="00147ED4"/>
    <w:rsid w:val="00147F2C"/>
    <w:rsid w:val="001500AB"/>
    <w:rsid w:val="0015013B"/>
    <w:rsid w:val="00150199"/>
    <w:rsid w:val="00150257"/>
    <w:rsid w:val="00150638"/>
    <w:rsid w:val="001506A8"/>
    <w:rsid w:val="001508E8"/>
    <w:rsid w:val="00150927"/>
    <w:rsid w:val="00150CF7"/>
    <w:rsid w:val="001512BA"/>
    <w:rsid w:val="001515CB"/>
    <w:rsid w:val="00151A17"/>
    <w:rsid w:val="00151A5F"/>
    <w:rsid w:val="00151B3F"/>
    <w:rsid w:val="00151D1A"/>
    <w:rsid w:val="00151EEF"/>
    <w:rsid w:val="00152019"/>
    <w:rsid w:val="0015211E"/>
    <w:rsid w:val="0015220A"/>
    <w:rsid w:val="0015220B"/>
    <w:rsid w:val="00152603"/>
    <w:rsid w:val="00152645"/>
    <w:rsid w:val="00152897"/>
    <w:rsid w:val="00152C0A"/>
    <w:rsid w:val="00152C37"/>
    <w:rsid w:val="00152F58"/>
    <w:rsid w:val="0015304E"/>
    <w:rsid w:val="00153118"/>
    <w:rsid w:val="00153287"/>
    <w:rsid w:val="001533FC"/>
    <w:rsid w:val="0015366D"/>
    <w:rsid w:val="00153CE7"/>
    <w:rsid w:val="00153D03"/>
    <w:rsid w:val="00153E26"/>
    <w:rsid w:val="00153F4D"/>
    <w:rsid w:val="00153F5C"/>
    <w:rsid w:val="00154090"/>
    <w:rsid w:val="001541D2"/>
    <w:rsid w:val="00154206"/>
    <w:rsid w:val="00154210"/>
    <w:rsid w:val="001544BF"/>
    <w:rsid w:val="00154659"/>
    <w:rsid w:val="00154A37"/>
    <w:rsid w:val="00154C25"/>
    <w:rsid w:val="001555A1"/>
    <w:rsid w:val="001556C8"/>
    <w:rsid w:val="00155739"/>
    <w:rsid w:val="00155969"/>
    <w:rsid w:val="00155D27"/>
    <w:rsid w:val="00155DE3"/>
    <w:rsid w:val="00155E3B"/>
    <w:rsid w:val="001561E1"/>
    <w:rsid w:val="00156246"/>
    <w:rsid w:val="00156397"/>
    <w:rsid w:val="001566DB"/>
    <w:rsid w:val="0015693E"/>
    <w:rsid w:val="0015694B"/>
    <w:rsid w:val="001569EE"/>
    <w:rsid w:val="00156B65"/>
    <w:rsid w:val="00156BE5"/>
    <w:rsid w:val="00156F0F"/>
    <w:rsid w:val="001570F8"/>
    <w:rsid w:val="0015737F"/>
    <w:rsid w:val="001573D9"/>
    <w:rsid w:val="00157458"/>
    <w:rsid w:val="001574DA"/>
    <w:rsid w:val="00157562"/>
    <w:rsid w:val="001578B6"/>
    <w:rsid w:val="00157BF9"/>
    <w:rsid w:val="00160143"/>
    <w:rsid w:val="0016016D"/>
    <w:rsid w:val="00160590"/>
    <w:rsid w:val="00160861"/>
    <w:rsid w:val="00160D93"/>
    <w:rsid w:val="00160E6D"/>
    <w:rsid w:val="00160F92"/>
    <w:rsid w:val="0016129C"/>
    <w:rsid w:val="00161424"/>
    <w:rsid w:val="0016152D"/>
    <w:rsid w:val="00161A01"/>
    <w:rsid w:val="001623EA"/>
    <w:rsid w:val="00162945"/>
    <w:rsid w:val="00162A1A"/>
    <w:rsid w:val="00162BB4"/>
    <w:rsid w:val="00162ECF"/>
    <w:rsid w:val="00162EEB"/>
    <w:rsid w:val="00163168"/>
    <w:rsid w:val="00163253"/>
    <w:rsid w:val="0016332E"/>
    <w:rsid w:val="0016339C"/>
    <w:rsid w:val="001638FF"/>
    <w:rsid w:val="001639E6"/>
    <w:rsid w:val="00163C20"/>
    <w:rsid w:val="00163E70"/>
    <w:rsid w:val="00163F67"/>
    <w:rsid w:val="00164342"/>
    <w:rsid w:val="0016442A"/>
    <w:rsid w:val="001645EF"/>
    <w:rsid w:val="00164B79"/>
    <w:rsid w:val="00164C91"/>
    <w:rsid w:val="00164DFB"/>
    <w:rsid w:val="00164E85"/>
    <w:rsid w:val="00165252"/>
    <w:rsid w:val="00165AFB"/>
    <w:rsid w:val="00165B03"/>
    <w:rsid w:val="00165FFE"/>
    <w:rsid w:val="001663C3"/>
    <w:rsid w:val="0016660E"/>
    <w:rsid w:val="001668DE"/>
    <w:rsid w:val="00166A40"/>
    <w:rsid w:val="00166C82"/>
    <w:rsid w:val="00166E4F"/>
    <w:rsid w:val="00166FB8"/>
    <w:rsid w:val="00167604"/>
    <w:rsid w:val="001677C9"/>
    <w:rsid w:val="0017041E"/>
    <w:rsid w:val="00170598"/>
    <w:rsid w:val="00170A54"/>
    <w:rsid w:val="00170A66"/>
    <w:rsid w:val="00170F6D"/>
    <w:rsid w:val="00171214"/>
    <w:rsid w:val="0017124B"/>
    <w:rsid w:val="00171663"/>
    <w:rsid w:val="0017175D"/>
    <w:rsid w:val="00171AEC"/>
    <w:rsid w:val="0017208E"/>
    <w:rsid w:val="00172438"/>
    <w:rsid w:val="0017244C"/>
    <w:rsid w:val="00172837"/>
    <w:rsid w:val="00172864"/>
    <w:rsid w:val="00172B5C"/>
    <w:rsid w:val="00172C27"/>
    <w:rsid w:val="00172DAE"/>
    <w:rsid w:val="0017303A"/>
    <w:rsid w:val="001732AC"/>
    <w:rsid w:val="001732F3"/>
    <w:rsid w:val="00173304"/>
    <w:rsid w:val="00173455"/>
    <w:rsid w:val="00173508"/>
    <w:rsid w:val="001737C7"/>
    <w:rsid w:val="0017391B"/>
    <w:rsid w:val="00173D5A"/>
    <w:rsid w:val="00173EC5"/>
    <w:rsid w:val="00174037"/>
    <w:rsid w:val="00174272"/>
    <w:rsid w:val="00174786"/>
    <w:rsid w:val="00174A51"/>
    <w:rsid w:val="00174B78"/>
    <w:rsid w:val="00174C0D"/>
    <w:rsid w:val="00174F7C"/>
    <w:rsid w:val="0017584D"/>
    <w:rsid w:val="001759D6"/>
    <w:rsid w:val="00175E2D"/>
    <w:rsid w:val="00175F90"/>
    <w:rsid w:val="0017626D"/>
    <w:rsid w:val="001763CC"/>
    <w:rsid w:val="00176482"/>
    <w:rsid w:val="00176554"/>
    <w:rsid w:val="0017659F"/>
    <w:rsid w:val="0017682B"/>
    <w:rsid w:val="001769C2"/>
    <w:rsid w:val="00176F24"/>
    <w:rsid w:val="00176F4F"/>
    <w:rsid w:val="0017722A"/>
    <w:rsid w:val="001772F7"/>
    <w:rsid w:val="001774F9"/>
    <w:rsid w:val="001776A0"/>
    <w:rsid w:val="00177789"/>
    <w:rsid w:val="00177B51"/>
    <w:rsid w:val="00177CC6"/>
    <w:rsid w:val="00177D43"/>
    <w:rsid w:val="00177D6B"/>
    <w:rsid w:val="0018027A"/>
    <w:rsid w:val="00180646"/>
    <w:rsid w:val="00180749"/>
    <w:rsid w:val="00180A35"/>
    <w:rsid w:val="00180AC2"/>
    <w:rsid w:val="00180C4C"/>
    <w:rsid w:val="00180FA2"/>
    <w:rsid w:val="00181465"/>
    <w:rsid w:val="001814DE"/>
    <w:rsid w:val="00181858"/>
    <w:rsid w:val="0018197D"/>
    <w:rsid w:val="00181A3D"/>
    <w:rsid w:val="00181A61"/>
    <w:rsid w:val="00181B34"/>
    <w:rsid w:val="0018245A"/>
    <w:rsid w:val="00182A2D"/>
    <w:rsid w:val="001833B3"/>
    <w:rsid w:val="00183631"/>
    <w:rsid w:val="0018392B"/>
    <w:rsid w:val="0018393F"/>
    <w:rsid w:val="00183E31"/>
    <w:rsid w:val="00183EF8"/>
    <w:rsid w:val="0018408D"/>
    <w:rsid w:val="001841C7"/>
    <w:rsid w:val="001844FD"/>
    <w:rsid w:val="001845CE"/>
    <w:rsid w:val="001846D5"/>
    <w:rsid w:val="00184875"/>
    <w:rsid w:val="00184969"/>
    <w:rsid w:val="00185054"/>
    <w:rsid w:val="0018520D"/>
    <w:rsid w:val="0018595D"/>
    <w:rsid w:val="00185BD4"/>
    <w:rsid w:val="00185E63"/>
    <w:rsid w:val="001861FC"/>
    <w:rsid w:val="001862BF"/>
    <w:rsid w:val="001866B7"/>
    <w:rsid w:val="0018690F"/>
    <w:rsid w:val="00186B49"/>
    <w:rsid w:val="00186C75"/>
    <w:rsid w:val="0018718F"/>
    <w:rsid w:val="001871F1"/>
    <w:rsid w:val="001874C2"/>
    <w:rsid w:val="001876A1"/>
    <w:rsid w:val="00187C31"/>
    <w:rsid w:val="00187CF8"/>
    <w:rsid w:val="00187DC5"/>
    <w:rsid w:val="00187DD9"/>
    <w:rsid w:val="00187F2C"/>
    <w:rsid w:val="00190071"/>
    <w:rsid w:val="001909EB"/>
    <w:rsid w:val="00191009"/>
    <w:rsid w:val="001914EB"/>
    <w:rsid w:val="001914F8"/>
    <w:rsid w:val="00192201"/>
    <w:rsid w:val="00192663"/>
    <w:rsid w:val="001926A9"/>
    <w:rsid w:val="001926F1"/>
    <w:rsid w:val="00192ACE"/>
    <w:rsid w:val="00192BFF"/>
    <w:rsid w:val="0019311E"/>
    <w:rsid w:val="00193124"/>
    <w:rsid w:val="0019316F"/>
    <w:rsid w:val="00193583"/>
    <w:rsid w:val="001936C1"/>
    <w:rsid w:val="00193700"/>
    <w:rsid w:val="001938C8"/>
    <w:rsid w:val="00193A82"/>
    <w:rsid w:val="00193AE6"/>
    <w:rsid w:val="00193BA6"/>
    <w:rsid w:val="00193D12"/>
    <w:rsid w:val="00193ED5"/>
    <w:rsid w:val="0019453F"/>
    <w:rsid w:val="001945FD"/>
    <w:rsid w:val="00194651"/>
    <w:rsid w:val="00194A1A"/>
    <w:rsid w:val="001950A6"/>
    <w:rsid w:val="00195327"/>
    <w:rsid w:val="0019550D"/>
    <w:rsid w:val="001957E6"/>
    <w:rsid w:val="00195877"/>
    <w:rsid w:val="00195C1B"/>
    <w:rsid w:val="00195C84"/>
    <w:rsid w:val="001964BF"/>
    <w:rsid w:val="00196661"/>
    <w:rsid w:val="001966DE"/>
    <w:rsid w:val="00196954"/>
    <w:rsid w:val="001969DB"/>
    <w:rsid w:val="00196D63"/>
    <w:rsid w:val="001970C7"/>
    <w:rsid w:val="0019712D"/>
    <w:rsid w:val="0019722A"/>
    <w:rsid w:val="0019731E"/>
    <w:rsid w:val="001975C1"/>
    <w:rsid w:val="001975E8"/>
    <w:rsid w:val="0019776B"/>
    <w:rsid w:val="00197A2C"/>
    <w:rsid w:val="00197A3A"/>
    <w:rsid w:val="00197A3F"/>
    <w:rsid w:val="00197B94"/>
    <w:rsid w:val="00197CBD"/>
    <w:rsid w:val="00197E9F"/>
    <w:rsid w:val="001A01E6"/>
    <w:rsid w:val="001A0237"/>
    <w:rsid w:val="001A039D"/>
    <w:rsid w:val="001A06F1"/>
    <w:rsid w:val="001A0BF4"/>
    <w:rsid w:val="001A119C"/>
    <w:rsid w:val="001A1870"/>
    <w:rsid w:val="001A1B40"/>
    <w:rsid w:val="001A1EAA"/>
    <w:rsid w:val="001A1EDB"/>
    <w:rsid w:val="001A2041"/>
    <w:rsid w:val="001A22D4"/>
    <w:rsid w:val="001A24B3"/>
    <w:rsid w:val="001A2594"/>
    <w:rsid w:val="001A2AEA"/>
    <w:rsid w:val="001A2AF5"/>
    <w:rsid w:val="001A2BA5"/>
    <w:rsid w:val="001A2CBD"/>
    <w:rsid w:val="001A2D1D"/>
    <w:rsid w:val="001A2E8F"/>
    <w:rsid w:val="001A34F7"/>
    <w:rsid w:val="001A3535"/>
    <w:rsid w:val="001A3623"/>
    <w:rsid w:val="001A3775"/>
    <w:rsid w:val="001A379B"/>
    <w:rsid w:val="001A3866"/>
    <w:rsid w:val="001A4049"/>
    <w:rsid w:val="001A40E2"/>
    <w:rsid w:val="001A4399"/>
    <w:rsid w:val="001A43E6"/>
    <w:rsid w:val="001A46F0"/>
    <w:rsid w:val="001A46F6"/>
    <w:rsid w:val="001A48A7"/>
    <w:rsid w:val="001A4B56"/>
    <w:rsid w:val="001A504E"/>
    <w:rsid w:val="001A5232"/>
    <w:rsid w:val="001A5453"/>
    <w:rsid w:val="001A54A3"/>
    <w:rsid w:val="001A552C"/>
    <w:rsid w:val="001A55E1"/>
    <w:rsid w:val="001A57E2"/>
    <w:rsid w:val="001A58D8"/>
    <w:rsid w:val="001A58F3"/>
    <w:rsid w:val="001A5C82"/>
    <w:rsid w:val="001A5E13"/>
    <w:rsid w:val="001A60A6"/>
    <w:rsid w:val="001A611A"/>
    <w:rsid w:val="001A6426"/>
    <w:rsid w:val="001A649A"/>
    <w:rsid w:val="001A64D1"/>
    <w:rsid w:val="001A653A"/>
    <w:rsid w:val="001A6CEA"/>
    <w:rsid w:val="001A6F0C"/>
    <w:rsid w:val="001A6F0D"/>
    <w:rsid w:val="001A6F5D"/>
    <w:rsid w:val="001A6F6C"/>
    <w:rsid w:val="001A7003"/>
    <w:rsid w:val="001A706B"/>
    <w:rsid w:val="001A70D2"/>
    <w:rsid w:val="001A78E7"/>
    <w:rsid w:val="001A7B51"/>
    <w:rsid w:val="001A7ECB"/>
    <w:rsid w:val="001B0289"/>
    <w:rsid w:val="001B0755"/>
    <w:rsid w:val="001B0993"/>
    <w:rsid w:val="001B0A57"/>
    <w:rsid w:val="001B0AA2"/>
    <w:rsid w:val="001B0CCA"/>
    <w:rsid w:val="001B0DFF"/>
    <w:rsid w:val="001B0F9D"/>
    <w:rsid w:val="001B117C"/>
    <w:rsid w:val="001B1229"/>
    <w:rsid w:val="001B16FA"/>
    <w:rsid w:val="001B172F"/>
    <w:rsid w:val="001B1CF5"/>
    <w:rsid w:val="001B2199"/>
    <w:rsid w:val="001B2266"/>
    <w:rsid w:val="001B22BC"/>
    <w:rsid w:val="001B2592"/>
    <w:rsid w:val="001B2812"/>
    <w:rsid w:val="001B2ABC"/>
    <w:rsid w:val="001B2CCA"/>
    <w:rsid w:val="001B32F6"/>
    <w:rsid w:val="001B33AB"/>
    <w:rsid w:val="001B3476"/>
    <w:rsid w:val="001B3638"/>
    <w:rsid w:val="001B36F3"/>
    <w:rsid w:val="001B3D5B"/>
    <w:rsid w:val="001B401A"/>
    <w:rsid w:val="001B459D"/>
    <w:rsid w:val="001B47D6"/>
    <w:rsid w:val="001B4DD0"/>
    <w:rsid w:val="001B58B9"/>
    <w:rsid w:val="001B59B7"/>
    <w:rsid w:val="001B5BE3"/>
    <w:rsid w:val="001B5E5B"/>
    <w:rsid w:val="001B5EC5"/>
    <w:rsid w:val="001B5F8E"/>
    <w:rsid w:val="001B5FFA"/>
    <w:rsid w:val="001B62C7"/>
    <w:rsid w:val="001B6711"/>
    <w:rsid w:val="001B6B14"/>
    <w:rsid w:val="001B6CF5"/>
    <w:rsid w:val="001B6DD9"/>
    <w:rsid w:val="001B6E44"/>
    <w:rsid w:val="001B6E65"/>
    <w:rsid w:val="001B711C"/>
    <w:rsid w:val="001B78B1"/>
    <w:rsid w:val="001B793F"/>
    <w:rsid w:val="001B7A29"/>
    <w:rsid w:val="001B7A5C"/>
    <w:rsid w:val="001B7A7F"/>
    <w:rsid w:val="001B7C1D"/>
    <w:rsid w:val="001C0371"/>
    <w:rsid w:val="001C039F"/>
    <w:rsid w:val="001C0419"/>
    <w:rsid w:val="001C0657"/>
    <w:rsid w:val="001C0968"/>
    <w:rsid w:val="001C0B17"/>
    <w:rsid w:val="001C0F6F"/>
    <w:rsid w:val="001C0FCA"/>
    <w:rsid w:val="001C107C"/>
    <w:rsid w:val="001C127E"/>
    <w:rsid w:val="001C13DA"/>
    <w:rsid w:val="001C19DD"/>
    <w:rsid w:val="001C1BBF"/>
    <w:rsid w:val="001C1C48"/>
    <w:rsid w:val="001C1D67"/>
    <w:rsid w:val="001C1DFA"/>
    <w:rsid w:val="001C2386"/>
    <w:rsid w:val="001C29BA"/>
    <w:rsid w:val="001C2DC0"/>
    <w:rsid w:val="001C2DD9"/>
    <w:rsid w:val="001C30CF"/>
    <w:rsid w:val="001C3429"/>
    <w:rsid w:val="001C3641"/>
    <w:rsid w:val="001C3698"/>
    <w:rsid w:val="001C3A77"/>
    <w:rsid w:val="001C3B1F"/>
    <w:rsid w:val="001C3C69"/>
    <w:rsid w:val="001C42A2"/>
    <w:rsid w:val="001C4669"/>
    <w:rsid w:val="001C480D"/>
    <w:rsid w:val="001C4867"/>
    <w:rsid w:val="001C48E7"/>
    <w:rsid w:val="001C492E"/>
    <w:rsid w:val="001C4A27"/>
    <w:rsid w:val="001C4C5A"/>
    <w:rsid w:val="001C4C82"/>
    <w:rsid w:val="001C4CC1"/>
    <w:rsid w:val="001C4E8C"/>
    <w:rsid w:val="001C531D"/>
    <w:rsid w:val="001C537D"/>
    <w:rsid w:val="001C5713"/>
    <w:rsid w:val="001C589C"/>
    <w:rsid w:val="001C58E0"/>
    <w:rsid w:val="001C5971"/>
    <w:rsid w:val="001C5A59"/>
    <w:rsid w:val="001C5ADB"/>
    <w:rsid w:val="001C5BCF"/>
    <w:rsid w:val="001C5BF9"/>
    <w:rsid w:val="001C5C22"/>
    <w:rsid w:val="001C5DE0"/>
    <w:rsid w:val="001C60A5"/>
    <w:rsid w:val="001C60BB"/>
    <w:rsid w:val="001C62E5"/>
    <w:rsid w:val="001C63C4"/>
    <w:rsid w:val="001C64FE"/>
    <w:rsid w:val="001C66F0"/>
    <w:rsid w:val="001C697C"/>
    <w:rsid w:val="001C6F58"/>
    <w:rsid w:val="001C6F9A"/>
    <w:rsid w:val="001C7166"/>
    <w:rsid w:val="001C738D"/>
    <w:rsid w:val="001C79F7"/>
    <w:rsid w:val="001C7B5C"/>
    <w:rsid w:val="001C7E8E"/>
    <w:rsid w:val="001D0122"/>
    <w:rsid w:val="001D16E0"/>
    <w:rsid w:val="001D16F1"/>
    <w:rsid w:val="001D19CF"/>
    <w:rsid w:val="001D1B1F"/>
    <w:rsid w:val="001D1BD0"/>
    <w:rsid w:val="001D1BD1"/>
    <w:rsid w:val="001D1BF9"/>
    <w:rsid w:val="001D1E97"/>
    <w:rsid w:val="001D1EC6"/>
    <w:rsid w:val="001D21F5"/>
    <w:rsid w:val="001D249D"/>
    <w:rsid w:val="001D2646"/>
    <w:rsid w:val="001D29D4"/>
    <w:rsid w:val="001D2A17"/>
    <w:rsid w:val="001D2C19"/>
    <w:rsid w:val="001D35B3"/>
    <w:rsid w:val="001D39B9"/>
    <w:rsid w:val="001D3A74"/>
    <w:rsid w:val="001D3D83"/>
    <w:rsid w:val="001D40A5"/>
    <w:rsid w:val="001D434B"/>
    <w:rsid w:val="001D443D"/>
    <w:rsid w:val="001D4610"/>
    <w:rsid w:val="001D465D"/>
    <w:rsid w:val="001D4957"/>
    <w:rsid w:val="001D4C5E"/>
    <w:rsid w:val="001D4D2F"/>
    <w:rsid w:val="001D561D"/>
    <w:rsid w:val="001D56E9"/>
    <w:rsid w:val="001D5C13"/>
    <w:rsid w:val="001D5D47"/>
    <w:rsid w:val="001D6066"/>
    <w:rsid w:val="001D6134"/>
    <w:rsid w:val="001D6757"/>
    <w:rsid w:val="001D6878"/>
    <w:rsid w:val="001D688D"/>
    <w:rsid w:val="001D6AA0"/>
    <w:rsid w:val="001D6ECD"/>
    <w:rsid w:val="001D6EF9"/>
    <w:rsid w:val="001D6EFE"/>
    <w:rsid w:val="001D6FE3"/>
    <w:rsid w:val="001D7182"/>
    <w:rsid w:val="001D759D"/>
    <w:rsid w:val="001D7BA4"/>
    <w:rsid w:val="001D7BDB"/>
    <w:rsid w:val="001D7DF9"/>
    <w:rsid w:val="001E00FF"/>
    <w:rsid w:val="001E077F"/>
    <w:rsid w:val="001E0920"/>
    <w:rsid w:val="001E0983"/>
    <w:rsid w:val="001E0B40"/>
    <w:rsid w:val="001E0B96"/>
    <w:rsid w:val="001E0D91"/>
    <w:rsid w:val="001E0E16"/>
    <w:rsid w:val="001E0F27"/>
    <w:rsid w:val="001E1135"/>
    <w:rsid w:val="001E131D"/>
    <w:rsid w:val="001E1321"/>
    <w:rsid w:val="001E140A"/>
    <w:rsid w:val="001E179B"/>
    <w:rsid w:val="001E17D0"/>
    <w:rsid w:val="001E19D7"/>
    <w:rsid w:val="001E1A82"/>
    <w:rsid w:val="001E1AE5"/>
    <w:rsid w:val="001E1C2B"/>
    <w:rsid w:val="001E1CB8"/>
    <w:rsid w:val="001E1D99"/>
    <w:rsid w:val="001E1E35"/>
    <w:rsid w:val="001E2102"/>
    <w:rsid w:val="001E21AE"/>
    <w:rsid w:val="001E23E7"/>
    <w:rsid w:val="001E271C"/>
    <w:rsid w:val="001E29D8"/>
    <w:rsid w:val="001E29FA"/>
    <w:rsid w:val="001E30BB"/>
    <w:rsid w:val="001E3131"/>
    <w:rsid w:val="001E3174"/>
    <w:rsid w:val="001E3368"/>
    <w:rsid w:val="001E35B2"/>
    <w:rsid w:val="001E3656"/>
    <w:rsid w:val="001E378B"/>
    <w:rsid w:val="001E3802"/>
    <w:rsid w:val="001E3EF1"/>
    <w:rsid w:val="001E4016"/>
    <w:rsid w:val="001E4241"/>
    <w:rsid w:val="001E42E5"/>
    <w:rsid w:val="001E4416"/>
    <w:rsid w:val="001E4589"/>
    <w:rsid w:val="001E45F6"/>
    <w:rsid w:val="001E484B"/>
    <w:rsid w:val="001E4EAE"/>
    <w:rsid w:val="001E5092"/>
    <w:rsid w:val="001E5252"/>
    <w:rsid w:val="001E5286"/>
    <w:rsid w:val="001E5360"/>
    <w:rsid w:val="001E55B4"/>
    <w:rsid w:val="001E57AB"/>
    <w:rsid w:val="001E5BA3"/>
    <w:rsid w:val="001E5D42"/>
    <w:rsid w:val="001E5D8D"/>
    <w:rsid w:val="001E5E6E"/>
    <w:rsid w:val="001E5F45"/>
    <w:rsid w:val="001E609F"/>
    <w:rsid w:val="001E62F5"/>
    <w:rsid w:val="001E6304"/>
    <w:rsid w:val="001E6337"/>
    <w:rsid w:val="001E63F7"/>
    <w:rsid w:val="001E66E9"/>
    <w:rsid w:val="001E6CAC"/>
    <w:rsid w:val="001E6D29"/>
    <w:rsid w:val="001E6E01"/>
    <w:rsid w:val="001E6F9A"/>
    <w:rsid w:val="001E7352"/>
    <w:rsid w:val="001E7439"/>
    <w:rsid w:val="001E748D"/>
    <w:rsid w:val="001E756B"/>
    <w:rsid w:val="001E76CA"/>
    <w:rsid w:val="001E7A4B"/>
    <w:rsid w:val="001F0323"/>
    <w:rsid w:val="001F046C"/>
    <w:rsid w:val="001F07B3"/>
    <w:rsid w:val="001F121E"/>
    <w:rsid w:val="001F1307"/>
    <w:rsid w:val="001F1768"/>
    <w:rsid w:val="001F1AA3"/>
    <w:rsid w:val="001F1B00"/>
    <w:rsid w:val="001F1B8D"/>
    <w:rsid w:val="001F1D1A"/>
    <w:rsid w:val="001F20B8"/>
    <w:rsid w:val="001F27E4"/>
    <w:rsid w:val="001F29AA"/>
    <w:rsid w:val="001F2B50"/>
    <w:rsid w:val="001F2B54"/>
    <w:rsid w:val="001F2EDB"/>
    <w:rsid w:val="001F315C"/>
    <w:rsid w:val="001F37F5"/>
    <w:rsid w:val="001F3B61"/>
    <w:rsid w:val="001F406A"/>
    <w:rsid w:val="001F410E"/>
    <w:rsid w:val="001F431D"/>
    <w:rsid w:val="001F4394"/>
    <w:rsid w:val="001F4782"/>
    <w:rsid w:val="001F496E"/>
    <w:rsid w:val="001F4F20"/>
    <w:rsid w:val="001F5144"/>
    <w:rsid w:val="001F52BC"/>
    <w:rsid w:val="001F53FF"/>
    <w:rsid w:val="001F560A"/>
    <w:rsid w:val="001F566A"/>
    <w:rsid w:val="001F58E6"/>
    <w:rsid w:val="001F5995"/>
    <w:rsid w:val="001F5CF0"/>
    <w:rsid w:val="001F60E6"/>
    <w:rsid w:val="001F612B"/>
    <w:rsid w:val="001F61C8"/>
    <w:rsid w:val="001F6377"/>
    <w:rsid w:val="001F6AD5"/>
    <w:rsid w:val="001F6AE8"/>
    <w:rsid w:val="001F6B22"/>
    <w:rsid w:val="001F6C6C"/>
    <w:rsid w:val="001F7026"/>
    <w:rsid w:val="001F7276"/>
    <w:rsid w:val="001F76C5"/>
    <w:rsid w:val="001F7714"/>
    <w:rsid w:val="001F7983"/>
    <w:rsid w:val="001F7C3E"/>
    <w:rsid w:val="001F7D91"/>
    <w:rsid w:val="001F7F39"/>
    <w:rsid w:val="001F7F84"/>
    <w:rsid w:val="002000E6"/>
    <w:rsid w:val="00200471"/>
    <w:rsid w:val="002004FD"/>
    <w:rsid w:val="00200AE7"/>
    <w:rsid w:val="00200FCB"/>
    <w:rsid w:val="002011FB"/>
    <w:rsid w:val="0020132F"/>
    <w:rsid w:val="0020136E"/>
    <w:rsid w:val="002013AE"/>
    <w:rsid w:val="00201611"/>
    <w:rsid w:val="00201762"/>
    <w:rsid w:val="00201813"/>
    <w:rsid w:val="0020184E"/>
    <w:rsid w:val="00201B39"/>
    <w:rsid w:val="00201BA5"/>
    <w:rsid w:val="00201BE3"/>
    <w:rsid w:val="00201E01"/>
    <w:rsid w:val="00202217"/>
    <w:rsid w:val="002024CE"/>
    <w:rsid w:val="002025BD"/>
    <w:rsid w:val="0020290F"/>
    <w:rsid w:val="0020299F"/>
    <w:rsid w:val="002029E1"/>
    <w:rsid w:val="00202A76"/>
    <w:rsid w:val="0020301F"/>
    <w:rsid w:val="002033EC"/>
    <w:rsid w:val="002039CA"/>
    <w:rsid w:val="00203C42"/>
    <w:rsid w:val="00203DC6"/>
    <w:rsid w:val="002040FA"/>
    <w:rsid w:val="002042AF"/>
    <w:rsid w:val="00204372"/>
    <w:rsid w:val="0020443E"/>
    <w:rsid w:val="00204505"/>
    <w:rsid w:val="00204574"/>
    <w:rsid w:val="00204795"/>
    <w:rsid w:val="00204A16"/>
    <w:rsid w:val="00204A55"/>
    <w:rsid w:val="00204C3E"/>
    <w:rsid w:val="00204C6B"/>
    <w:rsid w:val="00205214"/>
    <w:rsid w:val="002053C5"/>
    <w:rsid w:val="002056BC"/>
    <w:rsid w:val="00205789"/>
    <w:rsid w:val="00205C22"/>
    <w:rsid w:val="00205D52"/>
    <w:rsid w:val="00205F2E"/>
    <w:rsid w:val="00205F68"/>
    <w:rsid w:val="00205F71"/>
    <w:rsid w:val="00206095"/>
    <w:rsid w:val="0020624D"/>
    <w:rsid w:val="00206908"/>
    <w:rsid w:val="002069B3"/>
    <w:rsid w:val="00206A91"/>
    <w:rsid w:val="00206C91"/>
    <w:rsid w:val="00206D63"/>
    <w:rsid w:val="00206F95"/>
    <w:rsid w:val="002071DD"/>
    <w:rsid w:val="002072C3"/>
    <w:rsid w:val="00207373"/>
    <w:rsid w:val="002074F4"/>
    <w:rsid w:val="00207633"/>
    <w:rsid w:val="002076FD"/>
    <w:rsid w:val="00207806"/>
    <w:rsid w:val="00207C3B"/>
    <w:rsid w:val="00210045"/>
    <w:rsid w:val="002101BD"/>
    <w:rsid w:val="002102F3"/>
    <w:rsid w:val="002104FB"/>
    <w:rsid w:val="0021097A"/>
    <w:rsid w:val="00210D6B"/>
    <w:rsid w:val="00210DCE"/>
    <w:rsid w:val="00210E69"/>
    <w:rsid w:val="00210F29"/>
    <w:rsid w:val="00211045"/>
    <w:rsid w:val="00211084"/>
    <w:rsid w:val="0021166F"/>
    <w:rsid w:val="00211792"/>
    <w:rsid w:val="002119BA"/>
    <w:rsid w:val="00211C4B"/>
    <w:rsid w:val="00211D6F"/>
    <w:rsid w:val="00211F77"/>
    <w:rsid w:val="00212099"/>
    <w:rsid w:val="00212378"/>
    <w:rsid w:val="00212ED1"/>
    <w:rsid w:val="00212F67"/>
    <w:rsid w:val="00212F75"/>
    <w:rsid w:val="00213060"/>
    <w:rsid w:val="00213115"/>
    <w:rsid w:val="0021328C"/>
    <w:rsid w:val="002136BA"/>
    <w:rsid w:val="0021399F"/>
    <w:rsid w:val="00213C5F"/>
    <w:rsid w:val="00213D86"/>
    <w:rsid w:val="00213DCD"/>
    <w:rsid w:val="00213DED"/>
    <w:rsid w:val="00213FA8"/>
    <w:rsid w:val="002140D4"/>
    <w:rsid w:val="00214218"/>
    <w:rsid w:val="002143A5"/>
    <w:rsid w:val="00214440"/>
    <w:rsid w:val="002147F9"/>
    <w:rsid w:val="00214AE3"/>
    <w:rsid w:val="00214BD9"/>
    <w:rsid w:val="00215275"/>
    <w:rsid w:val="00215704"/>
    <w:rsid w:val="00215A82"/>
    <w:rsid w:val="00215B06"/>
    <w:rsid w:val="00215B23"/>
    <w:rsid w:val="00215DCD"/>
    <w:rsid w:val="00215E24"/>
    <w:rsid w:val="00215F2B"/>
    <w:rsid w:val="00215FF4"/>
    <w:rsid w:val="002160A4"/>
    <w:rsid w:val="002160AF"/>
    <w:rsid w:val="0021615E"/>
    <w:rsid w:val="00216492"/>
    <w:rsid w:val="002167C8"/>
    <w:rsid w:val="00216B1A"/>
    <w:rsid w:val="00216CC0"/>
    <w:rsid w:val="00216DEC"/>
    <w:rsid w:val="00216DF6"/>
    <w:rsid w:val="00217002"/>
    <w:rsid w:val="0021720A"/>
    <w:rsid w:val="002173AC"/>
    <w:rsid w:val="00217A33"/>
    <w:rsid w:val="00217C73"/>
    <w:rsid w:val="00217CAA"/>
    <w:rsid w:val="00217D81"/>
    <w:rsid w:val="00217F71"/>
    <w:rsid w:val="00217FB2"/>
    <w:rsid w:val="002200DE"/>
    <w:rsid w:val="0022044A"/>
    <w:rsid w:val="0022053F"/>
    <w:rsid w:val="002205AD"/>
    <w:rsid w:val="002205F6"/>
    <w:rsid w:val="002206BD"/>
    <w:rsid w:val="002206C3"/>
    <w:rsid w:val="00220C00"/>
    <w:rsid w:val="00220CA8"/>
    <w:rsid w:val="00221449"/>
    <w:rsid w:val="00221746"/>
    <w:rsid w:val="00221753"/>
    <w:rsid w:val="002217BD"/>
    <w:rsid w:val="002217FB"/>
    <w:rsid w:val="0022190F"/>
    <w:rsid w:val="00221BF5"/>
    <w:rsid w:val="00221CFC"/>
    <w:rsid w:val="00222220"/>
    <w:rsid w:val="00222395"/>
    <w:rsid w:val="002223B0"/>
    <w:rsid w:val="0022251A"/>
    <w:rsid w:val="00222882"/>
    <w:rsid w:val="00222CD3"/>
    <w:rsid w:val="00222EEB"/>
    <w:rsid w:val="002234B4"/>
    <w:rsid w:val="00223EB5"/>
    <w:rsid w:val="00224628"/>
    <w:rsid w:val="00224845"/>
    <w:rsid w:val="00224855"/>
    <w:rsid w:val="002248BC"/>
    <w:rsid w:val="0022499D"/>
    <w:rsid w:val="00224CB5"/>
    <w:rsid w:val="00225002"/>
    <w:rsid w:val="002250AA"/>
    <w:rsid w:val="0022516E"/>
    <w:rsid w:val="00225255"/>
    <w:rsid w:val="002253C1"/>
    <w:rsid w:val="00225495"/>
    <w:rsid w:val="0022588A"/>
    <w:rsid w:val="0022594B"/>
    <w:rsid w:val="00225FF1"/>
    <w:rsid w:val="0022615C"/>
    <w:rsid w:val="00226458"/>
    <w:rsid w:val="0022647C"/>
    <w:rsid w:val="00226504"/>
    <w:rsid w:val="00226745"/>
    <w:rsid w:val="002268B9"/>
    <w:rsid w:val="0022695F"/>
    <w:rsid w:val="0022698D"/>
    <w:rsid w:val="00226A7A"/>
    <w:rsid w:val="00226B0A"/>
    <w:rsid w:val="00226B45"/>
    <w:rsid w:val="00226C76"/>
    <w:rsid w:val="00226DE2"/>
    <w:rsid w:val="00226EDD"/>
    <w:rsid w:val="00226EF2"/>
    <w:rsid w:val="00226FBF"/>
    <w:rsid w:val="00227086"/>
    <w:rsid w:val="00227646"/>
    <w:rsid w:val="00227815"/>
    <w:rsid w:val="00227ADF"/>
    <w:rsid w:val="00227C22"/>
    <w:rsid w:val="00227D9F"/>
    <w:rsid w:val="00227E5A"/>
    <w:rsid w:val="00230235"/>
    <w:rsid w:val="0023041A"/>
    <w:rsid w:val="00230B65"/>
    <w:rsid w:val="00230C23"/>
    <w:rsid w:val="00230CA2"/>
    <w:rsid w:val="00230D34"/>
    <w:rsid w:val="00230DD5"/>
    <w:rsid w:val="00230E67"/>
    <w:rsid w:val="00231339"/>
    <w:rsid w:val="002318A3"/>
    <w:rsid w:val="00231ABB"/>
    <w:rsid w:val="00231B44"/>
    <w:rsid w:val="00231D87"/>
    <w:rsid w:val="00231DB6"/>
    <w:rsid w:val="00231DC1"/>
    <w:rsid w:val="00231FC1"/>
    <w:rsid w:val="002320E7"/>
    <w:rsid w:val="0023213E"/>
    <w:rsid w:val="0023215A"/>
    <w:rsid w:val="00232AFA"/>
    <w:rsid w:val="00232B9D"/>
    <w:rsid w:val="00232DDB"/>
    <w:rsid w:val="00232EDF"/>
    <w:rsid w:val="00232F64"/>
    <w:rsid w:val="00232F80"/>
    <w:rsid w:val="002332D0"/>
    <w:rsid w:val="00233ABB"/>
    <w:rsid w:val="00233EB6"/>
    <w:rsid w:val="002340D6"/>
    <w:rsid w:val="0023441B"/>
    <w:rsid w:val="0023441C"/>
    <w:rsid w:val="00234611"/>
    <w:rsid w:val="00234770"/>
    <w:rsid w:val="00234985"/>
    <w:rsid w:val="00234ABB"/>
    <w:rsid w:val="00234BC5"/>
    <w:rsid w:val="0023523F"/>
    <w:rsid w:val="002356CC"/>
    <w:rsid w:val="002357EC"/>
    <w:rsid w:val="0023581F"/>
    <w:rsid w:val="00235824"/>
    <w:rsid w:val="002358D9"/>
    <w:rsid w:val="00235AEC"/>
    <w:rsid w:val="00235EB4"/>
    <w:rsid w:val="00236007"/>
    <w:rsid w:val="00236101"/>
    <w:rsid w:val="002364B3"/>
    <w:rsid w:val="002364B8"/>
    <w:rsid w:val="00236A4A"/>
    <w:rsid w:val="00236B2F"/>
    <w:rsid w:val="00236BB2"/>
    <w:rsid w:val="00236D0F"/>
    <w:rsid w:val="00236FE1"/>
    <w:rsid w:val="00237069"/>
    <w:rsid w:val="002370CE"/>
    <w:rsid w:val="0023729A"/>
    <w:rsid w:val="002372A4"/>
    <w:rsid w:val="00237A2E"/>
    <w:rsid w:val="00237CDD"/>
    <w:rsid w:val="00237D96"/>
    <w:rsid w:val="00237E54"/>
    <w:rsid w:val="0024064D"/>
    <w:rsid w:val="002406C7"/>
    <w:rsid w:val="00240982"/>
    <w:rsid w:val="002409A8"/>
    <w:rsid w:val="00240A9A"/>
    <w:rsid w:val="00241506"/>
    <w:rsid w:val="002415A2"/>
    <w:rsid w:val="00241787"/>
    <w:rsid w:val="0024182E"/>
    <w:rsid w:val="00241855"/>
    <w:rsid w:val="00241991"/>
    <w:rsid w:val="00241BFF"/>
    <w:rsid w:val="00241F87"/>
    <w:rsid w:val="002427E4"/>
    <w:rsid w:val="002428F4"/>
    <w:rsid w:val="00242A53"/>
    <w:rsid w:val="00242C72"/>
    <w:rsid w:val="00242F4B"/>
    <w:rsid w:val="00242F88"/>
    <w:rsid w:val="00242FCE"/>
    <w:rsid w:val="002436C4"/>
    <w:rsid w:val="0024371D"/>
    <w:rsid w:val="002438AE"/>
    <w:rsid w:val="0024395D"/>
    <w:rsid w:val="00243F5A"/>
    <w:rsid w:val="00244145"/>
    <w:rsid w:val="00244239"/>
    <w:rsid w:val="0024434C"/>
    <w:rsid w:val="002448E0"/>
    <w:rsid w:val="00244941"/>
    <w:rsid w:val="00244C25"/>
    <w:rsid w:val="00244E27"/>
    <w:rsid w:val="0024532B"/>
    <w:rsid w:val="002456C3"/>
    <w:rsid w:val="0024571C"/>
    <w:rsid w:val="002459EC"/>
    <w:rsid w:val="00246580"/>
    <w:rsid w:val="002465D6"/>
    <w:rsid w:val="00246754"/>
    <w:rsid w:val="00246C16"/>
    <w:rsid w:val="00246C50"/>
    <w:rsid w:val="002471D0"/>
    <w:rsid w:val="00247309"/>
    <w:rsid w:val="0024752B"/>
    <w:rsid w:val="00247546"/>
    <w:rsid w:val="002476EA"/>
    <w:rsid w:val="00247809"/>
    <w:rsid w:val="00247862"/>
    <w:rsid w:val="002479A1"/>
    <w:rsid w:val="002479DC"/>
    <w:rsid w:val="00247B04"/>
    <w:rsid w:val="00247B0F"/>
    <w:rsid w:val="00250158"/>
    <w:rsid w:val="00250557"/>
    <w:rsid w:val="002507FE"/>
    <w:rsid w:val="002508B4"/>
    <w:rsid w:val="00250A3A"/>
    <w:rsid w:val="00250AF3"/>
    <w:rsid w:val="00250E67"/>
    <w:rsid w:val="00250EB8"/>
    <w:rsid w:val="0025102D"/>
    <w:rsid w:val="00251218"/>
    <w:rsid w:val="00251351"/>
    <w:rsid w:val="00251474"/>
    <w:rsid w:val="002514C0"/>
    <w:rsid w:val="0025154C"/>
    <w:rsid w:val="002515BC"/>
    <w:rsid w:val="00251852"/>
    <w:rsid w:val="00251D31"/>
    <w:rsid w:val="00251EBC"/>
    <w:rsid w:val="00251EC0"/>
    <w:rsid w:val="002521AF"/>
    <w:rsid w:val="002523D0"/>
    <w:rsid w:val="00252454"/>
    <w:rsid w:val="0025259A"/>
    <w:rsid w:val="002526CC"/>
    <w:rsid w:val="002529C0"/>
    <w:rsid w:val="00252ED1"/>
    <w:rsid w:val="002535A0"/>
    <w:rsid w:val="002536C3"/>
    <w:rsid w:val="00253AA9"/>
    <w:rsid w:val="00253FE8"/>
    <w:rsid w:val="00254093"/>
    <w:rsid w:val="002544EA"/>
    <w:rsid w:val="00254550"/>
    <w:rsid w:val="00254D7E"/>
    <w:rsid w:val="00254E4F"/>
    <w:rsid w:val="00254E5B"/>
    <w:rsid w:val="002550F3"/>
    <w:rsid w:val="00255648"/>
    <w:rsid w:val="0025585B"/>
    <w:rsid w:val="00255A16"/>
    <w:rsid w:val="00255BE9"/>
    <w:rsid w:val="00255C13"/>
    <w:rsid w:val="0025657C"/>
    <w:rsid w:val="002566A3"/>
    <w:rsid w:val="002566A9"/>
    <w:rsid w:val="002567BA"/>
    <w:rsid w:val="00256808"/>
    <w:rsid w:val="00256E6E"/>
    <w:rsid w:val="0025709B"/>
    <w:rsid w:val="002571B0"/>
    <w:rsid w:val="00257320"/>
    <w:rsid w:val="002573AC"/>
    <w:rsid w:val="002574B7"/>
    <w:rsid w:val="002574B9"/>
    <w:rsid w:val="002574E7"/>
    <w:rsid w:val="0025774C"/>
    <w:rsid w:val="00257ACE"/>
    <w:rsid w:val="00257BCE"/>
    <w:rsid w:val="00257CB9"/>
    <w:rsid w:val="00257DDD"/>
    <w:rsid w:val="00260073"/>
    <w:rsid w:val="00260173"/>
    <w:rsid w:val="00260665"/>
    <w:rsid w:val="002606C3"/>
    <w:rsid w:val="00260E12"/>
    <w:rsid w:val="00260ECF"/>
    <w:rsid w:val="00260EE8"/>
    <w:rsid w:val="0026109E"/>
    <w:rsid w:val="0026130B"/>
    <w:rsid w:val="0026176D"/>
    <w:rsid w:val="002617DD"/>
    <w:rsid w:val="00261936"/>
    <w:rsid w:val="00261C8F"/>
    <w:rsid w:val="00261CF0"/>
    <w:rsid w:val="00261CF5"/>
    <w:rsid w:val="00261D12"/>
    <w:rsid w:val="00261D9A"/>
    <w:rsid w:val="00261DFB"/>
    <w:rsid w:val="00261E66"/>
    <w:rsid w:val="00261FBF"/>
    <w:rsid w:val="0026207A"/>
    <w:rsid w:val="0026287C"/>
    <w:rsid w:val="002629CB"/>
    <w:rsid w:val="00262A6B"/>
    <w:rsid w:val="00262CAF"/>
    <w:rsid w:val="00262D00"/>
    <w:rsid w:val="00262E4A"/>
    <w:rsid w:val="00262EA4"/>
    <w:rsid w:val="00263605"/>
    <w:rsid w:val="00263B3A"/>
    <w:rsid w:val="00263B9C"/>
    <w:rsid w:val="00263CD0"/>
    <w:rsid w:val="002640EE"/>
    <w:rsid w:val="00264504"/>
    <w:rsid w:val="0026455A"/>
    <w:rsid w:val="00265110"/>
    <w:rsid w:val="0026538F"/>
    <w:rsid w:val="0026558F"/>
    <w:rsid w:val="0026570D"/>
    <w:rsid w:val="00265BAA"/>
    <w:rsid w:val="00265E7A"/>
    <w:rsid w:val="00265ECE"/>
    <w:rsid w:val="00265F08"/>
    <w:rsid w:val="00266096"/>
    <w:rsid w:val="002664FF"/>
    <w:rsid w:val="00266958"/>
    <w:rsid w:val="00266AA1"/>
    <w:rsid w:val="00266DF0"/>
    <w:rsid w:val="00266E51"/>
    <w:rsid w:val="00267242"/>
    <w:rsid w:val="002673CA"/>
    <w:rsid w:val="0026745A"/>
    <w:rsid w:val="002674F8"/>
    <w:rsid w:val="00267861"/>
    <w:rsid w:val="00267C3E"/>
    <w:rsid w:val="00267ED3"/>
    <w:rsid w:val="00267EEB"/>
    <w:rsid w:val="002701F6"/>
    <w:rsid w:val="002702C9"/>
    <w:rsid w:val="00270387"/>
    <w:rsid w:val="00270F8A"/>
    <w:rsid w:val="00270F96"/>
    <w:rsid w:val="00271065"/>
    <w:rsid w:val="0027163F"/>
    <w:rsid w:val="0027172A"/>
    <w:rsid w:val="00271780"/>
    <w:rsid w:val="0027192B"/>
    <w:rsid w:val="00272239"/>
    <w:rsid w:val="002722C3"/>
    <w:rsid w:val="002722FD"/>
    <w:rsid w:val="002727F6"/>
    <w:rsid w:val="00272A84"/>
    <w:rsid w:val="00272D7E"/>
    <w:rsid w:val="00272E23"/>
    <w:rsid w:val="002730E3"/>
    <w:rsid w:val="0027323F"/>
    <w:rsid w:val="00273326"/>
    <w:rsid w:val="00273822"/>
    <w:rsid w:val="002738D3"/>
    <w:rsid w:val="0027390E"/>
    <w:rsid w:val="00273ABF"/>
    <w:rsid w:val="00273D9D"/>
    <w:rsid w:val="00274248"/>
    <w:rsid w:val="002742F7"/>
    <w:rsid w:val="00274447"/>
    <w:rsid w:val="00274552"/>
    <w:rsid w:val="00274788"/>
    <w:rsid w:val="00274BCF"/>
    <w:rsid w:val="00274C6A"/>
    <w:rsid w:val="00274CB7"/>
    <w:rsid w:val="00274D25"/>
    <w:rsid w:val="00274E17"/>
    <w:rsid w:val="00275487"/>
    <w:rsid w:val="00275492"/>
    <w:rsid w:val="0027588F"/>
    <w:rsid w:val="002758FE"/>
    <w:rsid w:val="00275DE7"/>
    <w:rsid w:val="00275F8B"/>
    <w:rsid w:val="00275F8E"/>
    <w:rsid w:val="0027606A"/>
    <w:rsid w:val="0027613B"/>
    <w:rsid w:val="0027664F"/>
    <w:rsid w:val="00276AAA"/>
    <w:rsid w:val="00276C7F"/>
    <w:rsid w:val="00276EC0"/>
    <w:rsid w:val="002770D5"/>
    <w:rsid w:val="0027719D"/>
    <w:rsid w:val="0027756B"/>
    <w:rsid w:val="002777F7"/>
    <w:rsid w:val="00277833"/>
    <w:rsid w:val="0027784F"/>
    <w:rsid w:val="002779CD"/>
    <w:rsid w:val="00277A15"/>
    <w:rsid w:val="00277AD5"/>
    <w:rsid w:val="00277BF2"/>
    <w:rsid w:val="00277CFC"/>
    <w:rsid w:val="00277F6E"/>
    <w:rsid w:val="0028032C"/>
    <w:rsid w:val="00280581"/>
    <w:rsid w:val="002807A0"/>
    <w:rsid w:val="00280867"/>
    <w:rsid w:val="0028093E"/>
    <w:rsid w:val="0028099B"/>
    <w:rsid w:val="00280E14"/>
    <w:rsid w:val="0028111F"/>
    <w:rsid w:val="002811D5"/>
    <w:rsid w:val="002812E2"/>
    <w:rsid w:val="0028138F"/>
    <w:rsid w:val="00281443"/>
    <w:rsid w:val="00281760"/>
    <w:rsid w:val="00281C24"/>
    <w:rsid w:val="00281C87"/>
    <w:rsid w:val="00281C94"/>
    <w:rsid w:val="00281CB0"/>
    <w:rsid w:val="00281CC3"/>
    <w:rsid w:val="00281CE7"/>
    <w:rsid w:val="00281F33"/>
    <w:rsid w:val="002826D7"/>
    <w:rsid w:val="0028317D"/>
    <w:rsid w:val="0028337C"/>
    <w:rsid w:val="0028340C"/>
    <w:rsid w:val="002834E5"/>
    <w:rsid w:val="0028379F"/>
    <w:rsid w:val="002837DF"/>
    <w:rsid w:val="00283A4C"/>
    <w:rsid w:val="00283B6B"/>
    <w:rsid w:val="00283B91"/>
    <w:rsid w:val="00284221"/>
    <w:rsid w:val="00284503"/>
    <w:rsid w:val="002847EA"/>
    <w:rsid w:val="00284F8C"/>
    <w:rsid w:val="0028501C"/>
    <w:rsid w:val="00285166"/>
    <w:rsid w:val="002851F3"/>
    <w:rsid w:val="00285585"/>
    <w:rsid w:val="002856F8"/>
    <w:rsid w:val="00285741"/>
    <w:rsid w:val="002858E4"/>
    <w:rsid w:val="00285AB8"/>
    <w:rsid w:val="00285AC8"/>
    <w:rsid w:val="00285C9C"/>
    <w:rsid w:val="00285DBE"/>
    <w:rsid w:val="00285FDC"/>
    <w:rsid w:val="00286356"/>
    <w:rsid w:val="002863B2"/>
    <w:rsid w:val="002863EA"/>
    <w:rsid w:val="0028653D"/>
    <w:rsid w:val="002867E1"/>
    <w:rsid w:val="002868B3"/>
    <w:rsid w:val="002868E3"/>
    <w:rsid w:val="00286A63"/>
    <w:rsid w:val="00286AE9"/>
    <w:rsid w:val="00286C24"/>
    <w:rsid w:val="00286DAF"/>
    <w:rsid w:val="00286E3B"/>
    <w:rsid w:val="002871F8"/>
    <w:rsid w:val="002872B1"/>
    <w:rsid w:val="00287399"/>
    <w:rsid w:val="0028769F"/>
    <w:rsid w:val="00287AE9"/>
    <w:rsid w:val="00287AEE"/>
    <w:rsid w:val="00287CE2"/>
    <w:rsid w:val="00287CF4"/>
    <w:rsid w:val="0029053B"/>
    <w:rsid w:val="00290BB7"/>
    <w:rsid w:val="00290E5C"/>
    <w:rsid w:val="00290E92"/>
    <w:rsid w:val="0029173D"/>
    <w:rsid w:val="0029183D"/>
    <w:rsid w:val="00291D19"/>
    <w:rsid w:val="00291F19"/>
    <w:rsid w:val="00291F62"/>
    <w:rsid w:val="002920A7"/>
    <w:rsid w:val="0029243A"/>
    <w:rsid w:val="002925DA"/>
    <w:rsid w:val="0029276E"/>
    <w:rsid w:val="00292775"/>
    <w:rsid w:val="00292792"/>
    <w:rsid w:val="00292C10"/>
    <w:rsid w:val="00292FD7"/>
    <w:rsid w:val="00293292"/>
    <w:rsid w:val="0029380D"/>
    <w:rsid w:val="00293862"/>
    <w:rsid w:val="00293863"/>
    <w:rsid w:val="002939F0"/>
    <w:rsid w:val="00293B23"/>
    <w:rsid w:val="00293C7B"/>
    <w:rsid w:val="00293CAC"/>
    <w:rsid w:val="00293CBB"/>
    <w:rsid w:val="00293E8D"/>
    <w:rsid w:val="002940FB"/>
    <w:rsid w:val="002942B1"/>
    <w:rsid w:val="00294367"/>
    <w:rsid w:val="00294DA2"/>
    <w:rsid w:val="00294E13"/>
    <w:rsid w:val="00294EC8"/>
    <w:rsid w:val="00294F4B"/>
    <w:rsid w:val="002950AC"/>
    <w:rsid w:val="00295115"/>
    <w:rsid w:val="002953CD"/>
    <w:rsid w:val="002954A5"/>
    <w:rsid w:val="002955C1"/>
    <w:rsid w:val="00295858"/>
    <w:rsid w:val="00295A36"/>
    <w:rsid w:val="00295ABF"/>
    <w:rsid w:val="00295C03"/>
    <w:rsid w:val="00295C6F"/>
    <w:rsid w:val="00295F64"/>
    <w:rsid w:val="00296014"/>
    <w:rsid w:val="002962CC"/>
    <w:rsid w:val="0029659C"/>
    <w:rsid w:val="002966A8"/>
    <w:rsid w:val="0029679E"/>
    <w:rsid w:val="00296DE7"/>
    <w:rsid w:val="00297200"/>
    <w:rsid w:val="0029726C"/>
    <w:rsid w:val="00297590"/>
    <w:rsid w:val="002977D4"/>
    <w:rsid w:val="00297812"/>
    <w:rsid w:val="002978C1"/>
    <w:rsid w:val="00297A37"/>
    <w:rsid w:val="00297BED"/>
    <w:rsid w:val="00297FD7"/>
    <w:rsid w:val="002A0350"/>
    <w:rsid w:val="002A03C4"/>
    <w:rsid w:val="002A04C2"/>
    <w:rsid w:val="002A0F5C"/>
    <w:rsid w:val="002A10E5"/>
    <w:rsid w:val="002A1301"/>
    <w:rsid w:val="002A139E"/>
    <w:rsid w:val="002A13A5"/>
    <w:rsid w:val="002A14B3"/>
    <w:rsid w:val="002A1604"/>
    <w:rsid w:val="002A179A"/>
    <w:rsid w:val="002A1847"/>
    <w:rsid w:val="002A1849"/>
    <w:rsid w:val="002A19A3"/>
    <w:rsid w:val="002A1A35"/>
    <w:rsid w:val="002A1B5C"/>
    <w:rsid w:val="002A1B82"/>
    <w:rsid w:val="002A1E25"/>
    <w:rsid w:val="002A1ECB"/>
    <w:rsid w:val="002A1F48"/>
    <w:rsid w:val="002A1F53"/>
    <w:rsid w:val="002A1FD7"/>
    <w:rsid w:val="002A209F"/>
    <w:rsid w:val="002A20A2"/>
    <w:rsid w:val="002A22A5"/>
    <w:rsid w:val="002A23C4"/>
    <w:rsid w:val="002A25EE"/>
    <w:rsid w:val="002A26AD"/>
    <w:rsid w:val="002A293A"/>
    <w:rsid w:val="002A2D0F"/>
    <w:rsid w:val="002A2E26"/>
    <w:rsid w:val="002A30E1"/>
    <w:rsid w:val="002A328E"/>
    <w:rsid w:val="002A38BD"/>
    <w:rsid w:val="002A397B"/>
    <w:rsid w:val="002A3C4F"/>
    <w:rsid w:val="002A3D43"/>
    <w:rsid w:val="002A3DCC"/>
    <w:rsid w:val="002A3FCB"/>
    <w:rsid w:val="002A43D8"/>
    <w:rsid w:val="002A4638"/>
    <w:rsid w:val="002A46E9"/>
    <w:rsid w:val="002A4C3A"/>
    <w:rsid w:val="002A4F45"/>
    <w:rsid w:val="002A4FAB"/>
    <w:rsid w:val="002A4FD2"/>
    <w:rsid w:val="002A510D"/>
    <w:rsid w:val="002A5287"/>
    <w:rsid w:val="002A558B"/>
    <w:rsid w:val="002A56D1"/>
    <w:rsid w:val="002A5CA6"/>
    <w:rsid w:val="002A5D16"/>
    <w:rsid w:val="002A5DCD"/>
    <w:rsid w:val="002A5DE3"/>
    <w:rsid w:val="002A5DE4"/>
    <w:rsid w:val="002A626C"/>
    <w:rsid w:val="002A6343"/>
    <w:rsid w:val="002A63F0"/>
    <w:rsid w:val="002A6418"/>
    <w:rsid w:val="002A6453"/>
    <w:rsid w:val="002A6A61"/>
    <w:rsid w:val="002A6C6B"/>
    <w:rsid w:val="002A6C8D"/>
    <w:rsid w:val="002A6EEF"/>
    <w:rsid w:val="002A6F1F"/>
    <w:rsid w:val="002A72FC"/>
    <w:rsid w:val="002A7597"/>
    <w:rsid w:val="002A75D5"/>
    <w:rsid w:val="002A7608"/>
    <w:rsid w:val="002A7A9A"/>
    <w:rsid w:val="002A7E64"/>
    <w:rsid w:val="002A7F16"/>
    <w:rsid w:val="002A7F47"/>
    <w:rsid w:val="002B020E"/>
    <w:rsid w:val="002B0576"/>
    <w:rsid w:val="002B058D"/>
    <w:rsid w:val="002B0835"/>
    <w:rsid w:val="002B08D1"/>
    <w:rsid w:val="002B0C09"/>
    <w:rsid w:val="002B0E85"/>
    <w:rsid w:val="002B102D"/>
    <w:rsid w:val="002B11F9"/>
    <w:rsid w:val="002B1598"/>
    <w:rsid w:val="002B1B6B"/>
    <w:rsid w:val="002B1C99"/>
    <w:rsid w:val="002B1D5A"/>
    <w:rsid w:val="002B1F3E"/>
    <w:rsid w:val="002B2E50"/>
    <w:rsid w:val="002B30C4"/>
    <w:rsid w:val="002B32DC"/>
    <w:rsid w:val="002B38A5"/>
    <w:rsid w:val="002B3A19"/>
    <w:rsid w:val="002B3C9B"/>
    <w:rsid w:val="002B3D11"/>
    <w:rsid w:val="002B3F22"/>
    <w:rsid w:val="002B3F4D"/>
    <w:rsid w:val="002B43D2"/>
    <w:rsid w:val="002B4942"/>
    <w:rsid w:val="002B4B04"/>
    <w:rsid w:val="002B4B15"/>
    <w:rsid w:val="002B4D27"/>
    <w:rsid w:val="002B4DA7"/>
    <w:rsid w:val="002B4E13"/>
    <w:rsid w:val="002B5219"/>
    <w:rsid w:val="002B52EA"/>
    <w:rsid w:val="002B5588"/>
    <w:rsid w:val="002B56E2"/>
    <w:rsid w:val="002B5955"/>
    <w:rsid w:val="002B59DE"/>
    <w:rsid w:val="002B5BF9"/>
    <w:rsid w:val="002B5DF5"/>
    <w:rsid w:val="002B6123"/>
    <w:rsid w:val="002B633A"/>
    <w:rsid w:val="002B6DAB"/>
    <w:rsid w:val="002B6EAA"/>
    <w:rsid w:val="002B6F3D"/>
    <w:rsid w:val="002B6F51"/>
    <w:rsid w:val="002B715E"/>
    <w:rsid w:val="002B7204"/>
    <w:rsid w:val="002B732C"/>
    <w:rsid w:val="002B7330"/>
    <w:rsid w:val="002B74CC"/>
    <w:rsid w:val="002B774F"/>
    <w:rsid w:val="002B7920"/>
    <w:rsid w:val="002B79E4"/>
    <w:rsid w:val="002B7DCA"/>
    <w:rsid w:val="002B7F7A"/>
    <w:rsid w:val="002B7F88"/>
    <w:rsid w:val="002C01B0"/>
    <w:rsid w:val="002C0222"/>
    <w:rsid w:val="002C0865"/>
    <w:rsid w:val="002C09CF"/>
    <w:rsid w:val="002C09E0"/>
    <w:rsid w:val="002C0C40"/>
    <w:rsid w:val="002C0E1D"/>
    <w:rsid w:val="002C0FA4"/>
    <w:rsid w:val="002C1052"/>
    <w:rsid w:val="002C1657"/>
    <w:rsid w:val="002C187A"/>
    <w:rsid w:val="002C1886"/>
    <w:rsid w:val="002C1A06"/>
    <w:rsid w:val="002C1C7B"/>
    <w:rsid w:val="002C1DD9"/>
    <w:rsid w:val="002C1DDC"/>
    <w:rsid w:val="002C1E9A"/>
    <w:rsid w:val="002C220D"/>
    <w:rsid w:val="002C26AA"/>
    <w:rsid w:val="002C27D7"/>
    <w:rsid w:val="002C2EDA"/>
    <w:rsid w:val="002C3623"/>
    <w:rsid w:val="002C3958"/>
    <w:rsid w:val="002C3A37"/>
    <w:rsid w:val="002C3AF0"/>
    <w:rsid w:val="002C48CC"/>
    <w:rsid w:val="002C4D54"/>
    <w:rsid w:val="002C524C"/>
    <w:rsid w:val="002C5396"/>
    <w:rsid w:val="002C5501"/>
    <w:rsid w:val="002C553B"/>
    <w:rsid w:val="002C5575"/>
    <w:rsid w:val="002C5706"/>
    <w:rsid w:val="002C5885"/>
    <w:rsid w:val="002C5896"/>
    <w:rsid w:val="002C5A60"/>
    <w:rsid w:val="002C5D3A"/>
    <w:rsid w:val="002C61D0"/>
    <w:rsid w:val="002C63C1"/>
    <w:rsid w:val="002C63D3"/>
    <w:rsid w:val="002C6743"/>
    <w:rsid w:val="002C6787"/>
    <w:rsid w:val="002C6919"/>
    <w:rsid w:val="002C6931"/>
    <w:rsid w:val="002C6A62"/>
    <w:rsid w:val="002C6C60"/>
    <w:rsid w:val="002C6F61"/>
    <w:rsid w:val="002C750F"/>
    <w:rsid w:val="002C777C"/>
    <w:rsid w:val="002C7862"/>
    <w:rsid w:val="002C7C58"/>
    <w:rsid w:val="002C7D1E"/>
    <w:rsid w:val="002C7EB8"/>
    <w:rsid w:val="002D0061"/>
    <w:rsid w:val="002D0398"/>
    <w:rsid w:val="002D0436"/>
    <w:rsid w:val="002D0717"/>
    <w:rsid w:val="002D0761"/>
    <w:rsid w:val="002D0893"/>
    <w:rsid w:val="002D0B30"/>
    <w:rsid w:val="002D0C12"/>
    <w:rsid w:val="002D0E02"/>
    <w:rsid w:val="002D1128"/>
    <w:rsid w:val="002D187C"/>
    <w:rsid w:val="002D1A61"/>
    <w:rsid w:val="002D1DF6"/>
    <w:rsid w:val="002D25BF"/>
    <w:rsid w:val="002D2896"/>
    <w:rsid w:val="002D29A3"/>
    <w:rsid w:val="002D2FF6"/>
    <w:rsid w:val="002D31DD"/>
    <w:rsid w:val="002D3294"/>
    <w:rsid w:val="002D3309"/>
    <w:rsid w:val="002D3A87"/>
    <w:rsid w:val="002D3BAA"/>
    <w:rsid w:val="002D3BFB"/>
    <w:rsid w:val="002D3CA5"/>
    <w:rsid w:val="002D3CA6"/>
    <w:rsid w:val="002D3D56"/>
    <w:rsid w:val="002D41A8"/>
    <w:rsid w:val="002D454A"/>
    <w:rsid w:val="002D460F"/>
    <w:rsid w:val="002D4764"/>
    <w:rsid w:val="002D4AA2"/>
    <w:rsid w:val="002D4AD7"/>
    <w:rsid w:val="002D4C97"/>
    <w:rsid w:val="002D4D4D"/>
    <w:rsid w:val="002D50A7"/>
    <w:rsid w:val="002D50AF"/>
    <w:rsid w:val="002D53AB"/>
    <w:rsid w:val="002D5451"/>
    <w:rsid w:val="002D557B"/>
    <w:rsid w:val="002D58E2"/>
    <w:rsid w:val="002D5A9A"/>
    <w:rsid w:val="002D61D1"/>
    <w:rsid w:val="002D62A5"/>
    <w:rsid w:val="002D63C6"/>
    <w:rsid w:val="002D6621"/>
    <w:rsid w:val="002D66BD"/>
    <w:rsid w:val="002D697F"/>
    <w:rsid w:val="002D6CF1"/>
    <w:rsid w:val="002D6DBF"/>
    <w:rsid w:val="002D6DD0"/>
    <w:rsid w:val="002D6DDB"/>
    <w:rsid w:val="002D7068"/>
    <w:rsid w:val="002D730F"/>
    <w:rsid w:val="002D7445"/>
    <w:rsid w:val="002D7767"/>
    <w:rsid w:val="002D7E06"/>
    <w:rsid w:val="002E0265"/>
    <w:rsid w:val="002E08DB"/>
    <w:rsid w:val="002E0B9F"/>
    <w:rsid w:val="002E0DB4"/>
    <w:rsid w:val="002E0E18"/>
    <w:rsid w:val="002E0FB7"/>
    <w:rsid w:val="002E104A"/>
    <w:rsid w:val="002E1059"/>
    <w:rsid w:val="002E13AA"/>
    <w:rsid w:val="002E1565"/>
    <w:rsid w:val="002E1637"/>
    <w:rsid w:val="002E164B"/>
    <w:rsid w:val="002E1BCD"/>
    <w:rsid w:val="002E1C6C"/>
    <w:rsid w:val="002E1E7C"/>
    <w:rsid w:val="002E1EEB"/>
    <w:rsid w:val="002E20FD"/>
    <w:rsid w:val="002E21A3"/>
    <w:rsid w:val="002E2386"/>
    <w:rsid w:val="002E23F8"/>
    <w:rsid w:val="002E286D"/>
    <w:rsid w:val="002E3019"/>
    <w:rsid w:val="002E3078"/>
    <w:rsid w:val="002E3109"/>
    <w:rsid w:val="002E314D"/>
    <w:rsid w:val="002E3165"/>
    <w:rsid w:val="002E3652"/>
    <w:rsid w:val="002E3A4A"/>
    <w:rsid w:val="002E3B0C"/>
    <w:rsid w:val="002E3D1E"/>
    <w:rsid w:val="002E3E1C"/>
    <w:rsid w:val="002E3EC3"/>
    <w:rsid w:val="002E4239"/>
    <w:rsid w:val="002E425D"/>
    <w:rsid w:val="002E4436"/>
    <w:rsid w:val="002E4475"/>
    <w:rsid w:val="002E4714"/>
    <w:rsid w:val="002E471A"/>
    <w:rsid w:val="002E4A45"/>
    <w:rsid w:val="002E4AE1"/>
    <w:rsid w:val="002E4C06"/>
    <w:rsid w:val="002E4D34"/>
    <w:rsid w:val="002E4F1B"/>
    <w:rsid w:val="002E5138"/>
    <w:rsid w:val="002E51F2"/>
    <w:rsid w:val="002E548D"/>
    <w:rsid w:val="002E5491"/>
    <w:rsid w:val="002E5554"/>
    <w:rsid w:val="002E5594"/>
    <w:rsid w:val="002E5628"/>
    <w:rsid w:val="002E56DE"/>
    <w:rsid w:val="002E5A1F"/>
    <w:rsid w:val="002E5C31"/>
    <w:rsid w:val="002E5D31"/>
    <w:rsid w:val="002E5E21"/>
    <w:rsid w:val="002E5F44"/>
    <w:rsid w:val="002E6314"/>
    <w:rsid w:val="002E6462"/>
    <w:rsid w:val="002E679A"/>
    <w:rsid w:val="002E7154"/>
    <w:rsid w:val="002E71D2"/>
    <w:rsid w:val="002E722A"/>
    <w:rsid w:val="002E72D0"/>
    <w:rsid w:val="002E72E4"/>
    <w:rsid w:val="002E7384"/>
    <w:rsid w:val="002E7501"/>
    <w:rsid w:val="002E75FA"/>
    <w:rsid w:val="002E7695"/>
    <w:rsid w:val="002E781D"/>
    <w:rsid w:val="002E793B"/>
    <w:rsid w:val="002E7A2A"/>
    <w:rsid w:val="002E7B43"/>
    <w:rsid w:val="002F01AD"/>
    <w:rsid w:val="002F045F"/>
    <w:rsid w:val="002F0521"/>
    <w:rsid w:val="002F06D0"/>
    <w:rsid w:val="002F077B"/>
    <w:rsid w:val="002F0800"/>
    <w:rsid w:val="002F0E14"/>
    <w:rsid w:val="002F0F2C"/>
    <w:rsid w:val="002F1156"/>
    <w:rsid w:val="002F11DD"/>
    <w:rsid w:val="002F1661"/>
    <w:rsid w:val="002F197B"/>
    <w:rsid w:val="002F1A3F"/>
    <w:rsid w:val="002F1A93"/>
    <w:rsid w:val="002F1C80"/>
    <w:rsid w:val="002F1EE2"/>
    <w:rsid w:val="002F1F5C"/>
    <w:rsid w:val="002F2096"/>
    <w:rsid w:val="002F2119"/>
    <w:rsid w:val="002F24CB"/>
    <w:rsid w:val="002F25BA"/>
    <w:rsid w:val="002F26D6"/>
    <w:rsid w:val="002F2B82"/>
    <w:rsid w:val="002F2C1D"/>
    <w:rsid w:val="002F2D16"/>
    <w:rsid w:val="002F2E4C"/>
    <w:rsid w:val="002F3311"/>
    <w:rsid w:val="002F331D"/>
    <w:rsid w:val="002F3530"/>
    <w:rsid w:val="002F3718"/>
    <w:rsid w:val="002F373A"/>
    <w:rsid w:val="002F3B00"/>
    <w:rsid w:val="002F3E0D"/>
    <w:rsid w:val="002F3EA6"/>
    <w:rsid w:val="002F3F1C"/>
    <w:rsid w:val="002F4202"/>
    <w:rsid w:val="002F432A"/>
    <w:rsid w:val="002F45FB"/>
    <w:rsid w:val="002F4B05"/>
    <w:rsid w:val="002F4C1D"/>
    <w:rsid w:val="002F4C33"/>
    <w:rsid w:val="002F4EB6"/>
    <w:rsid w:val="002F509B"/>
    <w:rsid w:val="002F50BB"/>
    <w:rsid w:val="002F511E"/>
    <w:rsid w:val="002F5810"/>
    <w:rsid w:val="002F5A8C"/>
    <w:rsid w:val="002F5B33"/>
    <w:rsid w:val="002F5C67"/>
    <w:rsid w:val="002F5F3D"/>
    <w:rsid w:val="002F64C0"/>
    <w:rsid w:val="002F6614"/>
    <w:rsid w:val="002F66B4"/>
    <w:rsid w:val="002F67B3"/>
    <w:rsid w:val="002F6A5A"/>
    <w:rsid w:val="002F6AA3"/>
    <w:rsid w:val="002F6F32"/>
    <w:rsid w:val="002F7685"/>
    <w:rsid w:val="002F785A"/>
    <w:rsid w:val="002F7861"/>
    <w:rsid w:val="002F7964"/>
    <w:rsid w:val="002F7A38"/>
    <w:rsid w:val="002F7B1A"/>
    <w:rsid w:val="002F7C3D"/>
    <w:rsid w:val="002F7C87"/>
    <w:rsid w:val="002F7CDF"/>
    <w:rsid w:val="002F7E01"/>
    <w:rsid w:val="00300138"/>
    <w:rsid w:val="00300686"/>
    <w:rsid w:val="0030074A"/>
    <w:rsid w:val="003007F4"/>
    <w:rsid w:val="00300D35"/>
    <w:rsid w:val="00300D8D"/>
    <w:rsid w:val="00300DBF"/>
    <w:rsid w:val="00300F3C"/>
    <w:rsid w:val="00300FE5"/>
    <w:rsid w:val="00301391"/>
    <w:rsid w:val="003015F4"/>
    <w:rsid w:val="0030183C"/>
    <w:rsid w:val="00301DF0"/>
    <w:rsid w:val="0030242A"/>
    <w:rsid w:val="003025F3"/>
    <w:rsid w:val="00302795"/>
    <w:rsid w:val="003027BC"/>
    <w:rsid w:val="003027C3"/>
    <w:rsid w:val="00302928"/>
    <w:rsid w:val="00302C01"/>
    <w:rsid w:val="00302CAA"/>
    <w:rsid w:val="00303167"/>
    <w:rsid w:val="003033B3"/>
    <w:rsid w:val="003033FE"/>
    <w:rsid w:val="00303714"/>
    <w:rsid w:val="00303F17"/>
    <w:rsid w:val="003041C2"/>
    <w:rsid w:val="003041F7"/>
    <w:rsid w:val="0030434C"/>
    <w:rsid w:val="0030445D"/>
    <w:rsid w:val="003044CB"/>
    <w:rsid w:val="0030469C"/>
    <w:rsid w:val="0030484D"/>
    <w:rsid w:val="00304919"/>
    <w:rsid w:val="00304A4A"/>
    <w:rsid w:val="00304BED"/>
    <w:rsid w:val="00304D47"/>
    <w:rsid w:val="00304DC1"/>
    <w:rsid w:val="00305054"/>
    <w:rsid w:val="0030510C"/>
    <w:rsid w:val="00305133"/>
    <w:rsid w:val="00305213"/>
    <w:rsid w:val="003052BB"/>
    <w:rsid w:val="00305479"/>
    <w:rsid w:val="0030558D"/>
    <w:rsid w:val="003058D0"/>
    <w:rsid w:val="00305D03"/>
    <w:rsid w:val="00305EA4"/>
    <w:rsid w:val="00305F46"/>
    <w:rsid w:val="00305FB5"/>
    <w:rsid w:val="00306264"/>
    <w:rsid w:val="0030634E"/>
    <w:rsid w:val="00306351"/>
    <w:rsid w:val="003063A5"/>
    <w:rsid w:val="0030641E"/>
    <w:rsid w:val="00306446"/>
    <w:rsid w:val="0030659A"/>
    <w:rsid w:val="003066F3"/>
    <w:rsid w:val="0030675C"/>
    <w:rsid w:val="00306884"/>
    <w:rsid w:val="0030689D"/>
    <w:rsid w:val="00306D02"/>
    <w:rsid w:val="00306DE3"/>
    <w:rsid w:val="00306E62"/>
    <w:rsid w:val="00307D8D"/>
    <w:rsid w:val="00307F23"/>
    <w:rsid w:val="00307F35"/>
    <w:rsid w:val="00310078"/>
    <w:rsid w:val="00310257"/>
    <w:rsid w:val="00310338"/>
    <w:rsid w:val="003105BF"/>
    <w:rsid w:val="00310639"/>
    <w:rsid w:val="003106F1"/>
    <w:rsid w:val="0031072F"/>
    <w:rsid w:val="0031084B"/>
    <w:rsid w:val="003109AF"/>
    <w:rsid w:val="00310BF3"/>
    <w:rsid w:val="00310D21"/>
    <w:rsid w:val="00311144"/>
    <w:rsid w:val="00311700"/>
    <w:rsid w:val="00311D6B"/>
    <w:rsid w:val="00312479"/>
    <w:rsid w:val="0031290E"/>
    <w:rsid w:val="0031317A"/>
    <w:rsid w:val="003132C2"/>
    <w:rsid w:val="003133AF"/>
    <w:rsid w:val="003133C8"/>
    <w:rsid w:val="003133F3"/>
    <w:rsid w:val="0031340F"/>
    <w:rsid w:val="003134A2"/>
    <w:rsid w:val="00313572"/>
    <w:rsid w:val="00313951"/>
    <w:rsid w:val="00313C27"/>
    <w:rsid w:val="00313F19"/>
    <w:rsid w:val="00313FCF"/>
    <w:rsid w:val="003145B2"/>
    <w:rsid w:val="00314676"/>
    <w:rsid w:val="00314769"/>
    <w:rsid w:val="003147E7"/>
    <w:rsid w:val="003148FC"/>
    <w:rsid w:val="00314950"/>
    <w:rsid w:val="00314D7E"/>
    <w:rsid w:val="00315174"/>
    <w:rsid w:val="0031566D"/>
    <w:rsid w:val="0031590A"/>
    <w:rsid w:val="00315B84"/>
    <w:rsid w:val="00316013"/>
    <w:rsid w:val="00316082"/>
    <w:rsid w:val="0031612B"/>
    <w:rsid w:val="003164D2"/>
    <w:rsid w:val="00316772"/>
    <w:rsid w:val="00316794"/>
    <w:rsid w:val="00316809"/>
    <w:rsid w:val="00316891"/>
    <w:rsid w:val="00316ABF"/>
    <w:rsid w:val="00316EA8"/>
    <w:rsid w:val="00316F83"/>
    <w:rsid w:val="003170C2"/>
    <w:rsid w:val="00317275"/>
    <w:rsid w:val="0031727D"/>
    <w:rsid w:val="003172D1"/>
    <w:rsid w:val="0031759B"/>
    <w:rsid w:val="00320077"/>
    <w:rsid w:val="00320222"/>
    <w:rsid w:val="003203F5"/>
    <w:rsid w:val="0032052F"/>
    <w:rsid w:val="003209FB"/>
    <w:rsid w:val="00320B1F"/>
    <w:rsid w:val="00320B9F"/>
    <w:rsid w:val="00320BE1"/>
    <w:rsid w:val="00320F2D"/>
    <w:rsid w:val="003210BC"/>
    <w:rsid w:val="00321154"/>
    <w:rsid w:val="003212C6"/>
    <w:rsid w:val="003215CE"/>
    <w:rsid w:val="003220F4"/>
    <w:rsid w:val="003221A9"/>
    <w:rsid w:val="00322522"/>
    <w:rsid w:val="0032257D"/>
    <w:rsid w:val="0032260A"/>
    <w:rsid w:val="0032283E"/>
    <w:rsid w:val="00322B8A"/>
    <w:rsid w:val="00322DBD"/>
    <w:rsid w:val="00322F36"/>
    <w:rsid w:val="00322F49"/>
    <w:rsid w:val="0032323F"/>
    <w:rsid w:val="00323408"/>
    <w:rsid w:val="0032378D"/>
    <w:rsid w:val="003237F2"/>
    <w:rsid w:val="003239FA"/>
    <w:rsid w:val="00323B3F"/>
    <w:rsid w:val="003241FB"/>
    <w:rsid w:val="003243E6"/>
    <w:rsid w:val="00324426"/>
    <w:rsid w:val="00324706"/>
    <w:rsid w:val="00324DC6"/>
    <w:rsid w:val="00324E9C"/>
    <w:rsid w:val="00324F25"/>
    <w:rsid w:val="003251C2"/>
    <w:rsid w:val="0032579A"/>
    <w:rsid w:val="00325ACC"/>
    <w:rsid w:val="00326540"/>
    <w:rsid w:val="0032675D"/>
    <w:rsid w:val="0032687D"/>
    <w:rsid w:val="00326B13"/>
    <w:rsid w:val="00326CC3"/>
    <w:rsid w:val="00326E8B"/>
    <w:rsid w:val="00326EA0"/>
    <w:rsid w:val="00326ED0"/>
    <w:rsid w:val="003271E9"/>
    <w:rsid w:val="0032749F"/>
    <w:rsid w:val="003274F1"/>
    <w:rsid w:val="00327939"/>
    <w:rsid w:val="00327F8B"/>
    <w:rsid w:val="00327F90"/>
    <w:rsid w:val="003300AC"/>
    <w:rsid w:val="003306EA"/>
    <w:rsid w:val="003306EC"/>
    <w:rsid w:val="00330A93"/>
    <w:rsid w:val="00330CC9"/>
    <w:rsid w:val="00330ED7"/>
    <w:rsid w:val="00331408"/>
    <w:rsid w:val="0033146D"/>
    <w:rsid w:val="00331857"/>
    <w:rsid w:val="00331C97"/>
    <w:rsid w:val="00332361"/>
    <w:rsid w:val="0033276F"/>
    <w:rsid w:val="00332B01"/>
    <w:rsid w:val="00332C2C"/>
    <w:rsid w:val="00332DBF"/>
    <w:rsid w:val="00333439"/>
    <w:rsid w:val="00333958"/>
    <w:rsid w:val="00333BA4"/>
    <w:rsid w:val="00333EAA"/>
    <w:rsid w:val="00333F9C"/>
    <w:rsid w:val="00334186"/>
    <w:rsid w:val="00334845"/>
    <w:rsid w:val="003350A0"/>
    <w:rsid w:val="00335227"/>
    <w:rsid w:val="003354A2"/>
    <w:rsid w:val="00335941"/>
    <w:rsid w:val="00335B96"/>
    <w:rsid w:val="00335CA6"/>
    <w:rsid w:val="00335DBF"/>
    <w:rsid w:val="00335E1A"/>
    <w:rsid w:val="00335FDF"/>
    <w:rsid w:val="00336238"/>
    <w:rsid w:val="003363CD"/>
    <w:rsid w:val="00336645"/>
    <w:rsid w:val="003367FB"/>
    <w:rsid w:val="00336CBF"/>
    <w:rsid w:val="00336D11"/>
    <w:rsid w:val="0033702B"/>
    <w:rsid w:val="00337427"/>
    <w:rsid w:val="00337875"/>
    <w:rsid w:val="003378C5"/>
    <w:rsid w:val="00337A68"/>
    <w:rsid w:val="00337AF3"/>
    <w:rsid w:val="00337F16"/>
    <w:rsid w:val="00337FA9"/>
    <w:rsid w:val="00340037"/>
    <w:rsid w:val="0034016B"/>
    <w:rsid w:val="00340521"/>
    <w:rsid w:val="003405FF"/>
    <w:rsid w:val="00340CA5"/>
    <w:rsid w:val="00340F8C"/>
    <w:rsid w:val="00340FCC"/>
    <w:rsid w:val="0034100C"/>
    <w:rsid w:val="00341101"/>
    <w:rsid w:val="0034156C"/>
    <w:rsid w:val="003415B4"/>
    <w:rsid w:val="00341B8D"/>
    <w:rsid w:val="00341D25"/>
    <w:rsid w:val="00341E0F"/>
    <w:rsid w:val="00341F4B"/>
    <w:rsid w:val="003420AF"/>
    <w:rsid w:val="00342284"/>
    <w:rsid w:val="00342464"/>
    <w:rsid w:val="003424D8"/>
    <w:rsid w:val="0034276A"/>
    <w:rsid w:val="00342ACE"/>
    <w:rsid w:val="00342AFE"/>
    <w:rsid w:val="00342C4C"/>
    <w:rsid w:val="00342C58"/>
    <w:rsid w:val="00342EF4"/>
    <w:rsid w:val="00343453"/>
    <w:rsid w:val="00343521"/>
    <w:rsid w:val="003435C3"/>
    <w:rsid w:val="0034392C"/>
    <w:rsid w:val="003443D1"/>
    <w:rsid w:val="00344D9D"/>
    <w:rsid w:val="00344F8C"/>
    <w:rsid w:val="00345405"/>
    <w:rsid w:val="003454D7"/>
    <w:rsid w:val="0034562C"/>
    <w:rsid w:val="003457E2"/>
    <w:rsid w:val="0034595A"/>
    <w:rsid w:val="00345EFA"/>
    <w:rsid w:val="00346169"/>
    <w:rsid w:val="003462A6"/>
    <w:rsid w:val="003462DD"/>
    <w:rsid w:val="00346434"/>
    <w:rsid w:val="0034645E"/>
    <w:rsid w:val="00346531"/>
    <w:rsid w:val="003466B0"/>
    <w:rsid w:val="00346730"/>
    <w:rsid w:val="003468AA"/>
    <w:rsid w:val="00346EE2"/>
    <w:rsid w:val="0034743F"/>
    <w:rsid w:val="00347CD5"/>
    <w:rsid w:val="00347F37"/>
    <w:rsid w:val="0035001B"/>
    <w:rsid w:val="00350092"/>
    <w:rsid w:val="00350364"/>
    <w:rsid w:val="0035099B"/>
    <w:rsid w:val="0035099E"/>
    <w:rsid w:val="00350A36"/>
    <w:rsid w:val="00350B93"/>
    <w:rsid w:val="00350E45"/>
    <w:rsid w:val="0035111E"/>
    <w:rsid w:val="003514FB"/>
    <w:rsid w:val="0035161F"/>
    <w:rsid w:val="003519CB"/>
    <w:rsid w:val="0035235C"/>
    <w:rsid w:val="00352ABD"/>
    <w:rsid w:val="00352D24"/>
    <w:rsid w:val="00352F0E"/>
    <w:rsid w:val="00353302"/>
    <w:rsid w:val="0035341A"/>
    <w:rsid w:val="00353619"/>
    <w:rsid w:val="00353830"/>
    <w:rsid w:val="00353855"/>
    <w:rsid w:val="00353AEF"/>
    <w:rsid w:val="003549FE"/>
    <w:rsid w:val="00354CAC"/>
    <w:rsid w:val="0035502D"/>
    <w:rsid w:val="003552AF"/>
    <w:rsid w:val="003552B4"/>
    <w:rsid w:val="00355363"/>
    <w:rsid w:val="0035552F"/>
    <w:rsid w:val="00355A90"/>
    <w:rsid w:val="00355DE2"/>
    <w:rsid w:val="00355DF1"/>
    <w:rsid w:val="003560D3"/>
    <w:rsid w:val="003561E8"/>
    <w:rsid w:val="00356300"/>
    <w:rsid w:val="00356331"/>
    <w:rsid w:val="0035658B"/>
    <w:rsid w:val="003565C6"/>
    <w:rsid w:val="003567DB"/>
    <w:rsid w:val="00356969"/>
    <w:rsid w:val="003569EC"/>
    <w:rsid w:val="00356B99"/>
    <w:rsid w:val="00356C31"/>
    <w:rsid w:val="00356CD6"/>
    <w:rsid w:val="00356E4B"/>
    <w:rsid w:val="00357240"/>
    <w:rsid w:val="00357723"/>
    <w:rsid w:val="00357843"/>
    <w:rsid w:val="00357D97"/>
    <w:rsid w:val="00357E52"/>
    <w:rsid w:val="00357F37"/>
    <w:rsid w:val="00360102"/>
    <w:rsid w:val="0036030D"/>
    <w:rsid w:val="003604D3"/>
    <w:rsid w:val="00360619"/>
    <w:rsid w:val="00360830"/>
    <w:rsid w:val="00360A78"/>
    <w:rsid w:val="00361147"/>
    <w:rsid w:val="003611EF"/>
    <w:rsid w:val="00361210"/>
    <w:rsid w:val="0036124F"/>
    <w:rsid w:val="003613A2"/>
    <w:rsid w:val="003614DF"/>
    <w:rsid w:val="00361931"/>
    <w:rsid w:val="00361A2B"/>
    <w:rsid w:val="00361AD1"/>
    <w:rsid w:val="00361ADF"/>
    <w:rsid w:val="00361BDD"/>
    <w:rsid w:val="00361BEA"/>
    <w:rsid w:val="00361C35"/>
    <w:rsid w:val="00361D87"/>
    <w:rsid w:val="00362196"/>
    <w:rsid w:val="003623A1"/>
    <w:rsid w:val="003628DC"/>
    <w:rsid w:val="00362A3B"/>
    <w:rsid w:val="00362C48"/>
    <w:rsid w:val="00363315"/>
    <w:rsid w:val="00363364"/>
    <w:rsid w:val="00363C9E"/>
    <w:rsid w:val="0036433B"/>
    <w:rsid w:val="0036447A"/>
    <w:rsid w:val="00364A6D"/>
    <w:rsid w:val="00364B3E"/>
    <w:rsid w:val="00364D57"/>
    <w:rsid w:val="00364E2E"/>
    <w:rsid w:val="00364F1D"/>
    <w:rsid w:val="00364FB2"/>
    <w:rsid w:val="0036540B"/>
    <w:rsid w:val="00365442"/>
    <w:rsid w:val="003654A7"/>
    <w:rsid w:val="003654CA"/>
    <w:rsid w:val="003657F8"/>
    <w:rsid w:val="00365862"/>
    <w:rsid w:val="00365A67"/>
    <w:rsid w:val="00365A87"/>
    <w:rsid w:val="00365B7E"/>
    <w:rsid w:val="0036601B"/>
    <w:rsid w:val="0036628C"/>
    <w:rsid w:val="00366303"/>
    <w:rsid w:val="003664EE"/>
    <w:rsid w:val="00366AAB"/>
    <w:rsid w:val="00366B2D"/>
    <w:rsid w:val="00366E40"/>
    <w:rsid w:val="00366E41"/>
    <w:rsid w:val="003673F0"/>
    <w:rsid w:val="00367403"/>
    <w:rsid w:val="00367641"/>
    <w:rsid w:val="00367757"/>
    <w:rsid w:val="00367BCA"/>
    <w:rsid w:val="00367CCD"/>
    <w:rsid w:val="00367F3F"/>
    <w:rsid w:val="00370280"/>
    <w:rsid w:val="00370337"/>
    <w:rsid w:val="003705E9"/>
    <w:rsid w:val="00370AA9"/>
    <w:rsid w:val="00370B20"/>
    <w:rsid w:val="00370B39"/>
    <w:rsid w:val="00370D41"/>
    <w:rsid w:val="00370DD5"/>
    <w:rsid w:val="00370F1E"/>
    <w:rsid w:val="00371672"/>
    <w:rsid w:val="00371923"/>
    <w:rsid w:val="00371CEE"/>
    <w:rsid w:val="00371F77"/>
    <w:rsid w:val="00372183"/>
    <w:rsid w:val="003722C8"/>
    <w:rsid w:val="003723D3"/>
    <w:rsid w:val="00372AE4"/>
    <w:rsid w:val="00372B6B"/>
    <w:rsid w:val="00372B99"/>
    <w:rsid w:val="00372F3D"/>
    <w:rsid w:val="003731F1"/>
    <w:rsid w:val="003732B4"/>
    <w:rsid w:val="00373926"/>
    <w:rsid w:val="0037399E"/>
    <w:rsid w:val="003739D2"/>
    <w:rsid w:val="00373BAF"/>
    <w:rsid w:val="00374021"/>
    <w:rsid w:val="00374351"/>
    <w:rsid w:val="003743CD"/>
    <w:rsid w:val="003743DE"/>
    <w:rsid w:val="00374588"/>
    <w:rsid w:val="003747C2"/>
    <w:rsid w:val="00374859"/>
    <w:rsid w:val="0037485F"/>
    <w:rsid w:val="003748BF"/>
    <w:rsid w:val="0037493B"/>
    <w:rsid w:val="0037506D"/>
    <w:rsid w:val="0037515C"/>
    <w:rsid w:val="00375791"/>
    <w:rsid w:val="003757BF"/>
    <w:rsid w:val="00375961"/>
    <w:rsid w:val="00375A48"/>
    <w:rsid w:val="00375B7E"/>
    <w:rsid w:val="00375C10"/>
    <w:rsid w:val="00376215"/>
    <w:rsid w:val="003765B8"/>
    <w:rsid w:val="00376752"/>
    <w:rsid w:val="003767BC"/>
    <w:rsid w:val="003767D6"/>
    <w:rsid w:val="003768ED"/>
    <w:rsid w:val="00376B7D"/>
    <w:rsid w:val="00377041"/>
    <w:rsid w:val="00377483"/>
    <w:rsid w:val="003776B9"/>
    <w:rsid w:val="00377860"/>
    <w:rsid w:val="00377A6C"/>
    <w:rsid w:val="00377FB7"/>
    <w:rsid w:val="00380151"/>
    <w:rsid w:val="00380253"/>
    <w:rsid w:val="00380391"/>
    <w:rsid w:val="003803E5"/>
    <w:rsid w:val="0038099D"/>
    <w:rsid w:val="00380DCC"/>
    <w:rsid w:val="00380EC7"/>
    <w:rsid w:val="0038130E"/>
    <w:rsid w:val="00381494"/>
    <w:rsid w:val="003816AD"/>
    <w:rsid w:val="00381B1C"/>
    <w:rsid w:val="00381B2A"/>
    <w:rsid w:val="00381B43"/>
    <w:rsid w:val="00381FC7"/>
    <w:rsid w:val="0038201A"/>
    <w:rsid w:val="0038210D"/>
    <w:rsid w:val="003821B1"/>
    <w:rsid w:val="003823D1"/>
    <w:rsid w:val="00382731"/>
    <w:rsid w:val="00382AD0"/>
    <w:rsid w:val="00382AEA"/>
    <w:rsid w:val="00382C21"/>
    <w:rsid w:val="00382CF1"/>
    <w:rsid w:val="00383238"/>
    <w:rsid w:val="003834F1"/>
    <w:rsid w:val="003834FD"/>
    <w:rsid w:val="003836B0"/>
    <w:rsid w:val="00383843"/>
    <w:rsid w:val="00383893"/>
    <w:rsid w:val="003839DD"/>
    <w:rsid w:val="00383F36"/>
    <w:rsid w:val="003841AE"/>
    <w:rsid w:val="003841F4"/>
    <w:rsid w:val="003844FE"/>
    <w:rsid w:val="0038467E"/>
    <w:rsid w:val="0038480A"/>
    <w:rsid w:val="00384814"/>
    <w:rsid w:val="00384A08"/>
    <w:rsid w:val="00384B7C"/>
    <w:rsid w:val="00384CE6"/>
    <w:rsid w:val="00384E49"/>
    <w:rsid w:val="0038560B"/>
    <w:rsid w:val="003856FA"/>
    <w:rsid w:val="00385771"/>
    <w:rsid w:val="003858FA"/>
    <w:rsid w:val="00385949"/>
    <w:rsid w:val="00385B30"/>
    <w:rsid w:val="00385C4D"/>
    <w:rsid w:val="00385D3B"/>
    <w:rsid w:val="00385ED9"/>
    <w:rsid w:val="00385FA1"/>
    <w:rsid w:val="00385FB4"/>
    <w:rsid w:val="0038603D"/>
    <w:rsid w:val="003867F0"/>
    <w:rsid w:val="00386AAF"/>
    <w:rsid w:val="00386BCA"/>
    <w:rsid w:val="00386E64"/>
    <w:rsid w:val="00386FA5"/>
    <w:rsid w:val="00387191"/>
    <w:rsid w:val="00387673"/>
    <w:rsid w:val="003901D5"/>
    <w:rsid w:val="003903BC"/>
    <w:rsid w:val="003908BC"/>
    <w:rsid w:val="003909D7"/>
    <w:rsid w:val="00390E6B"/>
    <w:rsid w:val="0039108E"/>
    <w:rsid w:val="00391192"/>
    <w:rsid w:val="0039124D"/>
    <w:rsid w:val="003912E9"/>
    <w:rsid w:val="003912F3"/>
    <w:rsid w:val="0039135F"/>
    <w:rsid w:val="00391393"/>
    <w:rsid w:val="00391693"/>
    <w:rsid w:val="0039186A"/>
    <w:rsid w:val="003919A2"/>
    <w:rsid w:val="00391BA3"/>
    <w:rsid w:val="00391D20"/>
    <w:rsid w:val="00392286"/>
    <w:rsid w:val="0039259E"/>
    <w:rsid w:val="00392992"/>
    <w:rsid w:val="00392C15"/>
    <w:rsid w:val="00393130"/>
    <w:rsid w:val="0039314E"/>
    <w:rsid w:val="0039363C"/>
    <w:rsid w:val="00393B05"/>
    <w:rsid w:val="00393B38"/>
    <w:rsid w:val="00393C9A"/>
    <w:rsid w:val="00394169"/>
    <w:rsid w:val="0039424E"/>
    <w:rsid w:val="0039427C"/>
    <w:rsid w:val="00394566"/>
    <w:rsid w:val="003945D6"/>
    <w:rsid w:val="00394771"/>
    <w:rsid w:val="00394820"/>
    <w:rsid w:val="00394B6A"/>
    <w:rsid w:val="00394E9F"/>
    <w:rsid w:val="0039507B"/>
    <w:rsid w:val="00395327"/>
    <w:rsid w:val="003954C4"/>
    <w:rsid w:val="0039568E"/>
    <w:rsid w:val="00395D3E"/>
    <w:rsid w:val="00396085"/>
    <w:rsid w:val="003961B1"/>
    <w:rsid w:val="003964EA"/>
    <w:rsid w:val="003965CB"/>
    <w:rsid w:val="00396789"/>
    <w:rsid w:val="003968BA"/>
    <w:rsid w:val="0039718E"/>
    <w:rsid w:val="003971FA"/>
    <w:rsid w:val="003972BF"/>
    <w:rsid w:val="003973D8"/>
    <w:rsid w:val="003974D9"/>
    <w:rsid w:val="0039756F"/>
    <w:rsid w:val="00397D17"/>
    <w:rsid w:val="00397D1E"/>
    <w:rsid w:val="003A001F"/>
    <w:rsid w:val="003A019D"/>
    <w:rsid w:val="003A0326"/>
    <w:rsid w:val="003A033B"/>
    <w:rsid w:val="003A0455"/>
    <w:rsid w:val="003A05A6"/>
    <w:rsid w:val="003A05E8"/>
    <w:rsid w:val="003A0642"/>
    <w:rsid w:val="003A07C1"/>
    <w:rsid w:val="003A087A"/>
    <w:rsid w:val="003A0902"/>
    <w:rsid w:val="003A0E3E"/>
    <w:rsid w:val="003A1088"/>
    <w:rsid w:val="003A1286"/>
    <w:rsid w:val="003A1445"/>
    <w:rsid w:val="003A1746"/>
    <w:rsid w:val="003A1B37"/>
    <w:rsid w:val="003A1DAF"/>
    <w:rsid w:val="003A1E4B"/>
    <w:rsid w:val="003A1FA0"/>
    <w:rsid w:val="003A218F"/>
    <w:rsid w:val="003A2199"/>
    <w:rsid w:val="003A236C"/>
    <w:rsid w:val="003A23F7"/>
    <w:rsid w:val="003A2542"/>
    <w:rsid w:val="003A26BD"/>
    <w:rsid w:val="003A29BF"/>
    <w:rsid w:val="003A29C3"/>
    <w:rsid w:val="003A2B20"/>
    <w:rsid w:val="003A2ECD"/>
    <w:rsid w:val="003A2F6F"/>
    <w:rsid w:val="003A304C"/>
    <w:rsid w:val="003A30BE"/>
    <w:rsid w:val="003A312A"/>
    <w:rsid w:val="003A3611"/>
    <w:rsid w:val="003A36C4"/>
    <w:rsid w:val="003A3859"/>
    <w:rsid w:val="003A391A"/>
    <w:rsid w:val="003A39F7"/>
    <w:rsid w:val="003A4055"/>
    <w:rsid w:val="003A43FA"/>
    <w:rsid w:val="003A4471"/>
    <w:rsid w:val="003A4545"/>
    <w:rsid w:val="003A4639"/>
    <w:rsid w:val="003A496C"/>
    <w:rsid w:val="003A5159"/>
    <w:rsid w:val="003A5451"/>
    <w:rsid w:val="003A5499"/>
    <w:rsid w:val="003A563D"/>
    <w:rsid w:val="003A57DF"/>
    <w:rsid w:val="003A5927"/>
    <w:rsid w:val="003A5C8E"/>
    <w:rsid w:val="003A6051"/>
    <w:rsid w:val="003A606D"/>
    <w:rsid w:val="003A60B1"/>
    <w:rsid w:val="003A6106"/>
    <w:rsid w:val="003A674B"/>
    <w:rsid w:val="003A6C40"/>
    <w:rsid w:val="003A6DD9"/>
    <w:rsid w:val="003A7760"/>
    <w:rsid w:val="003A7823"/>
    <w:rsid w:val="003A782A"/>
    <w:rsid w:val="003A79DF"/>
    <w:rsid w:val="003A7CB3"/>
    <w:rsid w:val="003A7DB0"/>
    <w:rsid w:val="003B0002"/>
    <w:rsid w:val="003B0099"/>
    <w:rsid w:val="003B0A67"/>
    <w:rsid w:val="003B0A90"/>
    <w:rsid w:val="003B0CFE"/>
    <w:rsid w:val="003B10D2"/>
    <w:rsid w:val="003B1212"/>
    <w:rsid w:val="003B19D6"/>
    <w:rsid w:val="003B1C83"/>
    <w:rsid w:val="003B2053"/>
    <w:rsid w:val="003B232A"/>
    <w:rsid w:val="003B2896"/>
    <w:rsid w:val="003B28BF"/>
    <w:rsid w:val="003B29E7"/>
    <w:rsid w:val="003B2D54"/>
    <w:rsid w:val="003B2D6D"/>
    <w:rsid w:val="003B2DAD"/>
    <w:rsid w:val="003B31E8"/>
    <w:rsid w:val="003B33CC"/>
    <w:rsid w:val="003B348D"/>
    <w:rsid w:val="003B3646"/>
    <w:rsid w:val="003B365A"/>
    <w:rsid w:val="003B3886"/>
    <w:rsid w:val="003B3A5C"/>
    <w:rsid w:val="003B3CE0"/>
    <w:rsid w:val="003B3CEB"/>
    <w:rsid w:val="003B3E86"/>
    <w:rsid w:val="003B421D"/>
    <w:rsid w:val="003B4844"/>
    <w:rsid w:val="003B48B4"/>
    <w:rsid w:val="003B4A50"/>
    <w:rsid w:val="003B4BE2"/>
    <w:rsid w:val="003B55AD"/>
    <w:rsid w:val="003B5B2A"/>
    <w:rsid w:val="003B5CA6"/>
    <w:rsid w:val="003B5E74"/>
    <w:rsid w:val="003B602A"/>
    <w:rsid w:val="003B6453"/>
    <w:rsid w:val="003B65B1"/>
    <w:rsid w:val="003B66A7"/>
    <w:rsid w:val="003B6A40"/>
    <w:rsid w:val="003B6E1A"/>
    <w:rsid w:val="003B6FEA"/>
    <w:rsid w:val="003B7449"/>
    <w:rsid w:val="003B74CD"/>
    <w:rsid w:val="003B753D"/>
    <w:rsid w:val="003B766F"/>
    <w:rsid w:val="003B76BF"/>
    <w:rsid w:val="003B77CC"/>
    <w:rsid w:val="003B7A4A"/>
    <w:rsid w:val="003B7B96"/>
    <w:rsid w:val="003B7DB1"/>
    <w:rsid w:val="003B7EE3"/>
    <w:rsid w:val="003B7F7E"/>
    <w:rsid w:val="003C00A6"/>
    <w:rsid w:val="003C0104"/>
    <w:rsid w:val="003C020D"/>
    <w:rsid w:val="003C02F8"/>
    <w:rsid w:val="003C05E4"/>
    <w:rsid w:val="003C07BD"/>
    <w:rsid w:val="003C07FD"/>
    <w:rsid w:val="003C0980"/>
    <w:rsid w:val="003C09D7"/>
    <w:rsid w:val="003C0A8A"/>
    <w:rsid w:val="003C0BFB"/>
    <w:rsid w:val="003C0C09"/>
    <w:rsid w:val="003C0F37"/>
    <w:rsid w:val="003C137C"/>
    <w:rsid w:val="003C1381"/>
    <w:rsid w:val="003C166A"/>
    <w:rsid w:val="003C166F"/>
    <w:rsid w:val="003C1990"/>
    <w:rsid w:val="003C19F2"/>
    <w:rsid w:val="003C1A2F"/>
    <w:rsid w:val="003C1AEE"/>
    <w:rsid w:val="003C1C8F"/>
    <w:rsid w:val="003C26FE"/>
    <w:rsid w:val="003C278C"/>
    <w:rsid w:val="003C27D7"/>
    <w:rsid w:val="003C28A7"/>
    <w:rsid w:val="003C2904"/>
    <w:rsid w:val="003C29CD"/>
    <w:rsid w:val="003C2A0F"/>
    <w:rsid w:val="003C2C8E"/>
    <w:rsid w:val="003C2E2B"/>
    <w:rsid w:val="003C319E"/>
    <w:rsid w:val="003C350E"/>
    <w:rsid w:val="003C3564"/>
    <w:rsid w:val="003C3709"/>
    <w:rsid w:val="003C3878"/>
    <w:rsid w:val="003C3B53"/>
    <w:rsid w:val="003C3B91"/>
    <w:rsid w:val="003C3DDE"/>
    <w:rsid w:val="003C3E31"/>
    <w:rsid w:val="003C3E4B"/>
    <w:rsid w:val="003C46ED"/>
    <w:rsid w:val="003C4952"/>
    <w:rsid w:val="003C4C1E"/>
    <w:rsid w:val="003C4EE5"/>
    <w:rsid w:val="003C56FC"/>
    <w:rsid w:val="003C57BF"/>
    <w:rsid w:val="003C5B2F"/>
    <w:rsid w:val="003C5BD6"/>
    <w:rsid w:val="003C5E1E"/>
    <w:rsid w:val="003C5EB9"/>
    <w:rsid w:val="003C6053"/>
    <w:rsid w:val="003C6187"/>
    <w:rsid w:val="003C61B1"/>
    <w:rsid w:val="003C6441"/>
    <w:rsid w:val="003C6510"/>
    <w:rsid w:val="003C655C"/>
    <w:rsid w:val="003C65E8"/>
    <w:rsid w:val="003C6636"/>
    <w:rsid w:val="003C67FE"/>
    <w:rsid w:val="003C6910"/>
    <w:rsid w:val="003C7116"/>
    <w:rsid w:val="003C7510"/>
    <w:rsid w:val="003C759C"/>
    <w:rsid w:val="003C7628"/>
    <w:rsid w:val="003C78DC"/>
    <w:rsid w:val="003C7AD9"/>
    <w:rsid w:val="003C7AF3"/>
    <w:rsid w:val="003C7B4C"/>
    <w:rsid w:val="003C7B70"/>
    <w:rsid w:val="003C7E8A"/>
    <w:rsid w:val="003D01B5"/>
    <w:rsid w:val="003D03D3"/>
    <w:rsid w:val="003D0512"/>
    <w:rsid w:val="003D0657"/>
    <w:rsid w:val="003D0796"/>
    <w:rsid w:val="003D0881"/>
    <w:rsid w:val="003D0B66"/>
    <w:rsid w:val="003D0C72"/>
    <w:rsid w:val="003D0D1C"/>
    <w:rsid w:val="003D0D4B"/>
    <w:rsid w:val="003D0D78"/>
    <w:rsid w:val="003D0E97"/>
    <w:rsid w:val="003D0FE5"/>
    <w:rsid w:val="003D109E"/>
    <w:rsid w:val="003D12B2"/>
    <w:rsid w:val="003D133A"/>
    <w:rsid w:val="003D136E"/>
    <w:rsid w:val="003D1D17"/>
    <w:rsid w:val="003D2635"/>
    <w:rsid w:val="003D2702"/>
    <w:rsid w:val="003D29D0"/>
    <w:rsid w:val="003D2B37"/>
    <w:rsid w:val="003D2CD5"/>
    <w:rsid w:val="003D2E64"/>
    <w:rsid w:val="003D2F98"/>
    <w:rsid w:val="003D3188"/>
    <w:rsid w:val="003D350D"/>
    <w:rsid w:val="003D39E8"/>
    <w:rsid w:val="003D3AC9"/>
    <w:rsid w:val="003D3C6A"/>
    <w:rsid w:val="003D3CD5"/>
    <w:rsid w:val="003D3D95"/>
    <w:rsid w:val="003D3E22"/>
    <w:rsid w:val="003D4155"/>
    <w:rsid w:val="003D42CE"/>
    <w:rsid w:val="003D449F"/>
    <w:rsid w:val="003D44BB"/>
    <w:rsid w:val="003D47F8"/>
    <w:rsid w:val="003D54E2"/>
    <w:rsid w:val="003D58AC"/>
    <w:rsid w:val="003D5E57"/>
    <w:rsid w:val="003D613C"/>
    <w:rsid w:val="003D6450"/>
    <w:rsid w:val="003D6656"/>
    <w:rsid w:val="003D6A99"/>
    <w:rsid w:val="003D6B23"/>
    <w:rsid w:val="003D6BFA"/>
    <w:rsid w:val="003D6F14"/>
    <w:rsid w:val="003D6F97"/>
    <w:rsid w:val="003D7350"/>
    <w:rsid w:val="003D77ED"/>
    <w:rsid w:val="003D780D"/>
    <w:rsid w:val="003E003D"/>
    <w:rsid w:val="003E04B1"/>
    <w:rsid w:val="003E0A9E"/>
    <w:rsid w:val="003E0B1B"/>
    <w:rsid w:val="003E0C8E"/>
    <w:rsid w:val="003E0D78"/>
    <w:rsid w:val="003E0F96"/>
    <w:rsid w:val="003E1089"/>
    <w:rsid w:val="003E10B3"/>
    <w:rsid w:val="003E120B"/>
    <w:rsid w:val="003E1250"/>
    <w:rsid w:val="003E1538"/>
    <w:rsid w:val="003E154D"/>
    <w:rsid w:val="003E1737"/>
    <w:rsid w:val="003E1742"/>
    <w:rsid w:val="003E1BD8"/>
    <w:rsid w:val="003E1C35"/>
    <w:rsid w:val="003E1E3D"/>
    <w:rsid w:val="003E1F59"/>
    <w:rsid w:val="003E2101"/>
    <w:rsid w:val="003E237F"/>
    <w:rsid w:val="003E28B0"/>
    <w:rsid w:val="003E2B6F"/>
    <w:rsid w:val="003E2E4A"/>
    <w:rsid w:val="003E3008"/>
    <w:rsid w:val="003E31DB"/>
    <w:rsid w:val="003E346E"/>
    <w:rsid w:val="003E34B2"/>
    <w:rsid w:val="003E35D9"/>
    <w:rsid w:val="003E36F5"/>
    <w:rsid w:val="003E38AB"/>
    <w:rsid w:val="003E3A86"/>
    <w:rsid w:val="003E3AB7"/>
    <w:rsid w:val="003E3AD4"/>
    <w:rsid w:val="003E3BCC"/>
    <w:rsid w:val="003E3C1E"/>
    <w:rsid w:val="003E3CCE"/>
    <w:rsid w:val="003E3CF2"/>
    <w:rsid w:val="003E3E51"/>
    <w:rsid w:val="003E3F46"/>
    <w:rsid w:val="003E4310"/>
    <w:rsid w:val="003E4809"/>
    <w:rsid w:val="003E4AF6"/>
    <w:rsid w:val="003E5239"/>
    <w:rsid w:val="003E5339"/>
    <w:rsid w:val="003E5422"/>
    <w:rsid w:val="003E56F2"/>
    <w:rsid w:val="003E59B6"/>
    <w:rsid w:val="003E5B93"/>
    <w:rsid w:val="003E5C02"/>
    <w:rsid w:val="003E5C54"/>
    <w:rsid w:val="003E6186"/>
    <w:rsid w:val="003E6512"/>
    <w:rsid w:val="003E690B"/>
    <w:rsid w:val="003E6938"/>
    <w:rsid w:val="003E6BAA"/>
    <w:rsid w:val="003E6E85"/>
    <w:rsid w:val="003E6F0E"/>
    <w:rsid w:val="003E71CC"/>
    <w:rsid w:val="003E75D6"/>
    <w:rsid w:val="003E7CCA"/>
    <w:rsid w:val="003E7D16"/>
    <w:rsid w:val="003E7D40"/>
    <w:rsid w:val="003F0127"/>
    <w:rsid w:val="003F0231"/>
    <w:rsid w:val="003F048B"/>
    <w:rsid w:val="003F058C"/>
    <w:rsid w:val="003F08AC"/>
    <w:rsid w:val="003F09DD"/>
    <w:rsid w:val="003F0E23"/>
    <w:rsid w:val="003F13F1"/>
    <w:rsid w:val="003F162E"/>
    <w:rsid w:val="003F193F"/>
    <w:rsid w:val="003F1AD7"/>
    <w:rsid w:val="003F1C58"/>
    <w:rsid w:val="003F1CE7"/>
    <w:rsid w:val="003F1EF7"/>
    <w:rsid w:val="003F22F5"/>
    <w:rsid w:val="003F2538"/>
    <w:rsid w:val="003F2582"/>
    <w:rsid w:val="003F25EB"/>
    <w:rsid w:val="003F27FA"/>
    <w:rsid w:val="003F2A72"/>
    <w:rsid w:val="003F2BF7"/>
    <w:rsid w:val="003F2C8E"/>
    <w:rsid w:val="003F2CC4"/>
    <w:rsid w:val="003F2DE9"/>
    <w:rsid w:val="003F33E9"/>
    <w:rsid w:val="003F34FA"/>
    <w:rsid w:val="003F369C"/>
    <w:rsid w:val="003F37C3"/>
    <w:rsid w:val="003F39E2"/>
    <w:rsid w:val="003F3AFC"/>
    <w:rsid w:val="003F3E3C"/>
    <w:rsid w:val="003F447C"/>
    <w:rsid w:val="003F45DF"/>
    <w:rsid w:val="003F4906"/>
    <w:rsid w:val="003F4A50"/>
    <w:rsid w:val="003F4B88"/>
    <w:rsid w:val="003F4EF2"/>
    <w:rsid w:val="003F4F3B"/>
    <w:rsid w:val="003F4F43"/>
    <w:rsid w:val="003F5022"/>
    <w:rsid w:val="003F507A"/>
    <w:rsid w:val="003F516E"/>
    <w:rsid w:val="003F5444"/>
    <w:rsid w:val="003F5539"/>
    <w:rsid w:val="003F560B"/>
    <w:rsid w:val="003F5681"/>
    <w:rsid w:val="003F5859"/>
    <w:rsid w:val="003F5B85"/>
    <w:rsid w:val="003F5C95"/>
    <w:rsid w:val="003F606E"/>
    <w:rsid w:val="003F6104"/>
    <w:rsid w:val="003F63C2"/>
    <w:rsid w:val="003F63CB"/>
    <w:rsid w:val="003F66AC"/>
    <w:rsid w:val="003F6AD6"/>
    <w:rsid w:val="003F7016"/>
    <w:rsid w:val="003F7215"/>
    <w:rsid w:val="003F732E"/>
    <w:rsid w:val="003F75D6"/>
    <w:rsid w:val="003F76F3"/>
    <w:rsid w:val="003F7701"/>
    <w:rsid w:val="003F7754"/>
    <w:rsid w:val="003F7805"/>
    <w:rsid w:val="003F78A1"/>
    <w:rsid w:val="003F7A9E"/>
    <w:rsid w:val="003F7BEC"/>
    <w:rsid w:val="003F7F06"/>
    <w:rsid w:val="00400128"/>
    <w:rsid w:val="00400328"/>
    <w:rsid w:val="0040087F"/>
    <w:rsid w:val="004009F0"/>
    <w:rsid w:val="00401109"/>
    <w:rsid w:val="004011BE"/>
    <w:rsid w:val="004015F1"/>
    <w:rsid w:val="00401EE7"/>
    <w:rsid w:val="00401F64"/>
    <w:rsid w:val="00402112"/>
    <w:rsid w:val="004022ED"/>
    <w:rsid w:val="004023E5"/>
    <w:rsid w:val="00402A4C"/>
    <w:rsid w:val="00402A6C"/>
    <w:rsid w:val="004030EF"/>
    <w:rsid w:val="004033A2"/>
    <w:rsid w:val="004033B0"/>
    <w:rsid w:val="004034F9"/>
    <w:rsid w:val="00403529"/>
    <w:rsid w:val="00403A38"/>
    <w:rsid w:val="00403B74"/>
    <w:rsid w:val="00403EF2"/>
    <w:rsid w:val="00403F31"/>
    <w:rsid w:val="00404074"/>
    <w:rsid w:val="00404498"/>
    <w:rsid w:val="00404597"/>
    <w:rsid w:val="0040461D"/>
    <w:rsid w:val="004046A4"/>
    <w:rsid w:val="004046F6"/>
    <w:rsid w:val="004047BE"/>
    <w:rsid w:val="00404D30"/>
    <w:rsid w:val="00404D49"/>
    <w:rsid w:val="00404DAB"/>
    <w:rsid w:val="0040504A"/>
    <w:rsid w:val="00405086"/>
    <w:rsid w:val="004050E5"/>
    <w:rsid w:val="00405158"/>
    <w:rsid w:val="00405E79"/>
    <w:rsid w:val="0040604D"/>
    <w:rsid w:val="00406052"/>
    <w:rsid w:val="004062D5"/>
    <w:rsid w:val="004066CD"/>
    <w:rsid w:val="00406767"/>
    <w:rsid w:val="00406B63"/>
    <w:rsid w:val="00407082"/>
    <w:rsid w:val="00407661"/>
    <w:rsid w:val="00407C1C"/>
    <w:rsid w:val="00407EF3"/>
    <w:rsid w:val="00407F2E"/>
    <w:rsid w:val="00410BB4"/>
    <w:rsid w:val="00410D85"/>
    <w:rsid w:val="00410DAF"/>
    <w:rsid w:val="00410E5C"/>
    <w:rsid w:val="00410F55"/>
    <w:rsid w:val="00411055"/>
    <w:rsid w:val="00411411"/>
    <w:rsid w:val="004114A2"/>
    <w:rsid w:val="004114C3"/>
    <w:rsid w:val="00411AD7"/>
    <w:rsid w:val="00411CC1"/>
    <w:rsid w:val="00411EA7"/>
    <w:rsid w:val="00411F2C"/>
    <w:rsid w:val="0041214E"/>
    <w:rsid w:val="00412225"/>
    <w:rsid w:val="004122DE"/>
    <w:rsid w:val="004123AA"/>
    <w:rsid w:val="00412685"/>
    <w:rsid w:val="0041285B"/>
    <w:rsid w:val="004128F1"/>
    <w:rsid w:val="00412BE9"/>
    <w:rsid w:val="00412D2C"/>
    <w:rsid w:val="00412D72"/>
    <w:rsid w:val="00412F1A"/>
    <w:rsid w:val="00413372"/>
    <w:rsid w:val="00413773"/>
    <w:rsid w:val="004137D5"/>
    <w:rsid w:val="004137DA"/>
    <w:rsid w:val="00413827"/>
    <w:rsid w:val="004139CF"/>
    <w:rsid w:val="00413A2B"/>
    <w:rsid w:val="00413E35"/>
    <w:rsid w:val="00413EE1"/>
    <w:rsid w:val="00413F25"/>
    <w:rsid w:val="004141A5"/>
    <w:rsid w:val="00414205"/>
    <w:rsid w:val="00414243"/>
    <w:rsid w:val="00414293"/>
    <w:rsid w:val="0041455F"/>
    <w:rsid w:val="00414B23"/>
    <w:rsid w:val="00414B4E"/>
    <w:rsid w:val="00414D70"/>
    <w:rsid w:val="00414E7D"/>
    <w:rsid w:val="00415226"/>
    <w:rsid w:val="00415856"/>
    <w:rsid w:val="00415E54"/>
    <w:rsid w:val="00416242"/>
    <w:rsid w:val="0041642B"/>
    <w:rsid w:val="00416625"/>
    <w:rsid w:val="00416751"/>
    <w:rsid w:val="004169E8"/>
    <w:rsid w:val="00416CA7"/>
    <w:rsid w:val="00416E7B"/>
    <w:rsid w:val="00416F43"/>
    <w:rsid w:val="0041742C"/>
    <w:rsid w:val="00417BCE"/>
    <w:rsid w:val="00417E50"/>
    <w:rsid w:val="004200AB"/>
    <w:rsid w:val="004200FF"/>
    <w:rsid w:val="00420281"/>
    <w:rsid w:val="0042045B"/>
    <w:rsid w:val="0042047F"/>
    <w:rsid w:val="004207E7"/>
    <w:rsid w:val="004208B4"/>
    <w:rsid w:val="00420DC2"/>
    <w:rsid w:val="00421B89"/>
    <w:rsid w:val="00421DB9"/>
    <w:rsid w:val="00421DC2"/>
    <w:rsid w:val="00421E00"/>
    <w:rsid w:val="00421E8E"/>
    <w:rsid w:val="00422181"/>
    <w:rsid w:val="0042242C"/>
    <w:rsid w:val="004224C7"/>
    <w:rsid w:val="00422778"/>
    <w:rsid w:val="004229A4"/>
    <w:rsid w:val="004229E4"/>
    <w:rsid w:val="00422DF3"/>
    <w:rsid w:val="00423179"/>
    <w:rsid w:val="004238BB"/>
    <w:rsid w:val="00423905"/>
    <w:rsid w:val="00423A84"/>
    <w:rsid w:val="00423F46"/>
    <w:rsid w:val="00423FE7"/>
    <w:rsid w:val="00424422"/>
    <w:rsid w:val="0042443D"/>
    <w:rsid w:val="004245FE"/>
    <w:rsid w:val="00424A0C"/>
    <w:rsid w:val="00424A35"/>
    <w:rsid w:val="00424CFB"/>
    <w:rsid w:val="00424EED"/>
    <w:rsid w:val="00424EFB"/>
    <w:rsid w:val="00424F7C"/>
    <w:rsid w:val="0042523F"/>
    <w:rsid w:val="004253A9"/>
    <w:rsid w:val="0042580D"/>
    <w:rsid w:val="0042582A"/>
    <w:rsid w:val="00425A4B"/>
    <w:rsid w:val="00425A5B"/>
    <w:rsid w:val="00425C95"/>
    <w:rsid w:val="00425FA9"/>
    <w:rsid w:val="00426495"/>
    <w:rsid w:val="00426877"/>
    <w:rsid w:val="00426943"/>
    <w:rsid w:val="00426FC0"/>
    <w:rsid w:val="0042716E"/>
    <w:rsid w:val="00427235"/>
    <w:rsid w:val="004274AE"/>
    <w:rsid w:val="0042752B"/>
    <w:rsid w:val="00427651"/>
    <w:rsid w:val="00427685"/>
    <w:rsid w:val="004278A8"/>
    <w:rsid w:val="004278FA"/>
    <w:rsid w:val="00427FB1"/>
    <w:rsid w:val="0043015D"/>
    <w:rsid w:val="004301A5"/>
    <w:rsid w:val="00430419"/>
    <w:rsid w:val="00430C33"/>
    <w:rsid w:val="00430E00"/>
    <w:rsid w:val="00430F08"/>
    <w:rsid w:val="0043167F"/>
    <w:rsid w:val="00431702"/>
    <w:rsid w:val="00431735"/>
    <w:rsid w:val="00431EAE"/>
    <w:rsid w:val="00432032"/>
    <w:rsid w:val="00432145"/>
    <w:rsid w:val="0043244F"/>
    <w:rsid w:val="004324DA"/>
    <w:rsid w:val="00432507"/>
    <w:rsid w:val="00432552"/>
    <w:rsid w:val="00432798"/>
    <w:rsid w:val="004328E0"/>
    <w:rsid w:val="004329B2"/>
    <w:rsid w:val="004329F1"/>
    <w:rsid w:val="00432B1C"/>
    <w:rsid w:val="00432B70"/>
    <w:rsid w:val="00432B75"/>
    <w:rsid w:val="00432C7F"/>
    <w:rsid w:val="00432EBF"/>
    <w:rsid w:val="00432F5D"/>
    <w:rsid w:val="004332CB"/>
    <w:rsid w:val="00433859"/>
    <w:rsid w:val="004338E2"/>
    <w:rsid w:val="00433A9B"/>
    <w:rsid w:val="00433F2D"/>
    <w:rsid w:val="00434150"/>
    <w:rsid w:val="00434193"/>
    <w:rsid w:val="004342A5"/>
    <w:rsid w:val="004343CD"/>
    <w:rsid w:val="004348B4"/>
    <w:rsid w:val="004348E8"/>
    <w:rsid w:val="00434C2B"/>
    <w:rsid w:val="00434D23"/>
    <w:rsid w:val="00434EC7"/>
    <w:rsid w:val="0043512F"/>
    <w:rsid w:val="00435192"/>
    <w:rsid w:val="00435198"/>
    <w:rsid w:val="00435356"/>
    <w:rsid w:val="00435689"/>
    <w:rsid w:val="004357FB"/>
    <w:rsid w:val="00435AB8"/>
    <w:rsid w:val="00435AD0"/>
    <w:rsid w:val="00435DE6"/>
    <w:rsid w:val="00435E36"/>
    <w:rsid w:val="00435FB0"/>
    <w:rsid w:val="004360AE"/>
    <w:rsid w:val="00436478"/>
    <w:rsid w:val="00436704"/>
    <w:rsid w:val="00436A62"/>
    <w:rsid w:val="00437273"/>
    <w:rsid w:val="00437373"/>
    <w:rsid w:val="00437529"/>
    <w:rsid w:val="00437968"/>
    <w:rsid w:val="00437A4D"/>
    <w:rsid w:val="00437C2F"/>
    <w:rsid w:val="00437CC6"/>
    <w:rsid w:val="00440289"/>
    <w:rsid w:val="004409B5"/>
    <w:rsid w:val="004409D5"/>
    <w:rsid w:val="00440B26"/>
    <w:rsid w:val="00440B5A"/>
    <w:rsid w:val="00440C0B"/>
    <w:rsid w:val="004411FF"/>
    <w:rsid w:val="004414AB"/>
    <w:rsid w:val="004418C7"/>
    <w:rsid w:val="004418F9"/>
    <w:rsid w:val="00441A84"/>
    <w:rsid w:val="00441D02"/>
    <w:rsid w:val="00442095"/>
    <w:rsid w:val="004421FC"/>
    <w:rsid w:val="004423A5"/>
    <w:rsid w:val="0044247A"/>
    <w:rsid w:val="00442733"/>
    <w:rsid w:val="00442AF9"/>
    <w:rsid w:val="00443294"/>
    <w:rsid w:val="00443896"/>
    <w:rsid w:val="00443972"/>
    <w:rsid w:val="00443CE3"/>
    <w:rsid w:val="00443EA1"/>
    <w:rsid w:val="00443FD1"/>
    <w:rsid w:val="00444024"/>
    <w:rsid w:val="004446E9"/>
    <w:rsid w:val="00444764"/>
    <w:rsid w:val="00444AA5"/>
    <w:rsid w:val="00444AE6"/>
    <w:rsid w:val="00444BE7"/>
    <w:rsid w:val="00444C53"/>
    <w:rsid w:val="00444D04"/>
    <w:rsid w:val="00444D22"/>
    <w:rsid w:val="00444FF8"/>
    <w:rsid w:val="00445061"/>
    <w:rsid w:val="004455A6"/>
    <w:rsid w:val="0044572B"/>
    <w:rsid w:val="00445B53"/>
    <w:rsid w:val="00445DC6"/>
    <w:rsid w:val="00445EB7"/>
    <w:rsid w:val="00446222"/>
    <w:rsid w:val="00446275"/>
    <w:rsid w:val="004463E6"/>
    <w:rsid w:val="004464EC"/>
    <w:rsid w:val="004464EE"/>
    <w:rsid w:val="004465BC"/>
    <w:rsid w:val="00446676"/>
    <w:rsid w:val="00446725"/>
    <w:rsid w:val="0044691F"/>
    <w:rsid w:val="00446B1D"/>
    <w:rsid w:val="00446BAE"/>
    <w:rsid w:val="00446F7F"/>
    <w:rsid w:val="00447046"/>
    <w:rsid w:val="00447138"/>
    <w:rsid w:val="004471EA"/>
    <w:rsid w:val="00447CA9"/>
    <w:rsid w:val="00450296"/>
    <w:rsid w:val="0045049E"/>
    <w:rsid w:val="00450ACB"/>
    <w:rsid w:val="00451324"/>
    <w:rsid w:val="00451566"/>
    <w:rsid w:val="00451885"/>
    <w:rsid w:val="00451A1C"/>
    <w:rsid w:val="00451A26"/>
    <w:rsid w:val="00451FBA"/>
    <w:rsid w:val="00452005"/>
    <w:rsid w:val="00452022"/>
    <w:rsid w:val="0045220D"/>
    <w:rsid w:val="0045238B"/>
    <w:rsid w:val="00452512"/>
    <w:rsid w:val="00452693"/>
    <w:rsid w:val="0045285F"/>
    <w:rsid w:val="00452908"/>
    <w:rsid w:val="00452C8D"/>
    <w:rsid w:val="00452D64"/>
    <w:rsid w:val="004530A6"/>
    <w:rsid w:val="004533B6"/>
    <w:rsid w:val="0045347D"/>
    <w:rsid w:val="00453482"/>
    <w:rsid w:val="004539BE"/>
    <w:rsid w:val="00453BAE"/>
    <w:rsid w:val="00453BEC"/>
    <w:rsid w:val="004540AA"/>
    <w:rsid w:val="004542C0"/>
    <w:rsid w:val="004545D9"/>
    <w:rsid w:val="004547D3"/>
    <w:rsid w:val="00454808"/>
    <w:rsid w:val="00454904"/>
    <w:rsid w:val="0045499D"/>
    <w:rsid w:val="00454B9D"/>
    <w:rsid w:val="00454E0A"/>
    <w:rsid w:val="0045503E"/>
    <w:rsid w:val="0045517E"/>
    <w:rsid w:val="00455326"/>
    <w:rsid w:val="004557CC"/>
    <w:rsid w:val="00455AFB"/>
    <w:rsid w:val="004560A1"/>
    <w:rsid w:val="00456405"/>
    <w:rsid w:val="00456571"/>
    <w:rsid w:val="004565FA"/>
    <w:rsid w:val="00456682"/>
    <w:rsid w:val="004566D4"/>
    <w:rsid w:val="00456861"/>
    <w:rsid w:val="00456B67"/>
    <w:rsid w:val="00456C65"/>
    <w:rsid w:val="00456D94"/>
    <w:rsid w:val="00456FE4"/>
    <w:rsid w:val="00457098"/>
    <w:rsid w:val="00457103"/>
    <w:rsid w:val="00457262"/>
    <w:rsid w:val="0045726F"/>
    <w:rsid w:val="004572E7"/>
    <w:rsid w:val="00457310"/>
    <w:rsid w:val="00457744"/>
    <w:rsid w:val="00457810"/>
    <w:rsid w:val="00457928"/>
    <w:rsid w:val="00457BD1"/>
    <w:rsid w:val="00457F0A"/>
    <w:rsid w:val="004600B8"/>
    <w:rsid w:val="00460362"/>
    <w:rsid w:val="00460638"/>
    <w:rsid w:val="004607A0"/>
    <w:rsid w:val="00460A90"/>
    <w:rsid w:val="00460AFA"/>
    <w:rsid w:val="0046135A"/>
    <w:rsid w:val="00461526"/>
    <w:rsid w:val="004615F7"/>
    <w:rsid w:val="004617ED"/>
    <w:rsid w:val="004618DA"/>
    <w:rsid w:val="00461A19"/>
    <w:rsid w:val="00461BD2"/>
    <w:rsid w:val="00461CE0"/>
    <w:rsid w:val="00462286"/>
    <w:rsid w:val="00462466"/>
    <w:rsid w:val="0046269B"/>
    <w:rsid w:val="00462A7F"/>
    <w:rsid w:val="00462D1D"/>
    <w:rsid w:val="00463293"/>
    <w:rsid w:val="0046356A"/>
    <w:rsid w:val="0046361B"/>
    <w:rsid w:val="0046368F"/>
    <w:rsid w:val="004636AE"/>
    <w:rsid w:val="00463723"/>
    <w:rsid w:val="0046385A"/>
    <w:rsid w:val="004638F8"/>
    <w:rsid w:val="004639B1"/>
    <w:rsid w:val="00463A47"/>
    <w:rsid w:val="00463B54"/>
    <w:rsid w:val="00463F54"/>
    <w:rsid w:val="0046442D"/>
    <w:rsid w:val="004645BA"/>
    <w:rsid w:val="00464678"/>
    <w:rsid w:val="004648C9"/>
    <w:rsid w:val="00464CB3"/>
    <w:rsid w:val="00464E73"/>
    <w:rsid w:val="00465370"/>
    <w:rsid w:val="004654D1"/>
    <w:rsid w:val="004656B8"/>
    <w:rsid w:val="00465BF9"/>
    <w:rsid w:val="00465C76"/>
    <w:rsid w:val="0046622A"/>
    <w:rsid w:val="0046633B"/>
    <w:rsid w:val="00466528"/>
    <w:rsid w:val="00466A02"/>
    <w:rsid w:val="00466A45"/>
    <w:rsid w:val="00466C61"/>
    <w:rsid w:val="00466D6C"/>
    <w:rsid w:val="00466FEB"/>
    <w:rsid w:val="0046728F"/>
    <w:rsid w:val="004673A2"/>
    <w:rsid w:val="004676AB"/>
    <w:rsid w:val="004676BA"/>
    <w:rsid w:val="004679F3"/>
    <w:rsid w:val="00467F64"/>
    <w:rsid w:val="0047006B"/>
    <w:rsid w:val="00470379"/>
    <w:rsid w:val="0047046E"/>
    <w:rsid w:val="004704C1"/>
    <w:rsid w:val="00470BFC"/>
    <w:rsid w:val="00470C8D"/>
    <w:rsid w:val="004710A1"/>
    <w:rsid w:val="0047114E"/>
    <w:rsid w:val="004713D5"/>
    <w:rsid w:val="004713EA"/>
    <w:rsid w:val="00471543"/>
    <w:rsid w:val="00471581"/>
    <w:rsid w:val="004715BD"/>
    <w:rsid w:val="004716A6"/>
    <w:rsid w:val="00471701"/>
    <w:rsid w:val="00471C3F"/>
    <w:rsid w:val="00471E0B"/>
    <w:rsid w:val="00471E3D"/>
    <w:rsid w:val="004721E4"/>
    <w:rsid w:val="004724DD"/>
    <w:rsid w:val="0047259D"/>
    <w:rsid w:val="00472821"/>
    <w:rsid w:val="00472882"/>
    <w:rsid w:val="00472A7F"/>
    <w:rsid w:val="00472E9C"/>
    <w:rsid w:val="00472EF6"/>
    <w:rsid w:val="00472EF7"/>
    <w:rsid w:val="00473190"/>
    <w:rsid w:val="0047364B"/>
    <w:rsid w:val="00473738"/>
    <w:rsid w:val="0047376F"/>
    <w:rsid w:val="00473D84"/>
    <w:rsid w:val="00473F6C"/>
    <w:rsid w:val="00473F74"/>
    <w:rsid w:val="00473FA7"/>
    <w:rsid w:val="004744DF"/>
    <w:rsid w:val="00474737"/>
    <w:rsid w:val="00474918"/>
    <w:rsid w:val="00474FCC"/>
    <w:rsid w:val="0047512B"/>
    <w:rsid w:val="00475C21"/>
    <w:rsid w:val="00475C53"/>
    <w:rsid w:val="004760C6"/>
    <w:rsid w:val="00476710"/>
    <w:rsid w:val="00476883"/>
    <w:rsid w:val="004769DD"/>
    <w:rsid w:val="004769E5"/>
    <w:rsid w:val="00476DAE"/>
    <w:rsid w:val="00476EA6"/>
    <w:rsid w:val="004770F4"/>
    <w:rsid w:val="004772CF"/>
    <w:rsid w:val="004773E5"/>
    <w:rsid w:val="00477B8D"/>
    <w:rsid w:val="00477BA4"/>
    <w:rsid w:val="00477CE6"/>
    <w:rsid w:val="00477DDE"/>
    <w:rsid w:val="00477DEA"/>
    <w:rsid w:val="00477DEE"/>
    <w:rsid w:val="00480176"/>
    <w:rsid w:val="004801D4"/>
    <w:rsid w:val="00480203"/>
    <w:rsid w:val="00480360"/>
    <w:rsid w:val="004803BD"/>
    <w:rsid w:val="00480446"/>
    <w:rsid w:val="00480479"/>
    <w:rsid w:val="004808D6"/>
    <w:rsid w:val="00480C31"/>
    <w:rsid w:val="00480D3C"/>
    <w:rsid w:val="00481055"/>
    <w:rsid w:val="004810E7"/>
    <w:rsid w:val="00481374"/>
    <w:rsid w:val="00481485"/>
    <w:rsid w:val="00481A75"/>
    <w:rsid w:val="00481E68"/>
    <w:rsid w:val="00482055"/>
    <w:rsid w:val="004821AA"/>
    <w:rsid w:val="00482482"/>
    <w:rsid w:val="004824EC"/>
    <w:rsid w:val="0048272D"/>
    <w:rsid w:val="004827F6"/>
    <w:rsid w:val="00482BC7"/>
    <w:rsid w:val="00482C01"/>
    <w:rsid w:val="00482E69"/>
    <w:rsid w:val="00482F68"/>
    <w:rsid w:val="00483009"/>
    <w:rsid w:val="00483050"/>
    <w:rsid w:val="004830DB"/>
    <w:rsid w:val="00483255"/>
    <w:rsid w:val="00483796"/>
    <w:rsid w:val="004837B6"/>
    <w:rsid w:val="00483928"/>
    <w:rsid w:val="0048395D"/>
    <w:rsid w:val="00484429"/>
    <w:rsid w:val="00484435"/>
    <w:rsid w:val="00484668"/>
    <w:rsid w:val="00484838"/>
    <w:rsid w:val="00484B6B"/>
    <w:rsid w:val="00484C2B"/>
    <w:rsid w:val="00484EFE"/>
    <w:rsid w:val="00485368"/>
    <w:rsid w:val="004854FE"/>
    <w:rsid w:val="0048596D"/>
    <w:rsid w:val="00485D1C"/>
    <w:rsid w:val="00485DFB"/>
    <w:rsid w:val="00485E3A"/>
    <w:rsid w:val="00485E72"/>
    <w:rsid w:val="00486470"/>
    <w:rsid w:val="00486724"/>
    <w:rsid w:val="00486890"/>
    <w:rsid w:val="00486E2E"/>
    <w:rsid w:val="00486E99"/>
    <w:rsid w:val="00487013"/>
    <w:rsid w:val="004872B4"/>
    <w:rsid w:val="00487693"/>
    <w:rsid w:val="0048781F"/>
    <w:rsid w:val="00487B04"/>
    <w:rsid w:val="00487B5E"/>
    <w:rsid w:val="00487C64"/>
    <w:rsid w:val="004901F2"/>
    <w:rsid w:val="00490310"/>
    <w:rsid w:val="00490331"/>
    <w:rsid w:val="00490468"/>
    <w:rsid w:val="004905BB"/>
    <w:rsid w:val="00490686"/>
    <w:rsid w:val="0049070D"/>
    <w:rsid w:val="004907DA"/>
    <w:rsid w:val="0049082D"/>
    <w:rsid w:val="004908A6"/>
    <w:rsid w:val="00490A14"/>
    <w:rsid w:val="00490B91"/>
    <w:rsid w:val="00490C27"/>
    <w:rsid w:val="00490D08"/>
    <w:rsid w:val="00490DEF"/>
    <w:rsid w:val="00491331"/>
    <w:rsid w:val="00491737"/>
    <w:rsid w:val="00491763"/>
    <w:rsid w:val="00491958"/>
    <w:rsid w:val="00491AB2"/>
    <w:rsid w:val="00491B3E"/>
    <w:rsid w:val="00491C71"/>
    <w:rsid w:val="00491F9C"/>
    <w:rsid w:val="004921FC"/>
    <w:rsid w:val="0049222F"/>
    <w:rsid w:val="00492516"/>
    <w:rsid w:val="00492555"/>
    <w:rsid w:val="004928BC"/>
    <w:rsid w:val="00492987"/>
    <w:rsid w:val="00492B30"/>
    <w:rsid w:val="00492D43"/>
    <w:rsid w:val="00492D90"/>
    <w:rsid w:val="00492E2E"/>
    <w:rsid w:val="0049311A"/>
    <w:rsid w:val="004932F2"/>
    <w:rsid w:val="00493394"/>
    <w:rsid w:val="0049354D"/>
    <w:rsid w:val="0049366B"/>
    <w:rsid w:val="004936A5"/>
    <w:rsid w:val="00493B71"/>
    <w:rsid w:val="00493C18"/>
    <w:rsid w:val="00493F60"/>
    <w:rsid w:val="00493FD6"/>
    <w:rsid w:val="004940D6"/>
    <w:rsid w:val="004941DB"/>
    <w:rsid w:val="0049423A"/>
    <w:rsid w:val="0049423C"/>
    <w:rsid w:val="00494385"/>
    <w:rsid w:val="00494386"/>
    <w:rsid w:val="0049471F"/>
    <w:rsid w:val="00494847"/>
    <w:rsid w:val="00494997"/>
    <w:rsid w:val="00494F5C"/>
    <w:rsid w:val="00495300"/>
    <w:rsid w:val="0049535E"/>
    <w:rsid w:val="004955CB"/>
    <w:rsid w:val="0049571B"/>
    <w:rsid w:val="00495B7D"/>
    <w:rsid w:val="00495D94"/>
    <w:rsid w:val="00495E4B"/>
    <w:rsid w:val="004962CA"/>
    <w:rsid w:val="004962F5"/>
    <w:rsid w:val="00496C65"/>
    <w:rsid w:val="00496CC1"/>
    <w:rsid w:val="00496DB1"/>
    <w:rsid w:val="00496F7F"/>
    <w:rsid w:val="0049734B"/>
    <w:rsid w:val="00497776"/>
    <w:rsid w:val="004979E4"/>
    <w:rsid w:val="00497A6D"/>
    <w:rsid w:val="00497A80"/>
    <w:rsid w:val="00497B62"/>
    <w:rsid w:val="00497BD3"/>
    <w:rsid w:val="00497D17"/>
    <w:rsid w:val="00497F13"/>
    <w:rsid w:val="004A06F0"/>
    <w:rsid w:val="004A0AF4"/>
    <w:rsid w:val="004A0D4F"/>
    <w:rsid w:val="004A11E1"/>
    <w:rsid w:val="004A126A"/>
    <w:rsid w:val="004A12F1"/>
    <w:rsid w:val="004A13C4"/>
    <w:rsid w:val="004A13D3"/>
    <w:rsid w:val="004A1679"/>
    <w:rsid w:val="004A1A13"/>
    <w:rsid w:val="004A1D09"/>
    <w:rsid w:val="004A2147"/>
    <w:rsid w:val="004A22AA"/>
    <w:rsid w:val="004A22B8"/>
    <w:rsid w:val="004A266F"/>
    <w:rsid w:val="004A27DB"/>
    <w:rsid w:val="004A2817"/>
    <w:rsid w:val="004A299E"/>
    <w:rsid w:val="004A2AA7"/>
    <w:rsid w:val="004A305D"/>
    <w:rsid w:val="004A30C2"/>
    <w:rsid w:val="004A3233"/>
    <w:rsid w:val="004A3514"/>
    <w:rsid w:val="004A3723"/>
    <w:rsid w:val="004A3973"/>
    <w:rsid w:val="004A3AF8"/>
    <w:rsid w:val="004A3D13"/>
    <w:rsid w:val="004A406C"/>
    <w:rsid w:val="004A424A"/>
    <w:rsid w:val="004A4522"/>
    <w:rsid w:val="004A4891"/>
    <w:rsid w:val="004A490A"/>
    <w:rsid w:val="004A49D9"/>
    <w:rsid w:val="004A4AF6"/>
    <w:rsid w:val="004A4C2A"/>
    <w:rsid w:val="004A4E92"/>
    <w:rsid w:val="004A4E9F"/>
    <w:rsid w:val="004A4F8F"/>
    <w:rsid w:val="004A5379"/>
    <w:rsid w:val="004A5888"/>
    <w:rsid w:val="004A5F09"/>
    <w:rsid w:val="004A5F9B"/>
    <w:rsid w:val="004A6528"/>
    <w:rsid w:val="004A6B6E"/>
    <w:rsid w:val="004A6BBD"/>
    <w:rsid w:val="004A6BC3"/>
    <w:rsid w:val="004A6F57"/>
    <w:rsid w:val="004A73A2"/>
    <w:rsid w:val="004A789A"/>
    <w:rsid w:val="004A7BA5"/>
    <w:rsid w:val="004A7DBB"/>
    <w:rsid w:val="004B0016"/>
    <w:rsid w:val="004B010E"/>
    <w:rsid w:val="004B07B8"/>
    <w:rsid w:val="004B0BDD"/>
    <w:rsid w:val="004B0EFE"/>
    <w:rsid w:val="004B11CD"/>
    <w:rsid w:val="004B1214"/>
    <w:rsid w:val="004B1249"/>
    <w:rsid w:val="004B12B6"/>
    <w:rsid w:val="004B131F"/>
    <w:rsid w:val="004B1429"/>
    <w:rsid w:val="004B18B0"/>
    <w:rsid w:val="004B1C5A"/>
    <w:rsid w:val="004B1FD3"/>
    <w:rsid w:val="004B2572"/>
    <w:rsid w:val="004B26AA"/>
    <w:rsid w:val="004B275F"/>
    <w:rsid w:val="004B2A0F"/>
    <w:rsid w:val="004B2C05"/>
    <w:rsid w:val="004B2C3D"/>
    <w:rsid w:val="004B2EE3"/>
    <w:rsid w:val="004B3752"/>
    <w:rsid w:val="004B39BD"/>
    <w:rsid w:val="004B3A30"/>
    <w:rsid w:val="004B3A61"/>
    <w:rsid w:val="004B3B9C"/>
    <w:rsid w:val="004B3C43"/>
    <w:rsid w:val="004B3CAC"/>
    <w:rsid w:val="004B3D3E"/>
    <w:rsid w:val="004B3D68"/>
    <w:rsid w:val="004B3E0A"/>
    <w:rsid w:val="004B3E17"/>
    <w:rsid w:val="004B3F65"/>
    <w:rsid w:val="004B4291"/>
    <w:rsid w:val="004B4601"/>
    <w:rsid w:val="004B483C"/>
    <w:rsid w:val="004B4AA6"/>
    <w:rsid w:val="004B4AEE"/>
    <w:rsid w:val="004B4B58"/>
    <w:rsid w:val="004B4B83"/>
    <w:rsid w:val="004B4C59"/>
    <w:rsid w:val="004B4DB3"/>
    <w:rsid w:val="004B4E7E"/>
    <w:rsid w:val="004B4EAD"/>
    <w:rsid w:val="004B55D6"/>
    <w:rsid w:val="004B56BD"/>
    <w:rsid w:val="004B5777"/>
    <w:rsid w:val="004B5911"/>
    <w:rsid w:val="004B5CBF"/>
    <w:rsid w:val="004B5FB0"/>
    <w:rsid w:val="004B6059"/>
    <w:rsid w:val="004B62EC"/>
    <w:rsid w:val="004B63CE"/>
    <w:rsid w:val="004B6588"/>
    <w:rsid w:val="004B67C5"/>
    <w:rsid w:val="004B6A13"/>
    <w:rsid w:val="004B6B22"/>
    <w:rsid w:val="004B6DA4"/>
    <w:rsid w:val="004B6E36"/>
    <w:rsid w:val="004B729C"/>
    <w:rsid w:val="004B7360"/>
    <w:rsid w:val="004B742D"/>
    <w:rsid w:val="004B7587"/>
    <w:rsid w:val="004B759A"/>
    <w:rsid w:val="004B7CC2"/>
    <w:rsid w:val="004B7F62"/>
    <w:rsid w:val="004C002D"/>
    <w:rsid w:val="004C01FA"/>
    <w:rsid w:val="004C023E"/>
    <w:rsid w:val="004C04CC"/>
    <w:rsid w:val="004C04EB"/>
    <w:rsid w:val="004C04FD"/>
    <w:rsid w:val="004C05B4"/>
    <w:rsid w:val="004C0969"/>
    <w:rsid w:val="004C0C76"/>
    <w:rsid w:val="004C0CA5"/>
    <w:rsid w:val="004C0D07"/>
    <w:rsid w:val="004C12DB"/>
    <w:rsid w:val="004C138F"/>
    <w:rsid w:val="004C1499"/>
    <w:rsid w:val="004C16E2"/>
    <w:rsid w:val="004C1980"/>
    <w:rsid w:val="004C1B70"/>
    <w:rsid w:val="004C1C6E"/>
    <w:rsid w:val="004C1FB2"/>
    <w:rsid w:val="004C2021"/>
    <w:rsid w:val="004C2081"/>
    <w:rsid w:val="004C20C6"/>
    <w:rsid w:val="004C2115"/>
    <w:rsid w:val="004C215A"/>
    <w:rsid w:val="004C25BC"/>
    <w:rsid w:val="004C25CB"/>
    <w:rsid w:val="004C2752"/>
    <w:rsid w:val="004C27B6"/>
    <w:rsid w:val="004C29D9"/>
    <w:rsid w:val="004C2DFB"/>
    <w:rsid w:val="004C3395"/>
    <w:rsid w:val="004C33F4"/>
    <w:rsid w:val="004C3432"/>
    <w:rsid w:val="004C3463"/>
    <w:rsid w:val="004C397B"/>
    <w:rsid w:val="004C4139"/>
    <w:rsid w:val="004C4406"/>
    <w:rsid w:val="004C44BB"/>
    <w:rsid w:val="004C45F6"/>
    <w:rsid w:val="004C46D5"/>
    <w:rsid w:val="004C4E06"/>
    <w:rsid w:val="004C534B"/>
    <w:rsid w:val="004C55C9"/>
    <w:rsid w:val="004C59A0"/>
    <w:rsid w:val="004C59BA"/>
    <w:rsid w:val="004C5A41"/>
    <w:rsid w:val="004C6074"/>
    <w:rsid w:val="004C61DA"/>
    <w:rsid w:val="004C6288"/>
    <w:rsid w:val="004C6349"/>
    <w:rsid w:val="004C650B"/>
    <w:rsid w:val="004C669A"/>
    <w:rsid w:val="004C675A"/>
    <w:rsid w:val="004C6777"/>
    <w:rsid w:val="004C6A40"/>
    <w:rsid w:val="004C6B84"/>
    <w:rsid w:val="004C6BCA"/>
    <w:rsid w:val="004C6CD8"/>
    <w:rsid w:val="004C6F1E"/>
    <w:rsid w:val="004C70DC"/>
    <w:rsid w:val="004C76A7"/>
    <w:rsid w:val="004C7742"/>
    <w:rsid w:val="004C77B8"/>
    <w:rsid w:val="004C7901"/>
    <w:rsid w:val="004C798A"/>
    <w:rsid w:val="004D006C"/>
    <w:rsid w:val="004D011F"/>
    <w:rsid w:val="004D0185"/>
    <w:rsid w:val="004D02F5"/>
    <w:rsid w:val="004D0449"/>
    <w:rsid w:val="004D0451"/>
    <w:rsid w:val="004D04E9"/>
    <w:rsid w:val="004D0521"/>
    <w:rsid w:val="004D0628"/>
    <w:rsid w:val="004D0A56"/>
    <w:rsid w:val="004D0B36"/>
    <w:rsid w:val="004D0BF5"/>
    <w:rsid w:val="004D11AD"/>
    <w:rsid w:val="004D123C"/>
    <w:rsid w:val="004D17F8"/>
    <w:rsid w:val="004D181B"/>
    <w:rsid w:val="004D1958"/>
    <w:rsid w:val="004D1BFE"/>
    <w:rsid w:val="004D1D51"/>
    <w:rsid w:val="004D1F65"/>
    <w:rsid w:val="004D1FEF"/>
    <w:rsid w:val="004D2096"/>
    <w:rsid w:val="004D20DF"/>
    <w:rsid w:val="004D227D"/>
    <w:rsid w:val="004D23A3"/>
    <w:rsid w:val="004D2598"/>
    <w:rsid w:val="004D2731"/>
    <w:rsid w:val="004D281C"/>
    <w:rsid w:val="004D2C84"/>
    <w:rsid w:val="004D2F99"/>
    <w:rsid w:val="004D3362"/>
    <w:rsid w:val="004D36FA"/>
    <w:rsid w:val="004D38D4"/>
    <w:rsid w:val="004D3A38"/>
    <w:rsid w:val="004D3B5C"/>
    <w:rsid w:val="004D3BA0"/>
    <w:rsid w:val="004D3BB0"/>
    <w:rsid w:val="004D3BC1"/>
    <w:rsid w:val="004D3E26"/>
    <w:rsid w:val="004D4148"/>
    <w:rsid w:val="004D41A2"/>
    <w:rsid w:val="004D4411"/>
    <w:rsid w:val="004D44D6"/>
    <w:rsid w:val="004D453B"/>
    <w:rsid w:val="004D465F"/>
    <w:rsid w:val="004D46A4"/>
    <w:rsid w:val="004D48AD"/>
    <w:rsid w:val="004D49B0"/>
    <w:rsid w:val="004D4A44"/>
    <w:rsid w:val="004D4A6F"/>
    <w:rsid w:val="004D4AE1"/>
    <w:rsid w:val="004D4DCA"/>
    <w:rsid w:val="004D50C3"/>
    <w:rsid w:val="004D50E4"/>
    <w:rsid w:val="004D5468"/>
    <w:rsid w:val="004D5631"/>
    <w:rsid w:val="004D5B4D"/>
    <w:rsid w:val="004D5F63"/>
    <w:rsid w:val="004D647D"/>
    <w:rsid w:val="004D688C"/>
    <w:rsid w:val="004D6AB5"/>
    <w:rsid w:val="004D6AE6"/>
    <w:rsid w:val="004D6B37"/>
    <w:rsid w:val="004D6FD9"/>
    <w:rsid w:val="004D76F7"/>
    <w:rsid w:val="004D779D"/>
    <w:rsid w:val="004D7962"/>
    <w:rsid w:val="004D7A24"/>
    <w:rsid w:val="004D7A4E"/>
    <w:rsid w:val="004D7A63"/>
    <w:rsid w:val="004D7EB0"/>
    <w:rsid w:val="004E03A1"/>
    <w:rsid w:val="004E0526"/>
    <w:rsid w:val="004E061C"/>
    <w:rsid w:val="004E07F6"/>
    <w:rsid w:val="004E0935"/>
    <w:rsid w:val="004E0968"/>
    <w:rsid w:val="004E0AF4"/>
    <w:rsid w:val="004E0BC5"/>
    <w:rsid w:val="004E0F56"/>
    <w:rsid w:val="004E1173"/>
    <w:rsid w:val="004E1261"/>
    <w:rsid w:val="004E1A10"/>
    <w:rsid w:val="004E1B96"/>
    <w:rsid w:val="004E1C4C"/>
    <w:rsid w:val="004E1C78"/>
    <w:rsid w:val="004E1DC9"/>
    <w:rsid w:val="004E1F81"/>
    <w:rsid w:val="004E2143"/>
    <w:rsid w:val="004E25F0"/>
    <w:rsid w:val="004E266C"/>
    <w:rsid w:val="004E2CF5"/>
    <w:rsid w:val="004E2E75"/>
    <w:rsid w:val="004E2ECE"/>
    <w:rsid w:val="004E3285"/>
    <w:rsid w:val="004E3404"/>
    <w:rsid w:val="004E37B0"/>
    <w:rsid w:val="004E3A97"/>
    <w:rsid w:val="004E3C64"/>
    <w:rsid w:val="004E3E53"/>
    <w:rsid w:val="004E3F07"/>
    <w:rsid w:val="004E3FCE"/>
    <w:rsid w:val="004E444E"/>
    <w:rsid w:val="004E4484"/>
    <w:rsid w:val="004E46F3"/>
    <w:rsid w:val="004E4861"/>
    <w:rsid w:val="004E4D9B"/>
    <w:rsid w:val="004E4E8A"/>
    <w:rsid w:val="004E508B"/>
    <w:rsid w:val="004E564E"/>
    <w:rsid w:val="004E5BD2"/>
    <w:rsid w:val="004E5D2B"/>
    <w:rsid w:val="004E5DCA"/>
    <w:rsid w:val="004E5F0D"/>
    <w:rsid w:val="004E6414"/>
    <w:rsid w:val="004E65FA"/>
    <w:rsid w:val="004E6652"/>
    <w:rsid w:val="004E66FD"/>
    <w:rsid w:val="004E68F1"/>
    <w:rsid w:val="004E6B6E"/>
    <w:rsid w:val="004E6BF9"/>
    <w:rsid w:val="004E6CFC"/>
    <w:rsid w:val="004E6D02"/>
    <w:rsid w:val="004E706B"/>
    <w:rsid w:val="004E71B1"/>
    <w:rsid w:val="004E75B2"/>
    <w:rsid w:val="004E772C"/>
    <w:rsid w:val="004E7800"/>
    <w:rsid w:val="004E7A75"/>
    <w:rsid w:val="004E7E98"/>
    <w:rsid w:val="004E7F7D"/>
    <w:rsid w:val="004F0265"/>
    <w:rsid w:val="004F048D"/>
    <w:rsid w:val="004F04A7"/>
    <w:rsid w:val="004F0784"/>
    <w:rsid w:val="004F099D"/>
    <w:rsid w:val="004F0DB7"/>
    <w:rsid w:val="004F0F09"/>
    <w:rsid w:val="004F1097"/>
    <w:rsid w:val="004F133C"/>
    <w:rsid w:val="004F1364"/>
    <w:rsid w:val="004F14D5"/>
    <w:rsid w:val="004F1552"/>
    <w:rsid w:val="004F169F"/>
    <w:rsid w:val="004F16D7"/>
    <w:rsid w:val="004F1A88"/>
    <w:rsid w:val="004F1E95"/>
    <w:rsid w:val="004F232A"/>
    <w:rsid w:val="004F23CC"/>
    <w:rsid w:val="004F251D"/>
    <w:rsid w:val="004F2665"/>
    <w:rsid w:val="004F2713"/>
    <w:rsid w:val="004F285D"/>
    <w:rsid w:val="004F2F77"/>
    <w:rsid w:val="004F3018"/>
    <w:rsid w:val="004F319F"/>
    <w:rsid w:val="004F31E8"/>
    <w:rsid w:val="004F3221"/>
    <w:rsid w:val="004F32E5"/>
    <w:rsid w:val="004F3846"/>
    <w:rsid w:val="004F39EE"/>
    <w:rsid w:val="004F3C01"/>
    <w:rsid w:val="004F3CF2"/>
    <w:rsid w:val="004F3DAA"/>
    <w:rsid w:val="004F4166"/>
    <w:rsid w:val="004F4372"/>
    <w:rsid w:val="004F437F"/>
    <w:rsid w:val="004F44B3"/>
    <w:rsid w:val="004F44DF"/>
    <w:rsid w:val="004F4EA2"/>
    <w:rsid w:val="004F4EAB"/>
    <w:rsid w:val="004F51AD"/>
    <w:rsid w:val="004F5473"/>
    <w:rsid w:val="004F5A8B"/>
    <w:rsid w:val="004F6277"/>
    <w:rsid w:val="004F662B"/>
    <w:rsid w:val="004F6727"/>
    <w:rsid w:val="004F678A"/>
    <w:rsid w:val="004F692D"/>
    <w:rsid w:val="004F6B7F"/>
    <w:rsid w:val="004F6C9E"/>
    <w:rsid w:val="004F6CAB"/>
    <w:rsid w:val="004F7115"/>
    <w:rsid w:val="004F71DC"/>
    <w:rsid w:val="004F7988"/>
    <w:rsid w:val="004F7AA5"/>
    <w:rsid w:val="0050013F"/>
    <w:rsid w:val="00500157"/>
    <w:rsid w:val="00500497"/>
    <w:rsid w:val="005004ED"/>
    <w:rsid w:val="00500531"/>
    <w:rsid w:val="00500FBD"/>
    <w:rsid w:val="0050110B"/>
    <w:rsid w:val="00501170"/>
    <w:rsid w:val="0050123C"/>
    <w:rsid w:val="0050145F"/>
    <w:rsid w:val="0050162C"/>
    <w:rsid w:val="005016E1"/>
    <w:rsid w:val="005017A8"/>
    <w:rsid w:val="00501BF9"/>
    <w:rsid w:val="00501D12"/>
    <w:rsid w:val="0050216A"/>
    <w:rsid w:val="005021AB"/>
    <w:rsid w:val="005023C6"/>
    <w:rsid w:val="00502498"/>
    <w:rsid w:val="005030AD"/>
    <w:rsid w:val="00503271"/>
    <w:rsid w:val="0050327C"/>
    <w:rsid w:val="005035EE"/>
    <w:rsid w:val="00503693"/>
    <w:rsid w:val="00503921"/>
    <w:rsid w:val="00503ADA"/>
    <w:rsid w:val="005040E8"/>
    <w:rsid w:val="005040E9"/>
    <w:rsid w:val="005044C4"/>
    <w:rsid w:val="0050497B"/>
    <w:rsid w:val="005051B3"/>
    <w:rsid w:val="005052D5"/>
    <w:rsid w:val="005056C3"/>
    <w:rsid w:val="005057FA"/>
    <w:rsid w:val="00505840"/>
    <w:rsid w:val="00505B00"/>
    <w:rsid w:val="00505EBD"/>
    <w:rsid w:val="00506061"/>
    <w:rsid w:val="0050629A"/>
    <w:rsid w:val="00506565"/>
    <w:rsid w:val="00506726"/>
    <w:rsid w:val="00506788"/>
    <w:rsid w:val="005068E6"/>
    <w:rsid w:val="0050696F"/>
    <w:rsid w:val="00506A43"/>
    <w:rsid w:val="00506B81"/>
    <w:rsid w:val="005071A2"/>
    <w:rsid w:val="00507362"/>
    <w:rsid w:val="00507531"/>
    <w:rsid w:val="00507733"/>
    <w:rsid w:val="005078AD"/>
    <w:rsid w:val="005079CB"/>
    <w:rsid w:val="00507D12"/>
    <w:rsid w:val="00507E6B"/>
    <w:rsid w:val="005101BE"/>
    <w:rsid w:val="005101C7"/>
    <w:rsid w:val="005105FA"/>
    <w:rsid w:val="00510757"/>
    <w:rsid w:val="0051079F"/>
    <w:rsid w:val="00510988"/>
    <w:rsid w:val="00510B01"/>
    <w:rsid w:val="00510ECC"/>
    <w:rsid w:val="00510FE3"/>
    <w:rsid w:val="00511349"/>
    <w:rsid w:val="0051139F"/>
    <w:rsid w:val="00511B5A"/>
    <w:rsid w:val="00511D3C"/>
    <w:rsid w:val="00511D3F"/>
    <w:rsid w:val="00511E76"/>
    <w:rsid w:val="00511FD7"/>
    <w:rsid w:val="005121FC"/>
    <w:rsid w:val="00512461"/>
    <w:rsid w:val="005124F3"/>
    <w:rsid w:val="00512977"/>
    <w:rsid w:val="00512AA9"/>
    <w:rsid w:val="00512CDC"/>
    <w:rsid w:val="005130A2"/>
    <w:rsid w:val="00513116"/>
    <w:rsid w:val="0051335D"/>
    <w:rsid w:val="0051347C"/>
    <w:rsid w:val="0051369B"/>
    <w:rsid w:val="005139D9"/>
    <w:rsid w:val="00513A63"/>
    <w:rsid w:val="00513AEA"/>
    <w:rsid w:val="00513BE5"/>
    <w:rsid w:val="00513F4A"/>
    <w:rsid w:val="00514080"/>
    <w:rsid w:val="005142C7"/>
    <w:rsid w:val="0051439B"/>
    <w:rsid w:val="005145C6"/>
    <w:rsid w:val="00514CD4"/>
    <w:rsid w:val="00514E37"/>
    <w:rsid w:val="00514E7A"/>
    <w:rsid w:val="00514F0D"/>
    <w:rsid w:val="0051522E"/>
    <w:rsid w:val="00515328"/>
    <w:rsid w:val="00515417"/>
    <w:rsid w:val="00515B74"/>
    <w:rsid w:val="00515C9F"/>
    <w:rsid w:val="00516A0C"/>
    <w:rsid w:val="00516A0D"/>
    <w:rsid w:val="00516B71"/>
    <w:rsid w:val="00516BCB"/>
    <w:rsid w:val="00516E35"/>
    <w:rsid w:val="00517307"/>
    <w:rsid w:val="00517335"/>
    <w:rsid w:val="005173D4"/>
    <w:rsid w:val="005174F9"/>
    <w:rsid w:val="005175A4"/>
    <w:rsid w:val="005175EC"/>
    <w:rsid w:val="005176FE"/>
    <w:rsid w:val="005177AF"/>
    <w:rsid w:val="005178D5"/>
    <w:rsid w:val="00517E2E"/>
    <w:rsid w:val="00517ED3"/>
    <w:rsid w:val="0052008A"/>
    <w:rsid w:val="00520185"/>
    <w:rsid w:val="0052032C"/>
    <w:rsid w:val="00520354"/>
    <w:rsid w:val="00520DFC"/>
    <w:rsid w:val="005211EA"/>
    <w:rsid w:val="00521585"/>
    <w:rsid w:val="00521892"/>
    <w:rsid w:val="00521B8E"/>
    <w:rsid w:val="00521BC9"/>
    <w:rsid w:val="00521C8F"/>
    <w:rsid w:val="00521FC8"/>
    <w:rsid w:val="00522818"/>
    <w:rsid w:val="00523603"/>
    <w:rsid w:val="00523685"/>
    <w:rsid w:val="00523BA2"/>
    <w:rsid w:val="00523DD4"/>
    <w:rsid w:val="005244CF"/>
    <w:rsid w:val="00524699"/>
    <w:rsid w:val="00524AEE"/>
    <w:rsid w:val="0052511F"/>
    <w:rsid w:val="0052531D"/>
    <w:rsid w:val="00525681"/>
    <w:rsid w:val="005256B6"/>
    <w:rsid w:val="0052579A"/>
    <w:rsid w:val="00525859"/>
    <w:rsid w:val="005258BE"/>
    <w:rsid w:val="00525C81"/>
    <w:rsid w:val="00525DB9"/>
    <w:rsid w:val="0052622F"/>
    <w:rsid w:val="00526605"/>
    <w:rsid w:val="005267AC"/>
    <w:rsid w:val="00526AD0"/>
    <w:rsid w:val="00526BBF"/>
    <w:rsid w:val="00526DB3"/>
    <w:rsid w:val="00526DBE"/>
    <w:rsid w:val="00526E71"/>
    <w:rsid w:val="00527460"/>
    <w:rsid w:val="0052752C"/>
    <w:rsid w:val="0052794A"/>
    <w:rsid w:val="00527B39"/>
    <w:rsid w:val="00527B59"/>
    <w:rsid w:val="00527D50"/>
    <w:rsid w:val="005301A7"/>
    <w:rsid w:val="005303A3"/>
    <w:rsid w:val="00530459"/>
    <w:rsid w:val="00530542"/>
    <w:rsid w:val="0053058C"/>
    <w:rsid w:val="00530890"/>
    <w:rsid w:val="00530949"/>
    <w:rsid w:val="00530AFE"/>
    <w:rsid w:val="0053143E"/>
    <w:rsid w:val="00531AEC"/>
    <w:rsid w:val="00531D47"/>
    <w:rsid w:val="00531F3E"/>
    <w:rsid w:val="0053217E"/>
    <w:rsid w:val="00532184"/>
    <w:rsid w:val="0053233D"/>
    <w:rsid w:val="005323E8"/>
    <w:rsid w:val="00532575"/>
    <w:rsid w:val="00532747"/>
    <w:rsid w:val="00532E6F"/>
    <w:rsid w:val="00532F74"/>
    <w:rsid w:val="00533445"/>
    <w:rsid w:val="005334C2"/>
    <w:rsid w:val="0053350E"/>
    <w:rsid w:val="00533633"/>
    <w:rsid w:val="0053377D"/>
    <w:rsid w:val="00533A7B"/>
    <w:rsid w:val="005346CE"/>
    <w:rsid w:val="00534761"/>
    <w:rsid w:val="00534B5D"/>
    <w:rsid w:val="00534E7C"/>
    <w:rsid w:val="005352D2"/>
    <w:rsid w:val="00535460"/>
    <w:rsid w:val="00535562"/>
    <w:rsid w:val="00535797"/>
    <w:rsid w:val="005358FD"/>
    <w:rsid w:val="00535B52"/>
    <w:rsid w:val="00535D13"/>
    <w:rsid w:val="00535DDC"/>
    <w:rsid w:val="00536251"/>
    <w:rsid w:val="005362B1"/>
    <w:rsid w:val="0053640C"/>
    <w:rsid w:val="005366AF"/>
    <w:rsid w:val="00536918"/>
    <w:rsid w:val="00536AAA"/>
    <w:rsid w:val="00536B9F"/>
    <w:rsid w:val="00536BB5"/>
    <w:rsid w:val="00536E7F"/>
    <w:rsid w:val="00537085"/>
    <w:rsid w:val="005370A6"/>
    <w:rsid w:val="005370B2"/>
    <w:rsid w:val="005371A1"/>
    <w:rsid w:val="005371E0"/>
    <w:rsid w:val="005373BB"/>
    <w:rsid w:val="0053745B"/>
    <w:rsid w:val="005376D0"/>
    <w:rsid w:val="0053772F"/>
    <w:rsid w:val="00537CB0"/>
    <w:rsid w:val="00540296"/>
    <w:rsid w:val="005402F0"/>
    <w:rsid w:val="005404DA"/>
    <w:rsid w:val="00540562"/>
    <w:rsid w:val="005409AF"/>
    <w:rsid w:val="005409B3"/>
    <w:rsid w:val="0054141E"/>
    <w:rsid w:val="0054156C"/>
    <w:rsid w:val="005417EF"/>
    <w:rsid w:val="005419F2"/>
    <w:rsid w:val="00541B06"/>
    <w:rsid w:val="00541C8F"/>
    <w:rsid w:val="00541E3A"/>
    <w:rsid w:val="00541E80"/>
    <w:rsid w:val="0054200F"/>
    <w:rsid w:val="005425C5"/>
    <w:rsid w:val="00542738"/>
    <w:rsid w:val="0054296E"/>
    <w:rsid w:val="00542AC2"/>
    <w:rsid w:val="00542B3A"/>
    <w:rsid w:val="00542B40"/>
    <w:rsid w:val="00542EF5"/>
    <w:rsid w:val="00542F1E"/>
    <w:rsid w:val="005431C7"/>
    <w:rsid w:val="00543289"/>
    <w:rsid w:val="00543729"/>
    <w:rsid w:val="00543919"/>
    <w:rsid w:val="00543993"/>
    <w:rsid w:val="005439FE"/>
    <w:rsid w:val="00543A47"/>
    <w:rsid w:val="00543AE1"/>
    <w:rsid w:val="00543BEE"/>
    <w:rsid w:val="00543C8C"/>
    <w:rsid w:val="00543D42"/>
    <w:rsid w:val="00543E86"/>
    <w:rsid w:val="00543EF6"/>
    <w:rsid w:val="0054400E"/>
    <w:rsid w:val="0054403A"/>
    <w:rsid w:val="00544285"/>
    <w:rsid w:val="00544709"/>
    <w:rsid w:val="00545268"/>
    <w:rsid w:val="005456FA"/>
    <w:rsid w:val="0054582A"/>
    <w:rsid w:val="005458ED"/>
    <w:rsid w:val="00545ECE"/>
    <w:rsid w:val="0054626A"/>
    <w:rsid w:val="00546295"/>
    <w:rsid w:val="0054629A"/>
    <w:rsid w:val="005463C4"/>
    <w:rsid w:val="00546905"/>
    <w:rsid w:val="00546943"/>
    <w:rsid w:val="00546AE8"/>
    <w:rsid w:val="00546D60"/>
    <w:rsid w:val="00546E36"/>
    <w:rsid w:val="00546E7E"/>
    <w:rsid w:val="00546EAA"/>
    <w:rsid w:val="00546F0C"/>
    <w:rsid w:val="0054707F"/>
    <w:rsid w:val="005477CB"/>
    <w:rsid w:val="00547B93"/>
    <w:rsid w:val="00547C8E"/>
    <w:rsid w:val="00547D75"/>
    <w:rsid w:val="00547DA2"/>
    <w:rsid w:val="00547F80"/>
    <w:rsid w:val="0055015D"/>
    <w:rsid w:val="005503BB"/>
    <w:rsid w:val="00550471"/>
    <w:rsid w:val="005505A6"/>
    <w:rsid w:val="00550B03"/>
    <w:rsid w:val="00550C95"/>
    <w:rsid w:val="00550E52"/>
    <w:rsid w:val="00550EE6"/>
    <w:rsid w:val="005512FB"/>
    <w:rsid w:val="00551522"/>
    <w:rsid w:val="0055186A"/>
    <w:rsid w:val="0055193D"/>
    <w:rsid w:val="00551983"/>
    <w:rsid w:val="00551C2C"/>
    <w:rsid w:val="00551F8B"/>
    <w:rsid w:val="005520E1"/>
    <w:rsid w:val="0055224B"/>
    <w:rsid w:val="00552583"/>
    <w:rsid w:val="005527BA"/>
    <w:rsid w:val="00552819"/>
    <w:rsid w:val="0055290A"/>
    <w:rsid w:val="00552CF3"/>
    <w:rsid w:val="00552E7F"/>
    <w:rsid w:val="00552F0A"/>
    <w:rsid w:val="00552F99"/>
    <w:rsid w:val="00553386"/>
    <w:rsid w:val="005535E6"/>
    <w:rsid w:val="00553691"/>
    <w:rsid w:val="00553BEE"/>
    <w:rsid w:val="00553C3D"/>
    <w:rsid w:val="00553F08"/>
    <w:rsid w:val="005543EA"/>
    <w:rsid w:val="00554A71"/>
    <w:rsid w:val="00554B63"/>
    <w:rsid w:val="00555054"/>
    <w:rsid w:val="00555516"/>
    <w:rsid w:val="0055560D"/>
    <w:rsid w:val="00555785"/>
    <w:rsid w:val="005557D2"/>
    <w:rsid w:val="005558A2"/>
    <w:rsid w:val="00555D09"/>
    <w:rsid w:val="0055638E"/>
    <w:rsid w:val="00556434"/>
    <w:rsid w:val="005565BB"/>
    <w:rsid w:val="00556646"/>
    <w:rsid w:val="00556920"/>
    <w:rsid w:val="00556C0B"/>
    <w:rsid w:val="005570C8"/>
    <w:rsid w:val="00557229"/>
    <w:rsid w:val="00557391"/>
    <w:rsid w:val="0055760A"/>
    <w:rsid w:val="005576AC"/>
    <w:rsid w:val="005576EA"/>
    <w:rsid w:val="0055782C"/>
    <w:rsid w:val="005578B7"/>
    <w:rsid w:val="00557901"/>
    <w:rsid w:val="00557CCE"/>
    <w:rsid w:val="00557DD6"/>
    <w:rsid w:val="00557E02"/>
    <w:rsid w:val="00557EDA"/>
    <w:rsid w:val="00557EF0"/>
    <w:rsid w:val="00557FA2"/>
    <w:rsid w:val="005600B6"/>
    <w:rsid w:val="00560191"/>
    <w:rsid w:val="0056037D"/>
    <w:rsid w:val="005603C3"/>
    <w:rsid w:val="005603F9"/>
    <w:rsid w:val="005604C8"/>
    <w:rsid w:val="00560AC4"/>
    <w:rsid w:val="00560FB3"/>
    <w:rsid w:val="00561067"/>
    <w:rsid w:val="00561155"/>
    <w:rsid w:val="00561799"/>
    <w:rsid w:val="00561814"/>
    <w:rsid w:val="0056187E"/>
    <w:rsid w:val="00561A5F"/>
    <w:rsid w:val="00561EAD"/>
    <w:rsid w:val="00561FE1"/>
    <w:rsid w:val="0056233D"/>
    <w:rsid w:val="00562C3E"/>
    <w:rsid w:val="00562E99"/>
    <w:rsid w:val="005630B9"/>
    <w:rsid w:val="005638A3"/>
    <w:rsid w:val="00563A3D"/>
    <w:rsid w:val="00563EEC"/>
    <w:rsid w:val="00564024"/>
    <w:rsid w:val="005641FF"/>
    <w:rsid w:val="005644AD"/>
    <w:rsid w:val="005644D6"/>
    <w:rsid w:val="00564949"/>
    <w:rsid w:val="00564B3E"/>
    <w:rsid w:val="00564B42"/>
    <w:rsid w:val="00564F71"/>
    <w:rsid w:val="00564F8C"/>
    <w:rsid w:val="00565179"/>
    <w:rsid w:val="00565193"/>
    <w:rsid w:val="005654B3"/>
    <w:rsid w:val="005654C9"/>
    <w:rsid w:val="00565511"/>
    <w:rsid w:val="00565635"/>
    <w:rsid w:val="005656B2"/>
    <w:rsid w:val="00565709"/>
    <w:rsid w:val="00565764"/>
    <w:rsid w:val="00565BA3"/>
    <w:rsid w:val="00565C1F"/>
    <w:rsid w:val="00565C75"/>
    <w:rsid w:val="005666CB"/>
    <w:rsid w:val="005667E1"/>
    <w:rsid w:val="00566BF9"/>
    <w:rsid w:val="00566E50"/>
    <w:rsid w:val="00566F25"/>
    <w:rsid w:val="005671DC"/>
    <w:rsid w:val="005673AD"/>
    <w:rsid w:val="0056762E"/>
    <w:rsid w:val="0056764D"/>
    <w:rsid w:val="00570551"/>
    <w:rsid w:val="0057069B"/>
    <w:rsid w:val="005707EA"/>
    <w:rsid w:val="00570892"/>
    <w:rsid w:val="005708D8"/>
    <w:rsid w:val="00570949"/>
    <w:rsid w:val="00570A10"/>
    <w:rsid w:val="00570A8C"/>
    <w:rsid w:val="00570F08"/>
    <w:rsid w:val="005712A9"/>
    <w:rsid w:val="005714A3"/>
    <w:rsid w:val="0057151F"/>
    <w:rsid w:val="005716C1"/>
    <w:rsid w:val="00571758"/>
    <w:rsid w:val="00571799"/>
    <w:rsid w:val="0057184A"/>
    <w:rsid w:val="00571914"/>
    <w:rsid w:val="00571955"/>
    <w:rsid w:val="00571B54"/>
    <w:rsid w:val="00571BA9"/>
    <w:rsid w:val="00571C7E"/>
    <w:rsid w:val="00571D34"/>
    <w:rsid w:val="00571DC1"/>
    <w:rsid w:val="00571DFE"/>
    <w:rsid w:val="005724B2"/>
    <w:rsid w:val="00572A22"/>
    <w:rsid w:val="00572B4F"/>
    <w:rsid w:val="00572C9A"/>
    <w:rsid w:val="00572EA8"/>
    <w:rsid w:val="0057315D"/>
    <w:rsid w:val="005732F5"/>
    <w:rsid w:val="0057334D"/>
    <w:rsid w:val="005735AB"/>
    <w:rsid w:val="00573935"/>
    <w:rsid w:val="00573A9F"/>
    <w:rsid w:val="00573B63"/>
    <w:rsid w:val="00573C75"/>
    <w:rsid w:val="00573FFB"/>
    <w:rsid w:val="00574207"/>
    <w:rsid w:val="00574E33"/>
    <w:rsid w:val="00574E7B"/>
    <w:rsid w:val="00575087"/>
    <w:rsid w:val="0057533A"/>
    <w:rsid w:val="00575581"/>
    <w:rsid w:val="00575708"/>
    <w:rsid w:val="00575A9B"/>
    <w:rsid w:val="00575AB6"/>
    <w:rsid w:val="00575C1D"/>
    <w:rsid w:val="00575EAC"/>
    <w:rsid w:val="00575EBA"/>
    <w:rsid w:val="00576168"/>
    <w:rsid w:val="005762B3"/>
    <w:rsid w:val="005764F8"/>
    <w:rsid w:val="00576528"/>
    <w:rsid w:val="00576787"/>
    <w:rsid w:val="00576992"/>
    <w:rsid w:val="005769BE"/>
    <w:rsid w:val="00576FE6"/>
    <w:rsid w:val="005771C9"/>
    <w:rsid w:val="00577365"/>
    <w:rsid w:val="005774BB"/>
    <w:rsid w:val="005774CF"/>
    <w:rsid w:val="0057773B"/>
    <w:rsid w:val="005777DF"/>
    <w:rsid w:val="00577B01"/>
    <w:rsid w:val="00577D70"/>
    <w:rsid w:val="00577F8D"/>
    <w:rsid w:val="005804A4"/>
    <w:rsid w:val="0058088E"/>
    <w:rsid w:val="005808AA"/>
    <w:rsid w:val="00580A80"/>
    <w:rsid w:val="00580BC9"/>
    <w:rsid w:val="00580C3F"/>
    <w:rsid w:val="00580D4F"/>
    <w:rsid w:val="00580DB7"/>
    <w:rsid w:val="00580F9D"/>
    <w:rsid w:val="00581299"/>
    <w:rsid w:val="00581354"/>
    <w:rsid w:val="005814D2"/>
    <w:rsid w:val="00581689"/>
    <w:rsid w:val="00581AEC"/>
    <w:rsid w:val="00581D79"/>
    <w:rsid w:val="00581E80"/>
    <w:rsid w:val="00582189"/>
    <w:rsid w:val="005824FE"/>
    <w:rsid w:val="005832AE"/>
    <w:rsid w:val="005832F1"/>
    <w:rsid w:val="005834DB"/>
    <w:rsid w:val="00583520"/>
    <w:rsid w:val="0058354C"/>
    <w:rsid w:val="0058354D"/>
    <w:rsid w:val="00583780"/>
    <w:rsid w:val="00583794"/>
    <w:rsid w:val="00583950"/>
    <w:rsid w:val="00583B3E"/>
    <w:rsid w:val="00583C69"/>
    <w:rsid w:val="00583C8E"/>
    <w:rsid w:val="00583CA8"/>
    <w:rsid w:val="00583E78"/>
    <w:rsid w:val="00583E9C"/>
    <w:rsid w:val="00584030"/>
    <w:rsid w:val="00584127"/>
    <w:rsid w:val="00584741"/>
    <w:rsid w:val="00584E34"/>
    <w:rsid w:val="00584EFA"/>
    <w:rsid w:val="00585522"/>
    <w:rsid w:val="00585683"/>
    <w:rsid w:val="00585796"/>
    <w:rsid w:val="005857DC"/>
    <w:rsid w:val="00585B34"/>
    <w:rsid w:val="00585B37"/>
    <w:rsid w:val="0058615B"/>
    <w:rsid w:val="00586385"/>
    <w:rsid w:val="005866B0"/>
    <w:rsid w:val="005867A8"/>
    <w:rsid w:val="00586829"/>
    <w:rsid w:val="00586891"/>
    <w:rsid w:val="00586AFD"/>
    <w:rsid w:val="00586CE0"/>
    <w:rsid w:val="00586D43"/>
    <w:rsid w:val="0058719D"/>
    <w:rsid w:val="005872E0"/>
    <w:rsid w:val="00587456"/>
    <w:rsid w:val="00587458"/>
    <w:rsid w:val="00587486"/>
    <w:rsid w:val="005875D1"/>
    <w:rsid w:val="005875F6"/>
    <w:rsid w:val="00587609"/>
    <w:rsid w:val="005877D5"/>
    <w:rsid w:val="005878C4"/>
    <w:rsid w:val="00587BDD"/>
    <w:rsid w:val="0059010E"/>
    <w:rsid w:val="00590319"/>
    <w:rsid w:val="0059049B"/>
    <w:rsid w:val="0059051B"/>
    <w:rsid w:val="0059079F"/>
    <w:rsid w:val="00590A0E"/>
    <w:rsid w:val="00590C1F"/>
    <w:rsid w:val="00590C63"/>
    <w:rsid w:val="00590D10"/>
    <w:rsid w:val="00590DEC"/>
    <w:rsid w:val="00590E7C"/>
    <w:rsid w:val="00590EB6"/>
    <w:rsid w:val="00591141"/>
    <w:rsid w:val="005912E4"/>
    <w:rsid w:val="005914BA"/>
    <w:rsid w:val="005918D6"/>
    <w:rsid w:val="00591B69"/>
    <w:rsid w:val="00591B84"/>
    <w:rsid w:val="00592140"/>
    <w:rsid w:val="005923B9"/>
    <w:rsid w:val="005928BC"/>
    <w:rsid w:val="005929A2"/>
    <w:rsid w:val="00592A2B"/>
    <w:rsid w:val="00592BA1"/>
    <w:rsid w:val="00592C20"/>
    <w:rsid w:val="00592D05"/>
    <w:rsid w:val="00592E46"/>
    <w:rsid w:val="0059342E"/>
    <w:rsid w:val="0059346B"/>
    <w:rsid w:val="005934FE"/>
    <w:rsid w:val="00593782"/>
    <w:rsid w:val="00593918"/>
    <w:rsid w:val="00593B46"/>
    <w:rsid w:val="00593F74"/>
    <w:rsid w:val="005947A0"/>
    <w:rsid w:val="00594843"/>
    <w:rsid w:val="00594A3F"/>
    <w:rsid w:val="00594C29"/>
    <w:rsid w:val="00594D3E"/>
    <w:rsid w:val="00594DED"/>
    <w:rsid w:val="00595434"/>
    <w:rsid w:val="00595557"/>
    <w:rsid w:val="00595781"/>
    <w:rsid w:val="0059578F"/>
    <w:rsid w:val="0059586B"/>
    <w:rsid w:val="00595987"/>
    <w:rsid w:val="00595A43"/>
    <w:rsid w:val="00595AE1"/>
    <w:rsid w:val="00595CDE"/>
    <w:rsid w:val="00595D09"/>
    <w:rsid w:val="00595D9A"/>
    <w:rsid w:val="00595E63"/>
    <w:rsid w:val="00595F78"/>
    <w:rsid w:val="00596066"/>
    <w:rsid w:val="005960D2"/>
    <w:rsid w:val="00596166"/>
    <w:rsid w:val="005962D9"/>
    <w:rsid w:val="005963E9"/>
    <w:rsid w:val="00596434"/>
    <w:rsid w:val="0059652D"/>
    <w:rsid w:val="005968EB"/>
    <w:rsid w:val="00596AB3"/>
    <w:rsid w:val="00596D75"/>
    <w:rsid w:val="00596D7B"/>
    <w:rsid w:val="0059739C"/>
    <w:rsid w:val="00597A58"/>
    <w:rsid w:val="005A0144"/>
    <w:rsid w:val="005A04A0"/>
    <w:rsid w:val="005A069D"/>
    <w:rsid w:val="005A09FC"/>
    <w:rsid w:val="005A0E6E"/>
    <w:rsid w:val="005A0FDC"/>
    <w:rsid w:val="005A114E"/>
    <w:rsid w:val="005A13A9"/>
    <w:rsid w:val="005A1710"/>
    <w:rsid w:val="005A18E5"/>
    <w:rsid w:val="005A1E52"/>
    <w:rsid w:val="005A1EE3"/>
    <w:rsid w:val="005A1F80"/>
    <w:rsid w:val="005A2355"/>
    <w:rsid w:val="005A249F"/>
    <w:rsid w:val="005A2798"/>
    <w:rsid w:val="005A281D"/>
    <w:rsid w:val="005A2897"/>
    <w:rsid w:val="005A2B7B"/>
    <w:rsid w:val="005A2F5C"/>
    <w:rsid w:val="005A3011"/>
    <w:rsid w:val="005A3264"/>
    <w:rsid w:val="005A3501"/>
    <w:rsid w:val="005A360D"/>
    <w:rsid w:val="005A3803"/>
    <w:rsid w:val="005A3871"/>
    <w:rsid w:val="005A3B31"/>
    <w:rsid w:val="005A3B87"/>
    <w:rsid w:val="005A413C"/>
    <w:rsid w:val="005A43D8"/>
    <w:rsid w:val="005A46FE"/>
    <w:rsid w:val="005A4CBD"/>
    <w:rsid w:val="005A4DC5"/>
    <w:rsid w:val="005A4E84"/>
    <w:rsid w:val="005A4FC4"/>
    <w:rsid w:val="005A5070"/>
    <w:rsid w:val="005A5334"/>
    <w:rsid w:val="005A551F"/>
    <w:rsid w:val="005A5575"/>
    <w:rsid w:val="005A58DF"/>
    <w:rsid w:val="005A5BCD"/>
    <w:rsid w:val="005A5CDB"/>
    <w:rsid w:val="005A60F9"/>
    <w:rsid w:val="005A6147"/>
    <w:rsid w:val="005A61E5"/>
    <w:rsid w:val="005A62BB"/>
    <w:rsid w:val="005A6A6B"/>
    <w:rsid w:val="005A6AFD"/>
    <w:rsid w:val="005A6BA7"/>
    <w:rsid w:val="005A6F1F"/>
    <w:rsid w:val="005A73AF"/>
    <w:rsid w:val="005A74AB"/>
    <w:rsid w:val="005A7509"/>
    <w:rsid w:val="005A780B"/>
    <w:rsid w:val="005A78A6"/>
    <w:rsid w:val="005A78F1"/>
    <w:rsid w:val="005A7A1E"/>
    <w:rsid w:val="005A7D5D"/>
    <w:rsid w:val="005A7F23"/>
    <w:rsid w:val="005B021E"/>
    <w:rsid w:val="005B0607"/>
    <w:rsid w:val="005B0814"/>
    <w:rsid w:val="005B0BD2"/>
    <w:rsid w:val="005B0C58"/>
    <w:rsid w:val="005B0D52"/>
    <w:rsid w:val="005B1029"/>
    <w:rsid w:val="005B1033"/>
    <w:rsid w:val="005B1096"/>
    <w:rsid w:val="005B10F5"/>
    <w:rsid w:val="005B119C"/>
    <w:rsid w:val="005B1225"/>
    <w:rsid w:val="005B125F"/>
    <w:rsid w:val="005B142C"/>
    <w:rsid w:val="005B1665"/>
    <w:rsid w:val="005B195F"/>
    <w:rsid w:val="005B1CA9"/>
    <w:rsid w:val="005B1D17"/>
    <w:rsid w:val="005B1DA5"/>
    <w:rsid w:val="005B1DBC"/>
    <w:rsid w:val="005B1F08"/>
    <w:rsid w:val="005B2043"/>
    <w:rsid w:val="005B239A"/>
    <w:rsid w:val="005B275B"/>
    <w:rsid w:val="005B2B91"/>
    <w:rsid w:val="005B2C86"/>
    <w:rsid w:val="005B2CBD"/>
    <w:rsid w:val="005B2DDD"/>
    <w:rsid w:val="005B2FC2"/>
    <w:rsid w:val="005B31AB"/>
    <w:rsid w:val="005B3202"/>
    <w:rsid w:val="005B3428"/>
    <w:rsid w:val="005B3560"/>
    <w:rsid w:val="005B36C9"/>
    <w:rsid w:val="005B37E2"/>
    <w:rsid w:val="005B3807"/>
    <w:rsid w:val="005B38E2"/>
    <w:rsid w:val="005B397C"/>
    <w:rsid w:val="005B3980"/>
    <w:rsid w:val="005B39C4"/>
    <w:rsid w:val="005B3C0C"/>
    <w:rsid w:val="005B3D6F"/>
    <w:rsid w:val="005B3F70"/>
    <w:rsid w:val="005B43DB"/>
    <w:rsid w:val="005B444C"/>
    <w:rsid w:val="005B45D3"/>
    <w:rsid w:val="005B4DEA"/>
    <w:rsid w:val="005B5146"/>
    <w:rsid w:val="005B54D2"/>
    <w:rsid w:val="005B58AB"/>
    <w:rsid w:val="005B5FAC"/>
    <w:rsid w:val="005B6058"/>
    <w:rsid w:val="005B6129"/>
    <w:rsid w:val="005B64FC"/>
    <w:rsid w:val="005B696B"/>
    <w:rsid w:val="005B6A87"/>
    <w:rsid w:val="005B6E92"/>
    <w:rsid w:val="005B723B"/>
    <w:rsid w:val="005B72E6"/>
    <w:rsid w:val="005B730E"/>
    <w:rsid w:val="005B7470"/>
    <w:rsid w:val="005B751D"/>
    <w:rsid w:val="005B75E9"/>
    <w:rsid w:val="005B7746"/>
    <w:rsid w:val="005B784D"/>
    <w:rsid w:val="005B7C60"/>
    <w:rsid w:val="005B7D9B"/>
    <w:rsid w:val="005B7FF8"/>
    <w:rsid w:val="005C0021"/>
    <w:rsid w:val="005C0425"/>
    <w:rsid w:val="005C0515"/>
    <w:rsid w:val="005C05E5"/>
    <w:rsid w:val="005C0634"/>
    <w:rsid w:val="005C06EC"/>
    <w:rsid w:val="005C0755"/>
    <w:rsid w:val="005C08A8"/>
    <w:rsid w:val="005C08AA"/>
    <w:rsid w:val="005C08CD"/>
    <w:rsid w:val="005C0D86"/>
    <w:rsid w:val="005C0DEE"/>
    <w:rsid w:val="005C0E97"/>
    <w:rsid w:val="005C10CC"/>
    <w:rsid w:val="005C13B6"/>
    <w:rsid w:val="005C19BC"/>
    <w:rsid w:val="005C1B3C"/>
    <w:rsid w:val="005C24C2"/>
    <w:rsid w:val="005C2C2F"/>
    <w:rsid w:val="005C317F"/>
    <w:rsid w:val="005C3569"/>
    <w:rsid w:val="005C3978"/>
    <w:rsid w:val="005C3CAF"/>
    <w:rsid w:val="005C3E11"/>
    <w:rsid w:val="005C4084"/>
    <w:rsid w:val="005C409C"/>
    <w:rsid w:val="005C4316"/>
    <w:rsid w:val="005C4469"/>
    <w:rsid w:val="005C4515"/>
    <w:rsid w:val="005C4856"/>
    <w:rsid w:val="005C48CA"/>
    <w:rsid w:val="005C5146"/>
    <w:rsid w:val="005C52A0"/>
    <w:rsid w:val="005C55A9"/>
    <w:rsid w:val="005C5D11"/>
    <w:rsid w:val="005C5D60"/>
    <w:rsid w:val="005C5ED5"/>
    <w:rsid w:val="005C5FDE"/>
    <w:rsid w:val="005C60ED"/>
    <w:rsid w:val="005C61BC"/>
    <w:rsid w:val="005C6754"/>
    <w:rsid w:val="005C695C"/>
    <w:rsid w:val="005C6BCB"/>
    <w:rsid w:val="005C6DE3"/>
    <w:rsid w:val="005C6E4A"/>
    <w:rsid w:val="005C6E54"/>
    <w:rsid w:val="005C71A9"/>
    <w:rsid w:val="005C7221"/>
    <w:rsid w:val="005C736C"/>
    <w:rsid w:val="005C7691"/>
    <w:rsid w:val="005C7707"/>
    <w:rsid w:val="005C77EF"/>
    <w:rsid w:val="005C79DE"/>
    <w:rsid w:val="005C7BA0"/>
    <w:rsid w:val="005D01D9"/>
    <w:rsid w:val="005D01EB"/>
    <w:rsid w:val="005D02B2"/>
    <w:rsid w:val="005D036A"/>
    <w:rsid w:val="005D07E5"/>
    <w:rsid w:val="005D0CEB"/>
    <w:rsid w:val="005D0E3C"/>
    <w:rsid w:val="005D163F"/>
    <w:rsid w:val="005D1670"/>
    <w:rsid w:val="005D16EB"/>
    <w:rsid w:val="005D1702"/>
    <w:rsid w:val="005D1B37"/>
    <w:rsid w:val="005D1BA6"/>
    <w:rsid w:val="005D1E04"/>
    <w:rsid w:val="005D2093"/>
    <w:rsid w:val="005D20AB"/>
    <w:rsid w:val="005D2181"/>
    <w:rsid w:val="005D21C7"/>
    <w:rsid w:val="005D2257"/>
    <w:rsid w:val="005D22EB"/>
    <w:rsid w:val="005D256C"/>
    <w:rsid w:val="005D2659"/>
    <w:rsid w:val="005D26CE"/>
    <w:rsid w:val="005D28C2"/>
    <w:rsid w:val="005D2ADD"/>
    <w:rsid w:val="005D2F7F"/>
    <w:rsid w:val="005D370E"/>
    <w:rsid w:val="005D3AF5"/>
    <w:rsid w:val="005D3ECA"/>
    <w:rsid w:val="005D3FE1"/>
    <w:rsid w:val="005D458E"/>
    <w:rsid w:val="005D47A9"/>
    <w:rsid w:val="005D4ACF"/>
    <w:rsid w:val="005D4B49"/>
    <w:rsid w:val="005D4C3F"/>
    <w:rsid w:val="005D5356"/>
    <w:rsid w:val="005D5428"/>
    <w:rsid w:val="005D546E"/>
    <w:rsid w:val="005D550C"/>
    <w:rsid w:val="005D557F"/>
    <w:rsid w:val="005D57E2"/>
    <w:rsid w:val="005D58D1"/>
    <w:rsid w:val="005D5BBB"/>
    <w:rsid w:val="005D5CFC"/>
    <w:rsid w:val="005D5D29"/>
    <w:rsid w:val="005D5E47"/>
    <w:rsid w:val="005D6135"/>
    <w:rsid w:val="005D62F1"/>
    <w:rsid w:val="005D6482"/>
    <w:rsid w:val="005D6515"/>
    <w:rsid w:val="005D6608"/>
    <w:rsid w:val="005D66C6"/>
    <w:rsid w:val="005D6A66"/>
    <w:rsid w:val="005D6D2F"/>
    <w:rsid w:val="005D6E72"/>
    <w:rsid w:val="005D70D5"/>
    <w:rsid w:val="005D7106"/>
    <w:rsid w:val="005D7452"/>
    <w:rsid w:val="005D7587"/>
    <w:rsid w:val="005D7BE7"/>
    <w:rsid w:val="005D7C76"/>
    <w:rsid w:val="005D7E0F"/>
    <w:rsid w:val="005E0389"/>
    <w:rsid w:val="005E0503"/>
    <w:rsid w:val="005E065E"/>
    <w:rsid w:val="005E0759"/>
    <w:rsid w:val="005E0898"/>
    <w:rsid w:val="005E0909"/>
    <w:rsid w:val="005E09E5"/>
    <w:rsid w:val="005E0B4E"/>
    <w:rsid w:val="005E0CB8"/>
    <w:rsid w:val="005E0E8F"/>
    <w:rsid w:val="005E12AA"/>
    <w:rsid w:val="005E13DD"/>
    <w:rsid w:val="005E1797"/>
    <w:rsid w:val="005E1B43"/>
    <w:rsid w:val="005E1C45"/>
    <w:rsid w:val="005E208A"/>
    <w:rsid w:val="005E21DB"/>
    <w:rsid w:val="005E266A"/>
    <w:rsid w:val="005E2753"/>
    <w:rsid w:val="005E28EC"/>
    <w:rsid w:val="005E2AF1"/>
    <w:rsid w:val="005E2E5D"/>
    <w:rsid w:val="005E30E8"/>
    <w:rsid w:val="005E328E"/>
    <w:rsid w:val="005E337B"/>
    <w:rsid w:val="005E33A1"/>
    <w:rsid w:val="005E3BD7"/>
    <w:rsid w:val="005E3BE1"/>
    <w:rsid w:val="005E41E5"/>
    <w:rsid w:val="005E445C"/>
    <w:rsid w:val="005E46B8"/>
    <w:rsid w:val="005E4787"/>
    <w:rsid w:val="005E479A"/>
    <w:rsid w:val="005E4993"/>
    <w:rsid w:val="005E4A59"/>
    <w:rsid w:val="005E4B36"/>
    <w:rsid w:val="005E5345"/>
    <w:rsid w:val="005E54C9"/>
    <w:rsid w:val="005E5768"/>
    <w:rsid w:val="005E582D"/>
    <w:rsid w:val="005E5A1C"/>
    <w:rsid w:val="005E5A47"/>
    <w:rsid w:val="005E5E51"/>
    <w:rsid w:val="005E5F9D"/>
    <w:rsid w:val="005E63B5"/>
    <w:rsid w:val="005E6446"/>
    <w:rsid w:val="005E65A7"/>
    <w:rsid w:val="005E686E"/>
    <w:rsid w:val="005E6B01"/>
    <w:rsid w:val="005E6D7B"/>
    <w:rsid w:val="005E6DBC"/>
    <w:rsid w:val="005E7288"/>
    <w:rsid w:val="005E7BB1"/>
    <w:rsid w:val="005F0351"/>
    <w:rsid w:val="005F0533"/>
    <w:rsid w:val="005F0549"/>
    <w:rsid w:val="005F05A4"/>
    <w:rsid w:val="005F0B50"/>
    <w:rsid w:val="005F0BEF"/>
    <w:rsid w:val="005F0D13"/>
    <w:rsid w:val="005F0D44"/>
    <w:rsid w:val="005F0F14"/>
    <w:rsid w:val="005F12C1"/>
    <w:rsid w:val="005F1D48"/>
    <w:rsid w:val="005F2031"/>
    <w:rsid w:val="005F26DD"/>
    <w:rsid w:val="005F2A55"/>
    <w:rsid w:val="005F2B97"/>
    <w:rsid w:val="005F2BB6"/>
    <w:rsid w:val="005F2D3E"/>
    <w:rsid w:val="005F2F0C"/>
    <w:rsid w:val="005F30BC"/>
    <w:rsid w:val="005F320F"/>
    <w:rsid w:val="005F3342"/>
    <w:rsid w:val="005F3502"/>
    <w:rsid w:val="005F357D"/>
    <w:rsid w:val="005F36C0"/>
    <w:rsid w:val="005F3852"/>
    <w:rsid w:val="005F3FC1"/>
    <w:rsid w:val="005F3FC5"/>
    <w:rsid w:val="005F42D0"/>
    <w:rsid w:val="005F44EA"/>
    <w:rsid w:val="005F5037"/>
    <w:rsid w:val="005F5120"/>
    <w:rsid w:val="005F51E8"/>
    <w:rsid w:val="005F526F"/>
    <w:rsid w:val="005F564A"/>
    <w:rsid w:val="005F5D66"/>
    <w:rsid w:val="005F5EFD"/>
    <w:rsid w:val="005F61C5"/>
    <w:rsid w:val="005F6209"/>
    <w:rsid w:val="005F63A6"/>
    <w:rsid w:val="005F6A80"/>
    <w:rsid w:val="005F6D26"/>
    <w:rsid w:val="005F6DB2"/>
    <w:rsid w:val="005F6F92"/>
    <w:rsid w:val="005F7019"/>
    <w:rsid w:val="005F712A"/>
    <w:rsid w:val="005F723E"/>
    <w:rsid w:val="005F79BF"/>
    <w:rsid w:val="005F7BF6"/>
    <w:rsid w:val="005F7ECE"/>
    <w:rsid w:val="006006B3"/>
    <w:rsid w:val="00600BCF"/>
    <w:rsid w:val="00600C14"/>
    <w:rsid w:val="00600C38"/>
    <w:rsid w:val="00600E20"/>
    <w:rsid w:val="00600F52"/>
    <w:rsid w:val="00601042"/>
    <w:rsid w:val="006010FD"/>
    <w:rsid w:val="0060130B"/>
    <w:rsid w:val="0060131E"/>
    <w:rsid w:val="006018C8"/>
    <w:rsid w:val="00601B07"/>
    <w:rsid w:val="00601B99"/>
    <w:rsid w:val="00601DD3"/>
    <w:rsid w:val="00602184"/>
    <w:rsid w:val="00602BA4"/>
    <w:rsid w:val="00602DC0"/>
    <w:rsid w:val="00602E3A"/>
    <w:rsid w:val="00602F28"/>
    <w:rsid w:val="006030AD"/>
    <w:rsid w:val="0060324C"/>
    <w:rsid w:val="0060389B"/>
    <w:rsid w:val="006039D9"/>
    <w:rsid w:val="00603B15"/>
    <w:rsid w:val="00603E07"/>
    <w:rsid w:val="00603F12"/>
    <w:rsid w:val="0060415F"/>
    <w:rsid w:val="00604162"/>
    <w:rsid w:val="006041A2"/>
    <w:rsid w:val="006041F9"/>
    <w:rsid w:val="006042C7"/>
    <w:rsid w:val="00604464"/>
    <w:rsid w:val="00604482"/>
    <w:rsid w:val="006044AA"/>
    <w:rsid w:val="00604689"/>
    <w:rsid w:val="006049B5"/>
    <w:rsid w:val="00604B4B"/>
    <w:rsid w:val="00604BC6"/>
    <w:rsid w:val="0060509C"/>
    <w:rsid w:val="00605349"/>
    <w:rsid w:val="00605481"/>
    <w:rsid w:val="006058B4"/>
    <w:rsid w:val="00605B93"/>
    <w:rsid w:val="00605E52"/>
    <w:rsid w:val="006063DB"/>
    <w:rsid w:val="00606DFC"/>
    <w:rsid w:val="00606E5D"/>
    <w:rsid w:val="00606F31"/>
    <w:rsid w:val="0060767A"/>
    <w:rsid w:val="00607AE8"/>
    <w:rsid w:val="00607E4A"/>
    <w:rsid w:val="00607F62"/>
    <w:rsid w:val="0061013F"/>
    <w:rsid w:val="0061034A"/>
    <w:rsid w:val="00610446"/>
    <w:rsid w:val="00610770"/>
    <w:rsid w:val="006108F2"/>
    <w:rsid w:val="00611121"/>
    <w:rsid w:val="00611138"/>
    <w:rsid w:val="00611287"/>
    <w:rsid w:val="006114A7"/>
    <w:rsid w:val="006114FE"/>
    <w:rsid w:val="006117C3"/>
    <w:rsid w:val="006119B8"/>
    <w:rsid w:val="0061249F"/>
    <w:rsid w:val="00612630"/>
    <w:rsid w:val="00612650"/>
    <w:rsid w:val="00612799"/>
    <w:rsid w:val="00612879"/>
    <w:rsid w:val="00613156"/>
    <w:rsid w:val="0061335D"/>
    <w:rsid w:val="00613887"/>
    <w:rsid w:val="006138BF"/>
    <w:rsid w:val="006139B0"/>
    <w:rsid w:val="00613A62"/>
    <w:rsid w:val="00614031"/>
    <w:rsid w:val="00614441"/>
    <w:rsid w:val="00614808"/>
    <w:rsid w:val="00614835"/>
    <w:rsid w:val="00614A5C"/>
    <w:rsid w:val="00614BBE"/>
    <w:rsid w:val="00614BE3"/>
    <w:rsid w:val="00614DE5"/>
    <w:rsid w:val="00615012"/>
    <w:rsid w:val="00615042"/>
    <w:rsid w:val="00615063"/>
    <w:rsid w:val="00615150"/>
    <w:rsid w:val="006151B6"/>
    <w:rsid w:val="00615717"/>
    <w:rsid w:val="00615718"/>
    <w:rsid w:val="0061612B"/>
    <w:rsid w:val="006161B9"/>
    <w:rsid w:val="006162E1"/>
    <w:rsid w:val="006162ED"/>
    <w:rsid w:val="006164F9"/>
    <w:rsid w:val="006167EC"/>
    <w:rsid w:val="00616A8C"/>
    <w:rsid w:val="00616AA4"/>
    <w:rsid w:val="00616C9C"/>
    <w:rsid w:val="006171C0"/>
    <w:rsid w:val="006171D1"/>
    <w:rsid w:val="00617290"/>
    <w:rsid w:val="006200F1"/>
    <w:rsid w:val="0062013C"/>
    <w:rsid w:val="006208B9"/>
    <w:rsid w:val="00620928"/>
    <w:rsid w:val="006209BB"/>
    <w:rsid w:val="00620B6F"/>
    <w:rsid w:val="00620E96"/>
    <w:rsid w:val="0062103C"/>
    <w:rsid w:val="006212AE"/>
    <w:rsid w:val="00621539"/>
    <w:rsid w:val="00621971"/>
    <w:rsid w:val="006219E5"/>
    <w:rsid w:val="00621AB1"/>
    <w:rsid w:val="00621BC2"/>
    <w:rsid w:val="00621E8E"/>
    <w:rsid w:val="006222BA"/>
    <w:rsid w:val="0062279F"/>
    <w:rsid w:val="00622828"/>
    <w:rsid w:val="00622936"/>
    <w:rsid w:val="00622A89"/>
    <w:rsid w:val="00622ADD"/>
    <w:rsid w:val="00622B22"/>
    <w:rsid w:val="00622C5E"/>
    <w:rsid w:val="00623241"/>
    <w:rsid w:val="0062325D"/>
    <w:rsid w:val="006232CD"/>
    <w:rsid w:val="0062392B"/>
    <w:rsid w:val="00623DB6"/>
    <w:rsid w:val="0062428C"/>
    <w:rsid w:val="00624BF0"/>
    <w:rsid w:val="00624C15"/>
    <w:rsid w:val="00624D8F"/>
    <w:rsid w:val="00624F91"/>
    <w:rsid w:val="006250F8"/>
    <w:rsid w:val="00625529"/>
    <w:rsid w:val="00625555"/>
    <w:rsid w:val="006255BC"/>
    <w:rsid w:val="006255CE"/>
    <w:rsid w:val="00625624"/>
    <w:rsid w:val="006256BE"/>
    <w:rsid w:val="00625813"/>
    <w:rsid w:val="00625978"/>
    <w:rsid w:val="00625A32"/>
    <w:rsid w:val="00625BFA"/>
    <w:rsid w:val="00625CB9"/>
    <w:rsid w:val="00625E18"/>
    <w:rsid w:val="00626045"/>
    <w:rsid w:val="006260BA"/>
    <w:rsid w:val="00626626"/>
    <w:rsid w:val="0062672E"/>
    <w:rsid w:val="00626A55"/>
    <w:rsid w:val="00626C15"/>
    <w:rsid w:val="00626CBF"/>
    <w:rsid w:val="00626E27"/>
    <w:rsid w:val="0062727D"/>
    <w:rsid w:val="006274D3"/>
    <w:rsid w:val="00627673"/>
    <w:rsid w:val="0062782D"/>
    <w:rsid w:val="00627A9F"/>
    <w:rsid w:val="00627AEC"/>
    <w:rsid w:val="00627ED2"/>
    <w:rsid w:val="006303CB"/>
    <w:rsid w:val="00630597"/>
    <w:rsid w:val="00630775"/>
    <w:rsid w:val="006308B0"/>
    <w:rsid w:val="00630AF9"/>
    <w:rsid w:val="00630B60"/>
    <w:rsid w:val="00631370"/>
    <w:rsid w:val="006314CF"/>
    <w:rsid w:val="006315A8"/>
    <w:rsid w:val="00631987"/>
    <w:rsid w:val="00631B36"/>
    <w:rsid w:val="00631D49"/>
    <w:rsid w:val="00631DD0"/>
    <w:rsid w:val="00631FD7"/>
    <w:rsid w:val="00631FED"/>
    <w:rsid w:val="006322F5"/>
    <w:rsid w:val="006324D9"/>
    <w:rsid w:val="00632587"/>
    <w:rsid w:val="00632589"/>
    <w:rsid w:val="006329AF"/>
    <w:rsid w:val="00632A57"/>
    <w:rsid w:val="00632B9C"/>
    <w:rsid w:val="00632CD2"/>
    <w:rsid w:val="0063315B"/>
    <w:rsid w:val="00633292"/>
    <w:rsid w:val="006332D6"/>
    <w:rsid w:val="00633945"/>
    <w:rsid w:val="00634007"/>
    <w:rsid w:val="006346DB"/>
    <w:rsid w:val="00634B3E"/>
    <w:rsid w:val="00634B4D"/>
    <w:rsid w:val="00634DD9"/>
    <w:rsid w:val="00634ED8"/>
    <w:rsid w:val="00635009"/>
    <w:rsid w:val="00635196"/>
    <w:rsid w:val="00635724"/>
    <w:rsid w:val="0063592C"/>
    <w:rsid w:val="00635941"/>
    <w:rsid w:val="00635FD7"/>
    <w:rsid w:val="00636131"/>
    <w:rsid w:val="00636695"/>
    <w:rsid w:val="00636821"/>
    <w:rsid w:val="00636C5C"/>
    <w:rsid w:val="00636CC9"/>
    <w:rsid w:val="00636D89"/>
    <w:rsid w:val="0063715F"/>
    <w:rsid w:val="006371A2"/>
    <w:rsid w:val="006371CC"/>
    <w:rsid w:val="006374B7"/>
    <w:rsid w:val="006374ED"/>
    <w:rsid w:val="00637517"/>
    <w:rsid w:val="00637532"/>
    <w:rsid w:val="00637733"/>
    <w:rsid w:val="00637917"/>
    <w:rsid w:val="00637B1A"/>
    <w:rsid w:val="00637B31"/>
    <w:rsid w:val="00637D30"/>
    <w:rsid w:val="00637F0C"/>
    <w:rsid w:val="00637FAB"/>
    <w:rsid w:val="00637FB5"/>
    <w:rsid w:val="00637FFD"/>
    <w:rsid w:val="006401C1"/>
    <w:rsid w:val="006402FC"/>
    <w:rsid w:val="006404DB"/>
    <w:rsid w:val="006406AB"/>
    <w:rsid w:val="0064097B"/>
    <w:rsid w:val="00640AAE"/>
    <w:rsid w:val="00640AC1"/>
    <w:rsid w:val="00640C3A"/>
    <w:rsid w:val="00641023"/>
    <w:rsid w:val="006411B1"/>
    <w:rsid w:val="006416FE"/>
    <w:rsid w:val="00641A9B"/>
    <w:rsid w:val="00641F4E"/>
    <w:rsid w:val="0064216C"/>
    <w:rsid w:val="00642267"/>
    <w:rsid w:val="00642329"/>
    <w:rsid w:val="0064255E"/>
    <w:rsid w:val="00642588"/>
    <w:rsid w:val="006425A7"/>
    <w:rsid w:val="00642653"/>
    <w:rsid w:val="006426BA"/>
    <w:rsid w:val="0064274E"/>
    <w:rsid w:val="0064289C"/>
    <w:rsid w:val="00642E1B"/>
    <w:rsid w:val="00642E8D"/>
    <w:rsid w:val="00642FC4"/>
    <w:rsid w:val="00643090"/>
    <w:rsid w:val="006432D7"/>
    <w:rsid w:val="00643BE9"/>
    <w:rsid w:val="00643C85"/>
    <w:rsid w:val="00643CCA"/>
    <w:rsid w:val="00643E7E"/>
    <w:rsid w:val="00643E84"/>
    <w:rsid w:val="00644080"/>
    <w:rsid w:val="006440C5"/>
    <w:rsid w:val="0064468A"/>
    <w:rsid w:val="006447A8"/>
    <w:rsid w:val="00644BB2"/>
    <w:rsid w:val="00644E62"/>
    <w:rsid w:val="00645080"/>
    <w:rsid w:val="0064515D"/>
    <w:rsid w:val="006451C5"/>
    <w:rsid w:val="006453D2"/>
    <w:rsid w:val="00645493"/>
    <w:rsid w:val="0064559E"/>
    <w:rsid w:val="006456C6"/>
    <w:rsid w:val="00645956"/>
    <w:rsid w:val="00646021"/>
    <w:rsid w:val="006463CB"/>
    <w:rsid w:val="00646732"/>
    <w:rsid w:val="00646B00"/>
    <w:rsid w:val="00646F96"/>
    <w:rsid w:val="00647153"/>
    <w:rsid w:val="00647223"/>
    <w:rsid w:val="006479B0"/>
    <w:rsid w:val="00647BBF"/>
    <w:rsid w:val="00650048"/>
    <w:rsid w:val="006503C3"/>
    <w:rsid w:val="006505B3"/>
    <w:rsid w:val="006509DC"/>
    <w:rsid w:val="006509E4"/>
    <w:rsid w:val="00650A70"/>
    <w:rsid w:val="00650CF3"/>
    <w:rsid w:val="00650D67"/>
    <w:rsid w:val="00651035"/>
    <w:rsid w:val="006511F4"/>
    <w:rsid w:val="00651300"/>
    <w:rsid w:val="006515E3"/>
    <w:rsid w:val="0065160E"/>
    <w:rsid w:val="006517CD"/>
    <w:rsid w:val="00651939"/>
    <w:rsid w:val="00651A14"/>
    <w:rsid w:val="00651BC6"/>
    <w:rsid w:val="00651C77"/>
    <w:rsid w:val="00651CCF"/>
    <w:rsid w:val="00652E41"/>
    <w:rsid w:val="0065305B"/>
    <w:rsid w:val="0065339F"/>
    <w:rsid w:val="00653431"/>
    <w:rsid w:val="006534A3"/>
    <w:rsid w:val="0065361B"/>
    <w:rsid w:val="006536CD"/>
    <w:rsid w:val="00653A77"/>
    <w:rsid w:val="00653B98"/>
    <w:rsid w:val="00654010"/>
    <w:rsid w:val="0065444B"/>
    <w:rsid w:val="006546A5"/>
    <w:rsid w:val="00654785"/>
    <w:rsid w:val="00654900"/>
    <w:rsid w:val="00654A42"/>
    <w:rsid w:val="00654FA0"/>
    <w:rsid w:val="0065508A"/>
    <w:rsid w:val="00655091"/>
    <w:rsid w:val="00655108"/>
    <w:rsid w:val="006551D1"/>
    <w:rsid w:val="00655631"/>
    <w:rsid w:val="00655712"/>
    <w:rsid w:val="00655F1C"/>
    <w:rsid w:val="00655F8A"/>
    <w:rsid w:val="00656315"/>
    <w:rsid w:val="006569BE"/>
    <w:rsid w:val="00656B8F"/>
    <w:rsid w:val="00656D70"/>
    <w:rsid w:val="00656F53"/>
    <w:rsid w:val="006571F5"/>
    <w:rsid w:val="00657202"/>
    <w:rsid w:val="006572BF"/>
    <w:rsid w:val="0065735D"/>
    <w:rsid w:val="006573D2"/>
    <w:rsid w:val="006578AF"/>
    <w:rsid w:val="006579D3"/>
    <w:rsid w:val="00657D35"/>
    <w:rsid w:val="00657E11"/>
    <w:rsid w:val="00657FAF"/>
    <w:rsid w:val="006601E9"/>
    <w:rsid w:val="006603B1"/>
    <w:rsid w:val="00660A97"/>
    <w:rsid w:val="00660BCD"/>
    <w:rsid w:val="00661303"/>
    <w:rsid w:val="00661847"/>
    <w:rsid w:val="00661A3A"/>
    <w:rsid w:val="00661B2D"/>
    <w:rsid w:val="00661C37"/>
    <w:rsid w:val="00662123"/>
    <w:rsid w:val="006621CB"/>
    <w:rsid w:val="00662276"/>
    <w:rsid w:val="006627D2"/>
    <w:rsid w:val="0066280D"/>
    <w:rsid w:val="00662871"/>
    <w:rsid w:val="00662A7D"/>
    <w:rsid w:val="00662C7C"/>
    <w:rsid w:val="00662FED"/>
    <w:rsid w:val="0066302C"/>
    <w:rsid w:val="0066356C"/>
    <w:rsid w:val="00663B8D"/>
    <w:rsid w:val="00663BF0"/>
    <w:rsid w:val="006641C8"/>
    <w:rsid w:val="00664294"/>
    <w:rsid w:val="0066436C"/>
    <w:rsid w:val="006644E1"/>
    <w:rsid w:val="006647BD"/>
    <w:rsid w:val="006648AC"/>
    <w:rsid w:val="00664B2C"/>
    <w:rsid w:val="00664F00"/>
    <w:rsid w:val="00665043"/>
    <w:rsid w:val="0066504D"/>
    <w:rsid w:val="0066566C"/>
    <w:rsid w:val="006656BC"/>
    <w:rsid w:val="00665848"/>
    <w:rsid w:val="00665A79"/>
    <w:rsid w:val="00665B9B"/>
    <w:rsid w:val="00665C1E"/>
    <w:rsid w:val="00665DAE"/>
    <w:rsid w:val="00665DCD"/>
    <w:rsid w:val="00665F2D"/>
    <w:rsid w:val="00666346"/>
    <w:rsid w:val="006664D1"/>
    <w:rsid w:val="006665CC"/>
    <w:rsid w:val="006665CE"/>
    <w:rsid w:val="00666682"/>
    <w:rsid w:val="00666792"/>
    <w:rsid w:val="006668E1"/>
    <w:rsid w:val="00666B35"/>
    <w:rsid w:val="00666B8B"/>
    <w:rsid w:val="00666BE5"/>
    <w:rsid w:val="00666CDF"/>
    <w:rsid w:val="00667014"/>
    <w:rsid w:val="00667347"/>
    <w:rsid w:val="00667843"/>
    <w:rsid w:val="00667BE3"/>
    <w:rsid w:val="00667F56"/>
    <w:rsid w:val="00667F70"/>
    <w:rsid w:val="0067060F"/>
    <w:rsid w:val="006707AA"/>
    <w:rsid w:val="00670976"/>
    <w:rsid w:val="006709D0"/>
    <w:rsid w:val="00670B11"/>
    <w:rsid w:val="0067105D"/>
    <w:rsid w:val="0067176A"/>
    <w:rsid w:val="0067185B"/>
    <w:rsid w:val="00671B40"/>
    <w:rsid w:val="00671B50"/>
    <w:rsid w:val="006722A6"/>
    <w:rsid w:val="006722C4"/>
    <w:rsid w:val="0067298F"/>
    <w:rsid w:val="00672A65"/>
    <w:rsid w:val="00672E0A"/>
    <w:rsid w:val="00672EE9"/>
    <w:rsid w:val="006730F5"/>
    <w:rsid w:val="006733E0"/>
    <w:rsid w:val="006733E8"/>
    <w:rsid w:val="006734B6"/>
    <w:rsid w:val="006734E6"/>
    <w:rsid w:val="0067352D"/>
    <w:rsid w:val="0067393E"/>
    <w:rsid w:val="00673EE5"/>
    <w:rsid w:val="00674089"/>
    <w:rsid w:val="006742B6"/>
    <w:rsid w:val="006742C5"/>
    <w:rsid w:val="006748E2"/>
    <w:rsid w:val="00674ADB"/>
    <w:rsid w:val="00674F4F"/>
    <w:rsid w:val="00674FF1"/>
    <w:rsid w:val="00675004"/>
    <w:rsid w:val="00675033"/>
    <w:rsid w:val="006752FF"/>
    <w:rsid w:val="006753E6"/>
    <w:rsid w:val="0067548D"/>
    <w:rsid w:val="006755B5"/>
    <w:rsid w:val="0067571D"/>
    <w:rsid w:val="006758F1"/>
    <w:rsid w:val="0067593D"/>
    <w:rsid w:val="00675B9D"/>
    <w:rsid w:val="00675BE0"/>
    <w:rsid w:val="00675E7F"/>
    <w:rsid w:val="0067626E"/>
    <w:rsid w:val="00676297"/>
    <w:rsid w:val="00676366"/>
    <w:rsid w:val="00676635"/>
    <w:rsid w:val="0067663D"/>
    <w:rsid w:val="00676709"/>
    <w:rsid w:val="0067677E"/>
    <w:rsid w:val="00676865"/>
    <w:rsid w:val="006768DC"/>
    <w:rsid w:val="00676F22"/>
    <w:rsid w:val="00677D49"/>
    <w:rsid w:val="00677DCD"/>
    <w:rsid w:val="00677E83"/>
    <w:rsid w:val="00677EA4"/>
    <w:rsid w:val="00680261"/>
    <w:rsid w:val="00680725"/>
    <w:rsid w:val="0068083B"/>
    <w:rsid w:val="00680AA4"/>
    <w:rsid w:val="00680D74"/>
    <w:rsid w:val="0068100C"/>
    <w:rsid w:val="00681272"/>
    <w:rsid w:val="006815CF"/>
    <w:rsid w:val="006815F4"/>
    <w:rsid w:val="006816C8"/>
    <w:rsid w:val="0068187C"/>
    <w:rsid w:val="00681A78"/>
    <w:rsid w:val="00681C03"/>
    <w:rsid w:val="00681DF0"/>
    <w:rsid w:val="00682057"/>
    <w:rsid w:val="0068254F"/>
    <w:rsid w:val="006828C2"/>
    <w:rsid w:val="0068299A"/>
    <w:rsid w:val="00682BDC"/>
    <w:rsid w:val="00682FA6"/>
    <w:rsid w:val="006837B7"/>
    <w:rsid w:val="00683AE0"/>
    <w:rsid w:val="00683E8A"/>
    <w:rsid w:val="0068414B"/>
    <w:rsid w:val="0068432B"/>
    <w:rsid w:val="006843B7"/>
    <w:rsid w:val="006843CB"/>
    <w:rsid w:val="006843EF"/>
    <w:rsid w:val="006848C3"/>
    <w:rsid w:val="006848E7"/>
    <w:rsid w:val="006849F4"/>
    <w:rsid w:val="00684C49"/>
    <w:rsid w:val="00684EE6"/>
    <w:rsid w:val="0068507A"/>
    <w:rsid w:val="006852E9"/>
    <w:rsid w:val="006854F2"/>
    <w:rsid w:val="006858CB"/>
    <w:rsid w:val="0068594A"/>
    <w:rsid w:val="00685961"/>
    <w:rsid w:val="006859DD"/>
    <w:rsid w:val="00685D79"/>
    <w:rsid w:val="00686466"/>
    <w:rsid w:val="0068670D"/>
    <w:rsid w:val="0068687A"/>
    <w:rsid w:val="00686893"/>
    <w:rsid w:val="00686A98"/>
    <w:rsid w:val="00686AA8"/>
    <w:rsid w:val="00686AF6"/>
    <w:rsid w:val="00686CA8"/>
    <w:rsid w:val="00686D4D"/>
    <w:rsid w:val="00687664"/>
    <w:rsid w:val="00687822"/>
    <w:rsid w:val="00687966"/>
    <w:rsid w:val="00687BA8"/>
    <w:rsid w:val="00687F2E"/>
    <w:rsid w:val="00687F84"/>
    <w:rsid w:val="0069027C"/>
    <w:rsid w:val="006905F7"/>
    <w:rsid w:val="00690C20"/>
    <w:rsid w:val="00690CA0"/>
    <w:rsid w:val="00691907"/>
    <w:rsid w:val="0069196B"/>
    <w:rsid w:val="006919AD"/>
    <w:rsid w:val="00691D92"/>
    <w:rsid w:val="00691F24"/>
    <w:rsid w:val="00691FCC"/>
    <w:rsid w:val="006920E8"/>
    <w:rsid w:val="00692222"/>
    <w:rsid w:val="0069251E"/>
    <w:rsid w:val="006926ED"/>
    <w:rsid w:val="00692BD9"/>
    <w:rsid w:val="00692C16"/>
    <w:rsid w:val="00693398"/>
    <w:rsid w:val="006935B3"/>
    <w:rsid w:val="00693C24"/>
    <w:rsid w:val="00694376"/>
    <w:rsid w:val="0069440F"/>
    <w:rsid w:val="006945D7"/>
    <w:rsid w:val="00694756"/>
    <w:rsid w:val="00694876"/>
    <w:rsid w:val="00694C0F"/>
    <w:rsid w:val="00694CED"/>
    <w:rsid w:val="0069506C"/>
    <w:rsid w:val="00695268"/>
    <w:rsid w:val="006959F4"/>
    <w:rsid w:val="00695B17"/>
    <w:rsid w:val="00695C19"/>
    <w:rsid w:val="00695F11"/>
    <w:rsid w:val="00695F5D"/>
    <w:rsid w:val="00696107"/>
    <w:rsid w:val="006962F8"/>
    <w:rsid w:val="00696350"/>
    <w:rsid w:val="006963DF"/>
    <w:rsid w:val="006964AB"/>
    <w:rsid w:val="00696699"/>
    <w:rsid w:val="00696791"/>
    <w:rsid w:val="006968E7"/>
    <w:rsid w:val="00696E46"/>
    <w:rsid w:val="00696F14"/>
    <w:rsid w:val="0069722F"/>
    <w:rsid w:val="006973CC"/>
    <w:rsid w:val="00697B13"/>
    <w:rsid w:val="00697BB1"/>
    <w:rsid w:val="006A027E"/>
    <w:rsid w:val="006A079F"/>
    <w:rsid w:val="006A088B"/>
    <w:rsid w:val="006A0914"/>
    <w:rsid w:val="006A0A6B"/>
    <w:rsid w:val="006A0A7A"/>
    <w:rsid w:val="006A0A8E"/>
    <w:rsid w:val="006A10C3"/>
    <w:rsid w:val="006A1369"/>
    <w:rsid w:val="006A1556"/>
    <w:rsid w:val="006A16A1"/>
    <w:rsid w:val="006A1986"/>
    <w:rsid w:val="006A1990"/>
    <w:rsid w:val="006A1A55"/>
    <w:rsid w:val="006A1A71"/>
    <w:rsid w:val="006A1AA5"/>
    <w:rsid w:val="006A1B1A"/>
    <w:rsid w:val="006A1ECC"/>
    <w:rsid w:val="006A1F7A"/>
    <w:rsid w:val="006A1F92"/>
    <w:rsid w:val="006A21B4"/>
    <w:rsid w:val="006A25F7"/>
    <w:rsid w:val="006A2988"/>
    <w:rsid w:val="006A2AD6"/>
    <w:rsid w:val="006A33D9"/>
    <w:rsid w:val="006A35AF"/>
    <w:rsid w:val="006A37B6"/>
    <w:rsid w:val="006A3877"/>
    <w:rsid w:val="006A3A1C"/>
    <w:rsid w:val="006A3C6B"/>
    <w:rsid w:val="006A3D81"/>
    <w:rsid w:val="006A3EE8"/>
    <w:rsid w:val="006A3FA9"/>
    <w:rsid w:val="006A4229"/>
    <w:rsid w:val="006A4325"/>
    <w:rsid w:val="006A4C98"/>
    <w:rsid w:val="006A4FC6"/>
    <w:rsid w:val="006A50D2"/>
    <w:rsid w:val="006A525B"/>
    <w:rsid w:val="006A5286"/>
    <w:rsid w:val="006A553F"/>
    <w:rsid w:val="006A5747"/>
    <w:rsid w:val="006A59ED"/>
    <w:rsid w:val="006A5C42"/>
    <w:rsid w:val="006A6678"/>
    <w:rsid w:val="006A6764"/>
    <w:rsid w:val="006A6B1D"/>
    <w:rsid w:val="006A6BCC"/>
    <w:rsid w:val="006A6DDB"/>
    <w:rsid w:val="006A718C"/>
    <w:rsid w:val="006A71DD"/>
    <w:rsid w:val="006A728C"/>
    <w:rsid w:val="006A7305"/>
    <w:rsid w:val="006A7335"/>
    <w:rsid w:val="006A7734"/>
    <w:rsid w:val="006A7962"/>
    <w:rsid w:val="006A7A07"/>
    <w:rsid w:val="006B003C"/>
    <w:rsid w:val="006B01AF"/>
    <w:rsid w:val="006B0425"/>
    <w:rsid w:val="006B052E"/>
    <w:rsid w:val="006B11D0"/>
    <w:rsid w:val="006B12F7"/>
    <w:rsid w:val="006B1B96"/>
    <w:rsid w:val="006B1C36"/>
    <w:rsid w:val="006B1F12"/>
    <w:rsid w:val="006B206D"/>
    <w:rsid w:val="006B221D"/>
    <w:rsid w:val="006B289C"/>
    <w:rsid w:val="006B29DD"/>
    <w:rsid w:val="006B2AA5"/>
    <w:rsid w:val="006B2B72"/>
    <w:rsid w:val="006B2BFE"/>
    <w:rsid w:val="006B2CA2"/>
    <w:rsid w:val="006B2E3B"/>
    <w:rsid w:val="006B335C"/>
    <w:rsid w:val="006B3539"/>
    <w:rsid w:val="006B368E"/>
    <w:rsid w:val="006B36C2"/>
    <w:rsid w:val="006B3CB0"/>
    <w:rsid w:val="006B3D9E"/>
    <w:rsid w:val="006B3F6D"/>
    <w:rsid w:val="006B4163"/>
    <w:rsid w:val="006B4187"/>
    <w:rsid w:val="006B47C6"/>
    <w:rsid w:val="006B498D"/>
    <w:rsid w:val="006B4A34"/>
    <w:rsid w:val="006B4BFD"/>
    <w:rsid w:val="006B4CDB"/>
    <w:rsid w:val="006B5017"/>
    <w:rsid w:val="006B51FF"/>
    <w:rsid w:val="006B543D"/>
    <w:rsid w:val="006B5464"/>
    <w:rsid w:val="006B55A1"/>
    <w:rsid w:val="006B5A00"/>
    <w:rsid w:val="006B5A60"/>
    <w:rsid w:val="006B5C0F"/>
    <w:rsid w:val="006B5C25"/>
    <w:rsid w:val="006B6037"/>
    <w:rsid w:val="006B6049"/>
    <w:rsid w:val="006B6053"/>
    <w:rsid w:val="006B6069"/>
    <w:rsid w:val="006B60C9"/>
    <w:rsid w:val="006B61CF"/>
    <w:rsid w:val="006B63CE"/>
    <w:rsid w:val="006B649C"/>
    <w:rsid w:val="006B6505"/>
    <w:rsid w:val="006B6528"/>
    <w:rsid w:val="006B652E"/>
    <w:rsid w:val="006B6681"/>
    <w:rsid w:val="006B6C48"/>
    <w:rsid w:val="006B6CB2"/>
    <w:rsid w:val="006B6D9E"/>
    <w:rsid w:val="006B73AA"/>
    <w:rsid w:val="006B73E2"/>
    <w:rsid w:val="006B75E5"/>
    <w:rsid w:val="006B75F9"/>
    <w:rsid w:val="006B76C8"/>
    <w:rsid w:val="006B778C"/>
    <w:rsid w:val="006B7AE2"/>
    <w:rsid w:val="006B7B07"/>
    <w:rsid w:val="006B7E0E"/>
    <w:rsid w:val="006C0171"/>
    <w:rsid w:val="006C0335"/>
    <w:rsid w:val="006C041E"/>
    <w:rsid w:val="006C064A"/>
    <w:rsid w:val="006C08D3"/>
    <w:rsid w:val="006C0FD8"/>
    <w:rsid w:val="006C129A"/>
    <w:rsid w:val="006C1749"/>
    <w:rsid w:val="006C17BD"/>
    <w:rsid w:val="006C1A87"/>
    <w:rsid w:val="006C1BF5"/>
    <w:rsid w:val="006C1C0A"/>
    <w:rsid w:val="006C1EB9"/>
    <w:rsid w:val="006C1F4F"/>
    <w:rsid w:val="006C2027"/>
    <w:rsid w:val="006C2040"/>
    <w:rsid w:val="006C2179"/>
    <w:rsid w:val="006C21F6"/>
    <w:rsid w:val="006C253C"/>
    <w:rsid w:val="006C25A9"/>
    <w:rsid w:val="006C279A"/>
    <w:rsid w:val="006C29DF"/>
    <w:rsid w:val="006C2D5C"/>
    <w:rsid w:val="006C2E7C"/>
    <w:rsid w:val="006C3145"/>
    <w:rsid w:val="006C34FD"/>
    <w:rsid w:val="006C355F"/>
    <w:rsid w:val="006C37CA"/>
    <w:rsid w:val="006C38A3"/>
    <w:rsid w:val="006C38DE"/>
    <w:rsid w:val="006C3B41"/>
    <w:rsid w:val="006C3B6A"/>
    <w:rsid w:val="006C3F05"/>
    <w:rsid w:val="006C400C"/>
    <w:rsid w:val="006C41A8"/>
    <w:rsid w:val="006C4200"/>
    <w:rsid w:val="006C45E1"/>
    <w:rsid w:val="006C47CF"/>
    <w:rsid w:val="006C49AA"/>
    <w:rsid w:val="006C4AC1"/>
    <w:rsid w:val="006C4B54"/>
    <w:rsid w:val="006C4B70"/>
    <w:rsid w:val="006C4EC2"/>
    <w:rsid w:val="006C5296"/>
    <w:rsid w:val="006C55F5"/>
    <w:rsid w:val="006C563D"/>
    <w:rsid w:val="006C568B"/>
    <w:rsid w:val="006C5BB2"/>
    <w:rsid w:val="006C6135"/>
    <w:rsid w:val="006C64BC"/>
    <w:rsid w:val="006C6519"/>
    <w:rsid w:val="006C6913"/>
    <w:rsid w:val="006C6CB8"/>
    <w:rsid w:val="006C6F18"/>
    <w:rsid w:val="006C78FB"/>
    <w:rsid w:val="006C7D40"/>
    <w:rsid w:val="006C7D83"/>
    <w:rsid w:val="006C7D9D"/>
    <w:rsid w:val="006C7EE0"/>
    <w:rsid w:val="006C7EF5"/>
    <w:rsid w:val="006C7F82"/>
    <w:rsid w:val="006D008E"/>
    <w:rsid w:val="006D0777"/>
    <w:rsid w:val="006D0809"/>
    <w:rsid w:val="006D095F"/>
    <w:rsid w:val="006D09BC"/>
    <w:rsid w:val="006D0A1A"/>
    <w:rsid w:val="006D0A93"/>
    <w:rsid w:val="006D0E52"/>
    <w:rsid w:val="006D0E99"/>
    <w:rsid w:val="006D0F05"/>
    <w:rsid w:val="006D0F40"/>
    <w:rsid w:val="006D0FD8"/>
    <w:rsid w:val="006D14E9"/>
    <w:rsid w:val="006D16B1"/>
    <w:rsid w:val="006D1DEB"/>
    <w:rsid w:val="006D1FE8"/>
    <w:rsid w:val="006D20C4"/>
    <w:rsid w:val="006D2374"/>
    <w:rsid w:val="006D24EA"/>
    <w:rsid w:val="006D259B"/>
    <w:rsid w:val="006D25A7"/>
    <w:rsid w:val="006D284B"/>
    <w:rsid w:val="006D28D0"/>
    <w:rsid w:val="006D2A0B"/>
    <w:rsid w:val="006D2A79"/>
    <w:rsid w:val="006D2D84"/>
    <w:rsid w:val="006D2F25"/>
    <w:rsid w:val="006D2F72"/>
    <w:rsid w:val="006D2F8D"/>
    <w:rsid w:val="006D31FE"/>
    <w:rsid w:val="006D32E2"/>
    <w:rsid w:val="006D3556"/>
    <w:rsid w:val="006D35C6"/>
    <w:rsid w:val="006D374C"/>
    <w:rsid w:val="006D386E"/>
    <w:rsid w:val="006D3B8A"/>
    <w:rsid w:val="006D3D47"/>
    <w:rsid w:val="006D3FAA"/>
    <w:rsid w:val="006D40DC"/>
    <w:rsid w:val="006D4199"/>
    <w:rsid w:val="006D4560"/>
    <w:rsid w:val="006D4A99"/>
    <w:rsid w:val="006D4B24"/>
    <w:rsid w:val="006D4C34"/>
    <w:rsid w:val="006D4F47"/>
    <w:rsid w:val="006D4FD6"/>
    <w:rsid w:val="006D50A7"/>
    <w:rsid w:val="006D5234"/>
    <w:rsid w:val="006D534C"/>
    <w:rsid w:val="006D53E7"/>
    <w:rsid w:val="006D544A"/>
    <w:rsid w:val="006D5533"/>
    <w:rsid w:val="006D55A3"/>
    <w:rsid w:val="006D5732"/>
    <w:rsid w:val="006D574D"/>
    <w:rsid w:val="006D5A02"/>
    <w:rsid w:val="006D5B97"/>
    <w:rsid w:val="006D602B"/>
    <w:rsid w:val="006D6262"/>
    <w:rsid w:val="006D6772"/>
    <w:rsid w:val="006D6922"/>
    <w:rsid w:val="006D6972"/>
    <w:rsid w:val="006D6982"/>
    <w:rsid w:val="006D69B9"/>
    <w:rsid w:val="006D6B10"/>
    <w:rsid w:val="006D6F37"/>
    <w:rsid w:val="006D7191"/>
    <w:rsid w:val="006D7B19"/>
    <w:rsid w:val="006D7DAC"/>
    <w:rsid w:val="006E0365"/>
    <w:rsid w:val="006E0506"/>
    <w:rsid w:val="006E052A"/>
    <w:rsid w:val="006E0547"/>
    <w:rsid w:val="006E0840"/>
    <w:rsid w:val="006E09A3"/>
    <w:rsid w:val="006E0B26"/>
    <w:rsid w:val="006E0B7E"/>
    <w:rsid w:val="006E0C2A"/>
    <w:rsid w:val="006E0E4F"/>
    <w:rsid w:val="006E0F20"/>
    <w:rsid w:val="006E0F39"/>
    <w:rsid w:val="006E0F96"/>
    <w:rsid w:val="006E1138"/>
    <w:rsid w:val="006E18EA"/>
    <w:rsid w:val="006E1AAA"/>
    <w:rsid w:val="006E1D18"/>
    <w:rsid w:val="006E1E0F"/>
    <w:rsid w:val="006E1E75"/>
    <w:rsid w:val="006E1E76"/>
    <w:rsid w:val="006E1EF1"/>
    <w:rsid w:val="006E2095"/>
    <w:rsid w:val="006E25D8"/>
    <w:rsid w:val="006E2650"/>
    <w:rsid w:val="006E2733"/>
    <w:rsid w:val="006E29C7"/>
    <w:rsid w:val="006E2E04"/>
    <w:rsid w:val="006E3312"/>
    <w:rsid w:val="006E3362"/>
    <w:rsid w:val="006E3623"/>
    <w:rsid w:val="006E3735"/>
    <w:rsid w:val="006E3791"/>
    <w:rsid w:val="006E3BD4"/>
    <w:rsid w:val="006E3E93"/>
    <w:rsid w:val="006E4184"/>
    <w:rsid w:val="006E42AF"/>
    <w:rsid w:val="006E42D2"/>
    <w:rsid w:val="006E4480"/>
    <w:rsid w:val="006E4806"/>
    <w:rsid w:val="006E4A7B"/>
    <w:rsid w:val="006E4B64"/>
    <w:rsid w:val="006E4BB7"/>
    <w:rsid w:val="006E4C9D"/>
    <w:rsid w:val="006E4DEE"/>
    <w:rsid w:val="006E4F43"/>
    <w:rsid w:val="006E4F4E"/>
    <w:rsid w:val="006E4F95"/>
    <w:rsid w:val="006E52CF"/>
    <w:rsid w:val="006E5471"/>
    <w:rsid w:val="006E54F1"/>
    <w:rsid w:val="006E5C67"/>
    <w:rsid w:val="006E5EDB"/>
    <w:rsid w:val="006E6212"/>
    <w:rsid w:val="006E64D5"/>
    <w:rsid w:val="006E6521"/>
    <w:rsid w:val="006E65E2"/>
    <w:rsid w:val="006E684D"/>
    <w:rsid w:val="006E68AE"/>
    <w:rsid w:val="006E6CFC"/>
    <w:rsid w:val="006E6DB5"/>
    <w:rsid w:val="006E70D4"/>
    <w:rsid w:val="006E768B"/>
    <w:rsid w:val="006E76A4"/>
    <w:rsid w:val="006E7715"/>
    <w:rsid w:val="006E7C19"/>
    <w:rsid w:val="006E7D10"/>
    <w:rsid w:val="006E7EE8"/>
    <w:rsid w:val="006F006D"/>
    <w:rsid w:val="006F0147"/>
    <w:rsid w:val="006F01B8"/>
    <w:rsid w:val="006F09E1"/>
    <w:rsid w:val="006F0D9E"/>
    <w:rsid w:val="006F0EEB"/>
    <w:rsid w:val="006F135F"/>
    <w:rsid w:val="006F14D1"/>
    <w:rsid w:val="006F1589"/>
    <w:rsid w:val="006F1905"/>
    <w:rsid w:val="006F1B30"/>
    <w:rsid w:val="006F1CB2"/>
    <w:rsid w:val="006F1DC9"/>
    <w:rsid w:val="006F237D"/>
    <w:rsid w:val="006F23EE"/>
    <w:rsid w:val="006F240C"/>
    <w:rsid w:val="006F2520"/>
    <w:rsid w:val="006F257A"/>
    <w:rsid w:val="006F2A7C"/>
    <w:rsid w:val="006F2BA2"/>
    <w:rsid w:val="006F2DBF"/>
    <w:rsid w:val="006F2F29"/>
    <w:rsid w:val="006F2FB7"/>
    <w:rsid w:val="006F31CB"/>
    <w:rsid w:val="006F32C1"/>
    <w:rsid w:val="006F3355"/>
    <w:rsid w:val="006F3462"/>
    <w:rsid w:val="006F3B46"/>
    <w:rsid w:val="006F3C83"/>
    <w:rsid w:val="006F3C8C"/>
    <w:rsid w:val="006F3D98"/>
    <w:rsid w:val="006F3E61"/>
    <w:rsid w:val="006F3F2C"/>
    <w:rsid w:val="006F4A80"/>
    <w:rsid w:val="006F4B02"/>
    <w:rsid w:val="006F4D3A"/>
    <w:rsid w:val="006F4D50"/>
    <w:rsid w:val="006F4EEE"/>
    <w:rsid w:val="006F4F37"/>
    <w:rsid w:val="006F51E1"/>
    <w:rsid w:val="006F52AC"/>
    <w:rsid w:val="006F55E6"/>
    <w:rsid w:val="006F5622"/>
    <w:rsid w:val="006F568C"/>
    <w:rsid w:val="006F584F"/>
    <w:rsid w:val="006F59C0"/>
    <w:rsid w:val="006F5A75"/>
    <w:rsid w:val="006F5BE9"/>
    <w:rsid w:val="006F6063"/>
    <w:rsid w:val="006F607A"/>
    <w:rsid w:val="006F62AC"/>
    <w:rsid w:val="006F66CA"/>
    <w:rsid w:val="006F6762"/>
    <w:rsid w:val="006F6C91"/>
    <w:rsid w:val="006F6DA0"/>
    <w:rsid w:val="006F6E46"/>
    <w:rsid w:val="006F6EA8"/>
    <w:rsid w:val="006F700A"/>
    <w:rsid w:val="006F70D6"/>
    <w:rsid w:val="006F7249"/>
    <w:rsid w:val="006F7A6F"/>
    <w:rsid w:val="006F7B29"/>
    <w:rsid w:val="006F7DFF"/>
    <w:rsid w:val="006F7EE9"/>
    <w:rsid w:val="006F7FEA"/>
    <w:rsid w:val="007002B1"/>
    <w:rsid w:val="0070039B"/>
    <w:rsid w:val="0070039C"/>
    <w:rsid w:val="00700405"/>
    <w:rsid w:val="00700499"/>
    <w:rsid w:val="00700517"/>
    <w:rsid w:val="0070061C"/>
    <w:rsid w:val="007007D1"/>
    <w:rsid w:val="007007E7"/>
    <w:rsid w:val="0070080B"/>
    <w:rsid w:val="00700842"/>
    <w:rsid w:val="00700D4D"/>
    <w:rsid w:val="0070117E"/>
    <w:rsid w:val="00701250"/>
    <w:rsid w:val="00701278"/>
    <w:rsid w:val="00701650"/>
    <w:rsid w:val="00701661"/>
    <w:rsid w:val="007017A6"/>
    <w:rsid w:val="00701B72"/>
    <w:rsid w:val="00701C20"/>
    <w:rsid w:val="00701CE7"/>
    <w:rsid w:val="0070201C"/>
    <w:rsid w:val="0070228F"/>
    <w:rsid w:val="00702373"/>
    <w:rsid w:val="007023FD"/>
    <w:rsid w:val="00702D75"/>
    <w:rsid w:val="00702F13"/>
    <w:rsid w:val="00702F81"/>
    <w:rsid w:val="00703132"/>
    <w:rsid w:val="0070315F"/>
    <w:rsid w:val="00703270"/>
    <w:rsid w:val="0070364D"/>
    <w:rsid w:val="007036BE"/>
    <w:rsid w:val="00703744"/>
    <w:rsid w:val="00703779"/>
    <w:rsid w:val="00703786"/>
    <w:rsid w:val="00703862"/>
    <w:rsid w:val="00703865"/>
    <w:rsid w:val="00703904"/>
    <w:rsid w:val="00704422"/>
    <w:rsid w:val="007044B5"/>
    <w:rsid w:val="0070465D"/>
    <w:rsid w:val="00704924"/>
    <w:rsid w:val="00704A03"/>
    <w:rsid w:val="00704F65"/>
    <w:rsid w:val="00705635"/>
    <w:rsid w:val="00705E2D"/>
    <w:rsid w:val="00705E57"/>
    <w:rsid w:val="00705FA5"/>
    <w:rsid w:val="0070635E"/>
    <w:rsid w:val="0070673E"/>
    <w:rsid w:val="0070693C"/>
    <w:rsid w:val="00706BAA"/>
    <w:rsid w:val="00706C1E"/>
    <w:rsid w:val="00706D67"/>
    <w:rsid w:val="00706E1C"/>
    <w:rsid w:val="0070725F"/>
    <w:rsid w:val="0070729F"/>
    <w:rsid w:val="007072EA"/>
    <w:rsid w:val="007073A7"/>
    <w:rsid w:val="007073F9"/>
    <w:rsid w:val="00707B44"/>
    <w:rsid w:val="00707CD5"/>
    <w:rsid w:val="00707D59"/>
    <w:rsid w:val="00707D82"/>
    <w:rsid w:val="00707FF3"/>
    <w:rsid w:val="007100C7"/>
    <w:rsid w:val="007101BC"/>
    <w:rsid w:val="007105AA"/>
    <w:rsid w:val="00710982"/>
    <w:rsid w:val="00710A92"/>
    <w:rsid w:val="00710C2E"/>
    <w:rsid w:val="00710C47"/>
    <w:rsid w:val="00710C9C"/>
    <w:rsid w:val="007113BB"/>
    <w:rsid w:val="007113CE"/>
    <w:rsid w:val="00711756"/>
    <w:rsid w:val="0071178C"/>
    <w:rsid w:val="007117F5"/>
    <w:rsid w:val="00711914"/>
    <w:rsid w:val="00711BBB"/>
    <w:rsid w:val="007120F4"/>
    <w:rsid w:val="007123F8"/>
    <w:rsid w:val="007127AC"/>
    <w:rsid w:val="0071289A"/>
    <w:rsid w:val="00712AED"/>
    <w:rsid w:val="00712D45"/>
    <w:rsid w:val="00712D99"/>
    <w:rsid w:val="0071325D"/>
    <w:rsid w:val="00713342"/>
    <w:rsid w:val="0071336A"/>
    <w:rsid w:val="00713BD5"/>
    <w:rsid w:val="00713F8B"/>
    <w:rsid w:val="007142A1"/>
    <w:rsid w:val="007143B5"/>
    <w:rsid w:val="007143C6"/>
    <w:rsid w:val="00714515"/>
    <w:rsid w:val="00714630"/>
    <w:rsid w:val="00714658"/>
    <w:rsid w:val="00714D3F"/>
    <w:rsid w:val="00714D4A"/>
    <w:rsid w:val="007152D1"/>
    <w:rsid w:val="00715300"/>
    <w:rsid w:val="00715330"/>
    <w:rsid w:val="00715408"/>
    <w:rsid w:val="00715623"/>
    <w:rsid w:val="00715759"/>
    <w:rsid w:val="00715B4B"/>
    <w:rsid w:val="00715C51"/>
    <w:rsid w:val="0071600B"/>
    <w:rsid w:val="00716016"/>
    <w:rsid w:val="00716211"/>
    <w:rsid w:val="0071654A"/>
    <w:rsid w:val="007169CA"/>
    <w:rsid w:val="00716EB6"/>
    <w:rsid w:val="00717317"/>
    <w:rsid w:val="0071746F"/>
    <w:rsid w:val="007177D1"/>
    <w:rsid w:val="007177F0"/>
    <w:rsid w:val="00717985"/>
    <w:rsid w:val="00717B3E"/>
    <w:rsid w:val="00717CD2"/>
    <w:rsid w:val="00717D44"/>
    <w:rsid w:val="00717D5B"/>
    <w:rsid w:val="00717ED3"/>
    <w:rsid w:val="00720003"/>
    <w:rsid w:val="00720276"/>
    <w:rsid w:val="0072028A"/>
    <w:rsid w:val="00720524"/>
    <w:rsid w:val="00720746"/>
    <w:rsid w:val="007208FC"/>
    <w:rsid w:val="00720A48"/>
    <w:rsid w:val="00720AE9"/>
    <w:rsid w:val="00720CBF"/>
    <w:rsid w:val="00720D6A"/>
    <w:rsid w:val="0072107C"/>
    <w:rsid w:val="007211FD"/>
    <w:rsid w:val="0072167A"/>
    <w:rsid w:val="00721C6A"/>
    <w:rsid w:val="007220FA"/>
    <w:rsid w:val="007223AF"/>
    <w:rsid w:val="00722493"/>
    <w:rsid w:val="00722581"/>
    <w:rsid w:val="00722A97"/>
    <w:rsid w:val="00722C35"/>
    <w:rsid w:val="00722E71"/>
    <w:rsid w:val="00722E9E"/>
    <w:rsid w:val="0072311B"/>
    <w:rsid w:val="00723132"/>
    <w:rsid w:val="00723409"/>
    <w:rsid w:val="007236A7"/>
    <w:rsid w:val="007239F4"/>
    <w:rsid w:val="00723F76"/>
    <w:rsid w:val="00724108"/>
    <w:rsid w:val="007241DB"/>
    <w:rsid w:val="0072438E"/>
    <w:rsid w:val="00724A4A"/>
    <w:rsid w:val="00724B13"/>
    <w:rsid w:val="00724B64"/>
    <w:rsid w:val="00724D6C"/>
    <w:rsid w:val="007251EA"/>
    <w:rsid w:val="00725320"/>
    <w:rsid w:val="007256A7"/>
    <w:rsid w:val="00725888"/>
    <w:rsid w:val="007259AD"/>
    <w:rsid w:val="00725E89"/>
    <w:rsid w:val="00725FD7"/>
    <w:rsid w:val="007260AA"/>
    <w:rsid w:val="007264BF"/>
    <w:rsid w:val="007264EE"/>
    <w:rsid w:val="007265E0"/>
    <w:rsid w:val="00726884"/>
    <w:rsid w:val="0072690B"/>
    <w:rsid w:val="00726937"/>
    <w:rsid w:val="00726B75"/>
    <w:rsid w:val="00726BF0"/>
    <w:rsid w:val="00726EE3"/>
    <w:rsid w:val="00726F0F"/>
    <w:rsid w:val="00726F48"/>
    <w:rsid w:val="0072708F"/>
    <w:rsid w:val="007271AA"/>
    <w:rsid w:val="007273AF"/>
    <w:rsid w:val="007274EF"/>
    <w:rsid w:val="00727814"/>
    <w:rsid w:val="00727944"/>
    <w:rsid w:val="00727F4E"/>
    <w:rsid w:val="00730052"/>
    <w:rsid w:val="0073035E"/>
    <w:rsid w:val="00730507"/>
    <w:rsid w:val="00730538"/>
    <w:rsid w:val="0073079E"/>
    <w:rsid w:val="0073082C"/>
    <w:rsid w:val="00730DA5"/>
    <w:rsid w:val="00730E88"/>
    <w:rsid w:val="007312C0"/>
    <w:rsid w:val="00731731"/>
    <w:rsid w:val="0073203D"/>
    <w:rsid w:val="00732126"/>
    <w:rsid w:val="007321FA"/>
    <w:rsid w:val="00732587"/>
    <w:rsid w:val="00732691"/>
    <w:rsid w:val="0073283E"/>
    <w:rsid w:val="007329C8"/>
    <w:rsid w:val="00732C95"/>
    <w:rsid w:val="00732CF9"/>
    <w:rsid w:val="00732D99"/>
    <w:rsid w:val="00732E9B"/>
    <w:rsid w:val="00733070"/>
    <w:rsid w:val="00733325"/>
    <w:rsid w:val="00733B85"/>
    <w:rsid w:val="00733C9B"/>
    <w:rsid w:val="00733CAA"/>
    <w:rsid w:val="00733D0F"/>
    <w:rsid w:val="00733DB7"/>
    <w:rsid w:val="00733EF6"/>
    <w:rsid w:val="007341AF"/>
    <w:rsid w:val="007344D4"/>
    <w:rsid w:val="00734933"/>
    <w:rsid w:val="00734944"/>
    <w:rsid w:val="00734AF0"/>
    <w:rsid w:val="0073511B"/>
    <w:rsid w:val="0073523A"/>
    <w:rsid w:val="007359E1"/>
    <w:rsid w:val="00735AF4"/>
    <w:rsid w:val="00735B60"/>
    <w:rsid w:val="00735FE2"/>
    <w:rsid w:val="00736020"/>
    <w:rsid w:val="00736172"/>
    <w:rsid w:val="00736297"/>
    <w:rsid w:val="00736476"/>
    <w:rsid w:val="00736479"/>
    <w:rsid w:val="00736494"/>
    <w:rsid w:val="007364AE"/>
    <w:rsid w:val="007365A5"/>
    <w:rsid w:val="00736940"/>
    <w:rsid w:val="007369C1"/>
    <w:rsid w:val="00736E4E"/>
    <w:rsid w:val="00736F81"/>
    <w:rsid w:val="00737047"/>
    <w:rsid w:val="00737198"/>
    <w:rsid w:val="007372F2"/>
    <w:rsid w:val="007373BC"/>
    <w:rsid w:val="00737618"/>
    <w:rsid w:val="007378A8"/>
    <w:rsid w:val="00737B19"/>
    <w:rsid w:val="00737C9E"/>
    <w:rsid w:val="00737D07"/>
    <w:rsid w:val="00737D67"/>
    <w:rsid w:val="00737F4B"/>
    <w:rsid w:val="00740440"/>
    <w:rsid w:val="007405D3"/>
    <w:rsid w:val="00740C0F"/>
    <w:rsid w:val="00741052"/>
    <w:rsid w:val="007413A6"/>
    <w:rsid w:val="007413B7"/>
    <w:rsid w:val="007413E5"/>
    <w:rsid w:val="0074177C"/>
    <w:rsid w:val="00741801"/>
    <w:rsid w:val="00741D7C"/>
    <w:rsid w:val="00741DEF"/>
    <w:rsid w:val="00741E52"/>
    <w:rsid w:val="0074227C"/>
    <w:rsid w:val="007427DD"/>
    <w:rsid w:val="00742996"/>
    <w:rsid w:val="00742A48"/>
    <w:rsid w:val="00742C7A"/>
    <w:rsid w:val="00742C88"/>
    <w:rsid w:val="00742C91"/>
    <w:rsid w:val="007431A2"/>
    <w:rsid w:val="00743610"/>
    <w:rsid w:val="0074370F"/>
    <w:rsid w:val="00743790"/>
    <w:rsid w:val="007437C0"/>
    <w:rsid w:val="00743B0C"/>
    <w:rsid w:val="00743BF5"/>
    <w:rsid w:val="00743D98"/>
    <w:rsid w:val="00744195"/>
    <w:rsid w:val="00744325"/>
    <w:rsid w:val="00744648"/>
    <w:rsid w:val="00744816"/>
    <w:rsid w:val="00744C0E"/>
    <w:rsid w:val="00744F9C"/>
    <w:rsid w:val="00745311"/>
    <w:rsid w:val="0074538B"/>
    <w:rsid w:val="007454D6"/>
    <w:rsid w:val="00745524"/>
    <w:rsid w:val="00745CF7"/>
    <w:rsid w:val="00745DA3"/>
    <w:rsid w:val="00745DDC"/>
    <w:rsid w:val="00745E41"/>
    <w:rsid w:val="00745E64"/>
    <w:rsid w:val="00745E9D"/>
    <w:rsid w:val="00745F5B"/>
    <w:rsid w:val="00745FFA"/>
    <w:rsid w:val="00746158"/>
    <w:rsid w:val="007463D1"/>
    <w:rsid w:val="00746420"/>
    <w:rsid w:val="007467ED"/>
    <w:rsid w:val="0074705C"/>
    <w:rsid w:val="00747102"/>
    <w:rsid w:val="007472C6"/>
    <w:rsid w:val="007472DE"/>
    <w:rsid w:val="00747425"/>
    <w:rsid w:val="007476B6"/>
    <w:rsid w:val="00747B9A"/>
    <w:rsid w:val="00747C75"/>
    <w:rsid w:val="00747D66"/>
    <w:rsid w:val="00747D72"/>
    <w:rsid w:val="007503F3"/>
    <w:rsid w:val="00750629"/>
    <w:rsid w:val="007506F9"/>
    <w:rsid w:val="0075077A"/>
    <w:rsid w:val="007507B3"/>
    <w:rsid w:val="007508A4"/>
    <w:rsid w:val="007508C1"/>
    <w:rsid w:val="00750972"/>
    <w:rsid w:val="007509F6"/>
    <w:rsid w:val="00750A73"/>
    <w:rsid w:val="00751140"/>
    <w:rsid w:val="0075116B"/>
    <w:rsid w:val="00751193"/>
    <w:rsid w:val="0075167B"/>
    <w:rsid w:val="00751D65"/>
    <w:rsid w:val="00751DF2"/>
    <w:rsid w:val="00751FF4"/>
    <w:rsid w:val="0075205E"/>
    <w:rsid w:val="007521DB"/>
    <w:rsid w:val="007522C8"/>
    <w:rsid w:val="007522D4"/>
    <w:rsid w:val="0075266D"/>
    <w:rsid w:val="007528EF"/>
    <w:rsid w:val="007529CD"/>
    <w:rsid w:val="00752A1A"/>
    <w:rsid w:val="00752D4C"/>
    <w:rsid w:val="00752DA3"/>
    <w:rsid w:val="00752E0D"/>
    <w:rsid w:val="00753057"/>
    <w:rsid w:val="00753168"/>
    <w:rsid w:val="007532FB"/>
    <w:rsid w:val="00753840"/>
    <w:rsid w:val="00753AE1"/>
    <w:rsid w:val="00753B82"/>
    <w:rsid w:val="007540AA"/>
    <w:rsid w:val="00754109"/>
    <w:rsid w:val="007542DC"/>
    <w:rsid w:val="0075437F"/>
    <w:rsid w:val="00754656"/>
    <w:rsid w:val="00754988"/>
    <w:rsid w:val="00754A3D"/>
    <w:rsid w:val="00754B70"/>
    <w:rsid w:val="00754D05"/>
    <w:rsid w:val="00754EFD"/>
    <w:rsid w:val="00755016"/>
    <w:rsid w:val="0075552A"/>
    <w:rsid w:val="00755938"/>
    <w:rsid w:val="00755B54"/>
    <w:rsid w:val="00755CD7"/>
    <w:rsid w:val="0075603E"/>
    <w:rsid w:val="007560C2"/>
    <w:rsid w:val="007561AC"/>
    <w:rsid w:val="00756434"/>
    <w:rsid w:val="00756DB7"/>
    <w:rsid w:val="00756E15"/>
    <w:rsid w:val="00757101"/>
    <w:rsid w:val="007574D2"/>
    <w:rsid w:val="0075781A"/>
    <w:rsid w:val="00757954"/>
    <w:rsid w:val="00757AAA"/>
    <w:rsid w:val="00757CA7"/>
    <w:rsid w:val="00757E00"/>
    <w:rsid w:val="00757ECF"/>
    <w:rsid w:val="00757EE3"/>
    <w:rsid w:val="007600DC"/>
    <w:rsid w:val="00760197"/>
    <w:rsid w:val="00760322"/>
    <w:rsid w:val="0076055D"/>
    <w:rsid w:val="00760990"/>
    <w:rsid w:val="00760AE4"/>
    <w:rsid w:val="00760B08"/>
    <w:rsid w:val="00761051"/>
    <w:rsid w:val="00761330"/>
    <w:rsid w:val="0076136E"/>
    <w:rsid w:val="00761424"/>
    <w:rsid w:val="007616CE"/>
    <w:rsid w:val="007616D3"/>
    <w:rsid w:val="00761855"/>
    <w:rsid w:val="00761ED8"/>
    <w:rsid w:val="0076200E"/>
    <w:rsid w:val="00762086"/>
    <w:rsid w:val="007620AA"/>
    <w:rsid w:val="007620FF"/>
    <w:rsid w:val="007622CD"/>
    <w:rsid w:val="0076238B"/>
    <w:rsid w:val="007623E2"/>
    <w:rsid w:val="00762578"/>
    <w:rsid w:val="007625B9"/>
    <w:rsid w:val="0076285D"/>
    <w:rsid w:val="007629FA"/>
    <w:rsid w:val="00762A86"/>
    <w:rsid w:val="00762C73"/>
    <w:rsid w:val="00762CC1"/>
    <w:rsid w:val="00762F26"/>
    <w:rsid w:val="007630F0"/>
    <w:rsid w:val="00763402"/>
    <w:rsid w:val="0076355C"/>
    <w:rsid w:val="0076361E"/>
    <w:rsid w:val="0076364F"/>
    <w:rsid w:val="0076398B"/>
    <w:rsid w:val="00763BDD"/>
    <w:rsid w:val="00763C07"/>
    <w:rsid w:val="00763C9C"/>
    <w:rsid w:val="00763F1F"/>
    <w:rsid w:val="00764548"/>
    <w:rsid w:val="007645B6"/>
    <w:rsid w:val="00764AD4"/>
    <w:rsid w:val="00764BFC"/>
    <w:rsid w:val="00764C4C"/>
    <w:rsid w:val="00764CE4"/>
    <w:rsid w:val="00764DDA"/>
    <w:rsid w:val="007657FA"/>
    <w:rsid w:val="00765A58"/>
    <w:rsid w:val="00765B92"/>
    <w:rsid w:val="00765DBF"/>
    <w:rsid w:val="00765E34"/>
    <w:rsid w:val="00766463"/>
    <w:rsid w:val="00766631"/>
    <w:rsid w:val="0076671E"/>
    <w:rsid w:val="0076676C"/>
    <w:rsid w:val="00766A7B"/>
    <w:rsid w:val="00766D7F"/>
    <w:rsid w:val="00767277"/>
    <w:rsid w:val="00767439"/>
    <w:rsid w:val="007674A5"/>
    <w:rsid w:val="00767597"/>
    <w:rsid w:val="007677E8"/>
    <w:rsid w:val="00767B04"/>
    <w:rsid w:val="00767BE9"/>
    <w:rsid w:val="007700E2"/>
    <w:rsid w:val="0077023D"/>
    <w:rsid w:val="00770245"/>
    <w:rsid w:val="007703BB"/>
    <w:rsid w:val="007703BD"/>
    <w:rsid w:val="0077080C"/>
    <w:rsid w:val="0077085C"/>
    <w:rsid w:val="00770ABD"/>
    <w:rsid w:val="00770B02"/>
    <w:rsid w:val="00770B59"/>
    <w:rsid w:val="00770D1D"/>
    <w:rsid w:val="00770F8B"/>
    <w:rsid w:val="00771254"/>
    <w:rsid w:val="007714C8"/>
    <w:rsid w:val="00771670"/>
    <w:rsid w:val="00771716"/>
    <w:rsid w:val="007718C9"/>
    <w:rsid w:val="007718FA"/>
    <w:rsid w:val="00771BDE"/>
    <w:rsid w:val="0077235B"/>
    <w:rsid w:val="00772658"/>
    <w:rsid w:val="00772789"/>
    <w:rsid w:val="00772799"/>
    <w:rsid w:val="007728EC"/>
    <w:rsid w:val="00772C8D"/>
    <w:rsid w:val="00772D73"/>
    <w:rsid w:val="00772F24"/>
    <w:rsid w:val="00772FBD"/>
    <w:rsid w:val="007731D5"/>
    <w:rsid w:val="007732C6"/>
    <w:rsid w:val="0077334C"/>
    <w:rsid w:val="0077347F"/>
    <w:rsid w:val="00773C29"/>
    <w:rsid w:val="00773CFB"/>
    <w:rsid w:val="00773DDD"/>
    <w:rsid w:val="007740DD"/>
    <w:rsid w:val="00774125"/>
    <w:rsid w:val="007741B9"/>
    <w:rsid w:val="007749C8"/>
    <w:rsid w:val="00774A5C"/>
    <w:rsid w:val="00774B3F"/>
    <w:rsid w:val="00774CD1"/>
    <w:rsid w:val="00774E90"/>
    <w:rsid w:val="00774F70"/>
    <w:rsid w:val="00775098"/>
    <w:rsid w:val="007750ED"/>
    <w:rsid w:val="007754DA"/>
    <w:rsid w:val="007754E4"/>
    <w:rsid w:val="0077561A"/>
    <w:rsid w:val="0077565D"/>
    <w:rsid w:val="00775941"/>
    <w:rsid w:val="00775986"/>
    <w:rsid w:val="00775AC1"/>
    <w:rsid w:val="00775BF7"/>
    <w:rsid w:val="007760FC"/>
    <w:rsid w:val="00776225"/>
    <w:rsid w:val="007762CF"/>
    <w:rsid w:val="00776773"/>
    <w:rsid w:val="00776898"/>
    <w:rsid w:val="00776916"/>
    <w:rsid w:val="00776C49"/>
    <w:rsid w:val="00776F98"/>
    <w:rsid w:val="007771D2"/>
    <w:rsid w:val="00777314"/>
    <w:rsid w:val="00777369"/>
    <w:rsid w:val="00777548"/>
    <w:rsid w:val="007777CA"/>
    <w:rsid w:val="00777968"/>
    <w:rsid w:val="00777A73"/>
    <w:rsid w:val="00777C14"/>
    <w:rsid w:val="00777DEE"/>
    <w:rsid w:val="00777E5E"/>
    <w:rsid w:val="00780268"/>
    <w:rsid w:val="007803E4"/>
    <w:rsid w:val="00780658"/>
    <w:rsid w:val="007809C6"/>
    <w:rsid w:val="00780BE7"/>
    <w:rsid w:val="00780EC2"/>
    <w:rsid w:val="00780F50"/>
    <w:rsid w:val="00781046"/>
    <w:rsid w:val="00781095"/>
    <w:rsid w:val="007810C9"/>
    <w:rsid w:val="007810F4"/>
    <w:rsid w:val="007816FE"/>
    <w:rsid w:val="00781756"/>
    <w:rsid w:val="007817B7"/>
    <w:rsid w:val="0078198B"/>
    <w:rsid w:val="00781A92"/>
    <w:rsid w:val="00781CCC"/>
    <w:rsid w:val="00782007"/>
    <w:rsid w:val="007822C3"/>
    <w:rsid w:val="0078249D"/>
    <w:rsid w:val="0078264C"/>
    <w:rsid w:val="007829CA"/>
    <w:rsid w:val="00782B5F"/>
    <w:rsid w:val="00783105"/>
    <w:rsid w:val="007835E0"/>
    <w:rsid w:val="007839C2"/>
    <w:rsid w:val="00783CAF"/>
    <w:rsid w:val="007840F7"/>
    <w:rsid w:val="007841E8"/>
    <w:rsid w:val="007843CE"/>
    <w:rsid w:val="00784827"/>
    <w:rsid w:val="0078498C"/>
    <w:rsid w:val="00784AC7"/>
    <w:rsid w:val="00784ED5"/>
    <w:rsid w:val="00785054"/>
    <w:rsid w:val="00785121"/>
    <w:rsid w:val="00785132"/>
    <w:rsid w:val="00785216"/>
    <w:rsid w:val="00785256"/>
    <w:rsid w:val="0078536D"/>
    <w:rsid w:val="00785505"/>
    <w:rsid w:val="00785536"/>
    <w:rsid w:val="00785743"/>
    <w:rsid w:val="007857AC"/>
    <w:rsid w:val="00785851"/>
    <w:rsid w:val="0078616D"/>
    <w:rsid w:val="007861C9"/>
    <w:rsid w:val="007863B9"/>
    <w:rsid w:val="00786575"/>
    <w:rsid w:val="0078674E"/>
    <w:rsid w:val="007869C0"/>
    <w:rsid w:val="007869EE"/>
    <w:rsid w:val="00786B17"/>
    <w:rsid w:val="00786E70"/>
    <w:rsid w:val="00786FF5"/>
    <w:rsid w:val="007870BB"/>
    <w:rsid w:val="00787705"/>
    <w:rsid w:val="00787A07"/>
    <w:rsid w:val="00787D86"/>
    <w:rsid w:val="007901CC"/>
    <w:rsid w:val="007909E0"/>
    <w:rsid w:val="007909FD"/>
    <w:rsid w:val="00790A5C"/>
    <w:rsid w:val="00790B42"/>
    <w:rsid w:val="00790BAF"/>
    <w:rsid w:val="0079101F"/>
    <w:rsid w:val="007913DD"/>
    <w:rsid w:val="007915C9"/>
    <w:rsid w:val="00791601"/>
    <w:rsid w:val="00791865"/>
    <w:rsid w:val="00791992"/>
    <w:rsid w:val="007919B9"/>
    <w:rsid w:val="00791A6F"/>
    <w:rsid w:val="00791B69"/>
    <w:rsid w:val="0079255E"/>
    <w:rsid w:val="007926D7"/>
    <w:rsid w:val="00793532"/>
    <w:rsid w:val="00793802"/>
    <w:rsid w:val="00793C23"/>
    <w:rsid w:val="00794094"/>
    <w:rsid w:val="007943A1"/>
    <w:rsid w:val="00794B1D"/>
    <w:rsid w:val="00794D64"/>
    <w:rsid w:val="00794F93"/>
    <w:rsid w:val="007950DE"/>
    <w:rsid w:val="00795156"/>
    <w:rsid w:val="00795292"/>
    <w:rsid w:val="00795487"/>
    <w:rsid w:val="0079586A"/>
    <w:rsid w:val="00795BCC"/>
    <w:rsid w:val="00795E5C"/>
    <w:rsid w:val="00795FD2"/>
    <w:rsid w:val="00796208"/>
    <w:rsid w:val="00796250"/>
    <w:rsid w:val="007969F6"/>
    <w:rsid w:val="00796A9A"/>
    <w:rsid w:val="00796BAD"/>
    <w:rsid w:val="00796C72"/>
    <w:rsid w:val="00796DE5"/>
    <w:rsid w:val="00796E64"/>
    <w:rsid w:val="00796FC1"/>
    <w:rsid w:val="007974D6"/>
    <w:rsid w:val="007975D2"/>
    <w:rsid w:val="00797B03"/>
    <w:rsid w:val="00797E4D"/>
    <w:rsid w:val="00797F4C"/>
    <w:rsid w:val="00797FE7"/>
    <w:rsid w:val="00797FEF"/>
    <w:rsid w:val="007A0358"/>
    <w:rsid w:val="007A044B"/>
    <w:rsid w:val="007A06E2"/>
    <w:rsid w:val="007A077B"/>
    <w:rsid w:val="007A09EC"/>
    <w:rsid w:val="007A0B63"/>
    <w:rsid w:val="007A0C5B"/>
    <w:rsid w:val="007A0D7E"/>
    <w:rsid w:val="007A0F8B"/>
    <w:rsid w:val="007A103A"/>
    <w:rsid w:val="007A10AD"/>
    <w:rsid w:val="007A160B"/>
    <w:rsid w:val="007A183C"/>
    <w:rsid w:val="007A1914"/>
    <w:rsid w:val="007A1A3D"/>
    <w:rsid w:val="007A1A6D"/>
    <w:rsid w:val="007A1A94"/>
    <w:rsid w:val="007A1AB3"/>
    <w:rsid w:val="007A1AC6"/>
    <w:rsid w:val="007A1BE3"/>
    <w:rsid w:val="007A1CD8"/>
    <w:rsid w:val="007A1DD0"/>
    <w:rsid w:val="007A1F09"/>
    <w:rsid w:val="007A1F57"/>
    <w:rsid w:val="007A2214"/>
    <w:rsid w:val="007A2320"/>
    <w:rsid w:val="007A24BF"/>
    <w:rsid w:val="007A2671"/>
    <w:rsid w:val="007A26FF"/>
    <w:rsid w:val="007A2B77"/>
    <w:rsid w:val="007A3269"/>
    <w:rsid w:val="007A3427"/>
    <w:rsid w:val="007A374A"/>
    <w:rsid w:val="007A3B9A"/>
    <w:rsid w:val="007A3BC6"/>
    <w:rsid w:val="007A3D46"/>
    <w:rsid w:val="007A3EB6"/>
    <w:rsid w:val="007A4124"/>
    <w:rsid w:val="007A41FB"/>
    <w:rsid w:val="007A425A"/>
    <w:rsid w:val="007A44E4"/>
    <w:rsid w:val="007A4631"/>
    <w:rsid w:val="007A4BA6"/>
    <w:rsid w:val="007A4BE1"/>
    <w:rsid w:val="007A4CE5"/>
    <w:rsid w:val="007A4E00"/>
    <w:rsid w:val="007A4EEC"/>
    <w:rsid w:val="007A5250"/>
    <w:rsid w:val="007A575B"/>
    <w:rsid w:val="007A58A7"/>
    <w:rsid w:val="007A5928"/>
    <w:rsid w:val="007A599B"/>
    <w:rsid w:val="007A5B42"/>
    <w:rsid w:val="007A5BAF"/>
    <w:rsid w:val="007A5D55"/>
    <w:rsid w:val="007A5DC3"/>
    <w:rsid w:val="007A5F89"/>
    <w:rsid w:val="007A61D5"/>
    <w:rsid w:val="007A64D2"/>
    <w:rsid w:val="007A6979"/>
    <w:rsid w:val="007A69F7"/>
    <w:rsid w:val="007A6AC0"/>
    <w:rsid w:val="007A6D21"/>
    <w:rsid w:val="007A6D56"/>
    <w:rsid w:val="007A6ED0"/>
    <w:rsid w:val="007A6FBD"/>
    <w:rsid w:val="007A70B1"/>
    <w:rsid w:val="007A76EF"/>
    <w:rsid w:val="007A7BFA"/>
    <w:rsid w:val="007A7D5F"/>
    <w:rsid w:val="007A7EFE"/>
    <w:rsid w:val="007A7F08"/>
    <w:rsid w:val="007B0287"/>
    <w:rsid w:val="007B039D"/>
    <w:rsid w:val="007B0A18"/>
    <w:rsid w:val="007B0E22"/>
    <w:rsid w:val="007B10AB"/>
    <w:rsid w:val="007B1206"/>
    <w:rsid w:val="007B134F"/>
    <w:rsid w:val="007B1583"/>
    <w:rsid w:val="007B169C"/>
    <w:rsid w:val="007B18C0"/>
    <w:rsid w:val="007B1F74"/>
    <w:rsid w:val="007B22CE"/>
    <w:rsid w:val="007B2400"/>
    <w:rsid w:val="007B2433"/>
    <w:rsid w:val="007B2A19"/>
    <w:rsid w:val="007B2A96"/>
    <w:rsid w:val="007B2F0A"/>
    <w:rsid w:val="007B2FFC"/>
    <w:rsid w:val="007B3064"/>
    <w:rsid w:val="007B3072"/>
    <w:rsid w:val="007B3113"/>
    <w:rsid w:val="007B3389"/>
    <w:rsid w:val="007B36A5"/>
    <w:rsid w:val="007B36EE"/>
    <w:rsid w:val="007B382C"/>
    <w:rsid w:val="007B3993"/>
    <w:rsid w:val="007B3D18"/>
    <w:rsid w:val="007B3D4E"/>
    <w:rsid w:val="007B3DBC"/>
    <w:rsid w:val="007B3DEC"/>
    <w:rsid w:val="007B3E0B"/>
    <w:rsid w:val="007B46C1"/>
    <w:rsid w:val="007B48FB"/>
    <w:rsid w:val="007B4A0D"/>
    <w:rsid w:val="007B4C49"/>
    <w:rsid w:val="007B4E29"/>
    <w:rsid w:val="007B525E"/>
    <w:rsid w:val="007B5486"/>
    <w:rsid w:val="007B54C3"/>
    <w:rsid w:val="007B54D5"/>
    <w:rsid w:val="007B575B"/>
    <w:rsid w:val="007B5C32"/>
    <w:rsid w:val="007B5CC3"/>
    <w:rsid w:val="007B5CDA"/>
    <w:rsid w:val="007B5EF2"/>
    <w:rsid w:val="007B6150"/>
    <w:rsid w:val="007B651C"/>
    <w:rsid w:val="007B65E5"/>
    <w:rsid w:val="007B6774"/>
    <w:rsid w:val="007B68E4"/>
    <w:rsid w:val="007B7284"/>
    <w:rsid w:val="007B7287"/>
    <w:rsid w:val="007B764D"/>
    <w:rsid w:val="007B77B2"/>
    <w:rsid w:val="007B784B"/>
    <w:rsid w:val="007B78B0"/>
    <w:rsid w:val="007B79C6"/>
    <w:rsid w:val="007B7A30"/>
    <w:rsid w:val="007B7DDB"/>
    <w:rsid w:val="007C008E"/>
    <w:rsid w:val="007C0289"/>
    <w:rsid w:val="007C0547"/>
    <w:rsid w:val="007C06EF"/>
    <w:rsid w:val="007C09E8"/>
    <w:rsid w:val="007C0A7E"/>
    <w:rsid w:val="007C0A84"/>
    <w:rsid w:val="007C0AD9"/>
    <w:rsid w:val="007C0BF3"/>
    <w:rsid w:val="007C0C0E"/>
    <w:rsid w:val="007C0DDF"/>
    <w:rsid w:val="007C0F99"/>
    <w:rsid w:val="007C0FDC"/>
    <w:rsid w:val="007C16E3"/>
    <w:rsid w:val="007C19C5"/>
    <w:rsid w:val="007C1B2C"/>
    <w:rsid w:val="007C1D0F"/>
    <w:rsid w:val="007C1D34"/>
    <w:rsid w:val="007C1F4F"/>
    <w:rsid w:val="007C216E"/>
    <w:rsid w:val="007C276E"/>
    <w:rsid w:val="007C29B6"/>
    <w:rsid w:val="007C2D2E"/>
    <w:rsid w:val="007C32B3"/>
    <w:rsid w:val="007C3611"/>
    <w:rsid w:val="007C3743"/>
    <w:rsid w:val="007C3BBB"/>
    <w:rsid w:val="007C41B7"/>
    <w:rsid w:val="007C440D"/>
    <w:rsid w:val="007C448E"/>
    <w:rsid w:val="007C4759"/>
    <w:rsid w:val="007C499A"/>
    <w:rsid w:val="007C4B0F"/>
    <w:rsid w:val="007C4F43"/>
    <w:rsid w:val="007C55DA"/>
    <w:rsid w:val="007C58EC"/>
    <w:rsid w:val="007C5ABD"/>
    <w:rsid w:val="007C5D42"/>
    <w:rsid w:val="007C6147"/>
    <w:rsid w:val="007C64AE"/>
    <w:rsid w:val="007C67B1"/>
    <w:rsid w:val="007C67E5"/>
    <w:rsid w:val="007C68DC"/>
    <w:rsid w:val="007C69B8"/>
    <w:rsid w:val="007C6B23"/>
    <w:rsid w:val="007C6B3A"/>
    <w:rsid w:val="007C6BDB"/>
    <w:rsid w:val="007C6DE5"/>
    <w:rsid w:val="007C6FC0"/>
    <w:rsid w:val="007C7019"/>
    <w:rsid w:val="007C723F"/>
    <w:rsid w:val="007C732E"/>
    <w:rsid w:val="007C7584"/>
    <w:rsid w:val="007C7600"/>
    <w:rsid w:val="007C776B"/>
    <w:rsid w:val="007C7A7D"/>
    <w:rsid w:val="007C7B49"/>
    <w:rsid w:val="007C7BFA"/>
    <w:rsid w:val="007C7DE4"/>
    <w:rsid w:val="007C7E8A"/>
    <w:rsid w:val="007C7ED1"/>
    <w:rsid w:val="007D0284"/>
    <w:rsid w:val="007D042D"/>
    <w:rsid w:val="007D0478"/>
    <w:rsid w:val="007D0678"/>
    <w:rsid w:val="007D08D8"/>
    <w:rsid w:val="007D0B47"/>
    <w:rsid w:val="007D0D9F"/>
    <w:rsid w:val="007D1150"/>
    <w:rsid w:val="007D1574"/>
    <w:rsid w:val="007D1725"/>
    <w:rsid w:val="007D1EC1"/>
    <w:rsid w:val="007D208E"/>
    <w:rsid w:val="007D221D"/>
    <w:rsid w:val="007D22A4"/>
    <w:rsid w:val="007D22DD"/>
    <w:rsid w:val="007D2491"/>
    <w:rsid w:val="007D26AB"/>
    <w:rsid w:val="007D2767"/>
    <w:rsid w:val="007D2A2F"/>
    <w:rsid w:val="007D3409"/>
    <w:rsid w:val="007D35DD"/>
    <w:rsid w:val="007D3733"/>
    <w:rsid w:val="007D3782"/>
    <w:rsid w:val="007D37C5"/>
    <w:rsid w:val="007D3AFB"/>
    <w:rsid w:val="007D3CDB"/>
    <w:rsid w:val="007D3DBC"/>
    <w:rsid w:val="007D3F92"/>
    <w:rsid w:val="007D4078"/>
    <w:rsid w:val="007D43FE"/>
    <w:rsid w:val="007D486E"/>
    <w:rsid w:val="007D48EE"/>
    <w:rsid w:val="007D4935"/>
    <w:rsid w:val="007D5078"/>
    <w:rsid w:val="007D5134"/>
    <w:rsid w:val="007D560E"/>
    <w:rsid w:val="007D5794"/>
    <w:rsid w:val="007D6402"/>
    <w:rsid w:val="007D66C6"/>
    <w:rsid w:val="007D66F1"/>
    <w:rsid w:val="007D67DB"/>
    <w:rsid w:val="007D6868"/>
    <w:rsid w:val="007D6D94"/>
    <w:rsid w:val="007D6E60"/>
    <w:rsid w:val="007D72CB"/>
    <w:rsid w:val="007D7328"/>
    <w:rsid w:val="007D7BA1"/>
    <w:rsid w:val="007D7EE2"/>
    <w:rsid w:val="007E00E6"/>
    <w:rsid w:val="007E03AA"/>
    <w:rsid w:val="007E07F5"/>
    <w:rsid w:val="007E0CD5"/>
    <w:rsid w:val="007E0E02"/>
    <w:rsid w:val="007E10C4"/>
    <w:rsid w:val="007E1141"/>
    <w:rsid w:val="007E11EE"/>
    <w:rsid w:val="007E1219"/>
    <w:rsid w:val="007E168A"/>
    <w:rsid w:val="007E1AF7"/>
    <w:rsid w:val="007E1B92"/>
    <w:rsid w:val="007E1D1F"/>
    <w:rsid w:val="007E1DD7"/>
    <w:rsid w:val="007E1F44"/>
    <w:rsid w:val="007E1F85"/>
    <w:rsid w:val="007E2098"/>
    <w:rsid w:val="007E290F"/>
    <w:rsid w:val="007E29B5"/>
    <w:rsid w:val="007E2B6F"/>
    <w:rsid w:val="007E2ECC"/>
    <w:rsid w:val="007E30D9"/>
    <w:rsid w:val="007E3285"/>
    <w:rsid w:val="007E344C"/>
    <w:rsid w:val="007E385A"/>
    <w:rsid w:val="007E3881"/>
    <w:rsid w:val="007E3A3D"/>
    <w:rsid w:val="007E3B78"/>
    <w:rsid w:val="007E3F18"/>
    <w:rsid w:val="007E44F7"/>
    <w:rsid w:val="007E463C"/>
    <w:rsid w:val="007E46CF"/>
    <w:rsid w:val="007E473C"/>
    <w:rsid w:val="007E4761"/>
    <w:rsid w:val="007E4779"/>
    <w:rsid w:val="007E48AB"/>
    <w:rsid w:val="007E4C19"/>
    <w:rsid w:val="007E4F11"/>
    <w:rsid w:val="007E5031"/>
    <w:rsid w:val="007E52DE"/>
    <w:rsid w:val="007E543D"/>
    <w:rsid w:val="007E5614"/>
    <w:rsid w:val="007E5AD9"/>
    <w:rsid w:val="007E5B20"/>
    <w:rsid w:val="007E5E9B"/>
    <w:rsid w:val="007E5EC1"/>
    <w:rsid w:val="007E6200"/>
    <w:rsid w:val="007E6366"/>
    <w:rsid w:val="007E6428"/>
    <w:rsid w:val="007E6790"/>
    <w:rsid w:val="007E6B72"/>
    <w:rsid w:val="007E6CE2"/>
    <w:rsid w:val="007E6EDA"/>
    <w:rsid w:val="007E73CF"/>
    <w:rsid w:val="007E75A9"/>
    <w:rsid w:val="007E770B"/>
    <w:rsid w:val="007E77FD"/>
    <w:rsid w:val="007E787D"/>
    <w:rsid w:val="007E7890"/>
    <w:rsid w:val="007E7BF4"/>
    <w:rsid w:val="007E7CAB"/>
    <w:rsid w:val="007E7E3F"/>
    <w:rsid w:val="007F01FC"/>
    <w:rsid w:val="007F0228"/>
    <w:rsid w:val="007F02AA"/>
    <w:rsid w:val="007F034D"/>
    <w:rsid w:val="007F049E"/>
    <w:rsid w:val="007F07F6"/>
    <w:rsid w:val="007F09A7"/>
    <w:rsid w:val="007F0B10"/>
    <w:rsid w:val="007F13B1"/>
    <w:rsid w:val="007F1785"/>
    <w:rsid w:val="007F1902"/>
    <w:rsid w:val="007F1A60"/>
    <w:rsid w:val="007F1C00"/>
    <w:rsid w:val="007F2146"/>
    <w:rsid w:val="007F2264"/>
    <w:rsid w:val="007F2480"/>
    <w:rsid w:val="007F2633"/>
    <w:rsid w:val="007F2851"/>
    <w:rsid w:val="007F28FD"/>
    <w:rsid w:val="007F2F6A"/>
    <w:rsid w:val="007F3097"/>
    <w:rsid w:val="007F3184"/>
    <w:rsid w:val="007F3265"/>
    <w:rsid w:val="007F342F"/>
    <w:rsid w:val="007F3647"/>
    <w:rsid w:val="007F3DC2"/>
    <w:rsid w:val="007F3DCB"/>
    <w:rsid w:val="007F3E19"/>
    <w:rsid w:val="007F3F45"/>
    <w:rsid w:val="007F4304"/>
    <w:rsid w:val="007F46B9"/>
    <w:rsid w:val="007F48A7"/>
    <w:rsid w:val="007F49C4"/>
    <w:rsid w:val="007F49F1"/>
    <w:rsid w:val="007F4A5F"/>
    <w:rsid w:val="007F4C0E"/>
    <w:rsid w:val="007F4D2F"/>
    <w:rsid w:val="007F4DE4"/>
    <w:rsid w:val="007F4EEB"/>
    <w:rsid w:val="007F5037"/>
    <w:rsid w:val="007F515B"/>
    <w:rsid w:val="007F53AA"/>
    <w:rsid w:val="007F5560"/>
    <w:rsid w:val="007F5889"/>
    <w:rsid w:val="007F58FF"/>
    <w:rsid w:val="007F5A7B"/>
    <w:rsid w:val="007F5C81"/>
    <w:rsid w:val="007F5FDE"/>
    <w:rsid w:val="007F6583"/>
    <w:rsid w:val="007F65DD"/>
    <w:rsid w:val="007F6604"/>
    <w:rsid w:val="007F678E"/>
    <w:rsid w:val="007F6C24"/>
    <w:rsid w:val="007F6CB0"/>
    <w:rsid w:val="007F6DFB"/>
    <w:rsid w:val="007F6E52"/>
    <w:rsid w:val="007F7167"/>
    <w:rsid w:val="007F73B9"/>
    <w:rsid w:val="007F7664"/>
    <w:rsid w:val="007F76C2"/>
    <w:rsid w:val="007F7A04"/>
    <w:rsid w:val="007F7BC9"/>
    <w:rsid w:val="007F7C9F"/>
    <w:rsid w:val="007F7E01"/>
    <w:rsid w:val="007F7F9C"/>
    <w:rsid w:val="008005DC"/>
    <w:rsid w:val="00800934"/>
    <w:rsid w:val="00800E09"/>
    <w:rsid w:val="0080109D"/>
    <w:rsid w:val="00801382"/>
    <w:rsid w:val="00801741"/>
    <w:rsid w:val="008017AE"/>
    <w:rsid w:val="0080192C"/>
    <w:rsid w:val="00801B07"/>
    <w:rsid w:val="00801EAC"/>
    <w:rsid w:val="00801F39"/>
    <w:rsid w:val="008022CC"/>
    <w:rsid w:val="008025F9"/>
    <w:rsid w:val="00802D9A"/>
    <w:rsid w:val="008031DB"/>
    <w:rsid w:val="00803633"/>
    <w:rsid w:val="00803691"/>
    <w:rsid w:val="00803C6A"/>
    <w:rsid w:val="00803CED"/>
    <w:rsid w:val="00803EBD"/>
    <w:rsid w:val="00804303"/>
    <w:rsid w:val="008045D6"/>
    <w:rsid w:val="0080467E"/>
    <w:rsid w:val="00804F5C"/>
    <w:rsid w:val="00804FD3"/>
    <w:rsid w:val="00804FD8"/>
    <w:rsid w:val="00804FF0"/>
    <w:rsid w:val="008050AE"/>
    <w:rsid w:val="00805218"/>
    <w:rsid w:val="0080546A"/>
    <w:rsid w:val="008054E6"/>
    <w:rsid w:val="0080585D"/>
    <w:rsid w:val="00805CA5"/>
    <w:rsid w:val="00805D7D"/>
    <w:rsid w:val="00805E9B"/>
    <w:rsid w:val="0080600C"/>
    <w:rsid w:val="00806270"/>
    <w:rsid w:val="008063AF"/>
    <w:rsid w:val="008063EC"/>
    <w:rsid w:val="008069F0"/>
    <w:rsid w:val="00806B0E"/>
    <w:rsid w:val="00806E8B"/>
    <w:rsid w:val="00806F1D"/>
    <w:rsid w:val="00806F35"/>
    <w:rsid w:val="00807103"/>
    <w:rsid w:val="00807174"/>
    <w:rsid w:val="00807311"/>
    <w:rsid w:val="008073E6"/>
    <w:rsid w:val="00807419"/>
    <w:rsid w:val="00807C74"/>
    <w:rsid w:val="00807F02"/>
    <w:rsid w:val="00807F73"/>
    <w:rsid w:val="0081003D"/>
    <w:rsid w:val="00810499"/>
    <w:rsid w:val="00810A6D"/>
    <w:rsid w:val="00810B6C"/>
    <w:rsid w:val="00810C00"/>
    <w:rsid w:val="00810CD3"/>
    <w:rsid w:val="00810EA1"/>
    <w:rsid w:val="00810EA6"/>
    <w:rsid w:val="00810F09"/>
    <w:rsid w:val="008110F9"/>
    <w:rsid w:val="00811256"/>
    <w:rsid w:val="0081151E"/>
    <w:rsid w:val="00811566"/>
    <w:rsid w:val="008118A7"/>
    <w:rsid w:val="00811A29"/>
    <w:rsid w:val="00811CF7"/>
    <w:rsid w:val="00811D2E"/>
    <w:rsid w:val="00811D2F"/>
    <w:rsid w:val="00811DA6"/>
    <w:rsid w:val="00812246"/>
    <w:rsid w:val="008123F6"/>
    <w:rsid w:val="00812643"/>
    <w:rsid w:val="008127F2"/>
    <w:rsid w:val="0081297D"/>
    <w:rsid w:val="00812CAF"/>
    <w:rsid w:val="00812EC2"/>
    <w:rsid w:val="00813196"/>
    <w:rsid w:val="008135FD"/>
    <w:rsid w:val="008136C8"/>
    <w:rsid w:val="008137AE"/>
    <w:rsid w:val="00813943"/>
    <w:rsid w:val="00813A2E"/>
    <w:rsid w:val="00813A44"/>
    <w:rsid w:val="008142AF"/>
    <w:rsid w:val="00814576"/>
    <w:rsid w:val="00814952"/>
    <w:rsid w:val="00814993"/>
    <w:rsid w:val="00814A09"/>
    <w:rsid w:val="00814AB9"/>
    <w:rsid w:val="00814B95"/>
    <w:rsid w:val="00814E05"/>
    <w:rsid w:val="008150F3"/>
    <w:rsid w:val="008153F7"/>
    <w:rsid w:val="0081569B"/>
    <w:rsid w:val="00815775"/>
    <w:rsid w:val="00815B92"/>
    <w:rsid w:val="00815CB4"/>
    <w:rsid w:val="00815D93"/>
    <w:rsid w:val="00815F08"/>
    <w:rsid w:val="00815FE5"/>
    <w:rsid w:val="008163F4"/>
    <w:rsid w:val="0081652E"/>
    <w:rsid w:val="008168AC"/>
    <w:rsid w:val="008169EC"/>
    <w:rsid w:val="008169FF"/>
    <w:rsid w:val="00816B65"/>
    <w:rsid w:val="00816C9C"/>
    <w:rsid w:val="00816D81"/>
    <w:rsid w:val="00816EF6"/>
    <w:rsid w:val="008171F9"/>
    <w:rsid w:val="008173A6"/>
    <w:rsid w:val="008175B7"/>
    <w:rsid w:val="008176E9"/>
    <w:rsid w:val="00817953"/>
    <w:rsid w:val="00817BAF"/>
    <w:rsid w:val="00820075"/>
    <w:rsid w:val="0082021F"/>
    <w:rsid w:val="00820342"/>
    <w:rsid w:val="008207F1"/>
    <w:rsid w:val="00820A48"/>
    <w:rsid w:val="00820AB8"/>
    <w:rsid w:val="00820B77"/>
    <w:rsid w:val="00820C1A"/>
    <w:rsid w:val="00820F96"/>
    <w:rsid w:val="00821276"/>
    <w:rsid w:val="00821519"/>
    <w:rsid w:val="00821520"/>
    <w:rsid w:val="00821554"/>
    <w:rsid w:val="00821756"/>
    <w:rsid w:val="00821C2B"/>
    <w:rsid w:val="0082237C"/>
    <w:rsid w:val="00822788"/>
    <w:rsid w:val="008227F9"/>
    <w:rsid w:val="008229B2"/>
    <w:rsid w:val="00822C9F"/>
    <w:rsid w:val="00822CBA"/>
    <w:rsid w:val="00822DAA"/>
    <w:rsid w:val="008230B2"/>
    <w:rsid w:val="008232F6"/>
    <w:rsid w:val="0082350F"/>
    <w:rsid w:val="00823680"/>
    <w:rsid w:val="00823A17"/>
    <w:rsid w:val="00823C7F"/>
    <w:rsid w:val="00823EF1"/>
    <w:rsid w:val="00823FB1"/>
    <w:rsid w:val="008242C0"/>
    <w:rsid w:val="00824669"/>
    <w:rsid w:val="008246CB"/>
    <w:rsid w:val="00824888"/>
    <w:rsid w:val="00824C53"/>
    <w:rsid w:val="00824D0A"/>
    <w:rsid w:val="00824DB3"/>
    <w:rsid w:val="00824F1E"/>
    <w:rsid w:val="008250A8"/>
    <w:rsid w:val="00825503"/>
    <w:rsid w:val="008255DD"/>
    <w:rsid w:val="00825696"/>
    <w:rsid w:val="00825743"/>
    <w:rsid w:val="00825857"/>
    <w:rsid w:val="008259A6"/>
    <w:rsid w:val="008259AC"/>
    <w:rsid w:val="00825D42"/>
    <w:rsid w:val="00825EEB"/>
    <w:rsid w:val="00826CA7"/>
    <w:rsid w:val="00826FB2"/>
    <w:rsid w:val="00827447"/>
    <w:rsid w:val="00827A38"/>
    <w:rsid w:val="00827BE1"/>
    <w:rsid w:val="00827C28"/>
    <w:rsid w:val="00827E20"/>
    <w:rsid w:val="0083014A"/>
    <w:rsid w:val="00830430"/>
    <w:rsid w:val="0083078F"/>
    <w:rsid w:val="00830994"/>
    <w:rsid w:val="008309DE"/>
    <w:rsid w:val="00830A81"/>
    <w:rsid w:val="00830D3D"/>
    <w:rsid w:val="00830EA6"/>
    <w:rsid w:val="0083153E"/>
    <w:rsid w:val="00831541"/>
    <w:rsid w:val="00831940"/>
    <w:rsid w:val="00831A7B"/>
    <w:rsid w:val="00831CEE"/>
    <w:rsid w:val="00831F98"/>
    <w:rsid w:val="008320D5"/>
    <w:rsid w:val="008321E0"/>
    <w:rsid w:val="00832481"/>
    <w:rsid w:val="00832972"/>
    <w:rsid w:val="00832AB4"/>
    <w:rsid w:val="00832AD1"/>
    <w:rsid w:val="00832CB3"/>
    <w:rsid w:val="00832D6C"/>
    <w:rsid w:val="00832EF9"/>
    <w:rsid w:val="00833044"/>
    <w:rsid w:val="008331A3"/>
    <w:rsid w:val="0083358C"/>
    <w:rsid w:val="00833839"/>
    <w:rsid w:val="008338E3"/>
    <w:rsid w:val="00833B73"/>
    <w:rsid w:val="00833BC7"/>
    <w:rsid w:val="00833D67"/>
    <w:rsid w:val="00833E5C"/>
    <w:rsid w:val="00833F0A"/>
    <w:rsid w:val="008340C2"/>
    <w:rsid w:val="00834184"/>
    <w:rsid w:val="00834208"/>
    <w:rsid w:val="00834222"/>
    <w:rsid w:val="0083488E"/>
    <w:rsid w:val="008349BD"/>
    <w:rsid w:val="00834AB4"/>
    <w:rsid w:val="00834AF9"/>
    <w:rsid w:val="00834B58"/>
    <w:rsid w:val="00835115"/>
    <w:rsid w:val="0083550B"/>
    <w:rsid w:val="0083551F"/>
    <w:rsid w:val="008355E3"/>
    <w:rsid w:val="008357E1"/>
    <w:rsid w:val="0083583D"/>
    <w:rsid w:val="0083595C"/>
    <w:rsid w:val="00835A4E"/>
    <w:rsid w:val="00835C67"/>
    <w:rsid w:val="00835E70"/>
    <w:rsid w:val="00836148"/>
    <w:rsid w:val="00836299"/>
    <w:rsid w:val="00836733"/>
    <w:rsid w:val="00836B43"/>
    <w:rsid w:val="00836BAD"/>
    <w:rsid w:val="00836BFA"/>
    <w:rsid w:val="008377C5"/>
    <w:rsid w:val="0083780B"/>
    <w:rsid w:val="008379B2"/>
    <w:rsid w:val="00837B69"/>
    <w:rsid w:val="00837D53"/>
    <w:rsid w:val="00837E3A"/>
    <w:rsid w:val="00837E9C"/>
    <w:rsid w:val="008401EC"/>
    <w:rsid w:val="00840218"/>
    <w:rsid w:val="0084030B"/>
    <w:rsid w:val="00840393"/>
    <w:rsid w:val="00840602"/>
    <w:rsid w:val="00840D6F"/>
    <w:rsid w:val="00840E7F"/>
    <w:rsid w:val="00841297"/>
    <w:rsid w:val="00841694"/>
    <w:rsid w:val="008418A9"/>
    <w:rsid w:val="00841B5A"/>
    <w:rsid w:val="00841BBE"/>
    <w:rsid w:val="00841CD7"/>
    <w:rsid w:val="00841DFA"/>
    <w:rsid w:val="008420FD"/>
    <w:rsid w:val="0084278A"/>
    <w:rsid w:val="0084289D"/>
    <w:rsid w:val="00842A0C"/>
    <w:rsid w:val="00842B43"/>
    <w:rsid w:val="00842D87"/>
    <w:rsid w:val="00842DED"/>
    <w:rsid w:val="00842EA7"/>
    <w:rsid w:val="00842F5A"/>
    <w:rsid w:val="0084305D"/>
    <w:rsid w:val="008433A2"/>
    <w:rsid w:val="00843474"/>
    <w:rsid w:val="00843757"/>
    <w:rsid w:val="008437B7"/>
    <w:rsid w:val="00843A46"/>
    <w:rsid w:val="0084407B"/>
    <w:rsid w:val="0084467E"/>
    <w:rsid w:val="00844772"/>
    <w:rsid w:val="008447CC"/>
    <w:rsid w:val="008448A2"/>
    <w:rsid w:val="008448D5"/>
    <w:rsid w:val="00844ABF"/>
    <w:rsid w:val="00845019"/>
    <w:rsid w:val="00845050"/>
    <w:rsid w:val="0084531A"/>
    <w:rsid w:val="00845453"/>
    <w:rsid w:val="00845454"/>
    <w:rsid w:val="0084563F"/>
    <w:rsid w:val="008456C0"/>
    <w:rsid w:val="00845E0A"/>
    <w:rsid w:val="00845E92"/>
    <w:rsid w:val="00845F7B"/>
    <w:rsid w:val="00845F9A"/>
    <w:rsid w:val="00845FB1"/>
    <w:rsid w:val="008464CB"/>
    <w:rsid w:val="0084652D"/>
    <w:rsid w:val="00846571"/>
    <w:rsid w:val="00846CED"/>
    <w:rsid w:val="00846DFA"/>
    <w:rsid w:val="00846F5F"/>
    <w:rsid w:val="00846FE4"/>
    <w:rsid w:val="00847143"/>
    <w:rsid w:val="00847375"/>
    <w:rsid w:val="008473B4"/>
    <w:rsid w:val="00847700"/>
    <w:rsid w:val="00847744"/>
    <w:rsid w:val="008477E8"/>
    <w:rsid w:val="00847A9A"/>
    <w:rsid w:val="00847B68"/>
    <w:rsid w:val="00847E76"/>
    <w:rsid w:val="00847F28"/>
    <w:rsid w:val="00847F58"/>
    <w:rsid w:val="00847F95"/>
    <w:rsid w:val="00850041"/>
    <w:rsid w:val="00850776"/>
    <w:rsid w:val="00850977"/>
    <w:rsid w:val="00850A0E"/>
    <w:rsid w:val="00850A59"/>
    <w:rsid w:val="00850EDC"/>
    <w:rsid w:val="008512DB"/>
    <w:rsid w:val="00851393"/>
    <w:rsid w:val="0085145A"/>
    <w:rsid w:val="0085145D"/>
    <w:rsid w:val="0085155C"/>
    <w:rsid w:val="00851706"/>
    <w:rsid w:val="0085190B"/>
    <w:rsid w:val="00851C54"/>
    <w:rsid w:val="00851C68"/>
    <w:rsid w:val="00851EB9"/>
    <w:rsid w:val="00851F47"/>
    <w:rsid w:val="00852166"/>
    <w:rsid w:val="0085222C"/>
    <w:rsid w:val="00852342"/>
    <w:rsid w:val="0085249C"/>
    <w:rsid w:val="00852701"/>
    <w:rsid w:val="0085280F"/>
    <w:rsid w:val="0085281F"/>
    <w:rsid w:val="0085283B"/>
    <w:rsid w:val="00852A51"/>
    <w:rsid w:val="00852AB7"/>
    <w:rsid w:val="00852AC6"/>
    <w:rsid w:val="00852BA3"/>
    <w:rsid w:val="00852CB9"/>
    <w:rsid w:val="00852E96"/>
    <w:rsid w:val="00853151"/>
    <w:rsid w:val="00853390"/>
    <w:rsid w:val="008534E4"/>
    <w:rsid w:val="00853539"/>
    <w:rsid w:val="00853974"/>
    <w:rsid w:val="00853E57"/>
    <w:rsid w:val="00853FB4"/>
    <w:rsid w:val="0085407D"/>
    <w:rsid w:val="008542CE"/>
    <w:rsid w:val="008546BB"/>
    <w:rsid w:val="008547A6"/>
    <w:rsid w:val="00854A2A"/>
    <w:rsid w:val="00854C82"/>
    <w:rsid w:val="00854CCB"/>
    <w:rsid w:val="00854CF1"/>
    <w:rsid w:val="00854CF6"/>
    <w:rsid w:val="00854E25"/>
    <w:rsid w:val="00854F30"/>
    <w:rsid w:val="00855048"/>
    <w:rsid w:val="00855351"/>
    <w:rsid w:val="00855609"/>
    <w:rsid w:val="0085574F"/>
    <w:rsid w:val="00855AE3"/>
    <w:rsid w:val="00855C11"/>
    <w:rsid w:val="00855D18"/>
    <w:rsid w:val="00855D6E"/>
    <w:rsid w:val="00855DD7"/>
    <w:rsid w:val="00855E12"/>
    <w:rsid w:val="00855F82"/>
    <w:rsid w:val="008563D7"/>
    <w:rsid w:val="008567A7"/>
    <w:rsid w:val="008567DE"/>
    <w:rsid w:val="00857053"/>
    <w:rsid w:val="00857A54"/>
    <w:rsid w:val="00857A96"/>
    <w:rsid w:val="00857B63"/>
    <w:rsid w:val="00857BE7"/>
    <w:rsid w:val="00857C71"/>
    <w:rsid w:val="008600DB"/>
    <w:rsid w:val="0086013E"/>
    <w:rsid w:val="00860282"/>
    <w:rsid w:val="008602A4"/>
    <w:rsid w:val="0086032C"/>
    <w:rsid w:val="008610B1"/>
    <w:rsid w:val="00861439"/>
    <w:rsid w:val="008619B7"/>
    <w:rsid w:val="00861D3F"/>
    <w:rsid w:val="00861F18"/>
    <w:rsid w:val="00861FDF"/>
    <w:rsid w:val="00862498"/>
    <w:rsid w:val="008624AD"/>
    <w:rsid w:val="00862511"/>
    <w:rsid w:val="00862589"/>
    <w:rsid w:val="00862B55"/>
    <w:rsid w:val="00862C34"/>
    <w:rsid w:val="00862E53"/>
    <w:rsid w:val="00862EE2"/>
    <w:rsid w:val="0086328C"/>
    <w:rsid w:val="0086354B"/>
    <w:rsid w:val="00863A05"/>
    <w:rsid w:val="00863B92"/>
    <w:rsid w:val="00863D69"/>
    <w:rsid w:val="00863ED2"/>
    <w:rsid w:val="00863EEF"/>
    <w:rsid w:val="00863F6B"/>
    <w:rsid w:val="00864064"/>
    <w:rsid w:val="008640DC"/>
    <w:rsid w:val="00864181"/>
    <w:rsid w:val="008642F7"/>
    <w:rsid w:val="008645A6"/>
    <w:rsid w:val="00864A40"/>
    <w:rsid w:val="00864D3E"/>
    <w:rsid w:val="00865056"/>
    <w:rsid w:val="008650C8"/>
    <w:rsid w:val="008650F4"/>
    <w:rsid w:val="00865269"/>
    <w:rsid w:val="0086539B"/>
    <w:rsid w:val="008657E3"/>
    <w:rsid w:val="008657F4"/>
    <w:rsid w:val="00865C84"/>
    <w:rsid w:val="00865DB8"/>
    <w:rsid w:val="00865EEC"/>
    <w:rsid w:val="00866309"/>
    <w:rsid w:val="008664FE"/>
    <w:rsid w:val="0086683D"/>
    <w:rsid w:val="00866AC3"/>
    <w:rsid w:val="00866B60"/>
    <w:rsid w:val="00866BBF"/>
    <w:rsid w:val="00866CD9"/>
    <w:rsid w:val="00866DAD"/>
    <w:rsid w:val="008672DA"/>
    <w:rsid w:val="008679F6"/>
    <w:rsid w:val="00867A62"/>
    <w:rsid w:val="00867D1C"/>
    <w:rsid w:val="00870026"/>
    <w:rsid w:val="0087008F"/>
    <w:rsid w:val="008703E2"/>
    <w:rsid w:val="008704FC"/>
    <w:rsid w:val="00870785"/>
    <w:rsid w:val="00871169"/>
    <w:rsid w:val="008712CC"/>
    <w:rsid w:val="0087132A"/>
    <w:rsid w:val="008713FE"/>
    <w:rsid w:val="008714E2"/>
    <w:rsid w:val="008715C9"/>
    <w:rsid w:val="0087189A"/>
    <w:rsid w:val="008719E5"/>
    <w:rsid w:val="00871E40"/>
    <w:rsid w:val="0087236A"/>
    <w:rsid w:val="00872867"/>
    <w:rsid w:val="00872A09"/>
    <w:rsid w:val="00872D36"/>
    <w:rsid w:val="00872ED1"/>
    <w:rsid w:val="00873257"/>
    <w:rsid w:val="008733B2"/>
    <w:rsid w:val="0087352E"/>
    <w:rsid w:val="0087358B"/>
    <w:rsid w:val="0087396A"/>
    <w:rsid w:val="00874131"/>
    <w:rsid w:val="00874386"/>
    <w:rsid w:val="008744E0"/>
    <w:rsid w:val="00874791"/>
    <w:rsid w:val="00874E4A"/>
    <w:rsid w:val="00875288"/>
    <w:rsid w:val="00875388"/>
    <w:rsid w:val="008753D6"/>
    <w:rsid w:val="00875705"/>
    <w:rsid w:val="008757F1"/>
    <w:rsid w:val="00875862"/>
    <w:rsid w:val="00875971"/>
    <w:rsid w:val="00875B30"/>
    <w:rsid w:val="00875BEF"/>
    <w:rsid w:val="00875DA4"/>
    <w:rsid w:val="00875E4F"/>
    <w:rsid w:val="00875EF8"/>
    <w:rsid w:val="00875FED"/>
    <w:rsid w:val="00876038"/>
    <w:rsid w:val="00876100"/>
    <w:rsid w:val="00876250"/>
    <w:rsid w:val="008764A1"/>
    <w:rsid w:val="00876593"/>
    <w:rsid w:val="0087681C"/>
    <w:rsid w:val="00876DEE"/>
    <w:rsid w:val="00876FBC"/>
    <w:rsid w:val="0087718C"/>
    <w:rsid w:val="0087724F"/>
    <w:rsid w:val="00877846"/>
    <w:rsid w:val="00877928"/>
    <w:rsid w:val="00877BDD"/>
    <w:rsid w:val="00877F52"/>
    <w:rsid w:val="00880288"/>
    <w:rsid w:val="008802EB"/>
    <w:rsid w:val="00880386"/>
    <w:rsid w:val="008803E7"/>
    <w:rsid w:val="008803F3"/>
    <w:rsid w:val="008809D6"/>
    <w:rsid w:val="00880CC7"/>
    <w:rsid w:val="00880D53"/>
    <w:rsid w:val="00881059"/>
    <w:rsid w:val="008810C1"/>
    <w:rsid w:val="008811A5"/>
    <w:rsid w:val="008811F9"/>
    <w:rsid w:val="0088127F"/>
    <w:rsid w:val="0088165D"/>
    <w:rsid w:val="008816C2"/>
    <w:rsid w:val="00881838"/>
    <w:rsid w:val="00881E57"/>
    <w:rsid w:val="00881F5F"/>
    <w:rsid w:val="008820B8"/>
    <w:rsid w:val="0088224D"/>
    <w:rsid w:val="0088225A"/>
    <w:rsid w:val="0088230B"/>
    <w:rsid w:val="0088256E"/>
    <w:rsid w:val="0088277E"/>
    <w:rsid w:val="008828D0"/>
    <w:rsid w:val="00882A68"/>
    <w:rsid w:val="00882D5B"/>
    <w:rsid w:val="00882DE3"/>
    <w:rsid w:val="00882EC2"/>
    <w:rsid w:val="00882F10"/>
    <w:rsid w:val="00883796"/>
    <w:rsid w:val="00883931"/>
    <w:rsid w:val="00883992"/>
    <w:rsid w:val="00883C14"/>
    <w:rsid w:val="00883CF6"/>
    <w:rsid w:val="00883EE8"/>
    <w:rsid w:val="00883F06"/>
    <w:rsid w:val="00884323"/>
    <w:rsid w:val="008843C4"/>
    <w:rsid w:val="008848D4"/>
    <w:rsid w:val="008849E6"/>
    <w:rsid w:val="00884A52"/>
    <w:rsid w:val="00884F17"/>
    <w:rsid w:val="008852DD"/>
    <w:rsid w:val="008853C5"/>
    <w:rsid w:val="00885420"/>
    <w:rsid w:val="0088564C"/>
    <w:rsid w:val="00885A2E"/>
    <w:rsid w:val="00885C64"/>
    <w:rsid w:val="00885EBE"/>
    <w:rsid w:val="0088617F"/>
    <w:rsid w:val="00886333"/>
    <w:rsid w:val="00886378"/>
    <w:rsid w:val="0088668B"/>
    <w:rsid w:val="008866B5"/>
    <w:rsid w:val="00886809"/>
    <w:rsid w:val="00886833"/>
    <w:rsid w:val="00886FE9"/>
    <w:rsid w:val="008873F3"/>
    <w:rsid w:val="008875CF"/>
    <w:rsid w:val="00887642"/>
    <w:rsid w:val="00887913"/>
    <w:rsid w:val="00887CAE"/>
    <w:rsid w:val="00887E2A"/>
    <w:rsid w:val="00890076"/>
    <w:rsid w:val="00890323"/>
    <w:rsid w:val="0089071F"/>
    <w:rsid w:val="008907C5"/>
    <w:rsid w:val="00890846"/>
    <w:rsid w:val="0089088E"/>
    <w:rsid w:val="00890B05"/>
    <w:rsid w:val="00890F5E"/>
    <w:rsid w:val="008910CB"/>
    <w:rsid w:val="008914CE"/>
    <w:rsid w:val="008916D4"/>
    <w:rsid w:val="008918F9"/>
    <w:rsid w:val="00891994"/>
    <w:rsid w:val="00891A92"/>
    <w:rsid w:val="00891CA9"/>
    <w:rsid w:val="00891D11"/>
    <w:rsid w:val="00891E40"/>
    <w:rsid w:val="00891F5B"/>
    <w:rsid w:val="00892199"/>
    <w:rsid w:val="0089231C"/>
    <w:rsid w:val="008926A4"/>
    <w:rsid w:val="00892816"/>
    <w:rsid w:val="00892911"/>
    <w:rsid w:val="00892AF1"/>
    <w:rsid w:val="00893062"/>
    <w:rsid w:val="0089324B"/>
    <w:rsid w:val="0089342D"/>
    <w:rsid w:val="008936BF"/>
    <w:rsid w:val="008936DF"/>
    <w:rsid w:val="00893AAC"/>
    <w:rsid w:val="00893E39"/>
    <w:rsid w:val="00894073"/>
    <w:rsid w:val="00894329"/>
    <w:rsid w:val="0089461F"/>
    <w:rsid w:val="0089463A"/>
    <w:rsid w:val="008946BF"/>
    <w:rsid w:val="00894755"/>
    <w:rsid w:val="0089496A"/>
    <w:rsid w:val="00894A1F"/>
    <w:rsid w:val="00894CA7"/>
    <w:rsid w:val="00894E9A"/>
    <w:rsid w:val="00894F03"/>
    <w:rsid w:val="00895278"/>
    <w:rsid w:val="00895319"/>
    <w:rsid w:val="00895499"/>
    <w:rsid w:val="008956D8"/>
    <w:rsid w:val="0089582E"/>
    <w:rsid w:val="0089587E"/>
    <w:rsid w:val="00895B45"/>
    <w:rsid w:val="00895B46"/>
    <w:rsid w:val="00896068"/>
    <w:rsid w:val="00896125"/>
    <w:rsid w:val="008962EF"/>
    <w:rsid w:val="0089676D"/>
    <w:rsid w:val="0089685D"/>
    <w:rsid w:val="00896970"/>
    <w:rsid w:val="00896AD3"/>
    <w:rsid w:val="00897037"/>
    <w:rsid w:val="008979BF"/>
    <w:rsid w:val="00897A73"/>
    <w:rsid w:val="00897E34"/>
    <w:rsid w:val="008A04BA"/>
    <w:rsid w:val="008A05E4"/>
    <w:rsid w:val="008A07F8"/>
    <w:rsid w:val="008A088C"/>
    <w:rsid w:val="008A0F05"/>
    <w:rsid w:val="008A11B5"/>
    <w:rsid w:val="008A178D"/>
    <w:rsid w:val="008A181F"/>
    <w:rsid w:val="008A1930"/>
    <w:rsid w:val="008A1A2A"/>
    <w:rsid w:val="008A1BCA"/>
    <w:rsid w:val="008A1BD0"/>
    <w:rsid w:val="008A1D75"/>
    <w:rsid w:val="008A2178"/>
    <w:rsid w:val="008A2193"/>
    <w:rsid w:val="008A2503"/>
    <w:rsid w:val="008A26CE"/>
    <w:rsid w:val="008A2702"/>
    <w:rsid w:val="008A285F"/>
    <w:rsid w:val="008A2C81"/>
    <w:rsid w:val="008A30AF"/>
    <w:rsid w:val="008A36B4"/>
    <w:rsid w:val="008A382E"/>
    <w:rsid w:val="008A3D72"/>
    <w:rsid w:val="008A3DAF"/>
    <w:rsid w:val="008A3DB0"/>
    <w:rsid w:val="008A3E43"/>
    <w:rsid w:val="008A3F82"/>
    <w:rsid w:val="008A416E"/>
    <w:rsid w:val="008A41D7"/>
    <w:rsid w:val="008A4205"/>
    <w:rsid w:val="008A4793"/>
    <w:rsid w:val="008A48B1"/>
    <w:rsid w:val="008A4AEB"/>
    <w:rsid w:val="008A4B99"/>
    <w:rsid w:val="008A4CC6"/>
    <w:rsid w:val="008A4F85"/>
    <w:rsid w:val="008A510E"/>
    <w:rsid w:val="008A5288"/>
    <w:rsid w:val="008A536F"/>
    <w:rsid w:val="008A576A"/>
    <w:rsid w:val="008A5B25"/>
    <w:rsid w:val="008A5BEA"/>
    <w:rsid w:val="008A5C92"/>
    <w:rsid w:val="008A5E9D"/>
    <w:rsid w:val="008A5FD9"/>
    <w:rsid w:val="008A6054"/>
    <w:rsid w:val="008A60E8"/>
    <w:rsid w:val="008A616B"/>
    <w:rsid w:val="008A61D5"/>
    <w:rsid w:val="008A63E0"/>
    <w:rsid w:val="008A657E"/>
    <w:rsid w:val="008A65E2"/>
    <w:rsid w:val="008A6722"/>
    <w:rsid w:val="008A675B"/>
    <w:rsid w:val="008A6AD8"/>
    <w:rsid w:val="008A6CD4"/>
    <w:rsid w:val="008A6F8B"/>
    <w:rsid w:val="008A714B"/>
    <w:rsid w:val="008A7404"/>
    <w:rsid w:val="008A75C7"/>
    <w:rsid w:val="008A7A35"/>
    <w:rsid w:val="008A7AF5"/>
    <w:rsid w:val="008B011C"/>
    <w:rsid w:val="008B0131"/>
    <w:rsid w:val="008B0556"/>
    <w:rsid w:val="008B07C8"/>
    <w:rsid w:val="008B086C"/>
    <w:rsid w:val="008B08FE"/>
    <w:rsid w:val="008B0AFC"/>
    <w:rsid w:val="008B0D5B"/>
    <w:rsid w:val="008B131E"/>
    <w:rsid w:val="008B1431"/>
    <w:rsid w:val="008B1538"/>
    <w:rsid w:val="008B1F03"/>
    <w:rsid w:val="008B1F71"/>
    <w:rsid w:val="008B2200"/>
    <w:rsid w:val="008B22B3"/>
    <w:rsid w:val="008B2624"/>
    <w:rsid w:val="008B2729"/>
    <w:rsid w:val="008B2765"/>
    <w:rsid w:val="008B2BA5"/>
    <w:rsid w:val="008B2E2D"/>
    <w:rsid w:val="008B3041"/>
    <w:rsid w:val="008B30E0"/>
    <w:rsid w:val="008B3296"/>
    <w:rsid w:val="008B32D8"/>
    <w:rsid w:val="008B3631"/>
    <w:rsid w:val="008B36B5"/>
    <w:rsid w:val="008B3B2D"/>
    <w:rsid w:val="008B4157"/>
    <w:rsid w:val="008B4762"/>
    <w:rsid w:val="008B4D49"/>
    <w:rsid w:val="008B4EAD"/>
    <w:rsid w:val="008B4ED0"/>
    <w:rsid w:val="008B508D"/>
    <w:rsid w:val="008B5455"/>
    <w:rsid w:val="008B5A64"/>
    <w:rsid w:val="008B5BF8"/>
    <w:rsid w:val="008B5D0F"/>
    <w:rsid w:val="008B5E31"/>
    <w:rsid w:val="008B6018"/>
    <w:rsid w:val="008B63AE"/>
    <w:rsid w:val="008B6432"/>
    <w:rsid w:val="008B6597"/>
    <w:rsid w:val="008B66F6"/>
    <w:rsid w:val="008B6783"/>
    <w:rsid w:val="008B6859"/>
    <w:rsid w:val="008B6AEB"/>
    <w:rsid w:val="008B6BB9"/>
    <w:rsid w:val="008B6FC8"/>
    <w:rsid w:val="008B7050"/>
    <w:rsid w:val="008B70B6"/>
    <w:rsid w:val="008B738B"/>
    <w:rsid w:val="008B76AD"/>
    <w:rsid w:val="008B7CB1"/>
    <w:rsid w:val="008C0794"/>
    <w:rsid w:val="008C0803"/>
    <w:rsid w:val="008C08A8"/>
    <w:rsid w:val="008C098F"/>
    <w:rsid w:val="008C1879"/>
    <w:rsid w:val="008C1B54"/>
    <w:rsid w:val="008C1EC3"/>
    <w:rsid w:val="008C1EE7"/>
    <w:rsid w:val="008C2320"/>
    <w:rsid w:val="008C236A"/>
    <w:rsid w:val="008C2555"/>
    <w:rsid w:val="008C26CC"/>
    <w:rsid w:val="008C2910"/>
    <w:rsid w:val="008C2A55"/>
    <w:rsid w:val="008C2C6F"/>
    <w:rsid w:val="008C2C85"/>
    <w:rsid w:val="008C2C9C"/>
    <w:rsid w:val="008C2F3D"/>
    <w:rsid w:val="008C32DE"/>
    <w:rsid w:val="008C33C5"/>
    <w:rsid w:val="008C3450"/>
    <w:rsid w:val="008C346C"/>
    <w:rsid w:val="008C374B"/>
    <w:rsid w:val="008C38BB"/>
    <w:rsid w:val="008C38E4"/>
    <w:rsid w:val="008C39CF"/>
    <w:rsid w:val="008C3BBA"/>
    <w:rsid w:val="008C3BFA"/>
    <w:rsid w:val="008C3C1B"/>
    <w:rsid w:val="008C3DB9"/>
    <w:rsid w:val="008C42AE"/>
    <w:rsid w:val="008C469C"/>
    <w:rsid w:val="008C4BE2"/>
    <w:rsid w:val="008C53E9"/>
    <w:rsid w:val="008C54D8"/>
    <w:rsid w:val="008C5A09"/>
    <w:rsid w:val="008C5BED"/>
    <w:rsid w:val="008C5F53"/>
    <w:rsid w:val="008C6209"/>
    <w:rsid w:val="008C635B"/>
    <w:rsid w:val="008C67C8"/>
    <w:rsid w:val="008C686A"/>
    <w:rsid w:val="008C6937"/>
    <w:rsid w:val="008C6EE0"/>
    <w:rsid w:val="008C7070"/>
    <w:rsid w:val="008C750E"/>
    <w:rsid w:val="008C7600"/>
    <w:rsid w:val="008C766A"/>
    <w:rsid w:val="008C76C6"/>
    <w:rsid w:val="008C7904"/>
    <w:rsid w:val="008C7E5E"/>
    <w:rsid w:val="008D0D5E"/>
    <w:rsid w:val="008D0DDD"/>
    <w:rsid w:val="008D0E27"/>
    <w:rsid w:val="008D1181"/>
    <w:rsid w:val="008D135A"/>
    <w:rsid w:val="008D1499"/>
    <w:rsid w:val="008D1630"/>
    <w:rsid w:val="008D1CC4"/>
    <w:rsid w:val="008D234D"/>
    <w:rsid w:val="008D2465"/>
    <w:rsid w:val="008D24F2"/>
    <w:rsid w:val="008D250E"/>
    <w:rsid w:val="008D26F3"/>
    <w:rsid w:val="008D2AF6"/>
    <w:rsid w:val="008D2B4D"/>
    <w:rsid w:val="008D2CDA"/>
    <w:rsid w:val="008D2D08"/>
    <w:rsid w:val="008D2FE4"/>
    <w:rsid w:val="008D3040"/>
    <w:rsid w:val="008D33CE"/>
    <w:rsid w:val="008D3741"/>
    <w:rsid w:val="008D3746"/>
    <w:rsid w:val="008D3814"/>
    <w:rsid w:val="008D3C8A"/>
    <w:rsid w:val="008D3F0E"/>
    <w:rsid w:val="008D3FB3"/>
    <w:rsid w:val="008D4048"/>
    <w:rsid w:val="008D4131"/>
    <w:rsid w:val="008D44BD"/>
    <w:rsid w:val="008D46B4"/>
    <w:rsid w:val="008D46D3"/>
    <w:rsid w:val="008D47FC"/>
    <w:rsid w:val="008D4927"/>
    <w:rsid w:val="008D4A80"/>
    <w:rsid w:val="008D4D44"/>
    <w:rsid w:val="008D4E56"/>
    <w:rsid w:val="008D4F59"/>
    <w:rsid w:val="008D5129"/>
    <w:rsid w:val="008D5359"/>
    <w:rsid w:val="008D5368"/>
    <w:rsid w:val="008D5437"/>
    <w:rsid w:val="008D55D3"/>
    <w:rsid w:val="008D5D72"/>
    <w:rsid w:val="008D5FC8"/>
    <w:rsid w:val="008D6034"/>
    <w:rsid w:val="008D6184"/>
    <w:rsid w:val="008D64F6"/>
    <w:rsid w:val="008D65B4"/>
    <w:rsid w:val="008D66B8"/>
    <w:rsid w:val="008D6903"/>
    <w:rsid w:val="008D6C46"/>
    <w:rsid w:val="008D6DD8"/>
    <w:rsid w:val="008D72FC"/>
    <w:rsid w:val="008D734C"/>
    <w:rsid w:val="008D76DB"/>
    <w:rsid w:val="008D7A28"/>
    <w:rsid w:val="008D7A83"/>
    <w:rsid w:val="008D7AE1"/>
    <w:rsid w:val="008D7D45"/>
    <w:rsid w:val="008D7D9B"/>
    <w:rsid w:val="008D7E97"/>
    <w:rsid w:val="008E0259"/>
    <w:rsid w:val="008E03AA"/>
    <w:rsid w:val="008E04D4"/>
    <w:rsid w:val="008E07A3"/>
    <w:rsid w:val="008E08FD"/>
    <w:rsid w:val="008E096D"/>
    <w:rsid w:val="008E0A42"/>
    <w:rsid w:val="008E0FE2"/>
    <w:rsid w:val="008E1017"/>
    <w:rsid w:val="008E1070"/>
    <w:rsid w:val="008E188F"/>
    <w:rsid w:val="008E189D"/>
    <w:rsid w:val="008E1A0D"/>
    <w:rsid w:val="008E1CB1"/>
    <w:rsid w:val="008E1D1A"/>
    <w:rsid w:val="008E1E1B"/>
    <w:rsid w:val="008E269D"/>
    <w:rsid w:val="008E29F8"/>
    <w:rsid w:val="008E2A52"/>
    <w:rsid w:val="008E2C43"/>
    <w:rsid w:val="008E2CFE"/>
    <w:rsid w:val="008E2F24"/>
    <w:rsid w:val="008E2F25"/>
    <w:rsid w:val="008E2FBA"/>
    <w:rsid w:val="008E310A"/>
    <w:rsid w:val="008E31D2"/>
    <w:rsid w:val="008E31FE"/>
    <w:rsid w:val="008E3347"/>
    <w:rsid w:val="008E3E38"/>
    <w:rsid w:val="008E3FDB"/>
    <w:rsid w:val="008E401C"/>
    <w:rsid w:val="008E4037"/>
    <w:rsid w:val="008E44A4"/>
    <w:rsid w:val="008E459A"/>
    <w:rsid w:val="008E46A2"/>
    <w:rsid w:val="008E48A9"/>
    <w:rsid w:val="008E4F08"/>
    <w:rsid w:val="008E5266"/>
    <w:rsid w:val="008E56CA"/>
    <w:rsid w:val="008E57C0"/>
    <w:rsid w:val="008E59F9"/>
    <w:rsid w:val="008E5A44"/>
    <w:rsid w:val="008E5E75"/>
    <w:rsid w:val="008E6106"/>
    <w:rsid w:val="008E622D"/>
    <w:rsid w:val="008E6462"/>
    <w:rsid w:val="008E6507"/>
    <w:rsid w:val="008E679D"/>
    <w:rsid w:val="008E67E6"/>
    <w:rsid w:val="008E696A"/>
    <w:rsid w:val="008E69D9"/>
    <w:rsid w:val="008E6EBF"/>
    <w:rsid w:val="008E6FAF"/>
    <w:rsid w:val="008E7000"/>
    <w:rsid w:val="008E70F8"/>
    <w:rsid w:val="008E7318"/>
    <w:rsid w:val="008E776D"/>
    <w:rsid w:val="008E7D0A"/>
    <w:rsid w:val="008E7D2D"/>
    <w:rsid w:val="008E7E9C"/>
    <w:rsid w:val="008E7F26"/>
    <w:rsid w:val="008F0033"/>
    <w:rsid w:val="008F007A"/>
    <w:rsid w:val="008F0360"/>
    <w:rsid w:val="008F071A"/>
    <w:rsid w:val="008F07EF"/>
    <w:rsid w:val="008F0803"/>
    <w:rsid w:val="008F0886"/>
    <w:rsid w:val="008F08BD"/>
    <w:rsid w:val="008F0C61"/>
    <w:rsid w:val="008F1138"/>
    <w:rsid w:val="008F157E"/>
    <w:rsid w:val="008F1613"/>
    <w:rsid w:val="008F17A7"/>
    <w:rsid w:val="008F1B6D"/>
    <w:rsid w:val="008F1DEF"/>
    <w:rsid w:val="008F2485"/>
    <w:rsid w:val="008F2498"/>
    <w:rsid w:val="008F25BB"/>
    <w:rsid w:val="008F2882"/>
    <w:rsid w:val="008F2B81"/>
    <w:rsid w:val="008F3717"/>
    <w:rsid w:val="008F37E0"/>
    <w:rsid w:val="008F3897"/>
    <w:rsid w:val="008F39F4"/>
    <w:rsid w:val="008F3C67"/>
    <w:rsid w:val="008F3F14"/>
    <w:rsid w:val="008F42F2"/>
    <w:rsid w:val="008F4605"/>
    <w:rsid w:val="008F48DC"/>
    <w:rsid w:val="008F4A21"/>
    <w:rsid w:val="008F4A25"/>
    <w:rsid w:val="008F4CCB"/>
    <w:rsid w:val="008F4DD7"/>
    <w:rsid w:val="008F533A"/>
    <w:rsid w:val="008F53DA"/>
    <w:rsid w:val="008F55CC"/>
    <w:rsid w:val="008F561E"/>
    <w:rsid w:val="008F56E7"/>
    <w:rsid w:val="008F5776"/>
    <w:rsid w:val="008F5BFF"/>
    <w:rsid w:val="008F5C04"/>
    <w:rsid w:val="008F5CD5"/>
    <w:rsid w:val="008F5CF9"/>
    <w:rsid w:val="008F5E2E"/>
    <w:rsid w:val="008F5EB2"/>
    <w:rsid w:val="008F5F01"/>
    <w:rsid w:val="008F60F7"/>
    <w:rsid w:val="008F6502"/>
    <w:rsid w:val="008F6637"/>
    <w:rsid w:val="008F6844"/>
    <w:rsid w:val="008F6B13"/>
    <w:rsid w:val="008F6B7D"/>
    <w:rsid w:val="008F6BD0"/>
    <w:rsid w:val="008F6CF0"/>
    <w:rsid w:val="008F7567"/>
    <w:rsid w:val="008F76E3"/>
    <w:rsid w:val="00900087"/>
    <w:rsid w:val="009000AA"/>
    <w:rsid w:val="00900222"/>
    <w:rsid w:val="00900409"/>
    <w:rsid w:val="0090060C"/>
    <w:rsid w:val="00900647"/>
    <w:rsid w:val="00900866"/>
    <w:rsid w:val="009009DC"/>
    <w:rsid w:val="00900D38"/>
    <w:rsid w:val="00900E2E"/>
    <w:rsid w:val="00900E77"/>
    <w:rsid w:val="00900F2C"/>
    <w:rsid w:val="009018F9"/>
    <w:rsid w:val="00901975"/>
    <w:rsid w:val="00901AAC"/>
    <w:rsid w:val="00901CEE"/>
    <w:rsid w:val="00901E16"/>
    <w:rsid w:val="009024F0"/>
    <w:rsid w:val="00902743"/>
    <w:rsid w:val="00902997"/>
    <w:rsid w:val="009029F1"/>
    <w:rsid w:val="00902BA6"/>
    <w:rsid w:val="00903059"/>
    <w:rsid w:val="00903387"/>
    <w:rsid w:val="009038B4"/>
    <w:rsid w:val="00903A26"/>
    <w:rsid w:val="00903C94"/>
    <w:rsid w:val="00903D94"/>
    <w:rsid w:val="00903DDE"/>
    <w:rsid w:val="00903FEE"/>
    <w:rsid w:val="009041A5"/>
    <w:rsid w:val="0090475D"/>
    <w:rsid w:val="00904880"/>
    <w:rsid w:val="00904BBF"/>
    <w:rsid w:val="00904C78"/>
    <w:rsid w:val="00904E4A"/>
    <w:rsid w:val="009051C9"/>
    <w:rsid w:val="00905746"/>
    <w:rsid w:val="0090591C"/>
    <w:rsid w:val="00905ED2"/>
    <w:rsid w:val="00905F50"/>
    <w:rsid w:val="00906014"/>
    <w:rsid w:val="0090629B"/>
    <w:rsid w:val="00906437"/>
    <w:rsid w:val="009067FF"/>
    <w:rsid w:val="00906A69"/>
    <w:rsid w:val="00906CF5"/>
    <w:rsid w:val="00906EFB"/>
    <w:rsid w:val="009075DA"/>
    <w:rsid w:val="00907C0C"/>
    <w:rsid w:val="00907E6D"/>
    <w:rsid w:val="00910048"/>
    <w:rsid w:val="009100FF"/>
    <w:rsid w:val="00910288"/>
    <w:rsid w:val="009106A2"/>
    <w:rsid w:val="00910748"/>
    <w:rsid w:val="009107C3"/>
    <w:rsid w:val="00911369"/>
    <w:rsid w:val="009115AA"/>
    <w:rsid w:val="00911736"/>
    <w:rsid w:val="009119DC"/>
    <w:rsid w:val="00911B23"/>
    <w:rsid w:val="00911BB2"/>
    <w:rsid w:val="00911DAB"/>
    <w:rsid w:val="00911E61"/>
    <w:rsid w:val="00912229"/>
    <w:rsid w:val="00912485"/>
    <w:rsid w:val="009124DB"/>
    <w:rsid w:val="009124DC"/>
    <w:rsid w:val="00912771"/>
    <w:rsid w:val="00912998"/>
    <w:rsid w:val="00912D89"/>
    <w:rsid w:val="00912DE9"/>
    <w:rsid w:val="00913033"/>
    <w:rsid w:val="009131BF"/>
    <w:rsid w:val="0091380A"/>
    <w:rsid w:val="00913AB5"/>
    <w:rsid w:val="00913AF4"/>
    <w:rsid w:val="00913B83"/>
    <w:rsid w:val="00913C3E"/>
    <w:rsid w:val="00913CC2"/>
    <w:rsid w:val="00913EB3"/>
    <w:rsid w:val="0091406E"/>
    <w:rsid w:val="00914187"/>
    <w:rsid w:val="009145E1"/>
    <w:rsid w:val="009148B1"/>
    <w:rsid w:val="0091495A"/>
    <w:rsid w:val="00914A6E"/>
    <w:rsid w:val="00914DE0"/>
    <w:rsid w:val="00914F79"/>
    <w:rsid w:val="009153CD"/>
    <w:rsid w:val="009156B2"/>
    <w:rsid w:val="00915743"/>
    <w:rsid w:val="009158A6"/>
    <w:rsid w:val="00915A5D"/>
    <w:rsid w:val="00915D28"/>
    <w:rsid w:val="00915DCE"/>
    <w:rsid w:val="009160A6"/>
    <w:rsid w:val="009161EC"/>
    <w:rsid w:val="00916512"/>
    <w:rsid w:val="00916A43"/>
    <w:rsid w:val="00916D03"/>
    <w:rsid w:val="00916F8D"/>
    <w:rsid w:val="00917018"/>
    <w:rsid w:val="009173F3"/>
    <w:rsid w:val="009174E4"/>
    <w:rsid w:val="00917503"/>
    <w:rsid w:val="00917790"/>
    <w:rsid w:val="00917843"/>
    <w:rsid w:val="00917861"/>
    <w:rsid w:val="00917AC7"/>
    <w:rsid w:val="00917B4E"/>
    <w:rsid w:val="00917B87"/>
    <w:rsid w:val="009201D4"/>
    <w:rsid w:val="00920309"/>
    <w:rsid w:val="00920B45"/>
    <w:rsid w:val="00920E0C"/>
    <w:rsid w:val="0092101A"/>
    <w:rsid w:val="009211B4"/>
    <w:rsid w:val="00921264"/>
    <w:rsid w:val="00921475"/>
    <w:rsid w:val="00921CA9"/>
    <w:rsid w:val="00922334"/>
    <w:rsid w:val="00922372"/>
    <w:rsid w:val="00922470"/>
    <w:rsid w:val="009226C8"/>
    <w:rsid w:val="00922B8D"/>
    <w:rsid w:val="009231A1"/>
    <w:rsid w:val="00923278"/>
    <w:rsid w:val="0092372E"/>
    <w:rsid w:val="00923D0C"/>
    <w:rsid w:val="00923DAB"/>
    <w:rsid w:val="00923F22"/>
    <w:rsid w:val="009243EB"/>
    <w:rsid w:val="0092462B"/>
    <w:rsid w:val="0092496A"/>
    <w:rsid w:val="00924A0D"/>
    <w:rsid w:val="00924AE0"/>
    <w:rsid w:val="00924AE1"/>
    <w:rsid w:val="00924C05"/>
    <w:rsid w:val="00924D45"/>
    <w:rsid w:val="0092507A"/>
    <w:rsid w:val="009250F2"/>
    <w:rsid w:val="009251BF"/>
    <w:rsid w:val="00925339"/>
    <w:rsid w:val="009258A3"/>
    <w:rsid w:val="00925F6C"/>
    <w:rsid w:val="00925FE6"/>
    <w:rsid w:val="0092607A"/>
    <w:rsid w:val="009260F9"/>
    <w:rsid w:val="009261C1"/>
    <w:rsid w:val="009263AC"/>
    <w:rsid w:val="009264AC"/>
    <w:rsid w:val="00926787"/>
    <w:rsid w:val="00926DDB"/>
    <w:rsid w:val="00926F12"/>
    <w:rsid w:val="00927227"/>
    <w:rsid w:val="00927470"/>
    <w:rsid w:val="00927486"/>
    <w:rsid w:val="0092749A"/>
    <w:rsid w:val="0092771C"/>
    <w:rsid w:val="00927966"/>
    <w:rsid w:val="00927BBA"/>
    <w:rsid w:val="00927F11"/>
    <w:rsid w:val="009303EB"/>
    <w:rsid w:val="0093047F"/>
    <w:rsid w:val="009305B8"/>
    <w:rsid w:val="009305CC"/>
    <w:rsid w:val="00930E58"/>
    <w:rsid w:val="00930E74"/>
    <w:rsid w:val="00930EF3"/>
    <w:rsid w:val="009310D3"/>
    <w:rsid w:val="0093112E"/>
    <w:rsid w:val="009311A7"/>
    <w:rsid w:val="00931228"/>
    <w:rsid w:val="00931525"/>
    <w:rsid w:val="00931600"/>
    <w:rsid w:val="00931838"/>
    <w:rsid w:val="00931C3D"/>
    <w:rsid w:val="00931C90"/>
    <w:rsid w:val="00931F79"/>
    <w:rsid w:val="0093205F"/>
    <w:rsid w:val="0093221B"/>
    <w:rsid w:val="00932410"/>
    <w:rsid w:val="00932B2C"/>
    <w:rsid w:val="00932BDA"/>
    <w:rsid w:val="009332C3"/>
    <w:rsid w:val="0093343C"/>
    <w:rsid w:val="00933500"/>
    <w:rsid w:val="00933A4D"/>
    <w:rsid w:val="00933B83"/>
    <w:rsid w:val="00933BAB"/>
    <w:rsid w:val="00933F5F"/>
    <w:rsid w:val="00934368"/>
    <w:rsid w:val="009343DC"/>
    <w:rsid w:val="009344F8"/>
    <w:rsid w:val="009346BB"/>
    <w:rsid w:val="0093480B"/>
    <w:rsid w:val="00934970"/>
    <w:rsid w:val="00934B58"/>
    <w:rsid w:val="00934BF8"/>
    <w:rsid w:val="00934F13"/>
    <w:rsid w:val="009351D4"/>
    <w:rsid w:val="009352DA"/>
    <w:rsid w:val="00935561"/>
    <w:rsid w:val="009357AC"/>
    <w:rsid w:val="00935D96"/>
    <w:rsid w:val="00935EE5"/>
    <w:rsid w:val="009364C6"/>
    <w:rsid w:val="00936B23"/>
    <w:rsid w:val="00936F69"/>
    <w:rsid w:val="00937374"/>
    <w:rsid w:val="0093747C"/>
    <w:rsid w:val="00937590"/>
    <w:rsid w:val="009375BD"/>
    <w:rsid w:val="00937B67"/>
    <w:rsid w:val="00937C38"/>
    <w:rsid w:val="00937CB0"/>
    <w:rsid w:val="00937F98"/>
    <w:rsid w:val="009400C0"/>
    <w:rsid w:val="00940179"/>
    <w:rsid w:val="009402B6"/>
    <w:rsid w:val="0094034D"/>
    <w:rsid w:val="00940409"/>
    <w:rsid w:val="009405A2"/>
    <w:rsid w:val="00940D8C"/>
    <w:rsid w:val="00941167"/>
    <w:rsid w:val="009415CC"/>
    <w:rsid w:val="009417D1"/>
    <w:rsid w:val="009418B7"/>
    <w:rsid w:val="00941A49"/>
    <w:rsid w:val="0094243E"/>
    <w:rsid w:val="00942AC9"/>
    <w:rsid w:val="00942AFE"/>
    <w:rsid w:val="00942CB4"/>
    <w:rsid w:val="009431BC"/>
    <w:rsid w:val="009432FE"/>
    <w:rsid w:val="009435F3"/>
    <w:rsid w:val="009448F1"/>
    <w:rsid w:val="009448F3"/>
    <w:rsid w:val="00944904"/>
    <w:rsid w:val="00944B7A"/>
    <w:rsid w:val="00944CFD"/>
    <w:rsid w:val="00944DDA"/>
    <w:rsid w:val="00944F91"/>
    <w:rsid w:val="00944FDA"/>
    <w:rsid w:val="00945272"/>
    <w:rsid w:val="009452F0"/>
    <w:rsid w:val="00945754"/>
    <w:rsid w:val="009459F3"/>
    <w:rsid w:val="00945B1A"/>
    <w:rsid w:val="00945E37"/>
    <w:rsid w:val="0094607A"/>
    <w:rsid w:val="00946147"/>
    <w:rsid w:val="0094614C"/>
    <w:rsid w:val="00946210"/>
    <w:rsid w:val="00946363"/>
    <w:rsid w:val="00946828"/>
    <w:rsid w:val="00946A45"/>
    <w:rsid w:val="00946B6C"/>
    <w:rsid w:val="00946BE6"/>
    <w:rsid w:val="00946C37"/>
    <w:rsid w:val="0094710D"/>
    <w:rsid w:val="009472B6"/>
    <w:rsid w:val="00947400"/>
    <w:rsid w:val="0094744C"/>
    <w:rsid w:val="00947594"/>
    <w:rsid w:val="00947684"/>
    <w:rsid w:val="009479A6"/>
    <w:rsid w:val="00947C7F"/>
    <w:rsid w:val="0095001C"/>
    <w:rsid w:val="009500CD"/>
    <w:rsid w:val="009504B5"/>
    <w:rsid w:val="0095075E"/>
    <w:rsid w:val="0095085B"/>
    <w:rsid w:val="0095087E"/>
    <w:rsid w:val="00951088"/>
    <w:rsid w:val="00951130"/>
    <w:rsid w:val="009512D4"/>
    <w:rsid w:val="0095154B"/>
    <w:rsid w:val="00951B2A"/>
    <w:rsid w:val="00951BD6"/>
    <w:rsid w:val="009526C5"/>
    <w:rsid w:val="00952B35"/>
    <w:rsid w:val="00952B4C"/>
    <w:rsid w:val="00952FDA"/>
    <w:rsid w:val="0095314B"/>
    <w:rsid w:val="0095319D"/>
    <w:rsid w:val="00953233"/>
    <w:rsid w:val="009535F5"/>
    <w:rsid w:val="00953C5A"/>
    <w:rsid w:val="00953C71"/>
    <w:rsid w:val="00953E2D"/>
    <w:rsid w:val="00953E56"/>
    <w:rsid w:val="00953F99"/>
    <w:rsid w:val="00954043"/>
    <w:rsid w:val="00954433"/>
    <w:rsid w:val="00954933"/>
    <w:rsid w:val="00954983"/>
    <w:rsid w:val="00954D1E"/>
    <w:rsid w:val="00955199"/>
    <w:rsid w:val="009551D7"/>
    <w:rsid w:val="00955524"/>
    <w:rsid w:val="0095554D"/>
    <w:rsid w:val="00955859"/>
    <w:rsid w:val="00955B16"/>
    <w:rsid w:val="00955B17"/>
    <w:rsid w:val="00955D25"/>
    <w:rsid w:val="00955D86"/>
    <w:rsid w:val="00955DBA"/>
    <w:rsid w:val="009561FC"/>
    <w:rsid w:val="00956240"/>
    <w:rsid w:val="009562DD"/>
    <w:rsid w:val="0095635B"/>
    <w:rsid w:val="0095646E"/>
    <w:rsid w:val="0095677C"/>
    <w:rsid w:val="0095685C"/>
    <w:rsid w:val="009569C5"/>
    <w:rsid w:val="00956A07"/>
    <w:rsid w:val="00956A46"/>
    <w:rsid w:val="00956CFB"/>
    <w:rsid w:val="00956DE5"/>
    <w:rsid w:val="00956FB0"/>
    <w:rsid w:val="00957103"/>
    <w:rsid w:val="009572E1"/>
    <w:rsid w:val="009579FA"/>
    <w:rsid w:val="00957B3D"/>
    <w:rsid w:val="00957FAF"/>
    <w:rsid w:val="00960110"/>
    <w:rsid w:val="00960260"/>
    <w:rsid w:val="009604E4"/>
    <w:rsid w:val="009607C8"/>
    <w:rsid w:val="00960812"/>
    <w:rsid w:val="00960BF6"/>
    <w:rsid w:val="00960D8B"/>
    <w:rsid w:val="00960F62"/>
    <w:rsid w:val="00960FAC"/>
    <w:rsid w:val="009610D7"/>
    <w:rsid w:val="009610EC"/>
    <w:rsid w:val="00961176"/>
    <w:rsid w:val="0096141F"/>
    <w:rsid w:val="00961697"/>
    <w:rsid w:val="00961759"/>
    <w:rsid w:val="00961921"/>
    <w:rsid w:val="00961989"/>
    <w:rsid w:val="00961D5D"/>
    <w:rsid w:val="00961DCD"/>
    <w:rsid w:val="00961F14"/>
    <w:rsid w:val="00962091"/>
    <w:rsid w:val="0096237F"/>
    <w:rsid w:val="0096246F"/>
    <w:rsid w:val="0096248A"/>
    <w:rsid w:val="00962761"/>
    <w:rsid w:val="0096282A"/>
    <w:rsid w:val="0096287E"/>
    <w:rsid w:val="009628B9"/>
    <w:rsid w:val="00962967"/>
    <w:rsid w:val="00962A8C"/>
    <w:rsid w:val="00962B19"/>
    <w:rsid w:val="00962D05"/>
    <w:rsid w:val="00962DC1"/>
    <w:rsid w:val="00962E02"/>
    <w:rsid w:val="00963001"/>
    <w:rsid w:val="00963153"/>
    <w:rsid w:val="009631C7"/>
    <w:rsid w:val="009635A2"/>
    <w:rsid w:val="009636BF"/>
    <w:rsid w:val="009637AF"/>
    <w:rsid w:val="00963833"/>
    <w:rsid w:val="00963E50"/>
    <w:rsid w:val="0096491F"/>
    <w:rsid w:val="00964B57"/>
    <w:rsid w:val="00964D26"/>
    <w:rsid w:val="009651CB"/>
    <w:rsid w:val="009652B3"/>
    <w:rsid w:val="009655CB"/>
    <w:rsid w:val="00965916"/>
    <w:rsid w:val="00965D99"/>
    <w:rsid w:val="00965D9A"/>
    <w:rsid w:val="00965F33"/>
    <w:rsid w:val="00966184"/>
    <w:rsid w:val="00966194"/>
    <w:rsid w:val="009661AA"/>
    <w:rsid w:val="0096633A"/>
    <w:rsid w:val="0096699B"/>
    <w:rsid w:val="00966A92"/>
    <w:rsid w:val="00966A9F"/>
    <w:rsid w:val="00966DD5"/>
    <w:rsid w:val="00966E1C"/>
    <w:rsid w:val="00966F1E"/>
    <w:rsid w:val="0096704F"/>
    <w:rsid w:val="0096736D"/>
    <w:rsid w:val="009674A8"/>
    <w:rsid w:val="00967729"/>
    <w:rsid w:val="00967B3F"/>
    <w:rsid w:val="00970246"/>
    <w:rsid w:val="00970AAD"/>
    <w:rsid w:val="009715FD"/>
    <w:rsid w:val="00971945"/>
    <w:rsid w:val="00971C67"/>
    <w:rsid w:val="00971CDA"/>
    <w:rsid w:val="00971E5B"/>
    <w:rsid w:val="00972A2B"/>
    <w:rsid w:val="00972A79"/>
    <w:rsid w:val="00972DF8"/>
    <w:rsid w:val="00973052"/>
    <w:rsid w:val="00973073"/>
    <w:rsid w:val="00973508"/>
    <w:rsid w:val="00973631"/>
    <w:rsid w:val="00973830"/>
    <w:rsid w:val="00973C1A"/>
    <w:rsid w:val="00973EA5"/>
    <w:rsid w:val="00973F98"/>
    <w:rsid w:val="0097455B"/>
    <w:rsid w:val="00974629"/>
    <w:rsid w:val="009748C8"/>
    <w:rsid w:val="009748D7"/>
    <w:rsid w:val="009748F2"/>
    <w:rsid w:val="0097499C"/>
    <w:rsid w:val="00974AD1"/>
    <w:rsid w:val="00974B61"/>
    <w:rsid w:val="00974E1A"/>
    <w:rsid w:val="009750D2"/>
    <w:rsid w:val="009750DF"/>
    <w:rsid w:val="0097558B"/>
    <w:rsid w:val="00975805"/>
    <w:rsid w:val="0097586D"/>
    <w:rsid w:val="00975CDE"/>
    <w:rsid w:val="00975D6C"/>
    <w:rsid w:val="00975EAD"/>
    <w:rsid w:val="0097631D"/>
    <w:rsid w:val="00976363"/>
    <w:rsid w:val="0097668A"/>
    <w:rsid w:val="009769F8"/>
    <w:rsid w:val="00976B00"/>
    <w:rsid w:val="00976BAD"/>
    <w:rsid w:val="009777BB"/>
    <w:rsid w:val="00977864"/>
    <w:rsid w:val="00977A4F"/>
    <w:rsid w:val="00977E32"/>
    <w:rsid w:val="00977E44"/>
    <w:rsid w:val="00977F4F"/>
    <w:rsid w:val="00977FC3"/>
    <w:rsid w:val="00980373"/>
    <w:rsid w:val="009804FD"/>
    <w:rsid w:val="009806B7"/>
    <w:rsid w:val="009807AA"/>
    <w:rsid w:val="00980AA4"/>
    <w:rsid w:val="00980FDC"/>
    <w:rsid w:val="009810AE"/>
    <w:rsid w:val="00981A8C"/>
    <w:rsid w:val="00981C78"/>
    <w:rsid w:val="0098204B"/>
    <w:rsid w:val="009820EC"/>
    <w:rsid w:val="00982107"/>
    <w:rsid w:val="009823DD"/>
    <w:rsid w:val="009825F3"/>
    <w:rsid w:val="00982678"/>
    <w:rsid w:val="00982720"/>
    <w:rsid w:val="0098275B"/>
    <w:rsid w:val="00982884"/>
    <w:rsid w:val="009828B5"/>
    <w:rsid w:val="009829FD"/>
    <w:rsid w:val="00982B39"/>
    <w:rsid w:val="00982BF1"/>
    <w:rsid w:val="00982C41"/>
    <w:rsid w:val="00982F14"/>
    <w:rsid w:val="00982F89"/>
    <w:rsid w:val="0098309E"/>
    <w:rsid w:val="009832BF"/>
    <w:rsid w:val="00983652"/>
    <w:rsid w:val="0098365B"/>
    <w:rsid w:val="00983684"/>
    <w:rsid w:val="00983805"/>
    <w:rsid w:val="0098386F"/>
    <w:rsid w:val="00983AB7"/>
    <w:rsid w:val="00983D08"/>
    <w:rsid w:val="00984306"/>
    <w:rsid w:val="0098464F"/>
    <w:rsid w:val="0098488A"/>
    <w:rsid w:val="00984C6C"/>
    <w:rsid w:val="00984D03"/>
    <w:rsid w:val="009852B2"/>
    <w:rsid w:val="00985302"/>
    <w:rsid w:val="00985534"/>
    <w:rsid w:val="00985569"/>
    <w:rsid w:val="009856C2"/>
    <w:rsid w:val="009858C0"/>
    <w:rsid w:val="00985CD1"/>
    <w:rsid w:val="00985D7C"/>
    <w:rsid w:val="00985DFB"/>
    <w:rsid w:val="00986040"/>
    <w:rsid w:val="00986326"/>
    <w:rsid w:val="00986753"/>
    <w:rsid w:val="00986B9C"/>
    <w:rsid w:val="00986C1E"/>
    <w:rsid w:val="0098752D"/>
    <w:rsid w:val="009877EB"/>
    <w:rsid w:val="00987C7A"/>
    <w:rsid w:val="00987E28"/>
    <w:rsid w:val="00987E5C"/>
    <w:rsid w:val="00990014"/>
    <w:rsid w:val="00990051"/>
    <w:rsid w:val="00990AD3"/>
    <w:rsid w:val="00990D87"/>
    <w:rsid w:val="00990E47"/>
    <w:rsid w:val="00990FA5"/>
    <w:rsid w:val="009910D3"/>
    <w:rsid w:val="009912AB"/>
    <w:rsid w:val="009912E6"/>
    <w:rsid w:val="0099189A"/>
    <w:rsid w:val="00991A1D"/>
    <w:rsid w:val="00991A50"/>
    <w:rsid w:val="009920C9"/>
    <w:rsid w:val="009924E5"/>
    <w:rsid w:val="00992729"/>
    <w:rsid w:val="0099282B"/>
    <w:rsid w:val="00992BCA"/>
    <w:rsid w:val="00992E29"/>
    <w:rsid w:val="00992ECF"/>
    <w:rsid w:val="00993642"/>
    <w:rsid w:val="0099369D"/>
    <w:rsid w:val="009938E4"/>
    <w:rsid w:val="00993935"/>
    <w:rsid w:val="0099439C"/>
    <w:rsid w:val="0099471F"/>
    <w:rsid w:val="0099491B"/>
    <w:rsid w:val="00994D27"/>
    <w:rsid w:val="00994DEC"/>
    <w:rsid w:val="00994EE7"/>
    <w:rsid w:val="00994EFE"/>
    <w:rsid w:val="00995261"/>
    <w:rsid w:val="009952C0"/>
    <w:rsid w:val="0099544D"/>
    <w:rsid w:val="00995567"/>
    <w:rsid w:val="009955A3"/>
    <w:rsid w:val="00995754"/>
    <w:rsid w:val="009957D4"/>
    <w:rsid w:val="009957F5"/>
    <w:rsid w:val="00995A95"/>
    <w:rsid w:val="00995E00"/>
    <w:rsid w:val="009965AF"/>
    <w:rsid w:val="00996961"/>
    <w:rsid w:val="00996B02"/>
    <w:rsid w:val="00996E24"/>
    <w:rsid w:val="0099722E"/>
    <w:rsid w:val="00997253"/>
    <w:rsid w:val="009973E9"/>
    <w:rsid w:val="00997528"/>
    <w:rsid w:val="00997601"/>
    <w:rsid w:val="00997736"/>
    <w:rsid w:val="0099798D"/>
    <w:rsid w:val="009979CE"/>
    <w:rsid w:val="00997A84"/>
    <w:rsid w:val="00997A97"/>
    <w:rsid w:val="00997D65"/>
    <w:rsid w:val="00997E4C"/>
    <w:rsid w:val="00997ED9"/>
    <w:rsid w:val="00997F1A"/>
    <w:rsid w:val="009A00BA"/>
    <w:rsid w:val="009A0155"/>
    <w:rsid w:val="009A037D"/>
    <w:rsid w:val="009A055B"/>
    <w:rsid w:val="009A05BB"/>
    <w:rsid w:val="009A06FA"/>
    <w:rsid w:val="009A0933"/>
    <w:rsid w:val="009A09B7"/>
    <w:rsid w:val="009A0ADF"/>
    <w:rsid w:val="009A0C7F"/>
    <w:rsid w:val="009A127C"/>
    <w:rsid w:val="009A17F5"/>
    <w:rsid w:val="009A1829"/>
    <w:rsid w:val="009A1866"/>
    <w:rsid w:val="009A1A47"/>
    <w:rsid w:val="009A1AF7"/>
    <w:rsid w:val="009A1DE9"/>
    <w:rsid w:val="009A1E4A"/>
    <w:rsid w:val="009A1F90"/>
    <w:rsid w:val="009A2D0A"/>
    <w:rsid w:val="009A3030"/>
    <w:rsid w:val="009A3057"/>
    <w:rsid w:val="009A3147"/>
    <w:rsid w:val="009A318C"/>
    <w:rsid w:val="009A31CE"/>
    <w:rsid w:val="009A33E7"/>
    <w:rsid w:val="009A33FD"/>
    <w:rsid w:val="009A3986"/>
    <w:rsid w:val="009A3A06"/>
    <w:rsid w:val="009A3BAB"/>
    <w:rsid w:val="009A3BE7"/>
    <w:rsid w:val="009A3C15"/>
    <w:rsid w:val="009A3DD1"/>
    <w:rsid w:val="009A3E99"/>
    <w:rsid w:val="009A3F14"/>
    <w:rsid w:val="009A4093"/>
    <w:rsid w:val="009A41AF"/>
    <w:rsid w:val="009A44F8"/>
    <w:rsid w:val="009A45DE"/>
    <w:rsid w:val="009A4676"/>
    <w:rsid w:val="009A4713"/>
    <w:rsid w:val="009A4906"/>
    <w:rsid w:val="009A4A29"/>
    <w:rsid w:val="009A4C9B"/>
    <w:rsid w:val="009A4DD0"/>
    <w:rsid w:val="009A4E6C"/>
    <w:rsid w:val="009A4FAF"/>
    <w:rsid w:val="009A53EC"/>
    <w:rsid w:val="009A562D"/>
    <w:rsid w:val="009A5666"/>
    <w:rsid w:val="009A5D0B"/>
    <w:rsid w:val="009A5E54"/>
    <w:rsid w:val="009A5FE5"/>
    <w:rsid w:val="009A629D"/>
    <w:rsid w:val="009A65AA"/>
    <w:rsid w:val="009A664D"/>
    <w:rsid w:val="009A678B"/>
    <w:rsid w:val="009A67EA"/>
    <w:rsid w:val="009A6A1F"/>
    <w:rsid w:val="009A6A49"/>
    <w:rsid w:val="009A6B33"/>
    <w:rsid w:val="009A6C9B"/>
    <w:rsid w:val="009A6F0E"/>
    <w:rsid w:val="009A7055"/>
    <w:rsid w:val="009A70C4"/>
    <w:rsid w:val="009A7902"/>
    <w:rsid w:val="009B0599"/>
    <w:rsid w:val="009B0807"/>
    <w:rsid w:val="009B0C8C"/>
    <w:rsid w:val="009B0CE3"/>
    <w:rsid w:val="009B0E02"/>
    <w:rsid w:val="009B149A"/>
    <w:rsid w:val="009B15FC"/>
    <w:rsid w:val="009B198E"/>
    <w:rsid w:val="009B1A69"/>
    <w:rsid w:val="009B1F42"/>
    <w:rsid w:val="009B1F92"/>
    <w:rsid w:val="009B2017"/>
    <w:rsid w:val="009B20D8"/>
    <w:rsid w:val="009B252A"/>
    <w:rsid w:val="009B2968"/>
    <w:rsid w:val="009B2A56"/>
    <w:rsid w:val="009B2C56"/>
    <w:rsid w:val="009B2C91"/>
    <w:rsid w:val="009B3286"/>
    <w:rsid w:val="009B36AE"/>
    <w:rsid w:val="009B3A10"/>
    <w:rsid w:val="009B3AD4"/>
    <w:rsid w:val="009B3ADB"/>
    <w:rsid w:val="009B3BB2"/>
    <w:rsid w:val="009B40A3"/>
    <w:rsid w:val="009B40A4"/>
    <w:rsid w:val="009B444C"/>
    <w:rsid w:val="009B46E7"/>
    <w:rsid w:val="009B4736"/>
    <w:rsid w:val="009B4857"/>
    <w:rsid w:val="009B4896"/>
    <w:rsid w:val="009B49B6"/>
    <w:rsid w:val="009B4A27"/>
    <w:rsid w:val="009B4AE2"/>
    <w:rsid w:val="009B4D2A"/>
    <w:rsid w:val="009B4F06"/>
    <w:rsid w:val="009B514B"/>
    <w:rsid w:val="009B5505"/>
    <w:rsid w:val="009B55F0"/>
    <w:rsid w:val="009B564D"/>
    <w:rsid w:val="009B567E"/>
    <w:rsid w:val="009B597E"/>
    <w:rsid w:val="009B59F8"/>
    <w:rsid w:val="009B5A6F"/>
    <w:rsid w:val="009B5DEE"/>
    <w:rsid w:val="009B5DFB"/>
    <w:rsid w:val="009B5E16"/>
    <w:rsid w:val="009B5F0E"/>
    <w:rsid w:val="009B5F99"/>
    <w:rsid w:val="009B5FA8"/>
    <w:rsid w:val="009B61F5"/>
    <w:rsid w:val="009B6424"/>
    <w:rsid w:val="009B645E"/>
    <w:rsid w:val="009B65B4"/>
    <w:rsid w:val="009B67A8"/>
    <w:rsid w:val="009B67F7"/>
    <w:rsid w:val="009B6B2D"/>
    <w:rsid w:val="009B6E62"/>
    <w:rsid w:val="009B7030"/>
    <w:rsid w:val="009B7232"/>
    <w:rsid w:val="009B72AA"/>
    <w:rsid w:val="009B732C"/>
    <w:rsid w:val="009B7442"/>
    <w:rsid w:val="009B75B9"/>
    <w:rsid w:val="009B7842"/>
    <w:rsid w:val="009B7997"/>
    <w:rsid w:val="009B7A4E"/>
    <w:rsid w:val="009B7C65"/>
    <w:rsid w:val="009C044A"/>
    <w:rsid w:val="009C044F"/>
    <w:rsid w:val="009C047C"/>
    <w:rsid w:val="009C0B02"/>
    <w:rsid w:val="009C0CAB"/>
    <w:rsid w:val="009C0E85"/>
    <w:rsid w:val="009C0F79"/>
    <w:rsid w:val="009C0FCF"/>
    <w:rsid w:val="009C1063"/>
    <w:rsid w:val="009C142F"/>
    <w:rsid w:val="009C1628"/>
    <w:rsid w:val="009C185C"/>
    <w:rsid w:val="009C219E"/>
    <w:rsid w:val="009C265D"/>
    <w:rsid w:val="009C268E"/>
    <w:rsid w:val="009C2897"/>
    <w:rsid w:val="009C29B5"/>
    <w:rsid w:val="009C2E17"/>
    <w:rsid w:val="009C2E4F"/>
    <w:rsid w:val="009C2F7C"/>
    <w:rsid w:val="009C3139"/>
    <w:rsid w:val="009C3268"/>
    <w:rsid w:val="009C37BE"/>
    <w:rsid w:val="009C38AA"/>
    <w:rsid w:val="009C3AE2"/>
    <w:rsid w:val="009C3D1C"/>
    <w:rsid w:val="009C3DCF"/>
    <w:rsid w:val="009C4060"/>
    <w:rsid w:val="009C44F6"/>
    <w:rsid w:val="009C4520"/>
    <w:rsid w:val="009C4711"/>
    <w:rsid w:val="009C47CD"/>
    <w:rsid w:val="009C4CF3"/>
    <w:rsid w:val="009C542C"/>
    <w:rsid w:val="009C5655"/>
    <w:rsid w:val="009C5658"/>
    <w:rsid w:val="009C5796"/>
    <w:rsid w:val="009C57E6"/>
    <w:rsid w:val="009C5854"/>
    <w:rsid w:val="009C586B"/>
    <w:rsid w:val="009C59B7"/>
    <w:rsid w:val="009C5CC5"/>
    <w:rsid w:val="009C5DA8"/>
    <w:rsid w:val="009C5E58"/>
    <w:rsid w:val="009C5EEE"/>
    <w:rsid w:val="009C65EE"/>
    <w:rsid w:val="009C66FB"/>
    <w:rsid w:val="009C688D"/>
    <w:rsid w:val="009C696E"/>
    <w:rsid w:val="009C6AFB"/>
    <w:rsid w:val="009C6CD4"/>
    <w:rsid w:val="009C6CEF"/>
    <w:rsid w:val="009C7072"/>
    <w:rsid w:val="009C7131"/>
    <w:rsid w:val="009C7310"/>
    <w:rsid w:val="009C738C"/>
    <w:rsid w:val="009C7473"/>
    <w:rsid w:val="009C75D9"/>
    <w:rsid w:val="009C7ECA"/>
    <w:rsid w:val="009D015C"/>
    <w:rsid w:val="009D02AB"/>
    <w:rsid w:val="009D03C1"/>
    <w:rsid w:val="009D0440"/>
    <w:rsid w:val="009D04C8"/>
    <w:rsid w:val="009D058E"/>
    <w:rsid w:val="009D086E"/>
    <w:rsid w:val="009D0906"/>
    <w:rsid w:val="009D09BC"/>
    <w:rsid w:val="009D0C38"/>
    <w:rsid w:val="009D0C52"/>
    <w:rsid w:val="009D0CCA"/>
    <w:rsid w:val="009D0FB3"/>
    <w:rsid w:val="009D12A6"/>
    <w:rsid w:val="009D14B0"/>
    <w:rsid w:val="009D14CF"/>
    <w:rsid w:val="009D183B"/>
    <w:rsid w:val="009D19C1"/>
    <w:rsid w:val="009D1D7D"/>
    <w:rsid w:val="009D203D"/>
    <w:rsid w:val="009D238F"/>
    <w:rsid w:val="009D24A2"/>
    <w:rsid w:val="009D29D4"/>
    <w:rsid w:val="009D2A96"/>
    <w:rsid w:val="009D38C9"/>
    <w:rsid w:val="009D3E6E"/>
    <w:rsid w:val="009D3E92"/>
    <w:rsid w:val="009D3EB7"/>
    <w:rsid w:val="009D41BE"/>
    <w:rsid w:val="009D44B6"/>
    <w:rsid w:val="009D4553"/>
    <w:rsid w:val="009D455E"/>
    <w:rsid w:val="009D460E"/>
    <w:rsid w:val="009D46CD"/>
    <w:rsid w:val="009D4929"/>
    <w:rsid w:val="009D492D"/>
    <w:rsid w:val="009D4CB0"/>
    <w:rsid w:val="009D4DB0"/>
    <w:rsid w:val="009D4F09"/>
    <w:rsid w:val="009D4F79"/>
    <w:rsid w:val="009D535B"/>
    <w:rsid w:val="009D5C53"/>
    <w:rsid w:val="009D6540"/>
    <w:rsid w:val="009D66D0"/>
    <w:rsid w:val="009D66F3"/>
    <w:rsid w:val="009D685E"/>
    <w:rsid w:val="009D6865"/>
    <w:rsid w:val="009D6B5A"/>
    <w:rsid w:val="009D6D7D"/>
    <w:rsid w:val="009D6EBF"/>
    <w:rsid w:val="009D706B"/>
    <w:rsid w:val="009D7124"/>
    <w:rsid w:val="009D7167"/>
    <w:rsid w:val="009D720B"/>
    <w:rsid w:val="009D73ED"/>
    <w:rsid w:val="009D74E6"/>
    <w:rsid w:val="009D76A8"/>
    <w:rsid w:val="009D77B5"/>
    <w:rsid w:val="009D782A"/>
    <w:rsid w:val="009D7AD6"/>
    <w:rsid w:val="009D7CA1"/>
    <w:rsid w:val="009D7DEB"/>
    <w:rsid w:val="009D7E3F"/>
    <w:rsid w:val="009D7E96"/>
    <w:rsid w:val="009D7FF3"/>
    <w:rsid w:val="009E0113"/>
    <w:rsid w:val="009E032C"/>
    <w:rsid w:val="009E041C"/>
    <w:rsid w:val="009E0722"/>
    <w:rsid w:val="009E079B"/>
    <w:rsid w:val="009E0CF3"/>
    <w:rsid w:val="009E0CF7"/>
    <w:rsid w:val="009E0E20"/>
    <w:rsid w:val="009E0F35"/>
    <w:rsid w:val="009E11D7"/>
    <w:rsid w:val="009E14F7"/>
    <w:rsid w:val="009E1612"/>
    <w:rsid w:val="009E1D0B"/>
    <w:rsid w:val="009E1D1C"/>
    <w:rsid w:val="009E22A5"/>
    <w:rsid w:val="009E2480"/>
    <w:rsid w:val="009E249C"/>
    <w:rsid w:val="009E2A82"/>
    <w:rsid w:val="009E2AAB"/>
    <w:rsid w:val="009E2C32"/>
    <w:rsid w:val="009E2D0C"/>
    <w:rsid w:val="009E2D8B"/>
    <w:rsid w:val="009E2EA9"/>
    <w:rsid w:val="009E33B3"/>
    <w:rsid w:val="009E33CD"/>
    <w:rsid w:val="009E33E9"/>
    <w:rsid w:val="009E3483"/>
    <w:rsid w:val="009E39B3"/>
    <w:rsid w:val="009E3F61"/>
    <w:rsid w:val="009E403E"/>
    <w:rsid w:val="009E404F"/>
    <w:rsid w:val="009E41B2"/>
    <w:rsid w:val="009E44B7"/>
    <w:rsid w:val="009E47F4"/>
    <w:rsid w:val="009E52B7"/>
    <w:rsid w:val="009E5367"/>
    <w:rsid w:val="009E54A7"/>
    <w:rsid w:val="009E59A5"/>
    <w:rsid w:val="009E5A1F"/>
    <w:rsid w:val="009E5A36"/>
    <w:rsid w:val="009E5AD4"/>
    <w:rsid w:val="009E5D11"/>
    <w:rsid w:val="009E6143"/>
    <w:rsid w:val="009E6164"/>
    <w:rsid w:val="009E61DF"/>
    <w:rsid w:val="009E666F"/>
    <w:rsid w:val="009E698D"/>
    <w:rsid w:val="009E6D3E"/>
    <w:rsid w:val="009E6E44"/>
    <w:rsid w:val="009E6F63"/>
    <w:rsid w:val="009E709E"/>
    <w:rsid w:val="009E7142"/>
    <w:rsid w:val="009E73F9"/>
    <w:rsid w:val="009E7E99"/>
    <w:rsid w:val="009F04D5"/>
    <w:rsid w:val="009F05F3"/>
    <w:rsid w:val="009F06ED"/>
    <w:rsid w:val="009F080E"/>
    <w:rsid w:val="009F0949"/>
    <w:rsid w:val="009F09AC"/>
    <w:rsid w:val="009F09C1"/>
    <w:rsid w:val="009F0D70"/>
    <w:rsid w:val="009F0FE1"/>
    <w:rsid w:val="009F1106"/>
    <w:rsid w:val="009F12A4"/>
    <w:rsid w:val="009F12C1"/>
    <w:rsid w:val="009F138D"/>
    <w:rsid w:val="009F1422"/>
    <w:rsid w:val="009F176C"/>
    <w:rsid w:val="009F1854"/>
    <w:rsid w:val="009F19FD"/>
    <w:rsid w:val="009F1BA5"/>
    <w:rsid w:val="009F1DA2"/>
    <w:rsid w:val="009F2162"/>
    <w:rsid w:val="009F235F"/>
    <w:rsid w:val="009F25DF"/>
    <w:rsid w:val="009F270C"/>
    <w:rsid w:val="009F2884"/>
    <w:rsid w:val="009F2968"/>
    <w:rsid w:val="009F2A7C"/>
    <w:rsid w:val="009F2A92"/>
    <w:rsid w:val="009F2BDA"/>
    <w:rsid w:val="009F2FC9"/>
    <w:rsid w:val="009F3169"/>
    <w:rsid w:val="009F31E5"/>
    <w:rsid w:val="009F34E2"/>
    <w:rsid w:val="009F391F"/>
    <w:rsid w:val="009F3EB6"/>
    <w:rsid w:val="009F49FA"/>
    <w:rsid w:val="009F4EBA"/>
    <w:rsid w:val="009F4FFE"/>
    <w:rsid w:val="009F5253"/>
    <w:rsid w:val="009F527A"/>
    <w:rsid w:val="009F5527"/>
    <w:rsid w:val="009F56CC"/>
    <w:rsid w:val="009F5A37"/>
    <w:rsid w:val="009F5C0C"/>
    <w:rsid w:val="009F5C7E"/>
    <w:rsid w:val="009F608C"/>
    <w:rsid w:val="009F60DE"/>
    <w:rsid w:val="009F61F6"/>
    <w:rsid w:val="009F6289"/>
    <w:rsid w:val="009F66F9"/>
    <w:rsid w:val="009F6797"/>
    <w:rsid w:val="009F6AB5"/>
    <w:rsid w:val="009F6B42"/>
    <w:rsid w:val="009F6D4E"/>
    <w:rsid w:val="009F6D9D"/>
    <w:rsid w:val="009F6E30"/>
    <w:rsid w:val="009F70FE"/>
    <w:rsid w:val="009F7138"/>
    <w:rsid w:val="009F7313"/>
    <w:rsid w:val="009F75AC"/>
    <w:rsid w:val="009F774A"/>
    <w:rsid w:val="009F7791"/>
    <w:rsid w:val="009F7D49"/>
    <w:rsid w:val="00A0006E"/>
    <w:rsid w:val="00A00342"/>
    <w:rsid w:val="00A00363"/>
    <w:rsid w:val="00A004F6"/>
    <w:rsid w:val="00A00552"/>
    <w:rsid w:val="00A00570"/>
    <w:rsid w:val="00A005CF"/>
    <w:rsid w:val="00A0065C"/>
    <w:rsid w:val="00A00B42"/>
    <w:rsid w:val="00A00E3F"/>
    <w:rsid w:val="00A011F2"/>
    <w:rsid w:val="00A01349"/>
    <w:rsid w:val="00A01778"/>
    <w:rsid w:val="00A01797"/>
    <w:rsid w:val="00A01815"/>
    <w:rsid w:val="00A01867"/>
    <w:rsid w:val="00A01989"/>
    <w:rsid w:val="00A01DB3"/>
    <w:rsid w:val="00A01E75"/>
    <w:rsid w:val="00A01FA1"/>
    <w:rsid w:val="00A01FDB"/>
    <w:rsid w:val="00A0262E"/>
    <w:rsid w:val="00A02806"/>
    <w:rsid w:val="00A02B3A"/>
    <w:rsid w:val="00A02B8C"/>
    <w:rsid w:val="00A02DFF"/>
    <w:rsid w:val="00A02F00"/>
    <w:rsid w:val="00A02F87"/>
    <w:rsid w:val="00A02FB1"/>
    <w:rsid w:val="00A03068"/>
    <w:rsid w:val="00A031F7"/>
    <w:rsid w:val="00A0325B"/>
    <w:rsid w:val="00A0329E"/>
    <w:rsid w:val="00A03356"/>
    <w:rsid w:val="00A0352F"/>
    <w:rsid w:val="00A035CD"/>
    <w:rsid w:val="00A03711"/>
    <w:rsid w:val="00A03ACD"/>
    <w:rsid w:val="00A03AFF"/>
    <w:rsid w:val="00A03F26"/>
    <w:rsid w:val="00A03F66"/>
    <w:rsid w:val="00A03FFE"/>
    <w:rsid w:val="00A041E4"/>
    <w:rsid w:val="00A04279"/>
    <w:rsid w:val="00A0428C"/>
    <w:rsid w:val="00A04292"/>
    <w:rsid w:val="00A04487"/>
    <w:rsid w:val="00A04572"/>
    <w:rsid w:val="00A04A57"/>
    <w:rsid w:val="00A04B4E"/>
    <w:rsid w:val="00A04B87"/>
    <w:rsid w:val="00A04C34"/>
    <w:rsid w:val="00A04DEC"/>
    <w:rsid w:val="00A04EFF"/>
    <w:rsid w:val="00A05012"/>
    <w:rsid w:val="00A057AE"/>
    <w:rsid w:val="00A05B4C"/>
    <w:rsid w:val="00A05D94"/>
    <w:rsid w:val="00A0601F"/>
    <w:rsid w:val="00A06491"/>
    <w:rsid w:val="00A06524"/>
    <w:rsid w:val="00A065B0"/>
    <w:rsid w:val="00A068A4"/>
    <w:rsid w:val="00A068D1"/>
    <w:rsid w:val="00A06C8F"/>
    <w:rsid w:val="00A06D0C"/>
    <w:rsid w:val="00A06DBD"/>
    <w:rsid w:val="00A06F2F"/>
    <w:rsid w:val="00A06F9A"/>
    <w:rsid w:val="00A07020"/>
    <w:rsid w:val="00A070EE"/>
    <w:rsid w:val="00A0719C"/>
    <w:rsid w:val="00A073C3"/>
    <w:rsid w:val="00A07485"/>
    <w:rsid w:val="00A07797"/>
    <w:rsid w:val="00A07E02"/>
    <w:rsid w:val="00A07EA1"/>
    <w:rsid w:val="00A101E0"/>
    <w:rsid w:val="00A10378"/>
    <w:rsid w:val="00A10421"/>
    <w:rsid w:val="00A104C8"/>
    <w:rsid w:val="00A105A0"/>
    <w:rsid w:val="00A108C6"/>
    <w:rsid w:val="00A10974"/>
    <w:rsid w:val="00A10E74"/>
    <w:rsid w:val="00A10F63"/>
    <w:rsid w:val="00A11024"/>
    <w:rsid w:val="00A114F9"/>
    <w:rsid w:val="00A11563"/>
    <w:rsid w:val="00A11658"/>
    <w:rsid w:val="00A11814"/>
    <w:rsid w:val="00A11E2C"/>
    <w:rsid w:val="00A121FF"/>
    <w:rsid w:val="00A125A6"/>
    <w:rsid w:val="00A1291A"/>
    <w:rsid w:val="00A129D1"/>
    <w:rsid w:val="00A12C16"/>
    <w:rsid w:val="00A12CAC"/>
    <w:rsid w:val="00A12D22"/>
    <w:rsid w:val="00A131A5"/>
    <w:rsid w:val="00A132DC"/>
    <w:rsid w:val="00A132EA"/>
    <w:rsid w:val="00A1345F"/>
    <w:rsid w:val="00A1384C"/>
    <w:rsid w:val="00A13BBD"/>
    <w:rsid w:val="00A13EE2"/>
    <w:rsid w:val="00A13EFE"/>
    <w:rsid w:val="00A13F5E"/>
    <w:rsid w:val="00A14539"/>
    <w:rsid w:val="00A14934"/>
    <w:rsid w:val="00A14989"/>
    <w:rsid w:val="00A14C3D"/>
    <w:rsid w:val="00A14FA2"/>
    <w:rsid w:val="00A157BB"/>
    <w:rsid w:val="00A15C11"/>
    <w:rsid w:val="00A15E76"/>
    <w:rsid w:val="00A16128"/>
    <w:rsid w:val="00A163B3"/>
    <w:rsid w:val="00A163C3"/>
    <w:rsid w:val="00A16762"/>
    <w:rsid w:val="00A16787"/>
    <w:rsid w:val="00A169A2"/>
    <w:rsid w:val="00A16A86"/>
    <w:rsid w:val="00A16AB3"/>
    <w:rsid w:val="00A16E7C"/>
    <w:rsid w:val="00A16F64"/>
    <w:rsid w:val="00A171AD"/>
    <w:rsid w:val="00A17390"/>
    <w:rsid w:val="00A17577"/>
    <w:rsid w:val="00A17D5C"/>
    <w:rsid w:val="00A2025A"/>
    <w:rsid w:val="00A20318"/>
    <w:rsid w:val="00A20476"/>
    <w:rsid w:val="00A205A4"/>
    <w:rsid w:val="00A20775"/>
    <w:rsid w:val="00A20BAA"/>
    <w:rsid w:val="00A20D5C"/>
    <w:rsid w:val="00A20DF7"/>
    <w:rsid w:val="00A210AB"/>
    <w:rsid w:val="00A2148E"/>
    <w:rsid w:val="00A214B3"/>
    <w:rsid w:val="00A214CF"/>
    <w:rsid w:val="00A217F3"/>
    <w:rsid w:val="00A21840"/>
    <w:rsid w:val="00A21C2D"/>
    <w:rsid w:val="00A21D3E"/>
    <w:rsid w:val="00A221BD"/>
    <w:rsid w:val="00A22778"/>
    <w:rsid w:val="00A22783"/>
    <w:rsid w:val="00A22816"/>
    <w:rsid w:val="00A229CF"/>
    <w:rsid w:val="00A22A6E"/>
    <w:rsid w:val="00A22A9E"/>
    <w:rsid w:val="00A22EBD"/>
    <w:rsid w:val="00A22F3A"/>
    <w:rsid w:val="00A23327"/>
    <w:rsid w:val="00A2344E"/>
    <w:rsid w:val="00A2356F"/>
    <w:rsid w:val="00A237C3"/>
    <w:rsid w:val="00A237DD"/>
    <w:rsid w:val="00A23912"/>
    <w:rsid w:val="00A23A57"/>
    <w:rsid w:val="00A23F17"/>
    <w:rsid w:val="00A2438D"/>
    <w:rsid w:val="00A24649"/>
    <w:rsid w:val="00A24B54"/>
    <w:rsid w:val="00A24F60"/>
    <w:rsid w:val="00A25315"/>
    <w:rsid w:val="00A25456"/>
    <w:rsid w:val="00A25538"/>
    <w:rsid w:val="00A256DC"/>
    <w:rsid w:val="00A25762"/>
    <w:rsid w:val="00A25B9A"/>
    <w:rsid w:val="00A25C37"/>
    <w:rsid w:val="00A25D76"/>
    <w:rsid w:val="00A25EA5"/>
    <w:rsid w:val="00A26039"/>
    <w:rsid w:val="00A263CA"/>
    <w:rsid w:val="00A264BE"/>
    <w:rsid w:val="00A26D75"/>
    <w:rsid w:val="00A26ECC"/>
    <w:rsid w:val="00A27030"/>
    <w:rsid w:val="00A270F0"/>
    <w:rsid w:val="00A27321"/>
    <w:rsid w:val="00A274FE"/>
    <w:rsid w:val="00A27673"/>
    <w:rsid w:val="00A276BD"/>
    <w:rsid w:val="00A27700"/>
    <w:rsid w:val="00A27BA9"/>
    <w:rsid w:val="00A27C54"/>
    <w:rsid w:val="00A27E99"/>
    <w:rsid w:val="00A30093"/>
    <w:rsid w:val="00A30746"/>
    <w:rsid w:val="00A307D5"/>
    <w:rsid w:val="00A3086B"/>
    <w:rsid w:val="00A308DF"/>
    <w:rsid w:val="00A30F17"/>
    <w:rsid w:val="00A31043"/>
    <w:rsid w:val="00A31204"/>
    <w:rsid w:val="00A312EF"/>
    <w:rsid w:val="00A314C3"/>
    <w:rsid w:val="00A317D3"/>
    <w:rsid w:val="00A319C3"/>
    <w:rsid w:val="00A31ACC"/>
    <w:rsid w:val="00A32309"/>
    <w:rsid w:val="00A3238B"/>
    <w:rsid w:val="00A3241C"/>
    <w:rsid w:val="00A32B15"/>
    <w:rsid w:val="00A32E6B"/>
    <w:rsid w:val="00A32E95"/>
    <w:rsid w:val="00A3321A"/>
    <w:rsid w:val="00A3350B"/>
    <w:rsid w:val="00A33879"/>
    <w:rsid w:val="00A33DA2"/>
    <w:rsid w:val="00A33EED"/>
    <w:rsid w:val="00A34075"/>
    <w:rsid w:val="00A342BB"/>
    <w:rsid w:val="00A345F2"/>
    <w:rsid w:val="00A34A20"/>
    <w:rsid w:val="00A34A72"/>
    <w:rsid w:val="00A34AC6"/>
    <w:rsid w:val="00A34B3E"/>
    <w:rsid w:val="00A34CD6"/>
    <w:rsid w:val="00A353B0"/>
    <w:rsid w:val="00A3551D"/>
    <w:rsid w:val="00A35746"/>
    <w:rsid w:val="00A35B79"/>
    <w:rsid w:val="00A35C19"/>
    <w:rsid w:val="00A35D53"/>
    <w:rsid w:val="00A35D57"/>
    <w:rsid w:val="00A35DC9"/>
    <w:rsid w:val="00A35F55"/>
    <w:rsid w:val="00A35F68"/>
    <w:rsid w:val="00A35FBD"/>
    <w:rsid w:val="00A36242"/>
    <w:rsid w:val="00A36371"/>
    <w:rsid w:val="00A3641B"/>
    <w:rsid w:val="00A36827"/>
    <w:rsid w:val="00A36C1D"/>
    <w:rsid w:val="00A36C2B"/>
    <w:rsid w:val="00A36DC8"/>
    <w:rsid w:val="00A371F7"/>
    <w:rsid w:val="00A37381"/>
    <w:rsid w:val="00A375AE"/>
    <w:rsid w:val="00A37CA2"/>
    <w:rsid w:val="00A37CCC"/>
    <w:rsid w:val="00A37E3F"/>
    <w:rsid w:val="00A40027"/>
    <w:rsid w:val="00A400A2"/>
    <w:rsid w:val="00A40AB5"/>
    <w:rsid w:val="00A40D11"/>
    <w:rsid w:val="00A40E42"/>
    <w:rsid w:val="00A40F59"/>
    <w:rsid w:val="00A40F98"/>
    <w:rsid w:val="00A411CF"/>
    <w:rsid w:val="00A418A2"/>
    <w:rsid w:val="00A419CD"/>
    <w:rsid w:val="00A41A27"/>
    <w:rsid w:val="00A41A9C"/>
    <w:rsid w:val="00A42057"/>
    <w:rsid w:val="00A420A4"/>
    <w:rsid w:val="00A4220E"/>
    <w:rsid w:val="00A4223D"/>
    <w:rsid w:val="00A422D5"/>
    <w:rsid w:val="00A42676"/>
    <w:rsid w:val="00A42860"/>
    <w:rsid w:val="00A42A65"/>
    <w:rsid w:val="00A42B79"/>
    <w:rsid w:val="00A42C14"/>
    <w:rsid w:val="00A42D35"/>
    <w:rsid w:val="00A43051"/>
    <w:rsid w:val="00A43171"/>
    <w:rsid w:val="00A43245"/>
    <w:rsid w:val="00A4344A"/>
    <w:rsid w:val="00A434A9"/>
    <w:rsid w:val="00A4399A"/>
    <w:rsid w:val="00A439DF"/>
    <w:rsid w:val="00A4425F"/>
    <w:rsid w:val="00A4478F"/>
    <w:rsid w:val="00A448AD"/>
    <w:rsid w:val="00A449DC"/>
    <w:rsid w:val="00A44A17"/>
    <w:rsid w:val="00A44AEE"/>
    <w:rsid w:val="00A4534D"/>
    <w:rsid w:val="00A45366"/>
    <w:rsid w:val="00A4596B"/>
    <w:rsid w:val="00A45AE6"/>
    <w:rsid w:val="00A45E16"/>
    <w:rsid w:val="00A460D9"/>
    <w:rsid w:val="00A46244"/>
    <w:rsid w:val="00A46280"/>
    <w:rsid w:val="00A463CD"/>
    <w:rsid w:val="00A46466"/>
    <w:rsid w:val="00A46797"/>
    <w:rsid w:val="00A46844"/>
    <w:rsid w:val="00A4689D"/>
    <w:rsid w:val="00A469D7"/>
    <w:rsid w:val="00A46AC9"/>
    <w:rsid w:val="00A46F36"/>
    <w:rsid w:val="00A46F83"/>
    <w:rsid w:val="00A470A6"/>
    <w:rsid w:val="00A47107"/>
    <w:rsid w:val="00A471D7"/>
    <w:rsid w:val="00A47BD2"/>
    <w:rsid w:val="00A47E98"/>
    <w:rsid w:val="00A5005A"/>
    <w:rsid w:val="00A5041B"/>
    <w:rsid w:val="00A5061C"/>
    <w:rsid w:val="00A50807"/>
    <w:rsid w:val="00A5096F"/>
    <w:rsid w:val="00A50DE8"/>
    <w:rsid w:val="00A50F8B"/>
    <w:rsid w:val="00A5100B"/>
    <w:rsid w:val="00A512FC"/>
    <w:rsid w:val="00A516DF"/>
    <w:rsid w:val="00A52197"/>
    <w:rsid w:val="00A522E7"/>
    <w:rsid w:val="00A524B3"/>
    <w:rsid w:val="00A5256A"/>
    <w:rsid w:val="00A5278C"/>
    <w:rsid w:val="00A5293A"/>
    <w:rsid w:val="00A529F1"/>
    <w:rsid w:val="00A52DD1"/>
    <w:rsid w:val="00A52DE5"/>
    <w:rsid w:val="00A52E68"/>
    <w:rsid w:val="00A530CC"/>
    <w:rsid w:val="00A53122"/>
    <w:rsid w:val="00A5327F"/>
    <w:rsid w:val="00A532F0"/>
    <w:rsid w:val="00A53818"/>
    <w:rsid w:val="00A53BBF"/>
    <w:rsid w:val="00A540AF"/>
    <w:rsid w:val="00A548A2"/>
    <w:rsid w:val="00A5493A"/>
    <w:rsid w:val="00A54AEC"/>
    <w:rsid w:val="00A54D45"/>
    <w:rsid w:val="00A54D50"/>
    <w:rsid w:val="00A54E5B"/>
    <w:rsid w:val="00A5509A"/>
    <w:rsid w:val="00A55333"/>
    <w:rsid w:val="00A5551C"/>
    <w:rsid w:val="00A5559A"/>
    <w:rsid w:val="00A5588E"/>
    <w:rsid w:val="00A55A71"/>
    <w:rsid w:val="00A55CAC"/>
    <w:rsid w:val="00A55DEC"/>
    <w:rsid w:val="00A55E96"/>
    <w:rsid w:val="00A563AC"/>
    <w:rsid w:val="00A564E3"/>
    <w:rsid w:val="00A565F5"/>
    <w:rsid w:val="00A56659"/>
    <w:rsid w:val="00A56981"/>
    <w:rsid w:val="00A56CA6"/>
    <w:rsid w:val="00A56CDE"/>
    <w:rsid w:val="00A56D88"/>
    <w:rsid w:val="00A56DAD"/>
    <w:rsid w:val="00A57280"/>
    <w:rsid w:val="00A575D6"/>
    <w:rsid w:val="00A57726"/>
    <w:rsid w:val="00A57785"/>
    <w:rsid w:val="00A577DD"/>
    <w:rsid w:val="00A57801"/>
    <w:rsid w:val="00A57A73"/>
    <w:rsid w:val="00A600BE"/>
    <w:rsid w:val="00A600EA"/>
    <w:rsid w:val="00A6017F"/>
    <w:rsid w:val="00A602A8"/>
    <w:rsid w:val="00A60538"/>
    <w:rsid w:val="00A60669"/>
    <w:rsid w:val="00A60DC9"/>
    <w:rsid w:val="00A60FDE"/>
    <w:rsid w:val="00A610CA"/>
    <w:rsid w:val="00A6137E"/>
    <w:rsid w:val="00A614ED"/>
    <w:rsid w:val="00A61576"/>
    <w:rsid w:val="00A6159B"/>
    <w:rsid w:val="00A61E7B"/>
    <w:rsid w:val="00A62510"/>
    <w:rsid w:val="00A626F5"/>
    <w:rsid w:val="00A62861"/>
    <w:rsid w:val="00A628E9"/>
    <w:rsid w:val="00A62A83"/>
    <w:rsid w:val="00A62B9B"/>
    <w:rsid w:val="00A62BEA"/>
    <w:rsid w:val="00A62CFB"/>
    <w:rsid w:val="00A62DDE"/>
    <w:rsid w:val="00A63863"/>
    <w:rsid w:val="00A639AF"/>
    <w:rsid w:val="00A63BA7"/>
    <w:rsid w:val="00A63DF5"/>
    <w:rsid w:val="00A64165"/>
    <w:rsid w:val="00A64661"/>
    <w:rsid w:val="00A64752"/>
    <w:rsid w:val="00A648D3"/>
    <w:rsid w:val="00A64A49"/>
    <w:rsid w:val="00A64BF6"/>
    <w:rsid w:val="00A651FB"/>
    <w:rsid w:val="00A655E6"/>
    <w:rsid w:val="00A656AF"/>
    <w:rsid w:val="00A656E7"/>
    <w:rsid w:val="00A65721"/>
    <w:rsid w:val="00A65B56"/>
    <w:rsid w:val="00A65B93"/>
    <w:rsid w:val="00A65DC5"/>
    <w:rsid w:val="00A65E47"/>
    <w:rsid w:val="00A65FE9"/>
    <w:rsid w:val="00A66004"/>
    <w:rsid w:val="00A66072"/>
    <w:rsid w:val="00A6615A"/>
    <w:rsid w:val="00A6650A"/>
    <w:rsid w:val="00A66801"/>
    <w:rsid w:val="00A66910"/>
    <w:rsid w:val="00A66D98"/>
    <w:rsid w:val="00A66EB6"/>
    <w:rsid w:val="00A674F1"/>
    <w:rsid w:val="00A67754"/>
    <w:rsid w:val="00A67A9D"/>
    <w:rsid w:val="00A67C61"/>
    <w:rsid w:val="00A67D2B"/>
    <w:rsid w:val="00A67FB1"/>
    <w:rsid w:val="00A67FC2"/>
    <w:rsid w:val="00A700D0"/>
    <w:rsid w:val="00A70335"/>
    <w:rsid w:val="00A705ED"/>
    <w:rsid w:val="00A7097D"/>
    <w:rsid w:val="00A70C0F"/>
    <w:rsid w:val="00A70EE8"/>
    <w:rsid w:val="00A7109F"/>
    <w:rsid w:val="00A712EF"/>
    <w:rsid w:val="00A71583"/>
    <w:rsid w:val="00A715F3"/>
    <w:rsid w:val="00A71751"/>
    <w:rsid w:val="00A717FF"/>
    <w:rsid w:val="00A71A8D"/>
    <w:rsid w:val="00A71ACD"/>
    <w:rsid w:val="00A71C8B"/>
    <w:rsid w:val="00A720E7"/>
    <w:rsid w:val="00A722AC"/>
    <w:rsid w:val="00A72372"/>
    <w:rsid w:val="00A72675"/>
    <w:rsid w:val="00A72922"/>
    <w:rsid w:val="00A72968"/>
    <w:rsid w:val="00A72D37"/>
    <w:rsid w:val="00A72ED5"/>
    <w:rsid w:val="00A73061"/>
    <w:rsid w:val="00A731EC"/>
    <w:rsid w:val="00A732C3"/>
    <w:rsid w:val="00A73330"/>
    <w:rsid w:val="00A73445"/>
    <w:rsid w:val="00A739E9"/>
    <w:rsid w:val="00A73B77"/>
    <w:rsid w:val="00A73DAB"/>
    <w:rsid w:val="00A73FA2"/>
    <w:rsid w:val="00A740F9"/>
    <w:rsid w:val="00A744D9"/>
    <w:rsid w:val="00A746AC"/>
    <w:rsid w:val="00A7477B"/>
    <w:rsid w:val="00A747C1"/>
    <w:rsid w:val="00A747FE"/>
    <w:rsid w:val="00A74851"/>
    <w:rsid w:val="00A74ADA"/>
    <w:rsid w:val="00A74B3B"/>
    <w:rsid w:val="00A74EC6"/>
    <w:rsid w:val="00A74F0C"/>
    <w:rsid w:val="00A75099"/>
    <w:rsid w:val="00A75282"/>
    <w:rsid w:val="00A75323"/>
    <w:rsid w:val="00A753A3"/>
    <w:rsid w:val="00A7590F"/>
    <w:rsid w:val="00A75A8C"/>
    <w:rsid w:val="00A76A3E"/>
    <w:rsid w:val="00A76D89"/>
    <w:rsid w:val="00A770C0"/>
    <w:rsid w:val="00A770E7"/>
    <w:rsid w:val="00A77150"/>
    <w:rsid w:val="00A77479"/>
    <w:rsid w:val="00A77827"/>
    <w:rsid w:val="00A77D3A"/>
    <w:rsid w:val="00A77D4D"/>
    <w:rsid w:val="00A77E6F"/>
    <w:rsid w:val="00A77EBD"/>
    <w:rsid w:val="00A77F74"/>
    <w:rsid w:val="00A800DC"/>
    <w:rsid w:val="00A80285"/>
    <w:rsid w:val="00A8047B"/>
    <w:rsid w:val="00A80A3E"/>
    <w:rsid w:val="00A80A80"/>
    <w:rsid w:val="00A80D3C"/>
    <w:rsid w:val="00A80DA7"/>
    <w:rsid w:val="00A815D2"/>
    <w:rsid w:val="00A81867"/>
    <w:rsid w:val="00A81AF5"/>
    <w:rsid w:val="00A81EB2"/>
    <w:rsid w:val="00A81ECF"/>
    <w:rsid w:val="00A81FFA"/>
    <w:rsid w:val="00A820C5"/>
    <w:rsid w:val="00A820D3"/>
    <w:rsid w:val="00A82187"/>
    <w:rsid w:val="00A82456"/>
    <w:rsid w:val="00A82764"/>
    <w:rsid w:val="00A8288D"/>
    <w:rsid w:val="00A82A63"/>
    <w:rsid w:val="00A82D58"/>
    <w:rsid w:val="00A82DA0"/>
    <w:rsid w:val="00A83073"/>
    <w:rsid w:val="00A8314E"/>
    <w:rsid w:val="00A8334D"/>
    <w:rsid w:val="00A834EB"/>
    <w:rsid w:val="00A83610"/>
    <w:rsid w:val="00A8361A"/>
    <w:rsid w:val="00A83714"/>
    <w:rsid w:val="00A83BBE"/>
    <w:rsid w:val="00A83E55"/>
    <w:rsid w:val="00A83F3F"/>
    <w:rsid w:val="00A83FE1"/>
    <w:rsid w:val="00A84088"/>
    <w:rsid w:val="00A840E1"/>
    <w:rsid w:val="00A841E3"/>
    <w:rsid w:val="00A8464D"/>
    <w:rsid w:val="00A8475D"/>
    <w:rsid w:val="00A84779"/>
    <w:rsid w:val="00A84869"/>
    <w:rsid w:val="00A84BDB"/>
    <w:rsid w:val="00A84CB8"/>
    <w:rsid w:val="00A84CFF"/>
    <w:rsid w:val="00A84E81"/>
    <w:rsid w:val="00A84EB7"/>
    <w:rsid w:val="00A84F2F"/>
    <w:rsid w:val="00A851A2"/>
    <w:rsid w:val="00A851FE"/>
    <w:rsid w:val="00A85401"/>
    <w:rsid w:val="00A855B6"/>
    <w:rsid w:val="00A85653"/>
    <w:rsid w:val="00A85657"/>
    <w:rsid w:val="00A858AF"/>
    <w:rsid w:val="00A859E4"/>
    <w:rsid w:val="00A85B29"/>
    <w:rsid w:val="00A85D76"/>
    <w:rsid w:val="00A8675D"/>
    <w:rsid w:val="00A868BC"/>
    <w:rsid w:val="00A86DB5"/>
    <w:rsid w:val="00A86E20"/>
    <w:rsid w:val="00A86F5B"/>
    <w:rsid w:val="00A8708D"/>
    <w:rsid w:val="00A870B3"/>
    <w:rsid w:val="00A87328"/>
    <w:rsid w:val="00A873FF"/>
    <w:rsid w:val="00A87498"/>
    <w:rsid w:val="00A875A0"/>
    <w:rsid w:val="00A877FA"/>
    <w:rsid w:val="00A87D50"/>
    <w:rsid w:val="00A9014F"/>
    <w:rsid w:val="00A90200"/>
    <w:rsid w:val="00A90373"/>
    <w:rsid w:val="00A90511"/>
    <w:rsid w:val="00A90596"/>
    <w:rsid w:val="00A9067B"/>
    <w:rsid w:val="00A9076D"/>
    <w:rsid w:val="00A909F5"/>
    <w:rsid w:val="00A90B4C"/>
    <w:rsid w:val="00A90C38"/>
    <w:rsid w:val="00A90D29"/>
    <w:rsid w:val="00A911B1"/>
    <w:rsid w:val="00A91472"/>
    <w:rsid w:val="00A914D1"/>
    <w:rsid w:val="00A91593"/>
    <w:rsid w:val="00A916AC"/>
    <w:rsid w:val="00A91A6C"/>
    <w:rsid w:val="00A91B8A"/>
    <w:rsid w:val="00A91C48"/>
    <w:rsid w:val="00A91C5F"/>
    <w:rsid w:val="00A91DB9"/>
    <w:rsid w:val="00A91FFE"/>
    <w:rsid w:val="00A92439"/>
    <w:rsid w:val="00A929EF"/>
    <w:rsid w:val="00A92A7C"/>
    <w:rsid w:val="00A92C10"/>
    <w:rsid w:val="00A92EFE"/>
    <w:rsid w:val="00A93054"/>
    <w:rsid w:val="00A930DF"/>
    <w:rsid w:val="00A93127"/>
    <w:rsid w:val="00A93173"/>
    <w:rsid w:val="00A9323C"/>
    <w:rsid w:val="00A9329E"/>
    <w:rsid w:val="00A932EB"/>
    <w:rsid w:val="00A9342F"/>
    <w:rsid w:val="00A93451"/>
    <w:rsid w:val="00A935A9"/>
    <w:rsid w:val="00A93B80"/>
    <w:rsid w:val="00A93C48"/>
    <w:rsid w:val="00A94284"/>
    <w:rsid w:val="00A942F2"/>
    <w:rsid w:val="00A94379"/>
    <w:rsid w:val="00A944D2"/>
    <w:rsid w:val="00A94547"/>
    <w:rsid w:val="00A945D6"/>
    <w:rsid w:val="00A9495F"/>
    <w:rsid w:val="00A94E42"/>
    <w:rsid w:val="00A94FE9"/>
    <w:rsid w:val="00A956C8"/>
    <w:rsid w:val="00A9588F"/>
    <w:rsid w:val="00A958EB"/>
    <w:rsid w:val="00A95966"/>
    <w:rsid w:val="00A9602F"/>
    <w:rsid w:val="00A9607A"/>
    <w:rsid w:val="00A962E4"/>
    <w:rsid w:val="00A963B6"/>
    <w:rsid w:val="00A96A7A"/>
    <w:rsid w:val="00A96B3F"/>
    <w:rsid w:val="00A96C30"/>
    <w:rsid w:val="00A96D0D"/>
    <w:rsid w:val="00A96F06"/>
    <w:rsid w:val="00A97004"/>
    <w:rsid w:val="00A97140"/>
    <w:rsid w:val="00A9764F"/>
    <w:rsid w:val="00A97777"/>
    <w:rsid w:val="00A9787D"/>
    <w:rsid w:val="00A97BF4"/>
    <w:rsid w:val="00A97F31"/>
    <w:rsid w:val="00AA015F"/>
    <w:rsid w:val="00AA02E8"/>
    <w:rsid w:val="00AA046A"/>
    <w:rsid w:val="00AA0961"/>
    <w:rsid w:val="00AA0C0C"/>
    <w:rsid w:val="00AA0C8B"/>
    <w:rsid w:val="00AA0F75"/>
    <w:rsid w:val="00AA0FE7"/>
    <w:rsid w:val="00AA0FF1"/>
    <w:rsid w:val="00AA17BB"/>
    <w:rsid w:val="00AA1B4C"/>
    <w:rsid w:val="00AA1BEB"/>
    <w:rsid w:val="00AA1CCC"/>
    <w:rsid w:val="00AA1E72"/>
    <w:rsid w:val="00AA1ED2"/>
    <w:rsid w:val="00AA1F5F"/>
    <w:rsid w:val="00AA24B8"/>
    <w:rsid w:val="00AA272C"/>
    <w:rsid w:val="00AA2904"/>
    <w:rsid w:val="00AA296B"/>
    <w:rsid w:val="00AA2EA4"/>
    <w:rsid w:val="00AA2F2D"/>
    <w:rsid w:val="00AA304D"/>
    <w:rsid w:val="00AA3140"/>
    <w:rsid w:val="00AA324A"/>
    <w:rsid w:val="00AA3258"/>
    <w:rsid w:val="00AA3484"/>
    <w:rsid w:val="00AA37A6"/>
    <w:rsid w:val="00AA38ED"/>
    <w:rsid w:val="00AA3B46"/>
    <w:rsid w:val="00AA3C32"/>
    <w:rsid w:val="00AA512A"/>
    <w:rsid w:val="00AA5188"/>
    <w:rsid w:val="00AA5533"/>
    <w:rsid w:val="00AA58F9"/>
    <w:rsid w:val="00AA60DD"/>
    <w:rsid w:val="00AA61BC"/>
    <w:rsid w:val="00AA6200"/>
    <w:rsid w:val="00AA6266"/>
    <w:rsid w:val="00AA6546"/>
    <w:rsid w:val="00AA67E6"/>
    <w:rsid w:val="00AA6A10"/>
    <w:rsid w:val="00AA6B71"/>
    <w:rsid w:val="00AA6B7F"/>
    <w:rsid w:val="00AA6F7B"/>
    <w:rsid w:val="00AA6FE7"/>
    <w:rsid w:val="00AA7067"/>
    <w:rsid w:val="00AA70E9"/>
    <w:rsid w:val="00AA7350"/>
    <w:rsid w:val="00AA750B"/>
    <w:rsid w:val="00AA7B86"/>
    <w:rsid w:val="00AA7F1B"/>
    <w:rsid w:val="00AB0393"/>
    <w:rsid w:val="00AB04A0"/>
    <w:rsid w:val="00AB0BA2"/>
    <w:rsid w:val="00AB0E54"/>
    <w:rsid w:val="00AB1060"/>
    <w:rsid w:val="00AB137B"/>
    <w:rsid w:val="00AB1A55"/>
    <w:rsid w:val="00AB1B21"/>
    <w:rsid w:val="00AB1C28"/>
    <w:rsid w:val="00AB1D4F"/>
    <w:rsid w:val="00AB1DB8"/>
    <w:rsid w:val="00AB1E71"/>
    <w:rsid w:val="00AB1FA9"/>
    <w:rsid w:val="00AB206C"/>
    <w:rsid w:val="00AB2249"/>
    <w:rsid w:val="00AB22FE"/>
    <w:rsid w:val="00AB25E2"/>
    <w:rsid w:val="00AB2DB2"/>
    <w:rsid w:val="00AB2FA8"/>
    <w:rsid w:val="00AB31AD"/>
    <w:rsid w:val="00AB321F"/>
    <w:rsid w:val="00AB32C5"/>
    <w:rsid w:val="00AB3522"/>
    <w:rsid w:val="00AB371C"/>
    <w:rsid w:val="00AB376B"/>
    <w:rsid w:val="00AB3A71"/>
    <w:rsid w:val="00AB3B83"/>
    <w:rsid w:val="00AB3BAC"/>
    <w:rsid w:val="00AB3F35"/>
    <w:rsid w:val="00AB40EC"/>
    <w:rsid w:val="00AB429A"/>
    <w:rsid w:val="00AB43CA"/>
    <w:rsid w:val="00AB43D1"/>
    <w:rsid w:val="00AB4928"/>
    <w:rsid w:val="00AB4937"/>
    <w:rsid w:val="00AB4C8F"/>
    <w:rsid w:val="00AB51EE"/>
    <w:rsid w:val="00AB55C9"/>
    <w:rsid w:val="00AB5614"/>
    <w:rsid w:val="00AB5699"/>
    <w:rsid w:val="00AB5A18"/>
    <w:rsid w:val="00AB5A28"/>
    <w:rsid w:val="00AB5AE2"/>
    <w:rsid w:val="00AB5FD6"/>
    <w:rsid w:val="00AB5FEA"/>
    <w:rsid w:val="00AB6131"/>
    <w:rsid w:val="00AB6369"/>
    <w:rsid w:val="00AB6486"/>
    <w:rsid w:val="00AB64D1"/>
    <w:rsid w:val="00AB66F9"/>
    <w:rsid w:val="00AB677C"/>
    <w:rsid w:val="00AB67BE"/>
    <w:rsid w:val="00AB6E5E"/>
    <w:rsid w:val="00AB7092"/>
    <w:rsid w:val="00AB70B9"/>
    <w:rsid w:val="00AB710C"/>
    <w:rsid w:val="00AB7183"/>
    <w:rsid w:val="00AB7386"/>
    <w:rsid w:val="00AB7390"/>
    <w:rsid w:val="00AB7BA3"/>
    <w:rsid w:val="00AB7CF5"/>
    <w:rsid w:val="00AC0233"/>
    <w:rsid w:val="00AC0319"/>
    <w:rsid w:val="00AC0398"/>
    <w:rsid w:val="00AC07EE"/>
    <w:rsid w:val="00AC0BEC"/>
    <w:rsid w:val="00AC0C7B"/>
    <w:rsid w:val="00AC111B"/>
    <w:rsid w:val="00AC12F9"/>
    <w:rsid w:val="00AC1C87"/>
    <w:rsid w:val="00AC1E12"/>
    <w:rsid w:val="00AC1EA1"/>
    <w:rsid w:val="00AC21CF"/>
    <w:rsid w:val="00AC2348"/>
    <w:rsid w:val="00AC24DF"/>
    <w:rsid w:val="00AC264B"/>
    <w:rsid w:val="00AC2895"/>
    <w:rsid w:val="00AC28E0"/>
    <w:rsid w:val="00AC2A2C"/>
    <w:rsid w:val="00AC2B28"/>
    <w:rsid w:val="00AC2B4F"/>
    <w:rsid w:val="00AC2EE2"/>
    <w:rsid w:val="00AC309C"/>
    <w:rsid w:val="00AC3445"/>
    <w:rsid w:val="00AC3613"/>
    <w:rsid w:val="00AC36D5"/>
    <w:rsid w:val="00AC3FFF"/>
    <w:rsid w:val="00AC4254"/>
    <w:rsid w:val="00AC42A7"/>
    <w:rsid w:val="00AC4477"/>
    <w:rsid w:val="00AC4865"/>
    <w:rsid w:val="00AC4A53"/>
    <w:rsid w:val="00AC4A56"/>
    <w:rsid w:val="00AC4C63"/>
    <w:rsid w:val="00AC4CE4"/>
    <w:rsid w:val="00AC4F66"/>
    <w:rsid w:val="00AC58E8"/>
    <w:rsid w:val="00AC596F"/>
    <w:rsid w:val="00AC5A45"/>
    <w:rsid w:val="00AC5C73"/>
    <w:rsid w:val="00AC5DAC"/>
    <w:rsid w:val="00AC5DD8"/>
    <w:rsid w:val="00AC5DE0"/>
    <w:rsid w:val="00AC61A9"/>
    <w:rsid w:val="00AC6336"/>
    <w:rsid w:val="00AC6405"/>
    <w:rsid w:val="00AC643B"/>
    <w:rsid w:val="00AC64A2"/>
    <w:rsid w:val="00AC6640"/>
    <w:rsid w:val="00AC668B"/>
    <w:rsid w:val="00AC66BE"/>
    <w:rsid w:val="00AC66C0"/>
    <w:rsid w:val="00AC6758"/>
    <w:rsid w:val="00AC6C45"/>
    <w:rsid w:val="00AC6F60"/>
    <w:rsid w:val="00AC71AE"/>
    <w:rsid w:val="00AC7A88"/>
    <w:rsid w:val="00AC7CA6"/>
    <w:rsid w:val="00AC7CD0"/>
    <w:rsid w:val="00AC7D33"/>
    <w:rsid w:val="00AC7FDC"/>
    <w:rsid w:val="00AD0169"/>
    <w:rsid w:val="00AD071A"/>
    <w:rsid w:val="00AD08A1"/>
    <w:rsid w:val="00AD0B08"/>
    <w:rsid w:val="00AD0B87"/>
    <w:rsid w:val="00AD0D3E"/>
    <w:rsid w:val="00AD0DB4"/>
    <w:rsid w:val="00AD115C"/>
    <w:rsid w:val="00AD1523"/>
    <w:rsid w:val="00AD154F"/>
    <w:rsid w:val="00AD170C"/>
    <w:rsid w:val="00AD17B9"/>
    <w:rsid w:val="00AD17BB"/>
    <w:rsid w:val="00AD193E"/>
    <w:rsid w:val="00AD1B3F"/>
    <w:rsid w:val="00AD1B57"/>
    <w:rsid w:val="00AD1C72"/>
    <w:rsid w:val="00AD1D11"/>
    <w:rsid w:val="00AD1ED3"/>
    <w:rsid w:val="00AD20E8"/>
    <w:rsid w:val="00AD21E0"/>
    <w:rsid w:val="00AD238B"/>
    <w:rsid w:val="00AD23D9"/>
    <w:rsid w:val="00AD2473"/>
    <w:rsid w:val="00AD252E"/>
    <w:rsid w:val="00AD2BC0"/>
    <w:rsid w:val="00AD2DA7"/>
    <w:rsid w:val="00AD2FC7"/>
    <w:rsid w:val="00AD2FFD"/>
    <w:rsid w:val="00AD31E8"/>
    <w:rsid w:val="00AD3459"/>
    <w:rsid w:val="00AD3669"/>
    <w:rsid w:val="00AD36D5"/>
    <w:rsid w:val="00AD380E"/>
    <w:rsid w:val="00AD3ACA"/>
    <w:rsid w:val="00AD3B3D"/>
    <w:rsid w:val="00AD3DAC"/>
    <w:rsid w:val="00AD4203"/>
    <w:rsid w:val="00AD46E5"/>
    <w:rsid w:val="00AD47B2"/>
    <w:rsid w:val="00AD48B0"/>
    <w:rsid w:val="00AD4B97"/>
    <w:rsid w:val="00AD4BF4"/>
    <w:rsid w:val="00AD4CC3"/>
    <w:rsid w:val="00AD5104"/>
    <w:rsid w:val="00AD5378"/>
    <w:rsid w:val="00AD574A"/>
    <w:rsid w:val="00AD5A34"/>
    <w:rsid w:val="00AD5DAB"/>
    <w:rsid w:val="00AD6017"/>
    <w:rsid w:val="00AD6380"/>
    <w:rsid w:val="00AD6624"/>
    <w:rsid w:val="00AD6734"/>
    <w:rsid w:val="00AD6890"/>
    <w:rsid w:val="00AD68DB"/>
    <w:rsid w:val="00AD6946"/>
    <w:rsid w:val="00AD6A1B"/>
    <w:rsid w:val="00AD6C51"/>
    <w:rsid w:val="00AD6E3F"/>
    <w:rsid w:val="00AD6F13"/>
    <w:rsid w:val="00AD731A"/>
    <w:rsid w:val="00AD74AE"/>
    <w:rsid w:val="00AD7536"/>
    <w:rsid w:val="00AD76B2"/>
    <w:rsid w:val="00AE0028"/>
    <w:rsid w:val="00AE03BD"/>
    <w:rsid w:val="00AE042E"/>
    <w:rsid w:val="00AE0B50"/>
    <w:rsid w:val="00AE0DA6"/>
    <w:rsid w:val="00AE0EE4"/>
    <w:rsid w:val="00AE1113"/>
    <w:rsid w:val="00AE12C2"/>
    <w:rsid w:val="00AE1576"/>
    <w:rsid w:val="00AE1798"/>
    <w:rsid w:val="00AE19AE"/>
    <w:rsid w:val="00AE19E5"/>
    <w:rsid w:val="00AE1AE2"/>
    <w:rsid w:val="00AE1B8D"/>
    <w:rsid w:val="00AE2018"/>
    <w:rsid w:val="00AE2091"/>
    <w:rsid w:val="00AE2347"/>
    <w:rsid w:val="00AE2796"/>
    <w:rsid w:val="00AE27E5"/>
    <w:rsid w:val="00AE2D91"/>
    <w:rsid w:val="00AE2F88"/>
    <w:rsid w:val="00AE3500"/>
    <w:rsid w:val="00AE3582"/>
    <w:rsid w:val="00AE3805"/>
    <w:rsid w:val="00AE3B30"/>
    <w:rsid w:val="00AE3D91"/>
    <w:rsid w:val="00AE3F04"/>
    <w:rsid w:val="00AE4068"/>
    <w:rsid w:val="00AE4563"/>
    <w:rsid w:val="00AE49CD"/>
    <w:rsid w:val="00AE4A36"/>
    <w:rsid w:val="00AE4B7B"/>
    <w:rsid w:val="00AE4D6B"/>
    <w:rsid w:val="00AE4E10"/>
    <w:rsid w:val="00AE5071"/>
    <w:rsid w:val="00AE513E"/>
    <w:rsid w:val="00AE5449"/>
    <w:rsid w:val="00AE5AA8"/>
    <w:rsid w:val="00AE5C1C"/>
    <w:rsid w:val="00AE602C"/>
    <w:rsid w:val="00AE60E0"/>
    <w:rsid w:val="00AE62E6"/>
    <w:rsid w:val="00AE6448"/>
    <w:rsid w:val="00AE6542"/>
    <w:rsid w:val="00AE6BA1"/>
    <w:rsid w:val="00AE6CFF"/>
    <w:rsid w:val="00AE6D44"/>
    <w:rsid w:val="00AE734F"/>
    <w:rsid w:val="00AE742E"/>
    <w:rsid w:val="00AE76FC"/>
    <w:rsid w:val="00AE7871"/>
    <w:rsid w:val="00AE7C6D"/>
    <w:rsid w:val="00AE7C99"/>
    <w:rsid w:val="00AE7FDC"/>
    <w:rsid w:val="00AF022B"/>
    <w:rsid w:val="00AF0334"/>
    <w:rsid w:val="00AF0464"/>
    <w:rsid w:val="00AF053F"/>
    <w:rsid w:val="00AF07F5"/>
    <w:rsid w:val="00AF0FAF"/>
    <w:rsid w:val="00AF1049"/>
    <w:rsid w:val="00AF1077"/>
    <w:rsid w:val="00AF1493"/>
    <w:rsid w:val="00AF177E"/>
    <w:rsid w:val="00AF1E25"/>
    <w:rsid w:val="00AF1E95"/>
    <w:rsid w:val="00AF20FC"/>
    <w:rsid w:val="00AF2500"/>
    <w:rsid w:val="00AF255F"/>
    <w:rsid w:val="00AF2616"/>
    <w:rsid w:val="00AF263F"/>
    <w:rsid w:val="00AF27BD"/>
    <w:rsid w:val="00AF3162"/>
    <w:rsid w:val="00AF36EA"/>
    <w:rsid w:val="00AF3E68"/>
    <w:rsid w:val="00AF3EE6"/>
    <w:rsid w:val="00AF4365"/>
    <w:rsid w:val="00AF468F"/>
    <w:rsid w:val="00AF475A"/>
    <w:rsid w:val="00AF4920"/>
    <w:rsid w:val="00AF49A0"/>
    <w:rsid w:val="00AF49E1"/>
    <w:rsid w:val="00AF4C5C"/>
    <w:rsid w:val="00AF51FB"/>
    <w:rsid w:val="00AF5221"/>
    <w:rsid w:val="00AF56D7"/>
    <w:rsid w:val="00AF5B87"/>
    <w:rsid w:val="00AF5BCD"/>
    <w:rsid w:val="00AF5C04"/>
    <w:rsid w:val="00AF63E8"/>
    <w:rsid w:val="00AF6538"/>
    <w:rsid w:val="00AF6724"/>
    <w:rsid w:val="00AF6FE6"/>
    <w:rsid w:val="00AF73F9"/>
    <w:rsid w:val="00AF771F"/>
    <w:rsid w:val="00AF7726"/>
    <w:rsid w:val="00AF78E4"/>
    <w:rsid w:val="00AF796A"/>
    <w:rsid w:val="00AF7E76"/>
    <w:rsid w:val="00AF7E8C"/>
    <w:rsid w:val="00AF7ED3"/>
    <w:rsid w:val="00B0017F"/>
    <w:rsid w:val="00B002B2"/>
    <w:rsid w:val="00B002E4"/>
    <w:rsid w:val="00B00875"/>
    <w:rsid w:val="00B0092E"/>
    <w:rsid w:val="00B0099C"/>
    <w:rsid w:val="00B00BB5"/>
    <w:rsid w:val="00B00CA0"/>
    <w:rsid w:val="00B00CF5"/>
    <w:rsid w:val="00B00D22"/>
    <w:rsid w:val="00B01219"/>
    <w:rsid w:val="00B0134F"/>
    <w:rsid w:val="00B01A0A"/>
    <w:rsid w:val="00B01EB4"/>
    <w:rsid w:val="00B0246C"/>
    <w:rsid w:val="00B025BE"/>
    <w:rsid w:val="00B02717"/>
    <w:rsid w:val="00B02721"/>
    <w:rsid w:val="00B02AE5"/>
    <w:rsid w:val="00B02CF7"/>
    <w:rsid w:val="00B02D8B"/>
    <w:rsid w:val="00B03027"/>
    <w:rsid w:val="00B0307F"/>
    <w:rsid w:val="00B031B0"/>
    <w:rsid w:val="00B033E5"/>
    <w:rsid w:val="00B035CD"/>
    <w:rsid w:val="00B03635"/>
    <w:rsid w:val="00B03808"/>
    <w:rsid w:val="00B03AB2"/>
    <w:rsid w:val="00B03C37"/>
    <w:rsid w:val="00B03EA8"/>
    <w:rsid w:val="00B03FB1"/>
    <w:rsid w:val="00B04582"/>
    <w:rsid w:val="00B046A2"/>
    <w:rsid w:val="00B04885"/>
    <w:rsid w:val="00B04E95"/>
    <w:rsid w:val="00B04F30"/>
    <w:rsid w:val="00B0565F"/>
    <w:rsid w:val="00B056F7"/>
    <w:rsid w:val="00B0594A"/>
    <w:rsid w:val="00B05A82"/>
    <w:rsid w:val="00B05AC8"/>
    <w:rsid w:val="00B05B8B"/>
    <w:rsid w:val="00B062E5"/>
    <w:rsid w:val="00B06787"/>
    <w:rsid w:val="00B06A1A"/>
    <w:rsid w:val="00B06AD2"/>
    <w:rsid w:val="00B06B68"/>
    <w:rsid w:val="00B06C84"/>
    <w:rsid w:val="00B072D1"/>
    <w:rsid w:val="00B07772"/>
    <w:rsid w:val="00B07B45"/>
    <w:rsid w:val="00B10409"/>
    <w:rsid w:val="00B104B2"/>
    <w:rsid w:val="00B10558"/>
    <w:rsid w:val="00B10632"/>
    <w:rsid w:val="00B10939"/>
    <w:rsid w:val="00B10A9C"/>
    <w:rsid w:val="00B10DC2"/>
    <w:rsid w:val="00B10E25"/>
    <w:rsid w:val="00B110DC"/>
    <w:rsid w:val="00B1144F"/>
    <w:rsid w:val="00B115DE"/>
    <w:rsid w:val="00B11E75"/>
    <w:rsid w:val="00B11ED1"/>
    <w:rsid w:val="00B121E8"/>
    <w:rsid w:val="00B122B1"/>
    <w:rsid w:val="00B1244B"/>
    <w:rsid w:val="00B124F9"/>
    <w:rsid w:val="00B12773"/>
    <w:rsid w:val="00B12F9B"/>
    <w:rsid w:val="00B130B9"/>
    <w:rsid w:val="00B130CD"/>
    <w:rsid w:val="00B1325F"/>
    <w:rsid w:val="00B13334"/>
    <w:rsid w:val="00B135E6"/>
    <w:rsid w:val="00B13601"/>
    <w:rsid w:val="00B1385F"/>
    <w:rsid w:val="00B13BD1"/>
    <w:rsid w:val="00B13BE3"/>
    <w:rsid w:val="00B13C36"/>
    <w:rsid w:val="00B13D92"/>
    <w:rsid w:val="00B14309"/>
    <w:rsid w:val="00B14497"/>
    <w:rsid w:val="00B147E7"/>
    <w:rsid w:val="00B1489C"/>
    <w:rsid w:val="00B14A39"/>
    <w:rsid w:val="00B14BE8"/>
    <w:rsid w:val="00B15513"/>
    <w:rsid w:val="00B15552"/>
    <w:rsid w:val="00B1599D"/>
    <w:rsid w:val="00B159DF"/>
    <w:rsid w:val="00B15C87"/>
    <w:rsid w:val="00B15D48"/>
    <w:rsid w:val="00B15E5B"/>
    <w:rsid w:val="00B16066"/>
    <w:rsid w:val="00B1614D"/>
    <w:rsid w:val="00B16252"/>
    <w:rsid w:val="00B16292"/>
    <w:rsid w:val="00B162E7"/>
    <w:rsid w:val="00B16348"/>
    <w:rsid w:val="00B16398"/>
    <w:rsid w:val="00B1659C"/>
    <w:rsid w:val="00B166E7"/>
    <w:rsid w:val="00B16983"/>
    <w:rsid w:val="00B169F1"/>
    <w:rsid w:val="00B16B65"/>
    <w:rsid w:val="00B16BFC"/>
    <w:rsid w:val="00B16CF9"/>
    <w:rsid w:val="00B16D02"/>
    <w:rsid w:val="00B16DC7"/>
    <w:rsid w:val="00B16EEC"/>
    <w:rsid w:val="00B170D7"/>
    <w:rsid w:val="00B1761B"/>
    <w:rsid w:val="00B17628"/>
    <w:rsid w:val="00B17B8D"/>
    <w:rsid w:val="00B17E2F"/>
    <w:rsid w:val="00B17E79"/>
    <w:rsid w:val="00B17F67"/>
    <w:rsid w:val="00B20130"/>
    <w:rsid w:val="00B201C7"/>
    <w:rsid w:val="00B202A6"/>
    <w:rsid w:val="00B203AA"/>
    <w:rsid w:val="00B204B2"/>
    <w:rsid w:val="00B20566"/>
    <w:rsid w:val="00B20663"/>
    <w:rsid w:val="00B20AC4"/>
    <w:rsid w:val="00B20D10"/>
    <w:rsid w:val="00B20D25"/>
    <w:rsid w:val="00B20D46"/>
    <w:rsid w:val="00B2135F"/>
    <w:rsid w:val="00B21A75"/>
    <w:rsid w:val="00B21EEE"/>
    <w:rsid w:val="00B2256F"/>
    <w:rsid w:val="00B2257F"/>
    <w:rsid w:val="00B229D6"/>
    <w:rsid w:val="00B22A3F"/>
    <w:rsid w:val="00B22B36"/>
    <w:rsid w:val="00B22B9F"/>
    <w:rsid w:val="00B22F79"/>
    <w:rsid w:val="00B233AA"/>
    <w:rsid w:val="00B23433"/>
    <w:rsid w:val="00B23479"/>
    <w:rsid w:val="00B235A6"/>
    <w:rsid w:val="00B23ACD"/>
    <w:rsid w:val="00B24040"/>
    <w:rsid w:val="00B242C0"/>
    <w:rsid w:val="00B242F9"/>
    <w:rsid w:val="00B2463E"/>
    <w:rsid w:val="00B2466F"/>
    <w:rsid w:val="00B24A61"/>
    <w:rsid w:val="00B24AF3"/>
    <w:rsid w:val="00B24BD0"/>
    <w:rsid w:val="00B253BB"/>
    <w:rsid w:val="00B253D6"/>
    <w:rsid w:val="00B25638"/>
    <w:rsid w:val="00B256AA"/>
    <w:rsid w:val="00B2582E"/>
    <w:rsid w:val="00B25A9F"/>
    <w:rsid w:val="00B25BE1"/>
    <w:rsid w:val="00B25EC6"/>
    <w:rsid w:val="00B25F27"/>
    <w:rsid w:val="00B26031"/>
    <w:rsid w:val="00B2654B"/>
    <w:rsid w:val="00B26580"/>
    <w:rsid w:val="00B2674B"/>
    <w:rsid w:val="00B26754"/>
    <w:rsid w:val="00B267AB"/>
    <w:rsid w:val="00B26966"/>
    <w:rsid w:val="00B26978"/>
    <w:rsid w:val="00B26C7A"/>
    <w:rsid w:val="00B26C8E"/>
    <w:rsid w:val="00B26CCE"/>
    <w:rsid w:val="00B26FFB"/>
    <w:rsid w:val="00B2750F"/>
    <w:rsid w:val="00B30093"/>
    <w:rsid w:val="00B300B6"/>
    <w:rsid w:val="00B30A21"/>
    <w:rsid w:val="00B30CAB"/>
    <w:rsid w:val="00B30F72"/>
    <w:rsid w:val="00B316DE"/>
    <w:rsid w:val="00B318C9"/>
    <w:rsid w:val="00B31CC0"/>
    <w:rsid w:val="00B3247C"/>
    <w:rsid w:val="00B324C5"/>
    <w:rsid w:val="00B32BBB"/>
    <w:rsid w:val="00B32DAB"/>
    <w:rsid w:val="00B32DAD"/>
    <w:rsid w:val="00B33147"/>
    <w:rsid w:val="00B3319C"/>
    <w:rsid w:val="00B332E7"/>
    <w:rsid w:val="00B333AB"/>
    <w:rsid w:val="00B33EAC"/>
    <w:rsid w:val="00B33EBD"/>
    <w:rsid w:val="00B3406A"/>
    <w:rsid w:val="00B34142"/>
    <w:rsid w:val="00B3419F"/>
    <w:rsid w:val="00B34215"/>
    <w:rsid w:val="00B34216"/>
    <w:rsid w:val="00B342C3"/>
    <w:rsid w:val="00B342D4"/>
    <w:rsid w:val="00B3438B"/>
    <w:rsid w:val="00B34655"/>
    <w:rsid w:val="00B3468D"/>
    <w:rsid w:val="00B346EB"/>
    <w:rsid w:val="00B346FC"/>
    <w:rsid w:val="00B34745"/>
    <w:rsid w:val="00B3476B"/>
    <w:rsid w:val="00B34830"/>
    <w:rsid w:val="00B349FC"/>
    <w:rsid w:val="00B34D89"/>
    <w:rsid w:val="00B34EB1"/>
    <w:rsid w:val="00B34FF5"/>
    <w:rsid w:val="00B354D9"/>
    <w:rsid w:val="00B35588"/>
    <w:rsid w:val="00B355DC"/>
    <w:rsid w:val="00B3585F"/>
    <w:rsid w:val="00B35A80"/>
    <w:rsid w:val="00B35C47"/>
    <w:rsid w:val="00B35FC4"/>
    <w:rsid w:val="00B35FFF"/>
    <w:rsid w:val="00B3603D"/>
    <w:rsid w:val="00B36406"/>
    <w:rsid w:val="00B36CEE"/>
    <w:rsid w:val="00B36DCF"/>
    <w:rsid w:val="00B36E58"/>
    <w:rsid w:val="00B36E90"/>
    <w:rsid w:val="00B3716E"/>
    <w:rsid w:val="00B37194"/>
    <w:rsid w:val="00B37277"/>
    <w:rsid w:val="00B3758C"/>
    <w:rsid w:val="00B37733"/>
    <w:rsid w:val="00B378FE"/>
    <w:rsid w:val="00B37A98"/>
    <w:rsid w:val="00B37AD3"/>
    <w:rsid w:val="00B37D50"/>
    <w:rsid w:val="00B37E8B"/>
    <w:rsid w:val="00B402C1"/>
    <w:rsid w:val="00B402F3"/>
    <w:rsid w:val="00B405B5"/>
    <w:rsid w:val="00B406B8"/>
    <w:rsid w:val="00B40750"/>
    <w:rsid w:val="00B409A8"/>
    <w:rsid w:val="00B40A1E"/>
    <w:rsid w:val="00B40D93"/>
    <w:rsid w:val="00B40F7F"/>
    <w:rsid w:val="00B41463"/>
    <w:rsid w:val="00B4160F"/>
    <w:rsid w:val="00B41881"/>
    <w:rsid w:val="00B41AC9"/>
    <w:rsid w:val="00B41B0B"/>
    <w:rsid w:val="00B41B3F"/>
    <w:rsid w:val="00B41D8E"/>
    <w:rsid w:val="00B41DE8"/>
    <w:rsid w:val="00B41F52"/>
    <w:rsid w:val="00B42035"/>
    <w:rsid w:val="00B421AC"/>
    <w:rsid w:val="00B4227E"/>
    <w:rsid w:val="00B424FE"/>
    <w:rsid w:val="00B4275F"/>
    <w:rsid w:val="00B4281D"/>
    <w:rsid w:val="00B42AF0"/>
    <w:rsid w:val="00B42B10"/>
    <w:rsid w:val="00B42BDF"/>
    <w:rsid w:val="00B42D6C"/>
    <w:rsid w:val="00B42DDF"/>
    <w:rsid w:val="00B42E90"/>
    <w:rsid w:val="00B43607"/>
    <w:rsid w:val="00B43785"/>
    <w:rsid w:val="00B43B7F"/>
    <w:rsid w:val="00B43D1A"/>
    <w:rsid w:val="00B44114"/>
    <w:rsid w:val="00B4436D"/>
    <w:rsid w:val="00B447D8"/>
    <w:rsid w:val="00B449C6"/>
    <w:rsid w:val="00B44A4D"/>
    <w:rsid w:val="00B44BDC"/>
    <w:rsid w:val="00B44E05"/>
    <w:rsid w:val="00B450B0"/>
    <w:rsid w:val="00B450CB"/>
    <w:rsid w:val="00B453AF"/>
    <w:rsid w:val="00B45694"/>
    <w:rsid w:val="00B45820"/>
    <w:rsid w:val="00B45984"/>
    <w:rsid w:val="00B45AF0"/>
    <w:rsid w:val="00B45BF6"/>
    <w:rsid w:val="00B46370"/>
    <w:rsid w:val="00B46446"/>
    <w:rsid w:val="00B4647E"/>
    <w:rsid w:val="00B46781"/>
    <w:rsid w:val="00B467D6"/>
    <w:rsid w:val="00B46C8B"/>
    <w:rsid w:val="00B46CA5"/>
    <w:rsid w:val="00B46CC0"/>
    <w:rsid w:val="00B46F66"/>
    <w:rsid w:val="00B47281"/>
    <w:rsid w:val="00B47392"/>
    <w:rsid w:val="00B47832"/>
    <w:rsid w:val="00B47AE2"/>
    <w:rsid w:val="00B47AED"/>
    <w:rsid w:val="00B47D94"/>
    <w:rsid w:val="00B47F67"/>
    <w:rsid w:val="00B47F76"/>
    <w:rsid w:val="00B5037E"/>
    <w:rsid w:val="00B50A9B"/>
    <w:rsid w:val="00B50B44"/>
    <w:rsid w:val="00B50EA3"/>
    <w:rsid w:val="00B50F3A"/>
    <w:rsid w:val="00B5102C"/>
    <w:rsid w:val="00B513F2"/>
    <w:rsid w:val="00B518C8"/>
    <w:rsid w:val="00B5192B"/>
    <w:rsid w:val="00B51BF8"/>
    <w:rsid w:val="00B52116"/>
    <w:rsid w:val="00B522AD"/>
    <w:rsid w:val="00B5256F"/>
    <w:rsid w:val="00B52B6C"/>
    <w:rsid w:val="00B531B3"/>
    <w:rsid w:val="00B5342B"/>
    <w:rsid w:val="00B53C19"/>
    <w:rsid w:val="00B53CC4"/>
    <w:rsid w:val="00B53E2F"/>
    <w:rsid w:val="00B53ED3"/>
    <w:rsid w:val="00B5410C"/>
    <w:rsid w:val="00B54250"/>
    <w:rsid w:val="00B549D6"/>
    <w:rsid w:val="00B54D34"/>
    <w:rsid w:val="00B54F8A"/>
    <w:rsid w:val="00B55083"/>
    <w:rsid w:val="00B551B4"/>
    <w:rsid w:val="00B551FB"/>
    <w:rsid w:val="00B552D4"/>
    <w:rsid w:val="00B55980"/>
    <w:rsid w:val="00B559CC"/>
    <w:rsid w:val="00B559EE"/>
    <w:rsid w:val="00B55B4E"/>
    <w:rsid w:val="00B55B50"/>
    <w:rsid w:val="00B560E4"/>
    <w:rsid w:val="00B564D2"/>
    <w:rsid w:val="00B566BB"/>
    <w:rsid w:val="00B566D5"/>
    <w:rsid w:val="00B5698F"/>
    <w:rsid w:val="00B56B22"/>
    <w:rsid w:val="00B56BEC"/>
    <w:rsid w:val="00B56BF0"/>
    <w:rsid w:val="00B56C01"/>
    <w:rsid w:val="00B56DCB"/>
    <w:rsid w:val="00B56DD5"/>
    <w:rsid w:val="00B56DF4"/>
    <w:rsid w:val="00B56FDC"/>
    <w:rsid w:val="00B57469"/>
    <w:rsid w:val="00B57471"/>
    <w:rsid w:val="00B574E0"/>
    <w:rsid w:val="00B57530"/>
    <w:rsid w:val="00B5756B"/>
    <w:rsid w:val="00B57780"/>
    <w:rsid w:val="00B57B85"/>
    <w:rsid w:val="00B57CDB"/>
    <w:rsid w:val="00B60047"/>
    <w:rsid w:val="00B60181"/>
    <w:rsid w:val="00B60BE8"/>
    <w:rsid w:val="00B60E1B"/>
    <w:rsid w:val="00B61261"/>
    <w:rsid w:val="00B61A2B"/>
    <w:rsid w:val="00B61D4F"/>
    <w:rsid w:val="00B61D97"/>
    <w:rsid w:val="00B61E80"/>
    <w:rsid w:val="00B6202A"/>
    <w:rsid w:val="00B623F2"/>
    <w:rsid w:val="00B6257D"/>
    <w:rsid w:val="00B627B1"/>
    <w:rsid w:val="00B627F4"/>
    <w:rsid w:val="00B627FC"/>
    <w:rsid w:val="00B62AEE"/>
    <w:rsid w:val="00B62BAF"/>
    <w:rsid w:val="00B62C85"/>
    <w:rsid w:val="00B62F29"/>
    <w:rsid w:val="00B62F44"/>
    <w:rsid w:val="00B63176"/>
    <w:rsid w:val="00B63177"/>
    <w:rsid w:val="00B6334F"/>
    <w:rsid w:val="00B636C6"/>
    <w:rsid w:val="00B6374C"/>
    <w:rsid w:val="00B638CD"/>
    <w:rsid w:val="00B63B03"/>
    <w:rsid w:val="00B64522"/>
    <w:rsid w:val="00B652AB"/>
    <w:rsid w:val="00B652E3"/>
    <w:rsid w:val="00B65864"/>
    <w:rsid w:val="00B65A9C"/>
    <w:rsid w:val="00B65B2A"/>
    <w:rsid w:val="00B65C03"/>
    <w:rsid w:val="00B65C32"/>
    <w:rsid w:val="00B65C5D"/>
    <w:rsid w:val="00B65CE4"/>
    <w:rsid w:val="00B65EE5"/>
    <w:rsid w:val="00B65FDB"/>
    <w:rsid w:val="00B662B0"/>
    <w:rsid w:val="00B66517"/>
    <w:rsid w:val="00B66581"/>
    <w:rsid w:val="00B665A1"/>
    <w:rsid w:val="00B666FF"/>
    <w:rsid w:val="00B66719"/>
    <w:rsid w:val="00B6682F"/>
    <w:rsid w:val="00B66881"/>
    <w:rsid w:val="00B668FD"/>
    <w:rsid w:val="00B66935"/>
    <w:rsid w:val="00B6698B"/>
    <w:rsid w:val="00B66A16"/>
    <w:rsid w:val="00B66A75"/>
    <w:rsid w:val="00B66D19"/>
    <w:rsid w:val="00B66FB2"/>
    <w:rsid w:val="00B674BD"/>
    <w:rsid w:val="00B675BC"/>
    <w:rsid w:val="00B67902"/>
    <w:rsid w:val="00B67BAA"/>
    <w:rsid w:val="00B67C0B"/>
    <w:rsid w:val="00B702CC"/>
    <w:rsid w:val="00B703C2"/>
    <w:rsid w:val="00B7048D"/>
    <w:rsid w:val="00B70667"/>
    <w:rsid w:val="00B70C4D"/>
    <w:rsid w:val="00B70CB4"/>
    <w:rsid w:val="00B70D1F"/>
    <w:rsid w:val="00B70FE6"/>
    <w:rsid w:val="00B71674"/>
    <w:rsid w:val="00B717C9"/>
    <w:rsid w:val="00B71EDB"/>
    <w:rsid w:val="00B71F23"/>
    <w:rsid w:val="00B72148"/>
    <w:rsid w:val="00B72361"/>
    <w:rsid w:val="00B725C6"/>
    <w:rsid w:val="00B726E5"/>
    <w:rsid w:val="00B7299B"/>
    <w:rsid w:val="00B72A9D"/>
    <w:rsid w:val="00B72B34"/>
    <w:rsid w:val="00B72CF6"/>
    <w:rsid w:val="00B73172"/>
    <w:rsid w:val="00B731E3"/>
    <w:rsid w:val="00B733A1"/>
    <w:rsid w:val="00B73467"/>
    <w:rsid w:val="00B737AC"/>
    <w:rsid w:val="00B737BA"/>
    <w:rsid w:val="00B73A6F"/>
    <w:rsid w:val="00B73FC4"/>
    <w:rsid w:val="00B74150"/>
    <w:rsid w:val="00B7415A"/>
    <w:rsid w:val="00B74397"/>
    <w:rsid w:val="00B747FB"/>
    <w:rsid w:val="00B74ED9"/>
    <w:rsid w:val="00B75183"/>
    <w:rsid w:val="00B756DD"/>
    <w:rsid w:val="00B75724"/>
    <w:rsid w:val="00B757BA"/>
    <w:rsid w:val="00B7580C"/>
    <w:rsid w:val="00B7583C"/>
    <w:rsid w:val="00B75C97"/>
    <w:rsid w:val="00B75DFE"/>
    <w:rsid w:val="00B75E89"/>
    <w:rsid w:val="00B760EC"/>
    <w:rsid w:val="00B7642A"/>
    <w:rsid w:val="00B76453"/>
    <w:rsid w:val="00B76774"/>
    <w:rsid w:val="00B767C1"/>
    <w:rsid w:val="00B76BB1"/>
    <w:rsid w:val="00B76C03"/>
    <w:rsid w:val="00B76D90"/>
    <w:rsid w:val="00B771FD"/>
    <w:rsid w:val="00B771FF"/>
    <w:rsid w:val="00B77541"/>
    <w:rsid w:val="00B77842"/>
    <w:rsid w:val="00B778F5"/>
    <w:rsid w:val="00B77948"/>
    <w:rsid w:val="00B77B74"/>
    <w:rsid w:val="00B77BA5"/>
    <w:rsid w:val="00B77BD3"/>
    <w:rsid w:val="00B77E05"/>
    <w:rsid w:val="00B77FF1"/>
    <w:rsid w:val="00B800EC"/>
    <w:rsid w:val="00B80424"/>
    <w:rsid w:val="00B806BC"/>
    <w:rsid w:val="00B80870"/>
    <w:rsid w:val="00B809FD"/>
    <w:rsid w:val="00B80AE9"/>
    <w:rsid w:val="00B80BB3"/>
    <w:rsid w:val="00B80C10"/>
    <w:rsid w:val="00B81266"/>
    <w:rsid w:val="00B815D4"/>
    <w:rsid w:val="00B8166A"/>
    <w:rsid w:val="00B8177C"/>
    <w:rsid w:val="00B81CE0"/>
    <w:rsid w:val="00B8222B"/>
    <w:rsid w:val="00B8242D"/>
    <w:rsid w:val="00B82820"/>
    <w:rsid w:val="00B82829"/>
    <w:rsid w:val="00B8282D"/>
    <w:rsid w:val="00B828AD"/>
    <w:rsid w:val="00B82B1E"/>
    <w:rsid w:val="00B82BB1"/>
    <w:rsid w:val="00B82CC1"/>
    <w:rsid w:val="00B82D45"/>
    <w:rsid w:val="00B830F6"/>
    <w:rsid w:val="00B833BE"/>
    <w:rsid w:val="00B83538"/>
    <w:rsid w:val="00B83A78"/>
    <w:rsid w:val="00B83E67"/>
    <w:rsid w:val="00B8404A"/>
    <w:rsid w:val="00B841FC"/>
    <w:rsid w:val="00B847D8"/>
    <w:rsid w:val="00B84DFF"/>
    <w:rsid w:val="00B85350"/>
    <w:rsid w:val="00B85398"/>
    <w:rsid w:val="00B85A1C"/>
    <w:rsid w:val="00B85ACA"/>
    <w:rsid w:val="00B85C1A"/>
    <w:rsid w:val="00B85C54"/>
    <w:rsid w:val="00B85E22"/>
    <w:rsid w:val="00B86293"/>
    <w:rsid w:val="00B86536"/>
    <w:rsid w:val="00B86960"/>
    <w:rsid w:val="00B86D7F"/>
    <w:rsid w:val="00B86D9B"/>
    <w:rsid w:val="00B86D9F"/>
    <w:rsid w:val="00B87187"/>
    <w:rsid w:val="00B872A0"/>
    <w:rsid w:val="00B87533"/>
    <w:rsid w:val="00B875B0"/>
    <w:rsid w:val="00B878C0"/>
    <w:rsid w:val="00B878F5"/>
    <w:rsid w:val="00B87F39"/>
    <w:rsid w:val="00B9042D"/>
    <w:rsid w:val="00B90765"/>
    <w:rsid w:val="00B90921"/>
    <w:rsid w:val="00B90BBE"/>
    <w:rsid w:val="00B911B9"/>
    <w:rsid w:val="00B9134A"/>
    <w:rsid w:val="00B91438"/>
    <w:rsid w:val="00B9171A"/>
    <w:rsid w:val="00B91807"/>
    <w:rsid w:val="00B9187A"/>
    <w:rsid w:val="00B91A58"/>
    <w:rsid w:val="00B91AD4"/>
    <w:rsid w:val="00B91D89"/>
    <w:rsid w:val="00B92065"/>
    <w:rsid w:val="00B9226F"/>
    <w:rsid w:val="00B92345"/>
    <w:rsid w:val="00B92398"/>
    <w:rsid w:val="00B924E5"/>
    <w:rsid w:val="00B92519"/>
    <w:rsid w:val="00B9294E"/>
    <w:rsid w:val="00B92D56"/>
    <w:rsid w:val="00B92F13"/>
    <w:rsid w:val="00B92F22"/>
    <w:rsid w:val="00B9374A"/>
    <w:rsid w:val="00B9377F"/>
    <w:rsid w:val="00B93A2B"/>
    <w:rsid w:val="00B93B5C"/>
    <w:rsid w:val="00B93B6F"/>
    <w:rsid w:val="00B9402E"/>
    <w:rsid w:val="00B940B6"/>
    <w:rsid w:val="00B94669"/>
    <w:rsid w:val="00B94742"/>
    <w:rsid w:val="00B94CD2"/>
    <w:rsid w:val="00B94DC7"/>
    <w:rsid w:val="00B951E1"/>
    <w:rsid w:val="00B95542"/>
    <w:rsid w:val="00B95745"/>
    <w:rsid w:val="00B95776"/>
    <w:rsid w:val="00B95799"/>
    <w:rsid w:val="00B95A62"/>
    <w:rsid w:val="00B95CBA"/>
    <w:rsid w:val="00B95E8E"/>
    <w:rsid w:val="00B95F2D"/>
    <w:rsid w:val="00B96230"/>
    <w:rsid w:val="00B96408"/>
    <w:rsid w:val="00B964A1"/>
    <w:rsid w:val="00B96940"/>
    <w:rsid w:val="00B969C4"/>
    <w:rsid w:val="00B969EF"/>
    <w:rsid w:val="00B971E5"/>
    <w:rsid w:val="00B97203"/>
    <w:rsid w:val="00B9730A"/>
    <w:rsid w:val="00B9755C"/>
    <w:rsid w:val="00B977F2"/>
    <w:rsid w:val="00B97939"/>
    <w:rsid w:val="00B97CB2"/>
    <w:rsid w:val="00B97FD5"/>
    <w:rsid w:val="00BA0060"/>
    <w:rsid w:val="00BA00A5"/>
    <w:rsid w:val="00BA00E2"/>
    <w:rsid w:val="00BA021F"/>
    <w:rsid w:val="00BA059D"/>
    <w:rsid w:val="00BA077A"/>
    <w:rsid w:val="00BA0D0E"/>
    <w:rsid w:val="00BA10C2"/>
    <w:rsid w:val="00BA135E"/>
    <w:rsid w:val="00BA1373"/>
    <w:rsid w:val="00BA137A"/>
    <w:rsid w:val="00BA1512"/>
    <w:rsid w:val="00BA178A"/>
    <w:rsid w:val="00BA22C0"/>
    <w:rsid w:val="00BA233E"/>
    <w:rsid w:val="00BA2522"/>
    <w:rsid w:val="00BA255F"/>
    <w:rsid w:val="00BA258C"/>
    <w:rsid w:val="00BA26FA"/>
    <w:rsid w:val="00BA2AB4"/>
    <w:rsid w:val="00BA2D84"/>
    <w:rsid w:val="00BA3132"/>
    <w:rsid w:val="00BA32BC"/>
    <w:rsid w:val="00BA33EC"/>
    <w:rsid w:val="00BA348C"/>
    <w:rsid w:val="00BA350B"/>
    <w:rsid w:val="00BA3527"/>
    <w:rsid w:val="00BA353C"/>
    <w:rsid w:val="00BA35BD"/>
    <w:rsid w:val="00BA3611"/>
    <w:rsid w:val="00BA36A6"/>
    <w:rsid w:val="00BA36B5"/>
    <w:rsid w:val="00BA371A"/>
    <w:rsid w:val="00BA3955"/>
    <w:rsid w:val="00BA3989"/>
    <w:rsid w:val="00BA39ED"/>
    <w:rsid w:val="00BA3ADD"/>
    <w:rsid w:val="00BA3B18"/>
    <w:rsid w:val="00BA408D"/>
    <w:rsid w:val="00BA40CF"/>
    <w:rsid w:val="00BA4258"/>
    <w:rsid w:val="00BA4428"/>
    <w:rsid w:val="00BA47FA"/>
    <w:rsid w:val="00BA48CA"/>
    <w:rsid w:val="00BA49AD"/>
    <w:rsid w:val="00BA4A78"/>
    <w:rsid w:val="00BA4B2C"/>
    <w:rsid w:val="00BA4F31"/>
    <w:rsid w:val="00BA554A"/>
    <w:rsid w:val="00BA55E5"/>
    <w:rsid w:val="00BA571A"/>
    <w:rsid w:val="00BA572A"/>
    <w:rsid w:val="00BA57A2"/>
    <w:rsid w:val="00BA57C6"/>
    <w:rsid w:val="00BA58E2"/>
    <w:rsid w:val="00BA5B94"/>
    <w:rsid w:val="00BA5BA4"/>
    <w:rsid w:val="00BA5C67"/>
    <w:rsid w:val="00BA67C1"/>
    <w:rsid w:val="00BA6E56"/>
    <w:rsid w:val="00BA6FC0"/>
    <w:rsid w:val="00BA70FA"/>
    <w:rsid w:val="00BA768C"/>
    <w:rsid w:val="00BA783F"/>
    <w:rsid w:val="00BA7C88"/>
    <w:rsid w:val="00BA7E2A"/>
    <w:rsid w:val="00BB020C"/>
    <w:rsid w:val="00BB021C"/>
    <w:rsid w:val="00BB03F5"/>
    <w:rsid w:val="00BB04B6"/>
    <w:rsid w:val="00BB0521"/>
    <w:rsid w:val="00BB054E"/>
    <w:rsid w:val="00BB06F9"/>
    <w:rsid w:val="00BB070C"/>
    <w:rsid w:val="00BB086E"/>
    <w:rsid w:val="00BB0903"/>
    <w:rsid w:val="00BB0917"/>
    <w:rsid w:val="00BB0BAD"/>
    <w:rsid w:val="00BB0E5F"/>
    <w:rsid w:val="00BB0F0E"/>
    <w:rsid w:val="00BB11A3"/>
    <w:rsid w:val="00BB11FA"/>
    <w:rsid w:val="00BB1421"/>
    <w:rsid w:val="00BB14A9"/>
    <w:rsid w:val="00BB1578"/>
    <w:rsid w:val="00BB18C0"/>
    <w:rsid w:val="00BB1CB8"/>
    <w:rsid w:val="00BB1CEB"/>
    <w:rsid w:val="00BB1D62"/>
    <w:rsid w:val="00BB1DF7"/>
    <w:rsid w:val="00BB1F11"/>
    <w:rsid w:val="00BB2009"/>
    <w:rsid w:val="00BB2135"/>
    <w:rsid w:val="00BB221E"/>
    <w:rsid w:val="00BB26A7"/>
    <w:rsid w:val="00BB2AD0"/>
    <w:rsid w:val="00BB2B4B"/>
    <w:rsid w:val="00BB2F37"/>
    <w:rsid w:val="00BB2F64"/>
    <w:rsid w:val="00BB34C1"/>
    <w:rsid w:val="00BB3556"/>
    <w:rsid w:val="00BB3C68"/>
    <w:rsid w:val="00BB43B3"/>
    <w:rsid w:val="00BB4829"/>
    <w:rsid w:val="00BB4B7B"/>
    <w:rsid w:val="00BB4C42"/>
    <w:rsid w:val="00BB539F"/>
    <w:rsid w:val="00BB54F5"/>
    <w:rsid w:val="00BB5983"/>
    <w:rsid w:val="00BB5F2E"/>
    <w:rsid w:val="00BB5FD1"/>
    <w:rsid w:val="00BB639C"/>
    <w:rsid w:val="00BB6626"/>
    <w:rsid w:val="00BB66E2"/>
    <w:rsid w:val="00BB694F"/>
    <w:rsid w:val="00BB6DD7"/>
    <w:rsid w:val="00BB7106"/>
    <w:rsid w:val="00BB71D6"/>
    <w:rsid w:val="00BB74FA"/>
    <w:rsid w:val="00BB758B"/>
    <w:rsid w:val="00BB75AA"/>
    <w:rsid w:val="00BB75FB"/>
    <w:rsid w:val="00BB7B62"/>
    <w:rsid w:val="00BB7CB4"/>
    <w:rsid w:val="00BB7D99"/>
    <w:rsid w:val="00BC0318"/>
    <w:rsid w:val="00BC0869"/>
    <w:rsid w:val="00BC0AC8"/>
    <w:rsid w:val="00BC0DA9"/>
    <w:rsid w:val="00BC1007"/>
    <w:rsid w:val="00BC1127"/>
    <w:rsid w:val="00BC11D7"/>
    <w:rsid w:val="00BC140E"/>
    <w:rsid w:val="00BC1621"/>
    <w:rsid w:val="00BC1629"/>
    <w:rsid w:val="00BC19AF"/>
    <w:rsid w:val="00BC1A2C"/>
    <w:rsid w:val="00BC1C13"/>
    <w:rsid w:val="00BC1F2D"/>
    <w:rsid w:val="00BC21E5"/>
    <w:rsid w:val="00BC2316"/>
    <w:rsid w:val="00BC2D9B"/>
    <w:rsid w:val="00BC2FBB"/>
    <w:rsid w:val="00BC3076"/>
    <w:rsid w:val="00BC30B4"/>
    <w:rsid w:val="00BC3405"/>
    <w:rsid w:val="00BC3523"/>
    <w:rsid w:val="00BC3AD2"/>
    <w:rsid w:val="00BC3B3B"/>
    <w:rsid w:val="00BC3EA6"/>
    <w:rsid w:val="00BC409F"/>
    <w:rsid w:val="00BC413B"/>
    <w:rsid w:val="00BC4466"/>
    <w:rsid w:val="00BC4492"/>
    <w:rsid w:val="00BC461B"/>
    <w:rsid w:val="00BC470F"/>
    <w:rsid w:val="00BC4886"/>
    <w:rsid w:val="00BC4A49"/>
    <w:rsid w:val="00BC58F8"/>
    <w:rsid w:val="00BC5F12"/>
    <w:rsid w:val="00BC6155"/>
    <w:rsid w:val="00BC631B"/>
    <w:rsid w:val="00BC6923"/>
    <w:rsid w:val="00BC6B74"/>
    <w:rsid w:val="00BC6DA0"/>
    <w:rsid w:val="00BC6E0B"/>
    <w:rsid w:val="00BC6E5D"/>
    <w:rsid w:val="00BC71B2"/>
    <w:rsid w:val="00BC7278"/>
    <w:rsid w:val="00BC7828"/>
    <w:rsid w:val="00BD037B"/>
    <w:rsid w:val="00BD049C"/>
    <w:rsid w:val="00BD0518"/>
    <w:rsid w:val="00BD0739"/>
    <w:rsid w:val="00BD082F"/>
    <w:rsid w:val="00BD0B0A"/>
    <w:rsid w:val="00BD0B45"/>
    <w:rsid w:val="00BD0C1C"/>
    <w:rsid w:val="00BD0DE2"/>
    <w:rsid w:val="00BD12CD"/>
    <w:rsid w:val="00BD131A"/>
    <w:rsid w:val="00BD14F6"/>
    <w:rsid w:val="00BD1536"/>
    <w:rsid w:val="00BD18AF"/>
    <w:rsid w:val="00BD1CFC"/>
    <w:rsid w:val="00BD1E5A"/>
    <w:rsid w:val="00BD1EBB"/>
    <w:rsid w:val="00BD2241"/>
    <w:rsid w:val="00BD22A6"/>
    <w:rsid w:val="00BD22B4"/>
    <w:rsid w:val="00BD2A2D"/>
    <w:rsid w:val="00BD2ACA"/>
    <w:rsid w:val="00BD2B8B"/>
    <w:rsid w:val="00BD2EE5"/>
    <w:rsid w:val="00BD317F"/>
    <w:rsid w:val="00BD3291"/>
    <w:rsid w:val="00BD335F"/>
    <w:rsid w:val="00BD3433"/>
    <w:rsid w:val="00BD385C"/>
    <w:rsid w:val="00BD399C"/>
    <w:rsid w:val="00BD45A7"/>
    <w:rsid w:val="00BD4672"/>
    <w:rsid w:val="00BD4722"/>
    <w:rsid w:val="00BD47F6"/>
    <w:rsid w:val="00BD488A"/>
    <w:rsid w:val="00BD48CA"/>
    <w:rsid w:val="00BD4F76"/>
    <w:rsid w:val="00BD50EB"/>
    <w:rsid w:val="00BD513F"/>
    <w:rsid w:val="00BD52AF"/>
    <w:rsid w:val="00BD57A3"/>
    <w:rsid w:val="00BD5BAE"/>
    <w:rsid w:val="00BD5E6C"/>
    <w:rsid w:val="00BD5EBC"/>
    <w:rsid w:val="00BD6167"/>
    <w:rsid w:val="00BD621C"/>
    <w:rsid w:val="00BD64C8"/>
    <w:rsid w:val="00BD64D8"/>
    <w:rsid w:val="00BD678B"/>
    <w:rsid w:val="00BD68CB"/>
    <w:rsid w:val="00BD6B81"/>
    <w:rsid w:val="00BD6BA8"/>
    <w:rsid w:val="00BD6C8E"/>
    <w:rsid w:val="00BD6CCD"/>
    <w:rsid w:val="00BD6CEB"/>
    <w:rsid w:val="00BD6E4B"/>
    <w:rsid w:val="00BD6E62"/>
    <w:rsid w:val="00BD6F73"/>
    <w:rsid w:val="00BD72B6"/>
    <w:rsid w:val="00BD750B"/>
    <w:rsid w:val="00BD75CB"/>
    <w:rsid w:val="00BD77BA"/>
    <w:rsid w:val="00BD7AA1"/>
    <w:rsid w:val="00BD7E6A"/>
    <w:rsid w:val="00BE0056"/>
    <w:rsid w:val="00BE032E"/>
    <w:rsid w:val="00BE0364"/>
    <w:rsid w:val="00BE0627"/>
    <w:rsid w:val="00BE063D"/>
    <w:rsid w:val="00BE06C3"/>
    <w:rsid w:val="00BE06CC"/>
    <w:rsid w:val="00BE07B6"/>
    <w:rsid w:val="00BE07D7"/>
    <w:rsid w:val="00BE09CE"/>
    <w:rsid w:val="00BE0BA1"/>
    <w:rsid w:val="00BE0C32"/>
    <w:rsid w:val="00BE0EE3"/>
    <w:rsid w:val="00BE0F8A"/>
    <w:rsid w:val="00BE0FC9"/>
    <w:rsid w:val="00BE17A8"/>
    <w:rsid w:val="00BE1884"/>
    <w:rsid w:val="00BE1B89"/>
    <w:rsid w:val="00BE1C20"/>
    <w:rsid w:val="00BE1DA0"/>
    <w:rsid w:val="00BE1FDA"/>
    <w:rsid w:val="00BE2097"/>
    <w:rsid w:val="00BE2244"/>
    <w:rsid w:val="00BE2538"/>
    <w:rsid w:val="00BE3261"/>
    <w:rsid w:val="00BE32F8"/>
    <w:rsid w:val="00BE374E"/>
    <w:rsid w:val="00BE392E"/>
    <w:rsid w:val="00BE3BF1"/>
    <w:rsid w:val="00BE3D97"/>
    <w:rsid w:val="00BE3F51"/>
    <w:rsid w:val="00BE3F9B"/>
    <w:rsid w:val="00BE40BD"/>
    <w:rsid w:val="00BE40C6"/>
    <w:rsid w:val="00BE43BD"/>
    <w:rsid w:val="00BE4A0F"/>
    <w:rsid w:val="00BE4B65"/>
    <w:rsid w:val="00BE4F67"/>
    <w:rsid w:val="00BE52AE"/>
    <w:rsid w:val="00BE5377"/>
    <w:rsid w:val="00BE572A"/>
    <w:rsid w:val="00BE5852"/>
    <w:rsid w:val="00BE5929"/>
    <w:rsid w:val="00BE5AFC"/>
    <w:rsid w:val="00BE5C7F"/>
    <w:rsid w:val="00BE60EA"/>
    <w:rsid w:val="00BE642C"/>
    <w:rsid w:val="00BE68AC"/>
    <w:rsid w:val="00BE6B58"/>
    <w:rsid w:val="00BE6BA2"/>
    <w:rsid w:val="00BE6F2B"/>
    <w:rsid w:val="00BE6FCF"/>
    <w:rsid w:val="00BE71A7"/>
    <w:rsid w:val="00BE794B"/>
    <w:rsid w:val="00BE796F"/>
    <w:rsid w:val="00BF0146"/>
    <w:rsid w:val="00BF01E6"/>
    <w:rsid w:val="00BF0497"/>
    <w:rsid w:val="00BF0878"/>
    <w:rsid w:val="00BF0935"/>
    <w:rsid w:val="00BF0A3F"/>
    <w:rsid w:val="00BF0CAD"/>
    <w:rsid w:val="00BF0CB2"/>
    <w:rsid w:val="00BF0F78"/>
    <w:rsid w:val="00BF11C0"/>
    <w:rsid w:val="00BF13E9"/>
    <w:rsid w:val="00BF143F"/>
    <w:rsid w:val="00BF173B"/>
    <w:rsid w:val="00BF180C"/>
    <w:rsid w:val="00BF183F"/>
    <w:rsid w:val="00BF1987"/>
    <w:rsid w:val="00BF1A77"/>
    <w:rsid w:val="00BF1B1D"/>
    <w:rsid w:val="00BF1DE9"/>
    <w:rsid w:val="00BF1E59"/>
    <w:rsid w:val="00BF1EAA"/>
    <w:rsid w:val="00BF1F3D"/>
    <w:rsid w:val="00BF2037"/>
    <w:rsid w:val="00BF2457"/>
    <w:rsid w:val="00BF24D4"/>
    <w:rsid w:val="00BF255B"/>
    <w:rsid w:val="00BF2564"/>
    <w:rsid w:val="00BF29F8"/>
    <w:rsid w:val="00BF2D47"/>
    <w:rsid w:val="00BF2E28"/>
    <w:rsid w:val="00BF308B"/>
    <w:rsid w:val="00BF32AA"/>
    <w:rsid w:val="00BF349E"/>
    <w:rsid w:val="00BF396D"/>
    <w:rsid w:val="00BF3A2F"/>
    <w:rsid w:val="00BF3B89"/>
    <w:rsid w:val="00BF3BA4"/>
    <w:rsid w:val="00BF3C29"/>
    <w:rsid w:val="00BF41B9"/>
    <w:rsid w:val="00BF4556"/>
    <w:rsid w:val="00BF4769"/>
    <w:rsid w:val="00BF476C"/>
    <w:rsid w:val="00BF47BF"/>
    <w:rsid w:val="00BF493A"/>
    <w:rsid w:val="00BF4FFE"/>
    <w:rsid w:val="00BF520E"/>
    <w:rsid w:val="00BF540E"/>
    <w:rsid w:val="00BF5485"/>
    <w:rsid w:val="00BF55F7"/>
    <w:rsid w:val="00BF5757"/>
    <w:rsid w:val="00BF57D1"/>
    <w:rsid w:val="00BF5920"/>
    <w:rsid w:val="00BF5ABB"/>
    <w:rsid w:val="00BF5EFF"/>
    <w:rsid w:val="00BF6208"/>
    <w:rsid w:val="00BF62D4"/>
    <w:rsid w:val="00BF6308"/>
    <w:rsid w:val="00BF6663"/>
    <w:rsid w:val="00BF674D"/>
    <w:rsid w:val="00BF6DF6"/>
    <w:rsid w:val="00BF6E65"/>
    <w:rsid w:val="00BF6FFE"/>
    <w:rsid w:val="00BF7794"/>
    <w:rsid w:val="00BF7805"/>
    <w:rsid w:val="00BF79D7"/>
    <w:rsid w:val="00BF7E8A"/>
    <w:rsid w:val="00BF7E8F"/>
    <w:rsid w:val="00C0035B"/>
    <w:rsid w:val="00C00690"/>
    <w:rsid w:val="00C0082F"/>
    <w:rsid w:val="00C008FE"/>
    <w:rsid w:val="00C00EE0"/>
    <w:rsid w:val="00C01399"/>
    <w:rsid w:val="00C015B7"/>
    <w:rsid w:val="00C0177F"/>
    <w:rsid w:val="00C01A99"/>
    <w:rsid w:val="00C01CF5"/>
    <w:rsid w:val="00C01F83"/>
    <w:rsid w:val="00C02068"/>
    <w:rsid w:val="00C02102"/>
    <w:rsid w:val="00C02146"/>
    <w:rsid w:val="00C0235B"/>
    <w:rsid w:val="00C024AA"/>
    <w:rsid w:val="00C0277D"/>
    <w:rsid w:val="00C02898"/>
    <w:rsid w:val="00C029D7"/>
    <w:rsid w:val="00C02C0C"/>
    <w:rsid w:val="00C02C94"/>
    <w:rsid w:val="00C02E94"/>
    <w:rsid w:val="00C0324F"/>
    <w:rsid w:val="00C03485"/>
    <w:rsid w:val="00C035B9"/>
    <w:rsid w:val="00C035C2"/>
    <w:rsid w:val="00C03767"/>
    <w:rsid w:val="00C03784"/>
    <w:rsid w:val="00C0398F"/>
    <w:rsid w:val="00C03BAF"/>
    <w:rsid w:val="00C03CED"/>
    <w:rsid w:val="00C03DE1"/>
    <w:rsid w:val="00C040BC"/>
    <w:rsid w:val="00C040FD"/>
    <w:rsid w:val="00C04116"/>
    <w:rsid w:val="00C0418E"/>
    <w:rsid w:val="00C043D9"/>
    <w:rsid w:val="00C04A6E"/>
    <w:rsid w:val="00C04CB6"/>
    <w:rsid w:val="00C05262"/>
    <w:rsid w:val="00C05371"/>
    <w:rsid w:val="00C053C9"/>
    <w:rsid w:val="00C05625"/>
    <w:rsid w:val="00C05A09"/>
    <w:rsid w:val="00C0609C"/>
    <w:rsid w:val="00C06255"/>
    <w:rsid w:val="00C062B7"/>
    <w:rsid w:val="00C06831"/>
    <w:rsid w:val="00C0683F"/>
    <w:rsid w:val="00C06AA1"/>
    <w:rsid w:val="00C06C0C"/>
    <w:rsid w:val="00C06FE0"/>
    <w:rsid w:val="00C070CD"/>
    <w:rsid w:val="00C071F5"/>
    <w:rsid w:val="00C072A2"/>
    <w:rsid w:val="00C07320"/>
    <w:rsid w:val="00C07531"/>
    <w:rsid w:val="00C079C5"/>
    <w:rsid w:val="00C07C49"/>
    <w:rsid w:val="00C07D83"/>
    <w:rsid w:val="00C07DD0"/>
    <w:rsid w:val="00C07E45"/>
    <w:rsid w:val="00C07F28"/>
    <w:rsid w:val="00C103E1"/>
    <w:rsid w:val="00C1044C"/>
    <w:rsid w:val="00C108D7"/>
    <w:rsid w:val="00C10BB2"/>
    <w:rsid w:val="00C10F9D"/>
    <w:rsid w:val="00C11056"/>
    <w:rsid w:val="00C11625"/>
    <w:rsid w:val="00C116D4"/>
    <w:rsid w:val="00C117D9"/>
    <w:rsid w:val="00C118F0"/>
    <w:rsid w:val="00C11993"/>
    <w:rsid w:val="00C11D9A"/>
    <w:rsid w:val="00C1204B"/>
    <w:rsid w:val="00C122C1"/>
    <w:rsid w:val="00C12946"/>
    <w:rsid w:val="00C12A62"/>
    <w:rsid w:val="00C12D92"/>
    <w:rsid w:val="00C12DC6"/>
    <w:rsid w:val="00C131E8"/>
    <w:rsid w:val="00C131FA"/>
    <w:rsid w:val="00C13608"/>
    <w:rsid w:val="00C1368B"/>
    <w:rsid w:val="00C137F6"/>
    <w:rsid w:val="00C1388A"/>
    <w:rsid w:val="00C138EC"/>
    <w:rsid w:val="00C13EF4"/>
    <w:rsid w:val="00C1416F"/>
    <w:rsid w:val="00C141DF"/>
    <w:rsid w:val="00C14511"/>
    <w:rsid w:val="00C14847"/>
    <w:rsid w:val="00C14B57"/>
    <w:rsid w:val="00C14DAC"/>
    <w:rsid w:val="00C15202"/>
    <w:rsid w:val="00C15291"/>
    <w:rsid w:val="00C1529F"/>
    <w:rsid w:val="00C15482"/>
    <w:rsid w:val="00C15545"/>
    <w:rsid w:val="00C15765"/>
    <w:rsid w:val="00C1579C"/>
    <w:rsid w:val="00C1593B"/>
    <w:rsid w:val="00C15A02"/>
    <w:rsid w:val="00C15AF2"/>
    <w:rsid w:val="00C15CE9"/>
    <w:rsid w:val="00C15EB9"/>
    <w:rsid w:val="00C15FE9"/>
    <w:rsid w:val="00C16A90"/>
    <w:rsid w:val="00C16D91"/>
    <w:rsid w:val="00C16F9D"/>
    <w:rsid w:val="00C17435"/>
    <w:rsid w:val="00C17456"/>
    <w:rsid w:val="00C175E2"/>
    <w:rsid w:val="00C1784E"/>
    <w:rsid w:val="00C1791D"/>
    <w:rsid w:val="00C17CBE"/>
    <w:rsid w:val="00C17EF7"/>
    <w:rsid w:val="00C20000"/>
    <w:rsid w:val="00C2016A"/>
    <w:rsid w:val="00C2060D"/>
    <w:rsid w:val="00C20714"/>
    <w:rsid w:val="00C2102A"/>
    <w:rsid w:val="00C21276"/>
    <w:rsid w:val="00C212EF"/>
    <w:rsid w:val="00C214D7"/>
    <w:rsid w:val="00C21920"/>
    <w:rsid w:val="00C21D29"/>
    <w:rsid w:val="00C22272"/>
    <w:rsid w:val="00C22350"/>
    <w:rsid w:val="00C226C8"/>
    <w:rsid w:val="00C22860"/>
    <w:rsid w:val="00C2286E"/>
    <w:rsid w:val="00C22D7C"/>
    <w:rsid w:val="00C22E9D"/>
    <w:rsid w:val="00C22ED9"/>
    <w:rsid w:val="00C22F5E"/>
    <w:rsid w:val="00C22FD0"/>
    <w:rsid w:val="00C2307B"/>
    <w:rsid w:val="00C23130"/>
    <w:rsid w:val="00C231AA"/>
    <w:rsid w:val="00C231E0"/>
    <w:rsid w:val="00C2367D"/>
    <w:rsid w:val="00C23E20"/>
    <w:rsid w:val="00C2412B"/>
    <w:rsid w:val="00C24352"/>
    <w:rsid w:val="00C24357"/>
    <w:rsid w:val="00C24866"/>
    <w:rsid w:val="00C24B92"/>
    <w:rsid w:val="00C2515D"/>
    <w:rsid w:val="00C253E0"/>
    <w:rsid w:val="00C257BC"/>
    <w:rsid w:val="00C25C9A"/>
    <w:rsid w:val="00C25DCB"/>
    <w:rsid w:val="00C25F9D"/>
    <w:rsid w:val="00C26019"/>
    <w:rsid w:val="00C2625B"/>
    <w:rsid w:val="00C26327"/>
    <w:rsid w:val="00C26C03"/>
    <w:rsid w:val="00C26FD2"/>
    <w:rsid w:val="00C272FA"/>
    <w:rsid w:val="00C2739A"/>
    <w:rsid w:val="00C27483"/>
    <w:rsid w:val="00C27490"/>
    <w:rsid w:val="00C27798"/>
    <w:rsid w:val="00C27A2C"/>
    <w:rsid w:val="00C27B31"/>
    <w:rsid w:val="00C27D8C"/>
    <w:rsid w:val="00C27F13"/>
    <w:rsid w:val="00C27FFE"/>
    <w:rsid w:val="00C30141"/>
    <w:rsid w:val="00C30142"/>
    <w:rsid w:val="00C301A3"/>
    <w:rsid w:val="00C30252"/>
    <w:rsid w:val="00C30596"/>
    <w:rsid w:val="00C30692"/>
    <w:rsid w:val="00C30715"/>
    <w:rsid w:val="00C30861"/>
    <w:rsid w:val="00C3125B"/>
    <w:rsid w:val="00C3151E"/>
    <w:rsid w:val="00C3167D"/>
    <w:rsid w:val="00C31695"/>
    <w:rsid w:val="00C31F14"/>
    <w:rsid w:val="00C32718"/>
    <w:rsid w:val="00C327F1"/>
    <w:rsid w:val="00C328B6"/>
    <w:rsid w:val="00C32BF5"/>
    <w:rsid w:val="00C32EC9"/>
    <w:rsid w:val="00C331B6"/>
    <w:rsid w:val="00C33577"/>
    <w:rsid w:val="00C338A6"/>
    <w:rsid w:val="00C341DB"/>
    <w:rsid w:val="00C343BA"/>
    <w:rsid w:val="00C3441D"/>
    <w:rsid w:val="00C3454C"/>
    <w:rsid w:val="00C345F3"/>
    <w:rsid w:val="00C3488E"/>
    <w:rsid w:val="00C34907"/>
    <w:rsid w:val="00C34ADD"/>
    <w:rsid w:val="00C34BCC"/>
    <w:rsid w:val="00C351D8"/>
    <w:rsid w:val="00C3571C"/>
    <w:rsid w:val="00C3582A"/>
    <w:rsid w:val="00C35D5F"/>
    <w:rsid w:val="00C363CE"/>
    <w:rsid w:val="00C3648F"/>
    <w:rsid w:val="00C364BD"/>
    <w:rsid w:val="00C365AC"/>
    <w:rsid w:val="00C36618"/>
    <w:rsid w:val="00C367DF"/>
    <w:rsid w:val="00C368AA"/>
    <w:rsid w:val="00C36BFF"/>
    <w:rsid w:val="00C36CF0"/>
    <w:rsid w:val="00C36DF7"/>
    <w:rsid w:val="00C36E04"/>
    <w:rsid w:val="00C370D8"/>
    <w:rsid w:val="00C40017"/>
    <w:rsid w:val="00C402B0"/>
    <w:rsid w:val="00C404A2"/>
    <w:rsid w:val="00C40829"/>
    <w:rsid w:val="00C408DB"/>
    <w:rsid w:val="00C40A92"/>
    <w:rsid w:val="00C40C50"/>
    <w:rsid w:val="00C410AE"/>
    <w:rsid w:val="00C413A1"/>
    <w:rsid w:val="00C413C7"/>
    <w:rsid w:val="00C4155E"/>
    <w:rsid w:val="00C41716"/>
    <w:rsid w:val="00C41A31"/>
    <w:rsid w:val="00C41A41"/>
    <w:rsid w:val="00C41C67"/>
    <w:rsid w:val="00C41DB0"/>
    <w:rsid w:val="00C42202"/>
    <w:rsid w:val="00C4228C"/>
    <w:rsid w:val="00C4234F"/>
    <w:rsid w:val="00C42364"/>
    <w:rsid w:val="00C4247A"/>
    <w:rsid w:val="00C42574"/>
    <w:rsid w:val="00C42646"/>
    <w:rsid w:val="00C42700"/>
    <w:rsid w:val="00C42751"/>
    <w:rsid w:val="00C42849"/>
    <w:rsid w:val="00C42A76"/>
    <w:rsid w:val="00C42B58"/>
    <w:rsid w:val="00C42BC9"/>
    <w:rsid w:val="00C42CEA"/>
    <w:rsid w:val="00C431C7"/>
    <w:rsid w:val="00C4378D"/>
    <w:rsid w:val="00C439DE"/>
    <w:rsid w:val="00C43CD8"/>
    <w:rsid w:val="00C43E9A"/>
    <w:rsid w:val="00C44571"/>
    <w:rsid w:val="00C445A9"/>
    <w:rsid w:val="00C448F4"/>
    <w:rsid w:val="00C449AC"/>
    <w:rsid w:val="00C44D06"/>
    <w:rsid w:val="00C44DA5"/>
    <w:rsid w:val="00C44FE1"/>
    <w:rsid w:val="00C45142"/>
    <w:rsid w:val="00C4523C"/>
    <w:rsid w:val="00C4555D"/>
    <w:rsid w:val="00C45652"/>
    <w:rsid w:val="00C4569B"/>
    <w:rsid w:val="00C457B5"/>
    <w:rsid w:val="00C45925"/>
    <w:rsid w:val="00C45962"/>
    <w:rsid w:val="00C45A93"/>
    <w:rsid w:val="00C45D77"/>
    <w:rsid w:val="00C4610B"/>
    <w:rsid w:val="00C46285"/>
    <w:rsid w:val="00C46560"/>
    <w:rsid w:val="00C4659F"/>
    <w:rsid w:val="00C465CF"/>
    <w:rsid w:val="00C46A27"/>
    <w:rsid w:val="00C46B7B"/>
    <w:rsid w:val="00C46D75"/>
    <w:rsid w:val="00C46E9D"/>
    <w:rsid w:val="00C46ED6"/>
    <w:rsid w:val="00C4707A"/>
    <w:rsid w:val="00C4713D"/>
    <w:rsid w:val="00C4722B"/>
    <w:rsid w:val="00C47479"/>
    <w:rsid w:val="00C47488"/>
    <w:rsid w:val="00C477CA"/>
    <w:rsid w:val="00C47826"/>
    <w:rsid w:val="00C47A5F"/>
    <w:rsid w:val="00C47B9C"/>
    <w:rsid w:val="00C47CF0"/>
    <w:rsid w:val="00C47CF9"/>
    <w:rsid w:val="00C47DA1"/>
    <w:rsid w:val="00C47F11"/>
    <w:rsid w:val="00C501E5"/>
    <w:rsid w:val="00C50212"/>
    <w:rsid w:val="00C502EE"/>
    <w:rsid w:val="00C506ED"/>
    <w:rsid w:val="00C50CC7"/>
    <w:rsid w:val="00C50FF5"/>
    <w:rsid w:val="00C51031"/>
    <w:rsid w:val="00C51BF1"/>
    <w:rsid w:val="00C51E3D"/>
    <w:rsid w:val="00C51ED1"/>
    <w:rsid w:val="00C521DE"/>
    <w:rsid w:val="00C52246"/>
    <w:rsid w:val="00C52389"/>
    <w:rsid w:val="00C524EE"/>
    <w:rsid w:val="00C5255A"/>
    <w:rsid w:val="00C525DD"/>
    <w:rsid w:val="00C529A3"/>
    <w:rsid w:val="00C52A0F"/>
    <w:rsid w:val="00C52B6E"/>
    <w:rsid w:val="00C52D56"/>
    <w:rsid w:val="00C52DD1"/>
    <w:rsid w:val="00C52DE6"/>
    <w:rsid w:val="00C52E7A"/>
    <w:rsid w:val="00C52EE2"/>
    <w:rsid w:val="00C5313B"/>
    <w:rsid w:val="00C53175"/>
    <w:rsid w:val="00C533F4"/>
    <w:rsid w:val="00C5376E"/>
    <w:rsid w:val="00C537D4"/>
    <w:rsid w:val="00C539DD"/>
    <w:rsid w:val="00C53A9C"/>
    <w:rsid w:val="00C53C3D"/>
    <w:rsid w:val="00C53C7E"/>
    <w:rsid w:val="00C53D95"/>
    <w:rsid w:val="00C53F09"/>
    <w:rsid w:val="00C54328"/>
    <w:rsid w:val="00C5448C"/>
    <w:rsid w:val="00C5453A"/>
    <w:rsid w:val="00C54720"/>
    <w:rsid w:val="00C547AC"/>
    <w:rsid w:val="00C547EB"/>
    <w:rsid w:val="00C54B20"/>
    <w:rsid w:val="00C54D36"/>
    <w:rsid w:val="00C5511A"/>
    <w:rsid w:val="00C55123"/>
    <w:rsid w:val="00C55396"/>
    <w:rsid w:val="00C5545F"/>
    <w:rsid w:val="00C55586"/>
    <w:rsid w:val="00C557F5"/>
    <w:rsid w:val="00C5585B"/>
    <w:rsid w:val="00C55AC1"/>
    <w:rsid w:val="00C55C9F"/>
    <w:rsid w:val="00C55D76"/>
    <w:rsid w:val="00C55E59"/>
    <w:rsid w:val="00C56195"/>
    <w:rsid w:val="00C56337"/>
    <w:rsid w:val="00C564B1"/>
    <w:rsid w:val="00C5658D"/>
    <w:rsid w:val="00C569F7"/>
    <w:rsid w:val="00C56B7E"/>
    <w:rsid w:val="00C56BD0"/>
    <w:rsid w:val="00C576F3"/>
    <w:rsid w:val="00C57795"/>
    <w:rsid w:val="00C57E4F"/>
    <w:rsid w:val="00C57EC7"/>
    <w:rsid w:val="00C60270"/>
    <w:rsid w:val="00C6056E"/>
    <w:rsid w:val="00C60739"/>
    <w:rsid w:val="00C60860"/>
    <w:rsid w:val="00C60D06"/>
    <w:rsid w:val="00C6133F"/>
    <w:rsid w:val="00C614D4"/>
    <w:rsid w:val="00C6161A"/>
    <w:rsid w:val="00C616B2"/>
    <w:rsid w:val="00C616B6"/>
    <w:rsid w:val="00C61A60"/>
    <w:rsid w:val="00C61CDA"/>
    <w:rsid w:val="00C61D23"/>
    <w:rsid w:val="00C61D97"/>
    <w:rsid w:val="00C6223D"/>
    <w:rsid w:val="00C6229E"/>
    <w:rsid w:val="00C622D2"/>
    <w:rsid w:val="00C624C2"/>
    <w:rsid w:val="00C624E1"/>
    <w:rsid w:val="00C62517"/>
    <w:rsid w:val="00C62583"/>
    <w:rsid w:val="00C625CA"/>
    <w:rsid w:val="00C6272E"/>
    <w:rsid w:val="00C62DCE"/>
    <w:rsid w:val="00C62E92"/>
    <w:rsid w:val="00C63065"/>
    <w:rsid w:val="00C6306A"/>
    <w:rsid w:val="00C632E8"/>
    <w:rsid w:val="00C6378E"/>
    <w:rsid w:val="00C637B7"/>
    <w:rsid w:val="00C637D0"/>
    <w:rsid w:val="00C63A0D"/>
    <w:rsid w:val="00C63C08"/>
    <w:rsid w:val="00C63C0F"/>
    <w:rsid w:val="00C6428D"/>
    <w:rsid w:val="00C64311"/>
    <w:rsid w:val="00C6431F"/>
    <w:rsid w:val="00C645F1"/>
    <w:rsid w:val="00C64862"/>
    <w:rsid w:val="00C64D43"/>
    <w:rsid w:val="00C64FB5"/>
    <w:rsid w:val="00C6500B"/>
    <w:rsid w:val="00C65016"/>
    <w:rsid w:val="00C6513A"/>
    <w:rsid w:val="00C65513"/>
    <w:rsid w:val="00C657E0"/>
    <w:rsid w:val="00C65808"/>
    <w:rsid w:val="00C65ADD"/>
    <w:rsid w:val="00C65F40"/>
    <w:rsid w:val="00C66186"/>
    <w:rsid w:val="00C6622E"/>
    <w:rsid w:val="00C664CC"/>
    <w:rsid w:val="00C66726"/>
    <w:rsid w:val="00C66885"/>
    <w:rsid w:val="00C6697D"/>
    <w:rsid w:val="00C66D6B"/>
    <w:rsid w:val="00C66DB7"/>
    <w:rsid w:val="00C66E72"/>
    <w:rsid w:val="00C66EC8"/>
    <w:rsid w:val="00C66F39"/>
    <w:rsid w:val="00C70097"/>
    <w:rsid w:val="00C700FF"/>
    <w:rsid w:val="00C703A5"/>
    <w:rsid w:val="00C70459"/>
    <w:rsid w:val="00C705F0"/>
    <w:rsid w:val="00C705FA"/>
    <w:rsid w:val="00C707C4"/>
    <w:rsid w:val="00C708E2"/>
    <w:rsid w:val="00C70942"/>
    <w:rsid w:val="00C70ACE"/>
    <w:rsid w:val="00C70B54"/>
    <w:rsid w:val="00C70D98"/>
    <w:rsid w:val="00C71037"/>
    <w:rsid w:val="00C71073"/>
    <w:rsid w:val="00C71205"/>
    <w:rsid w:val="00C71766"/>
    <w:rsid w:val="00C7186E"/>
    <w:rsid w:val="00C71A9B"/>
    <w:rsid w:val="00C71C41"/>
    <w:rsid w:val="00C71CE3"/>
    <w:rsid w:val="00C71CF2"/>
    <w:rsid w:val="00C71E56"/>
    <w:rsid w:val="00C71E85"/>
    <w:rsid w:val="00C71FAD"/>
    <w:rsid w:val="00C722D8"/>
    <w:rsid w:val="00C7268C"/>
    <w:rsid w:val="00C72CF1"/>
    <w:rsid w:val="00C72E18"/>
    <w:rsid w:val="00C73010"/>
    <w:rsid w:val="00C73031"/>
    <w:rsid w:val="00C734BB"/>
    <w:rsid w:val="00C73617"/>
    <w:rsid w:val="00C7374E"/>
    <w:rsid w:val="00C73F5E"/>
    <w:rsid w:val="00C7404B"/>
    <w:rsid w:val="00C74292"/>
    <w:rsid w:val="00C743E4"/>
    <w:rsid w:val="00C74542"/>
    <w:rsid w:val="00C74636"/>
    <w:rsid w:val="00C746AD"/>
    <w:rsid w:val="00C7494A"/>
    <w:rsid w:val="00C74A77"/>
    <w:rsid w:val="00C74F9E"/>
    <w:rsid w:val="00C74FEB"/>
    <w:rsid w:val="00C75398"/>
    <w:rsid w:val="00C75400"/>
    <w:rsid w:val="00C7542C"/>
    <w:rsid w:val="00C755D7"/>
    <w:rsid w:val="00C755FE"/>
    <w:rsid w:val="00C756A4"/>
    <w:rsid w:val="00C75766"/>
    <w:rsid w:val="00C75C1D"/>
    <w:rsid w:val="00C76043"/>
    <w:rsid w:val="00C7616F"/>
    <w:rsid w:val="00C762A0"/>
    <w:rsid w:val="00C76317"/>
    <w:rsid w:val="00C76426"/>
    <w:rsid w:val="00C768FD"/>
    <w:rsid w:val="00C769BE"/>
    <w:rsid w:val="00C77231"/>
    <w:rsid w:val="00C773BE"/>
    <w:rsid w:val="00C77999"/>
    <w:rsid w:val="00C77A4F"/>
    <w:rsid w:val="00C77AB9"/>
    <w:rsid w:val="00C77AC3"/>
    <w:rsid w:val="00C77DCA"/>
    <w:rsid w:val="00C77E07"/>
    <w:rsid w:val="00C77E12"/>
    <w:rsid w:val="00C77EAB"/>
    <w:rsid w:val="00C77F0F"/>
    <w:rsid w:val="00C77F90"/>
    <w:rsid w:val="00C8002A"/>
    <w:rsid w:val="00C8005C"/>
    <w:rsid w:val="00C8049B"/>
    <w:rsid w:val="00C80683"/>
    <w:rsid w:val="00C8078A"/>
    <w:rsid w:val="00C80A3E"/>
    <w:rsid w:val="00C80AC9"/>
    <w:rsid w:val="00C80D6A"/>
    <w:rsid w:val="00C81074"/>
    <w:rsid w:val="00C813EC"/>
    <w:rsid w:val="00C81558"/>
    <w:rsid w:val="00C81891"/>
    <w:rsid w:val="00C81DD4"/>
    <w:rsid w:val="00C82003"/>
    <w:rsid w:val="00C82147"/>
    <w:rsid w:val="00C82B7F"/>
    <w:rsid w:val="00C82C65"/>
    <w:rsid w:val="00C82CD7"/>
    <w:rsid w:val="00C82D15"/>
    <w:rsid w:val="00C82D2E"/>
    <w:rsid w:val="00C82D99"/>
    <w:rsid w:val="00C8310D"/>
    <w:rsid w:val="00C839B7"/>
    <w:rsid w:val="00C83F80"/>
    <w:rsid w:val="00C8411A"/>
    <w:rsid w:val="00C842F5"/>
    <w:rsid w:val="00C84C95"/>
    <w:rsid w:val="00C84D3A"/>
    <w:rsid w:val="00C85151"/>
    <w:rsid w:val="00C85343"/>
    <w:rsid w:val="00C854AB"/>
    <w:rsid w:val="00C854DF"/>
    <w:rsid w:val="00C8571C"/>
    <w:rsid w:val="00C85B9D"/>
    <w:rsid w:val="00C85E54"/>
    <w:rsid w:val="00C85EFC"/>
    <w:rsid w:val="00C85FB2"/>
    <w:rsid w:val="00C860B4"/>
    <w:rsid w:val="00C8613F"/>
    <w:rsid w:val="00C8617A"/>
    <w:rsid w:val="00C863BC"/>
    <w:rsid w:val="00C8656B"/>
    <w:rsid w:val="00C865A2"/>
    <w:rsid w:val="00C86CB5"/>
    <w:rsid w:val="00C86F59"/>
    <w:rsid w:val="00C87024"/>
    <w:rsid w:val="00C870D8"/>
    <w:rsid w:val="00C87162"/>
    <w:rsid w:val="00C87364"/>
    <w:rsid w:val="00C8750F"/>
    <w:rsid w:val="00C879A4"/>
    <w:rsid w:val="00C87DD0"/>
    <w:rsid w:val="00C87ED5"/>
    <w:rsid w:val="00C9014D"/>
    <w:rsid w:val="00C901C1"/>
    <w:rsid w:val="00C909A3"/>
    <w:rsid w:val="00C90A09"/>
    <w:rsid w:val="00C90A5B"/>
    <w:rsid w:val="00C90DEC"/>
    <w:rsid w:val="00C90F2E"/>
    <w:rsid w:val="00C910FB"/>
    <w:rsid w:val="00C913B9"/>
    <w:rsid w:val="00C914FB"/>
    <w:rsid w:val="00C9189C"/>
    <w:rsid w:val="00C91D77"/>
    <w:rsid w:val="00C91F59"/>
    <w:rsid w:val="00C92C59"/>
    <w:rsid w:val="00C92CF9"/>
    <w:rsid w:val="00C92E66"/>
    <w:rsid w:val="00C93034"/>
    <w:rsid w:val="00C932B1"/>
    <w:rsid w:val="00C933D0"/>
    <w:rsid w:val="00C93421"/>
    <w:rsid w:val="00C936D4"/>
    <w:rsid w:val="00C9382E"/>
    <w:rsid w:val="00C93993"/>
    <w:rsid w:val="00C93C29"/>
    <w:rsid w:val="00C93DDB"/>
    <w:rsid w:val="00C93F46"/>
    <w:rsid w:val="00C943F5"/>
    <w:rsid w:val="00C944C3"/>
    <w:rsid w:val="00C947A7"/>
    <w:rsid w:val="00C94A2E"/>
    <w:rsid w:val="00C94BED"/>
    <w:rsid w:val="00C94D44"/>
    <w:rsid w:val="00C95292"/>
    <w:rsid w:val="00C9530B"/>
    <w:rsid w:val="00C9549F"/>
    <w:rsid w:val="00C954BF"/>
    <w:rsid w:val="00C9557E"/>
    <w:rsid w:val="00C95B6D"/>
    <w:rsid w:val="00C95B74"/>
    <w:rsid w:val="00C95CBA"/>
    <w:rsid w:val="00C95F56"/>
    <w:rsid w:val="00C9623F"/>
    <w:rsid w:val="00C96451"/>
    <w:rsid w:val="00C9656F"/>
    <w:rsid w:val="00C96A03"/>
    <w:rsid w:val="00C96AFB"/>
    <w:rsid w:val="00C96B65"/>
    <w:rsid w:val="00C96C50"/>
    <w:rsid w:val="00C96EB0"/>
    <w:rsid w:val="00C97478"/>
    <w:rsid w:val="00C974E4"/>
    <w:rsid w:val="00C976BA"/>
    <w:rsid w:val="00C97B5C"/>
    <w:rsid w:val="00C97C5B"/>
    <w:rsid w:val="00CA0349"/>
    <w:rsid w:val="00CA0386"/>
    <w:rsid w:val="00CA03ED"/>
    <w:rsid w:val="00CA060C"/>
    <w:rsid w:val="00CA0669"/>
    <w:rsid w:val="00CA06F8"/>
    <w:rsid w:val="00CA0845"/>
    <w:rsid w:val="00CA08E1"/>
    <w:rsid w:val="00CA0BE6"/>
    <w:rsid w:val="00CA0E8F"/>
    <w:rsid w:val="00CA0F7B"/>
    <w:rsid w:val="00CA113F"/>
    <w:rsid w:val="00CA131B"/>
    <w:rsid w:val="00CA1477"/>
    <w:rsid w:val="00CA15D4"/>
    <w:rsid w:val="00CA15EB"/>
    <w:rsid w:val="00CA1631"/>
    <w:rsid w:val="00CA170B"/>
    <w:rsid w:val="00CA17D9"/>
    <w:rsid w:val="00CA1B34"/>
    <w:rsid w:val="00CA1B96"/>
    <w:rsid w:val="00CA2140"/>
    <w:rsid w:val="00CA21C7"/>
    <w:rsid w:val="00CA2284"/>
    <w:rsid w:val="00CA2781"/>
    <w:rsid w:val="00CA2788"/>
    <w:rsid w:val="00CA281B"/>
    <w:rsid w:val="00CA28AA"/>
    <w:rsid w:val="00CA29EA"/>
    <w:rsid w:val="00CA2BA2"/>
    <w:rsid w:val="00CA2C99"/>
    <w:rsid w:val="00CA2F21"/>
    <w:rsid w:val="00CA2F4D"/>
    <w:rsid w:val="00CA317A"/>
    <w:rsid w:val="00CA31AB"/>
    <w:rsid w:val="00CA3348"/>
    <w:rsid w:val="00CA3356"/>
    <w:rsid w:val="00CA38B0"/>
    <w:rsid w:val="00CA3B0E"/>
    <w:rsid w:val="00CA4016"/>
    <w:rsid w:val="00CA407C"/>
    <w:rsid w:val="00CA40AA"/>
    <w:rsid w:val="00CA43C5"/>
    <w:rsid w:val="00CA4414"/>
    <w:rsid w:val="00CA441A"/>
    <w:rsid w:val="00CA4525"/>
    <w:rsid w:val="00CA4671"/>
    <w:rsid w:val="00CA489E"/>
    <w:rsid w:val="00CA4EC1"/>
    <w:rsid w:val="00CA55ED"/>
    <w:rsid w:val="00CA566B"/>
    <w:rsid w:val="00CA5788"/>
    <w:rsid w:val="00CA57B1"/>
    <w:rsid w:val="00CA58BD"/>
    <w:rsid w:val="00CA5A35"/>
    <w:rsid w:val="00CA6395"/>
    <w:rsid w:val="00CA63F0"/>
    <w:rsid w:val="00CA6581"/>
    <w:rsid w:val="00CA664A"/>
    <w:rsid w:val="00CA66F9"/>
    <w:rsid w:val="00CA688C"/>
    <w:rsid w:val="00CA68CE"/>
    <w:rsid w:val="00CA6955"/>
    <w:rsid w:val="00CA6AE8"/>
    <w:rsid w:val="00CA6C24"/>
    <w:rsid w:val="00CA6F29"/>
    <w:rsid w:val="00CA6F74"/>
    <w:rsid w:val="00CA709E"/>
    <w:rsid w:val="00CA70AB"/>
    <w:rsid w:val="00CA72FA"/>
    <w:rsid w:val="00CA766B"/>
    <w:rsid w:val="00CA7701"/>
    <w:rsid w:val="00CA7AD2"/>
    <w:rsid w:val="00CA7B9B"/>
    <w:rsid w:val="00CA7CC7"/>
    <w:rsid w:val="00CA7FC8"/>
    <w:rsid w:val="00CB02BE"/>
    <w:rsid w:val="00CB03F2"/>
    <w:rsid w:val="00CB0428"/>
    <w:rsid w:val="00CB0801"/>
    <w:rsid w:val="00CB0815"/>
    <w:rsid w:val="00CB0992"/>
    <w:rsid w:val="00CB0F82"/>
    <w:rsid w:val="00CB1101"/>
    <w:rsid w:val="00CB12EA"/>
    <w:rsid w:val="00CB1305"/>
    <w:rsid w:val="00CB1475"/>
    <w:rsid w:val="00CB14E2"/>
    <w:rsid w:val="00CB15F7"/>
    <w:rsid w:val="00CB16A5"/>
    <w:rsid w:val="00CB1911"/>
    <w:rsid w:val="00CB19BD"/>
    <w:rsid w:val="00CB1A95"/>
    <w:rsid w:val="00CB1D52"/>
    <w:rsid w:val="00CB2288"/>
    <w:rsid w:val="00CB248A"/>
    <w:rsid w:val="00CB25E0"/>
    <w:rsid w:val="00CB265C"/>
    <w:rsid w:val="00CB28FD"/>
    <w:rsid w:val="00CB290D"/>
    <w:rsid w:val="00CB2AF2"/>
    <w:rsid w:val="00CB2E31"/>
    <w:rsid w:val="00CB3028"/>
    <w:rsid w:val="00CB3481"/>
    <w:rsid w:val="00CB39E5"/>
    <w:rsid w:val="00CB3A65"/>
    <w:rsid w:val="00CB3CFB"/>
    <w:rsid w:val="00CB3FF3"/>
    <w:rsid w:val="00CB4168"/>
    <w:rsid w:val="00CB4732"/>
    <w:rsid w:val="00CB4815"/>
    <w:rsid w:val="00CB48FF"/>
    <w:rsid w:val="00CB4934"/>
    <w:rsid w:val="00CB4AD5"/>
    <w:rsid w:val="00CB4AF6"/>
    <w:rsid w:val="00CB4E7E"/>
    <w:rsid w:val="00CB53D4"/>
    <w:rsid w:val="00CB56B8"/>
    <w:rsid w:val="00CB5723"/>
    <w:rsid w:val="00CB58A5"/>
    <w:rsid w:val="00CB5C52"/>
    <w:rsid w:val="00CB5C92"/>
    <w:rsid w:val="00CB5E78"/>
    <w:rsid w:val="00CB626F"/>
    <w:rsid w:val="00CB6535"/>
    <w:rsid w:val="00CB6573"/>
    <w:rsid w:val="00CB6762"/>
    <w:rsid w:val="00CB6A3E"/>
    <w:rsid w:val="00CB6D4F"/>
    <w:rsid w:val="00CB7088"/>
    <w:rsid w:val="00CB725A"/>
    <w:rsid w:val="00CB7399"/>
    <w:rsid w:val="00CB77AF"/>
    <w:rsid w:val="00CB7B61"/>
    <w:rsid w:val="00CC00ED"/>
    <w:rsid w:val="00CC046B"/>
    <w:rsid w:val="00CC0757"/>
    <w:rsid w:val="00CC0852"/>
    <w:rsid w:val="00CC08FD"/>
    <w:rsid w:val="00CC0B05"/>
    <w:rsid w:val="00CC0B28"/>
    <w:rsid w:val="00CC0BA1"/>
    <w:rsid w:val="00CC0BC5"/>
    <w:rsid w:val="00CC1433"/>
    <w:rsid w:val="00CC1559"/>
    <w:rsid w:val="00CC1583"/>
    <w:rsid w:val="00CC15E8"/>
    <w:rsid w:val="00CC16D1"/>
    <w:rsid w:val="00CC23AE"/>
    <w:rsid w:val="00CC2420"/>
    <w:rsid w:val="00CC295B"/>
    <w:rsid w:val="00CC2A0E"/>
    <w:rsid w:val="00CC2AAE"/>
    <w:rsid w:val="00CC2BC5"/>
    <w:rsid w:val="00CC2BD7"/>
    <w:rsid w:val="00CC2F10"/>
    <w:rsid w:val="00CC3053"/>
    <w:rsid w:val="00CC3106"/>
    <w:rsid w:val="00CC31BF"/>
    <w:rsid w:val="00CC31DC"/>
    <w:rsid w:val="00CC330D"/>
    <w:rsid w:val="00CC38F1"/>
    <w:rsid w:val="00CC3962"/>
    <w:rsid w:val="00CC3A35"/>
    <w:rsid w:val="00CC3AAB"/>
    <w:rsid w:val="00CC3EDE"/>
    <w:rsid w:val="00CC4153"/>
    <w:rsid w:val="00CC45A1"/>
    <w:rsid w:val="00CC478D"/>
    <w:rsid w:val="00CC4A2D"/>
    <w:rsid w:val="00CC4B7D"/>
    <w:rsid w:val="00CC4BCA"/>
    <w:rsid w:val="00CC4CFF"/>
    <w:rsid w:val="00CC4E87"/>
    <w:rsid w:val="00CC51A5"/>
    <w:rsid w:val="00CC51E2"/>
    <w:rsid w:val="00CC5423"/>
    <w:rsid w:val="00CC5632"/>
    <w:rsid w:val="00CC59D7"/>
    <w:rsid w:val="00CC5BE9"/>
    <w:rsid w:val="00CC5C33"/>
    <w:rsid w:val="00CC5D76"/>
    <w:rsid w:val="00CC5D87"/>
    <w:rsid w:val="00CC5F2D"/>
    <w:rsid w:val="00CC60F4"/>
    <w:rsid w:val="00CC6108"/>
    <w:rsid w:val="00CC629D"/>
    <w:rsid w:val="00CC6405"/>
    <w:rsid w:val="00CC6410"/>
    <w:rsid w:val="00CC651A"/>
    <w:rsid w:val="00CC65B5"/>
    <w:rsid w:val="00CC6771"/>
    <w:rsid w:val="00CC683D"/>
    <w:rsid w:val="00CC6B30"/>
    <w:rsid w:val="00CC6E45"/>
    <w:rsid w:val="00CC7053"/>
    <w:rsid w:val="00CC744F"/>
    <w:rsid w:val="00CC7626"/>
    <w:rsid w:val="00CC764E"/>
    <w:rsid w:val="00CC77F9"/>
    <w:rsid w:val="00CC7C07"/>
    <w:rsid w:val="00CC7C70"/>
    <w:rsid w:val="00CC7FE8"/>
    <w:rsid w:val="00CD0104"/>
    <w:rsid w:val="00CD0945"/>
    <w:rsid w:val="00CD0A51"/>
    <w:rsid w:val="00CD0CC8"/>
    <w:rsid w:val="00CD0F09"/>
    <w:rsid w:val="00CD0F7F"/>
    <w:rsid w:val="00CD100D"/>
    <w:rsid w:val="00CD102D"/>
    <w:rsid w:val="00CD10E5"/>
    <w:rsid w:val="00CD16F5"/>
    <w:rsid w:val="00CD19EC"/>
    <w:rsid w:val="00CD1A78"/>
    <w:rsid w:val="00CD1C0B"/>
    <w:rsid w:val="00CD1D5D"/>
    <w:rsid w:val="00CD1DFF"/>
    <w:rsid w:val="00CD21E9"/>
    <w:rsid w:val="00CD27CC"/>
    <w:rsid w:val="00CD2C15"/>
    <w:rsid w:val="00CD3087"/>
    <w:rsid w:val="00CD3170"/>
    <w:rsid w:val="00CD31B9"/>
    <w:rsid w:val="00CD3474"/>
    <w:rsid w:val="00CD358F"/>
    <w:rsid w:val="00CD360D"/>
    <w:rsid w:val="00CD3E36"/>
    <w:rsid w:val="00CD400A"/>
    <w:rsid w:val="00CD417A"/>
    <w:rsid w:val="00CD4276"/>
    <w:rsid w:val="00CD4322"/>
    <w:rsid w:val="00CD4471"/>
    <w:rsid w:val="00CD5532"/>
    <w:rsid w:val="00CD56E5"/>
    <w:rsid w:val="00CD57E4"/>
    <w:rsid w:val="00CD5877"/>
    <w:rsid w:val="00CD5979"/>
    <w:rsid w:val="00CD5A1D"/>
    <w:rsid w:val="00CD5A92"/>
    <w:rsid w:val="00CD5C2C"/>
    <w:rsid w:val="00CD5D13"/>
    <w:rsid w:val="00CD5D55"/>
    <w:rsid w:val="00CD6197"/>
    <w:rsid w:val="00CD62B5"/>
    <w:rsid w:val="00CD66B0"/>
    <w:rsid w:val="00CD675C"/>
    <w:rsid w:val="00CD6833"/>
    <w:rsid w:val="00CD6884"/>
    <w:rsid w:val="00CD6C9D"/>
    <w:rsid w:val="00CD6E41"/>
    <w:rsid w:val="00CD70CF"/>
    <w:rsid w:val="00CD7223"/>
    <w:rsid w:val="00CD75C7"/>
    <w:rsid w:val="00CD79F9"/>
    <w:rsid w:val="00CD7AD7"/>
    <w:rsid w:val="00CD7CC7"/>
    <w:rsid w:val="00CD7E56"/>
    <w:rsid w:val="00CE00E3"/>
    <w:rsid w:val="00CE0375"/>
    <w:rsid w:val="00CE061F"/>
    <w:rsid w:val="00CE0678"/>
    <w:rsid w:val="00CE0792"/>
    <w:rsid w:val="00CE07C7"/>
    <w:rsid w:val="00CE07EC"/>
    <w:rsid w:val="00CE090A"/>
    <w:rsid w:val="00CE0CAB"/>
    <w:rsid w:val="00CE0D7D"/>
    <w:rsid w:val="00CE0E2D"/>
    <w:rsid w:val="00CE0F30"/>
    <w:rsid w:val="00CE0F68"/>
    <w:rsid w:val="00CE1109"/>
    <w:rsid w:val="00CE1264"/>
    <w:rsid w:val="00CE14A3"/>
    <w:rsid w:val="00CE15E6"/>
    <w:rsid w:val="00CE1B79"/>
    <w:rsid w:val="00CE1BD0"/>
    <w:rsid w:val="00CE1DF3"/>
    <w:rsid w:val="00CE21B2"/>
    <w:rsid w:val="00CE262E"/>
    <w:rsid w:val="00CE279E"/>
    <w:rsid w:val="00CE29C1"/>
    <w:rsid w:val="00CE3232"/>
    <w:rsid w:val="00CE3390"/>
    <w:rsid w:val="00CE33AA"/>
    <w:rsid w:val="00CE3804"/>
    <w:rsid w:val="00CE386C"/>
    <w:rsid w:val="00CE3A2E"/>
    <w:rsid w:val="00CE3A86"/>
    <w:rsid w:val="00CE3AC6"/>
    <w:rsid w:val="00CE3BEF"/>
    <w:rsid w:val="00CE4316"/>
    <w:rsid w:val="00CE4415"/>
    <w:rsid w:val="00CE47E5"/>
    <w:rsid w:val="00CE483B"/>
    <w:rsid w:val="00CE54C4"/>
    <w:rsid w:val="00CE5515"/>
    <w:rsid w:val="00CE5995"/>
    <w:rsid w:val="00CE5B36"/>
    <w:rsid w:val="00CE5BC7"/>
    <w:rsid w:val="00CE5BE0"/>
    <w:rsid w:val="00CE5EA8"/>
    <w:rsid w:val="00CE600D"/>
    <w:rsid w:val="00CE680E"/>
    <w:rsid w:val="00CE6813"/>
    <w:rsid w:val="00CE6AD9"/>
    <w:rsid w:val="00CE72D6"/>
    <w:rsid w:val="00CE75C1"/>
    <w:rsid w:val="00CE7666"/>
    <w:rsid w:val="00CE76DA"/>
    <w:rsid w:val="00CE7B85"/>
    <w:rsid w:val="00CE7C53"/>
    <w:rsid w:val="00CE7D5B"/>
    <w:rsid w:val="00CE7F3D"/>
    <w:rsid w:val="00CF01C6"/>
    <w:rsid w:val="00CF06B7"/>
    <w:rsid w:val="00CF0C97"/>
    <w:rsid w:val="00CF1015"/>
    <w:rsid w:val="00CF1410"/>
    <w:rsid w:val="00CF17D3"/>
    <w:rsid w:val="00CF2193"/>
    <w:rsid w:val="00CF2321"/>
    <w:rsid w:val="00CF25EB"/>
    <w:rsid w:val="00CF26BB"/>
    <w:rsid w:val="00CF26CA"/>
    <w:rsid w:val="00CF272C"/>
    <w:rsid w:val="00CF2BB0"/>
    <w:rsid w:val="00CF2C6A"/>
    <w:rsid w:val="00CF2CAA"/>
    <w:rsid w:val="00CF2D2D"/>
    <w:rsid w:val="00CF2DBC"/>
    <w:rsid w:val="00CF3475"/>
    <w:rsid w:val="00CF354D"/>
    <w:rsid w:val="00CF3B58"/>
    <w:rsid w:val="00CF40C8"/>
    <w:rsid w:val="00CF4D4F"/>
    <w:rsid w:val="00CF4E08"/>
    <w:rsid w:val="00CF4F77"/>
    <w:rsid w:val="00CF523C"/>
    <w:rsid w:val="00CF526C"/>
    <w:rsid w:val="00CF5484"/>
    <w:rsid w:val="00CF5559"/>
    <w:rsid w:val="00CF5579"/>
    <w:rsid w:val="00CF557D"/>
    <w:rsid w:val="00CF5764"/>
    <w:rsid w:val="00CF57E7"/>
    <w:rsid w:val="00CF58AA"/>
    <w:rsid w:val="00CF5B7C"/>
    <w:rsid w:val="00CF651C"/>
    <w:rsid w:val="00CF66B7"/>
    <w:rsid w:val="00CF676A"/>
    <w:rsid w:val="00CF689C"/>
    <w:rsid w:val="00CF6B82"/>
    <w:rsid w:val="00CF6BC9"/>
    <w:rsid w:val="00CF6E21"/>
    <w:rsid w:val="00CF7213"/>
    <w:rsid w:val="00CF7647"/>
    <w:rsid w:val="00CF7B00"/>
    <w:rsid w:val="00CF7B1A"/>
    <w:rsid w:val="00CF7C1D"/>
    <w:rsid w:val="00CF7F73"/>
    <w:rsid w:val="00CF7FEC"/>
    <w:rsid w:val="00D00086"/>
    <w:rsid w:val="00D00421"/>
    <w:rsid w:val="00D006F4"/>
    <w:rsid w:val="00D00AC4"/>
    <w:rsid w:val="00D00BC5"/>
    <w:rsid w:val="00D010B4"/>
    <w:rsid w:val="00D01248"/>
    <w:rsid w:val="00D01735"/>
    <w:rsid w:val="00D018E5"/>
    <w:rsid w:val="00D01EA2"/>
    <w:rsid w:val="00D02005"/>
    <w:rsid w:val="00D0229E"/>
    <w:rsid w:val="00D0238F"/>
    <w:rsid w:val="00D023AC"/>
    <w:rsid w:val="00D02573"/>
    <w:rsid w:val="00D02D04"/>
    <w:rsid w:val="00D02F81"/>
    <w:rsid w:val="00D0300A"/>
    <w:rsid w:val="00D03680"/>
    <w:rsid w:val="00D0376D"/>
    <w:rsid w:val="00D03FDE"/>
    <w:rsid w:val="00D0421A"/>
    <w:rsid w:val="00D0471E"/>
    <w:rsid w:val="00D04B0D"/>
    <w:rsid w:val="00D04EA5"/>
    <w:rsid w:val="00D04F87"/>
    <w:rsid w:val="00D05053"/>
    <w:rsid w:val="00D05338"/>
    <w:rsid w:val="00D0534C"/>
    <w:rsid w:val="00D05678"/>
    <w:rsid w:val="00D05AD0"/>
    <w:rsid w:val="00D05B37"/>
    <w:rsid w:val="00D05CAD"/>
    <w:rsid w:val="00D05FAB"/>
    <w:rsid w:val="00D062B0"/>
    <w:rsid w:val="00D06426"/>
    <w:rsid w:val="00D0683A"/>
    <w:rsid w:val="00D06EDF"/>
    <w:rsid w:val="00D072B7"/>
    <w:rsid w:val="00D07398"/>
    <w:rsid w:val="00D0744C"/>
    <w:rsid w:val="00D0748B"/>
    <w:rsid w:val="00D07593"/>
    <w:rsid w:val="00D079D6"/>
    <w:rsid w:val="00D079F0"/>
    <w:rsid w:val="00D07A78"/>
    <w:rsid w:val="00D07C8D"/>
    <w:rsid w:val="00D07D07"/>
    <w:rsid w:val="00D07E29"/>
    <w:rsid w:val="00D10507"/>
    <w:rsid w:val="00D105B4"/>
    <w:rsid w:val="00D1068D"/>
    <w:rsid w:val="00D10E3B"/>
    <w:rsid w:val="00D10F0A"/>
    <w:rsid w:val="00D10F24"/>
    <w:rsid w:val="00D11072"/>
    <w:rsid w:val="00D112F9"/>
    <w:rsid w:val="00D113DB"/>
    <w:rsid w:val="00D117D5"/>
    <w:rsid w:val="00D11887"/>
    <w:rsid w:val="00D11A5F"/>
    <w:rsid w:val="00D11D65"/>
    <w:rsid w:val="00D12015"/>
    <w:rsid w:val="00D12183"/>
    <w:rsid w:val="00D126AA"/>
    <w:rsid w:val="00D12CE9"/>
    <w:rsid w:val="00D12DF8"/>
    <w:rsid w:val="00D12F9D"/>
    <w:rsid w:val="00D1307C"/>
    <w:rsid w:val="00D137D0"/>
    <w:rsid w:val="00D13FC7"/>
    <w:rsid w:val="00D143D6"/>
    <w:rsid w:val="00D144B0"/>
    <w:rsid w:val="00D146F2"/>
    <w:rsid w:val="00D14B99"/>
    <w:rsid w:val="00D14BBD"/>
    <w:rsid w:val="00D14C21"/>
    <w:rsid w:val="00D14E6B"/>
    <w:rsid w:val="00D14E93"/>
    <w:rsid w:val="00D14F9A"/>
    <w:rsid w:val="00D151C3"/>
    <w:rsid w:val="00D154D2"/>
    <w:rsid w:val="00D15556"/>
    <w:rsid w:val="00D155AD"/>
    <w:rsid w:val="00D15B4D"/>
    <w:rsid w:val="00D15FD5"/>
    <w:rsid w:val="00D160BE"/>
    <w:rsid w:val="00D1610D"/>
    <w:rsid w:val="00D16591"/>
    <w:rsid w:val="00D16FE4"/>
    <w:rsid w:val="00D1735B"/>
    <w:rsid w:val="00D17360"/>
    <w:rsid w:val="00D173AE"/>
    <w:rsid w:val="00D1741A"/>
    <w:rsid w:val="00D17439"/>
    <w:rsid w:val="00D174B9"/>
    <w:rsid w:val="00D174E0"/>
    <w:rsid w:val="00D17B8C"/>
    <w:rsid w:val="00D17DC3"/>
    <w:rsid w:val="00D17EDB"/>
    <w:rsid w:val="00D201D0"/>
    <w:rsid w:val="00D203A2"/>
    <w:rsid w:val="00D20475"/>
    <w:rsid w:val="00D204B2"/>
    <w:rsid w:val="00D208CF"/>
    <w:rsid w:val="00D20AC6"/>
    <w:rsid w:val="00D20EFA"/>
    <w:rsid w:val="00D21044"/>
    <w:rsid w:val="00D21309"/>
    <w:rsid w:val="00D21380"/>
    <w:rsid w:val="00D21582"/>
    <w:rsid w:val="00D2180A"/>
    <w:rsid w:val="00D21EC2"/>
    <w:rsid w:val="00D2230F"/>
    <w:rsid w:val="00D223E2"/>
    <w:rsid w:val="00D22461"/>
    <w:rsid w:val="00D22503"/>
    <w:rsid w:val="00D225AD"/>
    <w:rsid w:val="00D22680"/>
    <w:rsid w:val="00D22985"/>
    <w:rsid w:val="00D229D9"/>
    <w:rsid w:val="00D22CB2"/>
    <w:rsid w:val="00D22D55"/>
    <w:rsid w:val="00D22E2F"/>
    <w:rsid w:val="00D22ECC"/>
    <w:rsid w:val="00D23057"/>
    <w:rsid w:val="00D23519"/>
    <w:rsid w:val="00D23AC0"/>
    <w:rsid w:val="00D23CF9"/>
    <w:rsid w:val="00D24089"/>
    <w:rsid w:val="00D2410B"/>
    <w:rsid w:val="00D24120"/>
    <w:rsid w:val="00D24269"/>
    <w:rsid w:val="00D24305"/>
    <w:rsid w:val="00D2470C"/>
    <w:rsid w:val="00D247D3"/>
    <w:rsid w:val="00D2483C"/>
    <w:rsid w:val="00D24A98"/>
    <w:rsid w:val="00D24CC9"/>
    <w:rsid w:val="00D25445"/>
    <w:rsid w:val="00D25736"/>
    <w:rsid w:val="00D25868"/>
    <w:rsid w:val="00D25BBE"/>
    <w:rsid w:val="00D25E5A"/>
    <w:rsid w:val="00D264C4"/>
    <w:rsid w:val="00D26551"/>
    <w:rsid w:val="00D2661B"/>
    <w:rsid w:val="00D267EC"/>
    <w:rsid w:val="00D26898"/>
    <w:rsid w:val="00D26918"/>
    <w:rsid w:val="00D26A44"/>
    <w:rsid w:val="00D26A53"/>
    <w:rsid w:val="00D26B57"/>
    <w:rsid w:val="00D26EC6"/>
    <w:rsid w:val="00D270E6"/>
    <w:rsid w:val="00D2740B"/>
    <w:rsid w:val="00D274E0"/>
    <w:rsid w:val="00D27505"/>
    <w:rsid w:val="00D27853"/>
    <w:rsid w:val="00D278CC"/>
    <w:rsid w:val="00D27E63"/>
    <w:rsid w:val="00D3026D"/>
    <w:rsid w:val="00D306BA"/>
    <w:rsid w:val="00D307E4"/>
    <w:rsid w:val="00D30AE8"/>
    <w:rsid w:val="00D30B87"/>
    <w:rsid w:val="00D30BD9"/>
    <w:rsid w:val="00D30F79"/>
    <w:rsid w:val="00D30FE4"/>
    <w:rsid w:val="00D3101F"/>
    <w:rsid w:val="00D31187"/>
    <w:rsid w:val="00D312B7"/>
    <w:rsid w:val="00D3133C"/>
    <w:rsid w:val="00D314A2"/>
    <w:rsid w:val="00D318C0"/>
    <w:rsid w:val="00D31A7A"/>
    <w:rsid w:val="00D31BAC"/>
    <w:rsid w:val="00D31F91"/>
    <w:rsid w:val="00D324B4"/>
    <w:rsid w:val="00D327C2"/>
    <w:rsid w:val="00D331CD"/>
    <w:rsid w:val="00D33215"/>
    <w:rsid w:val="00D3327D"/>
    <w:rsid w:val="00D33421"/>
    <w:rsid w:val="00D33737"/>
    <w:rsid w:val="00D33754"/>
    <w:rsid w:val="00D33B7F"/>
    <w:rsid w:val="00D33BA5"/>
    <w:rsid w:val="00D33C8C"/>
    <w:rsid w:val="00D33D65"/>
    <w:rsid w:val="00D33EE0"/>
    <w:rsid w:val="00D33F2B"/>
    <w:rsid w:val="00D33FDC"/>
    <w:rsid w:val="00D3441B"/>
    <w:rsid w:val="00D34769"/>
    <w:rsid w:val="00D34A10"/>
    <w:rsid w:val="00D34A1F"/>
    <w:rsid w:val="00D34BA4"/>
    <w:rsid w:val="00D34CBA"/>
    <w:rsid w:val="00D34D37"/>
    <w:rsid w:val="00D34E8F"/>
    <w:rsid w:val="00D352AE"/>
    <w:rsid w:val="00D355FC"/>
    <w:rsid w:val="00D35757"/>
    <w:rsid w:val="00D35868"/>
    <w:rsid w:val="00D359E7"/>
    <w:rsid w:val="00D36195"/>
    <w:rsid w:val="00D362E3"/>
    <w:rsid w:val="00D3650E"/>
    <w:rsid w:val="00D365C0"/>
    <w:rsid w:val="00D36A7B"/>
    <w:rsid w:val="00D36B89"/>
    <w:rsid w:val="00D36E2B"/>
    <w:rsid w:val="00D36F51"/>
    <w:rsid w:val="00D36F97"/>
    <w:rsid w:val="00D36F9E"/>
    <w:rsid w:val="00D37174"/>
    <w:rsid w:val="00D37178"/>
    <w:rsid w:val="00D372AA"/>
    <w:rsid w:val="00D3771C"/>
    <w:rsid w:val="00D378F9"/>
    <w:rsid w:val="00D37906"/>
    <w:rsid w:val="00D37A1A"/>
    <w:rsid w:val="00D37A57"/>
    <w:rsid w:val="00D40158"/>
    <w:rsid w:val="00D40245"/>
    <w:rsid w:val="00D403A9"/>
    <w:rsid w:val="00D40D43"/>
    <w:rsid w:val="00D40D53"/>
    <w:rsid w:val="00D40DFD"/>
    <w:rsid w:val="00D40E62"/>
    <w:rsid w:val="00D40E9F"/>
    <w:rsid w:val="00D40F31"/>
    <w:rsid w:val="00D4118A"/>
    <w:rsid w:val="00D412E8"/>
    <w:rsid w:val="00D41766"/>
    <w:rsid w:val="00D41857"/>
    <w:rsid w:val="00D41878"/>
    <w:rsid w:val="00D41885"/>
    <w:rsid w:val="00D41C05"/>
    <w:rsid w:val="00D41E51"/>
    <w:rsid w:val="00D41EFC"/>
    <w:rsid w:val="00D41FB2"/>
    <w:rsid w:val="00D420AC"/>
    <w:rsid w:val="00D422C8"/>
    <w:rsid w:val="00D4251E"/>
    <w:rsid w:val="00D42697"/>
    <w:rsid w:val="00D42986"/>
    <w:rsid w:val="00D42ADD"/>
    <w:rsid w:val="00D42B4F"/>
    <w:rsid w:val="00D43062"/>
    <w:rsid w:val="00D4368F"/>
    <w:rsid w:val="00D437EE"/>
    <w:rsid w:val="00D43839"/>
    <w:rsid w:val="00D43942"/>
    <w:rsid w:val="00D43C88"/>
    <w:rsid w:val="00D43E46"/>
    <w:rsid w:val="00D43F0F"/>
    <w:rsid w:val="00D44315"/>
    <w:rsid w:val="00D446A3"/>
    <w:rsid w:val="00D44FDF"/>
    <w:rsid w:val="00D45023"/>
    <w:rsid w:val="00D45033"/>
    <w:rsid w:val="00D45146"/>
    <w:rsid w:val="00D453DC"/>
    <w:rsid w:val="00D45676"/>
    <w:rsid w:val="00D456D7"/>
    <w:rsid w:val="00D45752"/>
    <w:rsid w:val="00D45C9C"/>
    <w:rsid w:val="00D45E45"/>
    <w:rsid w:val="00D45EDC"/>
    <w:rsid w:val="00D46471"/>
    <w:rsid w:val="00D464DD"/>
    <w:rsid w:val="00D4674C"/>
    <w:rsid w:val="00D46B17"/>
    <w:rsid w:val="00D46BD8"/>
    <w:rsid w:val="00D473B2"/>
    <w:rsid w:val="00D47441"/>
    <w:rsid w:val="00D476B1"/>
    <w:rsid w:val="00D47CDC"/>
    <w:rsid w:val="00D50061"/>
    <w:rsid w:val="00D500EB"/>
    <w:rsid w:val="00D5025D"/>
    <w:rsid w:val="00D5071A"/>
    <w:rsid w:val="00D509FF"/>
    <w:rsid w:val="00D50A38"/>
    <w:rsid w:val="00D50ABA"/>
    <w:rsid w:val="00D50CE5"/>
    <w:rsid w:val="00D50EC1"/>
    <w:rsid w:val="00D514BA"/>
    <w:rsid w:val="00D518EE"/>
    <w:rsid w:val="00D51CB8"/>
    <w:rsid w:val="00D51E5A"/>
    <w:rsid w:val="00D5209B"/>
    <w:rsid w:val="00D526C9"/>
    <w:rsid w:val="00D52785"/>
    <w:rsid w:val="00D52A0B"/>
    <w:rsid w:val="00D52E3E"/>
    <w:rsid w:val="00D5317C"/>
    <w:rsid w:val="00D53221"/>
    <w:rsid w:val="00D53656"/>
    <w:rsid w:val="00D536F4"/>
    <w:rsid w:val="00D5388E"/>
    <w:rsid w:val="00D53926"/>
    <w:rsid w:val="00D5393D"/>
    <w:rsid w:val="00D539BB"/>
    <w:rsid w:val="00D53A3C"/>
    <w:rsid w:val="00D53AFD"/>
    <w:rsid w:val="00D53BBB"/>
    <w:rsid w:val="00D5404F"/>
    <w:rsid w:val="00D5444D"/>
    <w:rsid w:val="00D54622"/>
    <w:rsid w:val="00D54ACE"/>
    <w:rsid w:val="00D54BC2"/>
    <w:rsid w:val="00D54D21"/>
    <w:rsid w:val="00D54E61"/>
    <w:rsid w:val="00D54E80"/>
    <w:rsid w:val="00D5565A"/>
    <w:rsid w:val="00D55CD0"/>
    <w:rsid w:val="00D55D38"/>
    <w:rsid w:val="00D55D7B"/>
    <w:rsid w:val="00D560F2"/>
    <w:rsid w:val="00D56470"/>
    <w:rsid w:val="00D5650E"/>
    <w:rsid w:val="00D56DB7"/>
    <w:rsid w:val="00D56E15"/>
    <w:rsid w:val="00D57090"/>
    <w:rsid w:val="00D5714A"/>
    <w:rsid w:val="00D57385"/>
    <w:rsid w:val="00D574C6"/>
    <w:rsid w:val="00D575C6"/>
    <w:rsid w:val="00D576D7"/>
    <w:rsid w:val="00D577C3"/>
    <w:rsid w:val="00D57A94"/>
    <w:rsid w:val="00D57B65"/>
    <w:rsid w:val="00D60268"/>
    <w:rsid w:val="00D6029C"/>
    <w:rsid w:val="00D6036E"/>
    <w:rsid w:val="00D60555"/>
    <w:rsid w:val="00D607F1"/>
    <w:rsid w:val="00D608BC"/>
    <w:rsid w:val="00D60B96"/>
    <w:rsid w:val="00D6151B"/>
    <w:rsid w:val="00D61AE6"/>
    <w:rsid w:val="00D61BDE"/>
    <w:rsid w:val="00D61E24"/>
    <w:rsid w:val="00D61EEF"/>
    <w:rsid w:val="00D61EF2"/>
    <w:rsid w:val="00D62038"/>
    <w:rsid w:val="00D620D5"/>
    <w:rsid w:val="00D621A0"/>
    <w:rsid w:val="00D621EF"/>
    <w:rsid w:val="00D623F1"/>
    <w:rsid w:val="00D62448"/>
    <w:rsid w:val="00D6253F"/>
    <w:rsid w:val="00D6281D"/>
    <w:rsid w:val="00D62A69"/>
    <w:rsid w:val="00D62CCC"/>
    <w:rsid w:val="00D62CE1"/>
    <w:rsid w:val="00D62D7C"/>
    <w:rsid w:val="00D631D7"/>
    <w:rsid w:val="00D6332E"/>
    <w:rsid w:val="00D63335"/>
    <w:rsid w:val="00D63519"/>
    <w:rsid w:val="00D63611"/>
    <w:rsid w:val="00D636C1"/>
    <w:rsid w:val="00D6376C"/>
    <w:rsid w:val="00D637C2"/>
    <w:rsid w:val="00D63C9E"/>
    <w:rsid w:val="00D63D48"/>
    <w:rsid w:val="00D63D4B"/>
    <w:rsid w:val="00D63D59"/>
    <w:rsid w:val="00D63D9F"/>
    <w:rsid w:val="00D643B1"/>
    <w:rsid w:val="00D64484"/>
    <w:rsid w:val="00D6454D"/>
    <w:rsid w:val="00D6459F"/>
    <w:rsid w:val="00D6467C"/>
    <w:rsid w:val="00D646A2"/>
    <w:rsid w:val="00D64B72"/>
    <w:rsid w:val="00D64DC6"/>
    <w:rsid w:val="00D64F04"/>
    <w:rsid w:val="00D6505B"/>
    <w:rsid w:val="00D65339"/>
    <w:rsid w:val="00D65436"/>
    <w:rsid w:val="00D654A0"/>
    <w:rsid w:val="00D65A5C"/>
    <w:rsid w:val="00D65E47"/>
    <w:rsid w:val="00D65EBC"/>
    <w:rsid w:val="00D6616B"/>
    <w:rsid w:val="00D66328"/>
    <w:rsid w:val="00D66E06"/>
    <w:rsid w:val="00D66E53"/>
    <w:rsid w:val="00D66F53"/>
    <w:rsid w:val="00D67010"/>
    <w:rsid w:val="00D67168"/>
    <w:rsid w:val="00D67558"/>
    <w:rsid w:val="00D67AF5"/>
    <w:rsid w:val="00D67BE6"/>
    <w:rsid w:val="00D67D93"/>
    <w:rsid w:val="00D67F57"/>
    <w:rsid w:val="00D67FBE"/>
    <w:rsid w:val="00D700C8"/>
    <w:rsid w:val="00D704BF"/>
    <w:rsid w:val="00D70509"/>
    <w:rsid w:val="00D706D2"/>
    <w:rsid w:val="00D70796"/>
    <w:rsid w:val="00D707F1"/>
    <w:rsid w:val="00D7092F"/>
    <w:rsid w:val="00D70C80"/>
    <w:rsid w:val="00D70C9E"/>
    <w:rsid w:val="00D70CD5"/>
    <w:rsid w:val="00D70F72"/>
    <w:rsid w:val="00D71311"/>
    <w:rsid w:val="00D7132A"/>
    <w:rsid w:val="00D7132E"/>
    <w:rsid w:val="00D71991"/>
    <w:rsid w:val="00D71E8B"/>
    <w:rsid w:val="00D71F8F"/>
    <w:rsid w:val="00D722A4"/>
    <w:rsid w:val="00D72528"/>
    <w:rsid w:val="00D725FA"/>
    <w:rsid w:val="00D72A87"/>
    <w:rsid w:val="00D72D6A"/>
    <w:rsid w:val="00D72EB7"/>
    <w:rsid w:val="00D72FC4"/>
    <w:rsid w:val="00D730B3"/>
    <w:rsid w:val="00D73963"/>
    <w:rsid w:val="00D73A2B"/>
    <w:rsid w:val="00D73AF9"/>
    <w:rsid w:val="00D7407E"/>
    <w:rsid w:val="00D74307"/>
    <w:rsid w:val="00D7436C"/>
    <w:rsid w:val="00D744A2"/>
    <w:rsid w:val="00D747EE"/>
    <w:rsid w:val="00D74A58"/>
    <w:rsid w:val="00D74F2E"/>
    <w:rsid w:val="00D75148"/>
    <w:rsid w:val="00D758AE"/>
    <w:rsid w:val="00D7596B"/>
    <w:rsid w:val="00D759B2"/>
    <w:rsid w:val="00D75A2B"/>
    <w:rsid w:val="00D75A43"/>
    <w:rsid w:val="00D75AB3"/>
    <w:rsid w:val="00D75E40"/>
    <w:rsid w:val="00D75E4A"/>
    <w:rsid w:val="00D762EB"/>
    <w:rsid w:val="00D76354"/>
    <w:rsid w:val="00D7659C"/>
    <w:rsid w:val="00D7659E"/>
    <w:rsid w:val="00D7675D"/>
    <w:rsid w:val="00D76804"/>
    <w:rsid w:val="00D768E2"/>
    <w:rsid w:val="00D769E1"/>
    <w:rsid w:val="00D769FE"/>
    <w:rsid w:val="00D76A0C"/>
    <w:rsid w:val="00D76A85"/>
    <w:rsid w:val="00D76B47"/>
    <w:rsid w:val="00D76B9D"/>
    <w:rsid w:val="00D77427"/>
    <w:rsid w:val="00D7764E"/>
    <w:rsid w:val="00D77FBD"/>
    <w:rsid w:val="00D8010B"/>
    <w:rsid w:val="00D801F3"/>
    <w:rsid w:val="00D80396"/>
    <w:rsid w:val="00D803BD"/>
    <w:rsid w:val="00D80513"/>
    <w:rsid w:val="00D80548"/>
    <w:rsid w:val="00D805D6"/>
    <w:rsid w:val="00D80685"/>
    <w:rsid w:val="00D807B5"/>
    <w:rsid w:val="00D807F7"/>
    <w:rsid w:val="00D80C0A"/>
    <w:rsid w:val="00D80FDA"/>
    <w:rsid w:val="00D81100"/>
    <w:rsid w:val="00D81140"/>
    <w:rsid w:val="00D811AE"/>
    <w:rsid w:val="00D81354"/>
    <w:rsid w:val="00D81639"/>
    <w:rsid w:val="00D819B6"/>
    <w:rsid w:val="00D819C7"/>
    <w:rsid w:val="00D81A95"/>
    <w:rsid w:val="00D81BC7"/>
    <w:rsid w:val="00D82183"/>
    <w:rsid w:val="00D8236D"/>
    <w:rsid w:val="00D823B8"/>
    <w:rsid w:val="00D8278B"/>
    <w:rsid w:val="00D82849"/>
    <w:rsid w:val="00D8293E"/>
    <w:rsid w:val="00D8298A"/>
    <w:rsid w:val="00D829FF"/>
    <w:rsid w:val="00D82B72"/>
    <w:rsid w:val="00D82CC1"/>
    <w:rsid w:val="00D82F8B"/>
    <w:rsid w:val="00D830BB"/>
    <w:rsid w:val="00D830C1"/>
    <w:rsid w:val="00D83163"/>
    <w:rsid w:val="00D83561"/>
    <w:rsid w:val="00D8359B"/>
    <w:rsid w:val="00D835AF"/>
    <w:rsid w:val="00D8362F"/>
    <w:rsid w:val="00D83745"/>
    <w:rsid w:val="00D83B22"/>
    <w:rsid w:val="00D83DAE"/>
    <w:rsid w:val="00D83DD8"/>
    <w:rsid w:val="00D841DA"/>
    <w:rsid w:val="00D84456"/>
    <w:rsid w:val="00D845CA"/>
    <w:rsid w:val="00D84648"/>
    <w:rsid w:val="00D84675"/>
    <w:rsid w:val="00D847EF"/>
    <w:rsid w:val="00D84848"/>
    <w:rsid w:val="00D84B4B"/>
    <w:rsid w:val="00D84BAF"/>
    <w:rsid w:val="00D84CE6"/>
    <w:rsid w:val="00D84F85"/>
    <w:rsid w:val="00D8581E"/>
    <w:rsid w:val="00D85AA7"/>
    <w:rsid w:val="00D85B36"/>
    <w:rsid w:val="00D85D1A"/>
    <w:rsid w:val="00D85E3E"/>
    <w:rsid w:val="00D85EBD"/>
    <w:rsid w:val="00D860D4"/>
    <w:rsid w:val="00D86439"/>
    <w:rsid w:val="00D8668F"/>
    <w:rsid w:val="00D86BF8"/>
    <w:rsid w:val="00D87252"/>
    <w:rsid w:val="00D87298"/>
    <w:rsid w:val="00D8744A"/>
    <w:rsid w:val="00D87B67"/>
    <w:rsid w:val="00D87BBB"/>
    <w:rsid w:val="00D87D95"/>
    <w:rsid w:val="00D87DA0"/>
    <w:rsid w:val="00D90A01"/>
    <w:rsid w:val="00D90A20"/>
    <w:rsid w:val="00D90A96"/>
    <w:rsid w:val="00D91342"/>
    <w:rsid w:val="00D914C9"/>
    <w:rsid w:val="00D915D4"/>
    <w:rsid w:val="00D92218"/>
    <w:rsid w:val="00D923E1"/>
    <w:rsid w:val="00D9252A"/>
    <w:rsid w:val="00D927D3"/>
    <w:rsid w:val="00D92815"/>
    <w:rsid w:val="00D9283F"/>
    <w:rsid w:val="00D929EA"/>
    <w:rsid w:val="00D92A55"/>
    <w:rsid w:val="00D92B58"/>
    <w:rsid w:val="00D92F85"/>
    <w:rsid w:val="00D93333"/>
    <w:rsid w:val="00D9339B"/>
    <w:rsid w:val="00D935F1"/>
    <w:rsid w:val="00D9368D"/>
    <w:rsid w:val="00D93991"/>
    <w:rsid w:val="00D93C14"/>
    <w:rsid w:val="00D93D91"/>
    <w:rsid w:val="00D93EB9"/>
    <w:rsid w:val="00D944AB"/>
    <w:rsid w:val="00D945DC"/>
    <w:rsid w:val="00D946B2"/>
    <w:rsid w:val="00D9518E"/>
    <w:rsid w:val="00D955B0"/>
    <w:rsid w:val="00D95609"/>
    <w:rsid w:val="00D9575B"/>
    <w:rsid w:val="00D95A94"/>
    <w:rsid w:val="00D95E90"/>
    <w:rsid w:val="00D96134"/>
    <w:rsid w:val="00D9615E"/>
    <w:rsid w:val="00D9621F"/>
    <w:rsid w:val="00D96459"/>
    <w:rsid w:val="00D9650B"/>
    <w:rsid w:val="00D966D5"/>
    <w:rsid w:val="00D9696D"/>
    <w:rsid w:val="00D96B4C"/>
    <w:rsid w:val="00D96C06"/>
    <w:rsid w:val="00D96C78"/>
    <w:rsid w:val="00D96F61"/>
    <w:rsid w:val="00D972D1"/>
    <w:rsid w:val="00D975B5"/>
    <w:rsid w:val="00D976BD"/>
    <w:rsid w:val="00D97931"/>
    <w:rsid w:val="00D979DA"/>
    <w:rsid w:val="00D97AE9"/>
    <w:rsid w:val="00D97CA7"/>
    <w:rsid w:val="00D97D94"/>
    <w:rsid w:val="00D97E78"/>
    <w:rsid w:val="00D97EDD"/>
    <w:rsid w:val="00DA000E"/>
    <w:rsid w:val="00DA027B"/>
    <w:rsid w:val="00DA0288"/>
    <w:rsid w:val="00DA028A"/>
    <w:rsid w:val="00DA03B6"/>
    <w:rsid w:val="00DA07F0"/>
    <w:rsid w:val="00DA0981"/>
    <w:rsid w:val="00DA0DE7"/>
    <w:rsid w:val="00DA1035"/>
    <w:rsid w:val="00DA1175"/>
    <w:rsid w:val="00DA142B"/>
    <w:rsid w:val="00DA14EC"/>
    <w:rsid w:val="00DA15ED"/>
    <w:rsid w:val="00DA17AB"/>
    <w:rsid w:val="00DA17E4"/>
    <w:rsid w:val="00DA1A26"/>
    <w:rsid w:val="00DA1A29"/>
    <w:rsid w:val="00DA1F5E"/>
    <w:rsid w:val="00DA21FE"/>
    <w:rsid w:val="00DA2457"/>
    <w:rsid w:val="00DA2907"/>
    <w:rsid w:val="00DA2A85"/>
    <w:rsid w:val="00DA2C2E"/>
    <w:rsid w:val="00DA2E8A"/>
    <w:rsid w:val="00DA3007"/>
    <w:rsid w:val="00DA3623"/>
    <w:rsid w:val="00DA378F"/>
    <w:rsid w:val="00DA3941"/>
    <w:rsid w:val="00DA3AE7"/>
    <w:rsid w:val="00DA3B63"/>
    <w:rsid w:val="00DA3BF7"/>
    <w:rsid w:val="00DA3C40"/>
    <w:rsid w:val="00DA407A"/>
    <w:rsid w:val="00DA415A"/>
    <w:rsid w:val="00DA44A6"/>
    <w:rsid w:val="00DA44BD"/>
    <w:rsid w:val="00DA4645"/>
    <w:rsid w:val="00DA46F0"/>
    <w:rsid w:val="00DA49D7"/>
    <w:rsid w:val="00DA4AAC"/>
    <w:rsid w:val="00DA4BFA"/>
    <w:rsid w:val="00DA4DC3"/>
    <w:rsid w:val="00DA4F2B"/>
    <w:rsid w:val="00DA5081"/>
    <w:rsid w:val="00DA50B6"/>
    <w:rsid w:val="00DA5171"/>
    <w:rsid w:val="00DA52E1"/>
    <w:rsid w:val="00DA56D2"/>
    <w:rsid w:val="00DA57E9"/>
    <w:rsid w:val="00DA5BBE"/>
    <w:rsid w:val="00DA65BE"/>
    <w:rsid w:val="00DA662C"/>
    <w:rsid w:val="00DA665F"/>
    <w:rsid w:val="00DA6B83"/>
    <w:rsid w:val="00DA6DB2"/>
    <w:rsid w:val="00DA72E5"/>
    <w:rsid w:val="00DA7742"/>
    <w:rsid w:val="00DA777C"/>
    <w:rsid w:val="00DA777F"/>
    <w:rsid w:val="00DA78E6"/>
    <w:rsid w:val="00DA7999"/>
    <w:rsid w:val="00DA7B7D"/>
    <w:rsid w:val="00DA7B7E"/>
    <w:rsid w:val="00DA7BAA"/>
    <w:rsid w:val="00DA7D59"/>
    <w:rsid w:val="00DB0325"/>
    <w:rsid w:val="00DB0417"/>
    <w:rsid w:val="00DB04A5"/>
    <w:rsid w:val="00DB0600"/>
    <w:rsid w:val="00DB0954"/>
    <w:rsid w:val="00DB0B2F"/>
    <w:rsid w:val="00DB0FB5"/>
    <w:rsid w:val="00DB0FE0"/>
    <w:rsid w:val="00DB1067"/>
    <w:rsid w:val="00DB1158"/>
    <w:rsid w:val="00DB11A1"/>
    <w:rsid w:val="00DB127D"/>
    <w:rsid w:val="00DB12D8"/>
    <w:rsid w:val="00DB1ACA"/>
    <w:rsid w:val="00DB1BEF"/>
    <w:rsid w:val="00DB1F93"/>
    <w:rsid w:val="00DB1F9A"/>
    <w:rsid w:val="00DB1FC8"/>
    <w:rsid w:val="00DB1FD4"/>
    <w:rsid w:val="00DB20BE"/>
    <w:rsid w:val="00DB21F6"/>
    <w:rsid w:val="00DB260E"/>
    <w:rsid w:val="00DB2CE9"/>
    <w:rsid w:val="00DB2E6C"/>
    <w:rsid w:val="00DB2EB3"/>
    <w:rsid w:val="00DB321C"/>
    <w:rsid w:val="00DB33AA"/>
    <w:rsid w:val="00DB35C9"/>
    <w:rsid w:val="00DB360E"/>
    <w:rsid w:val="00DB3FF2"/>
    <w:rsid w:val="00DB4070"/>
    <w:rsid w:val="00DB4324"/>
    <w:rsid w:val="00DB483F"/>
    <w:rsid w:val="00DB4A8C"/>
    <w:rsid w:val="00DB4D49"/>
    <w:rsid w:val="00DB5031"/>
    <w:rsid w:val="00DB50F9"/>
    <w:rsid w:val="00DB52EF"/>
    <w:rsid w:val="00DB53B8"/>
    <w:rsid w:val="00DB55A7"/>
    <w:rsid w:val="00DB58EF"/>
    <w:rsid w:val="00DB5B9E"/>
    <w:rsid w:val="00DB5C4B"/>
    <w:rsid w:val="00DB5CB6"/>
    <w:rsid w:val="00DB66BC"/>
    <w:rsid w:val="00DB695E"/>
    <w:rsid w:val="00DB6AA6"/>
    <w:rsid w:val="00DB6DF4"/>
    <w:rsid w:val="00DB760F"/>
    <w:rsid w:val="00DB7967"/>
    <w:rsid w:val="00DB7A8E"/>
    <w:rsid w:val="00DC01E3"/>
    <w:rsid w:val="00DC01E9"/>
    <w:rsid w:val="00DC02B9"/>
    <w:rsid w:val="00DC038C"/>
    <w:rsid w:val="00DC067C"/>
    <w:rsid w:val="00DC0760"/>
    <w:rsid w:val="00DC0A65"/>
    <w:rsid w:val="00DC0E03"/>
    <w:rsid w:val="00DC1085"/>
    <w:rsid w:val="00DC11A5"/>
    <w:rsid w:val="00DC14D6"/>
    <w:rsid w:val="00DC1565"/>
    <w:rsid w:val="00DC18ED"/>
    <w:rsid w:val="00DC1D94"/>
    <w:rsid w:val="00DC1E86"/>
    <w:rsid w:val="00DC2069"/>
    <w:rsid w:val="00DC251C"/>
    <w:rsid w:val="00DC2D27"/>
    <w:rsid w:val="00DC2D4F"/>
    <w:rsid w:val="00DC2EE2"/>
    <w:rsid w:val="00DC3144"/>
    <w:rsid w:val="00DC32B4"/>
    <w:rsid w:val="00DC3334"/>
    <w:rsid w:val="00DC3561"/>
    <w:rsid w:val="00DC35A1"/>
    <w:rsid w:val="00DC3853"/>
    <w:rsid w:val="00DC3C67"/>
    <w:rsid w:val="00DC3CF5"/>
    <w:rsid w:val="00DC3EFA"/>
    <w:rsid w:val="00DC44F7"/>
    <w:rsid w:val="00DC4A81"/>
    <w:rsid w:val="00DC4B39"/>
    <w:rsid w:val="00DC4CE8"/>
    <w:rsid w:val="00DC4F38"/>
    <w:rsid w:val="00DC50D2"/>
    <w:rsid w:val="00DC5122"/>
    <w:rsid w:val="00DC53AD"/>
    <w:rsid w:val="00DC5553"/>
    <w:rsid w:val="00DC581E"/>
    <w:rsid w:val="00DC5AB4"/>
    <w:rsid w:val="00DC5F4B"/>
    <w:rsid w:val="00DC6649"/>
    <w:rsid w:val="00DC6924"/>
    <w:rsid w:val="00DC6961"/>
    <w:rsid w:val="00DC6F66"/>
    <w:rsid w:val="00DC7161"/>
    <w:rsid w:val="00DC7170"/>
    <w:rsid w:val="00DC72EB"/>
    <w:rsid w:val="00DC757A"/>
    <w:rsid w:val="00DC76C6"/>
    <w:rsid w:val="00DC7833"/>
    <w:rsid w:val="00DC793B"/>
    <w:rsid w:val="00DC7A5C"/>
    <w:rsid w:val="00DC7AA4"/>
    <w:rsid w:val="00DC7B97"/>
    <w:rsid w:val="00DD00CC"/>
    <w:rsid w:val="00DD0691"/>
    <w:rsid w:val="00DD0CCB"/>
    <w:rsid w:val="00DD0E63"/>
    <w:rsid w:val="00DD11C8"/>
    <w:rsid w:val="00DD1432"/>
    <w:rsid w:val="00DD15A4"/>
    <w:rsid w:val="00DD16FA"/>
    <w:rsid w:val="00DD1769"/>
    <w:rsid w:val="00DD1C65"/>
    <w:rsid w:val="00DD22B5"/>
    <w:rsid w:val="00DD2C68"/>
    <w:rsid w:val="00DD2E88"/>
    <w:rsid w:val="00DD32FA"/>
    <w:rsid w:val="00DD353E"/>
    <w:rsid w:val="00DD361D"/>
    <w:rsid w:val="00DD3868"/>
    <w:rsid w:val="00DD3B88"/>
    <w:rsid w:val="00DD3E9D"/>
    <w:rsid w:val="00DD3EB0"/>
    <w:rsid w:val="00DD3EDF"/>
    <w:rsid w:val="00DD4062"/>
    <w:rsid w:val="00DD4621"/>
    <w:rsid w:val="00DD4CE1"/>
    <w:rsid w:val="00DD4D81"/>
    <w:rsid w:val="00DD4E06"/>
    <w:rsid w:val="00DD4F81"/>
    <w:rsid w:val="00DD5073"/>
    <w:rsid w:val="00DD50EE"/>
    <w:rsid w:val="00DD511D"/>
    <w:rsid w:val="00DD57FF"/>
    <w:rsid w:val="00DD594C"/>
    <w:rsid w:val="00DD599C"/>
    <w:rsid w:val="00DD5E05"/>
    <w:rsid w:val="00DD5F76"/>
    <w:rsid w:val="00DD6075"/>
    <w:rsid w:val="00DD61E9"/>
    <w:rsid w:val="00DD626D"/>
    <w:rsid w:val="00DD6709"/>
    <w:rsid w:val="00DD6752"/>
    <w:rsid w:val="00DD6C4B"/>
    <w:rsid w:val="00DD734C"/>
    <w:rsid w:val="00DD73DB"/>
    <w:rsid w:val="00DD752F"/>
    <w:rsid w:val="00DD7611"/>
    <w:rsid w:val="00DD7A39"/>
    <w:rsid w:val="00DD7E72"/>
    <w:rsid w:val="00DE0214"/>
    <w:rsid w:val="00DE0A4B"/>
    <w:rsid w:val="00DE0C16"/>
    <w:rsid w:val="00DE149B"/>
    <w:rsid w:val="00DE15A1"/>
    <w:rsid w:val="00DE15D0"/>
    <w:rsid w:val="00DE16A7"/>
    <w:rsid w:val="00DE16F3"/>
    <w:rsid w:val="00DE1A57"/>
    <w:rsid w:val="00DE1AFF"/>
    <w:rsid w:val="00DE1B18"/>
    <w:rsid w:val="00DE1BC6"/>
    <w:rsid w:val="00DE2277"/>
    <w:rsid w:val="00DE23E7"/>
    <w:rsid w:val="00DE266B"/>
    <w:rsid w:val="00DE2754"/>
    <w:rsid w:val="00DE2861"/>
    <w:rsid w:val="00DE29E3"/>
    <w:rsid w:val="00DE2E27"/>
    <w:rsid w:val="00DE2EA5"/>
    <w:rsid w:val="00DE302F"/>
    <w:rsid w:val="00DE3344"/>
    <w:rsid w:val="00DE3443"/>
    <w:rsid w:val="00DE34BE"/>
    <w:rsid w:val="00DE3833"/>
    <w:rsid w:val="00DE3943"/>
    <w:rsid w:val="00DE3DBB"/>
    <w:rsid w:val="00DE3ED0"/>
    <w:rsid w:val="00DE40B7"/>
    <w:rsid w:val="00DE410B"/>
    <w:rsid w:val="00DE4201"/>
    <w:rsid w:val="00DE4362"/>
    <w:rsid w:val="00DE4444"/>
    <w:rsid w:val="00DE46D9"/>
    <w:rsid w:val="00DE4A12"/>
    <w:rsid w:val="00DE4B09"/>
    <w:rsid w:val="00DE4B94"/>
    <w:rsid w:val="00DE4F6F"/>
    <w:rsid w:val="00DE4F95"/>
    <w:rsid w:val="00DE50BB"/>
    <w:rsid w:val="00DE50CF"/>
    <w:rsid w:val="00DE57F8"/>
    <w:rsid w:val="00DE5AF4"/>
    <w:rsid w:val="00DE5BDA"/>
    <w:rsid w:val="00DE5C4F"/>
    <w:rsid w:val="00DE5F58"/>
    <w:rsid w:val="00DE6172"/>
    <w:rsid w:val="00DE633F"/>
    <w:rsid w:val="00DE6585"/>
    <w:rsid w:val="00DE6857"/>
    <w:rsid w:val="00DE6976"/>
    <w:rsid w:val="00DE6BF0"/>
    <w:rsid w:val="00DE6C5A"/>
    <w:rsid w:val="00DE6EEA"/>
    <w:rsid w:val="00DE7159"/>
    <w:rsid w:val="00DE732C"/>
    <w:rsid w:val="00DE753B"/>
    <w:rsid w:val="00DE7812"/>
    <w:rsid w:val="00DE7955"/>
    <w:rsid w:val="00DE7CE1"/>
    <w:rsid w:val="00DE7CF0"/>
    <w:rsid w:val="00DE7E3C"/>
    <w:rsid w:val="00DE7F2F"/>
    <w:rsid w:val="00DE7F3A"/>
    <w:rsid w:val="00DF0273"/>
    <w:rsid w:val="00DF0398"/>
    <w:rsid w:val="00DF0653"/>
    <w:rsid w:val="00DF09C6"/>
    <w:rsid w:val="00DF0DBE"/>
    <w:rsid w:val="00DF0DDF"/>
    <w:rsid w:val="00DF0E50"/>
    <w:rsid w:val="00DF0EFE"/>
    <w:rsid w:val="00DF114E"/>
    <w:rsid w:val="00DF1393"/>
    <w:rsid w:val="00DF1639"/>
    <w:rsid w:val="00DF1714"/>
    <w:rsid w:val="00DF17C1"/>
    <w:rsid w:val="00DF21B7"/>
    <w:rsid w:val="00DF2227"/>
    <w:rsid w:val="00DF2683"/>
    <w:rsid w:val="00DF28D6"/>
    <w:rsid w:val="00DF294C"/>
    <w:rsid w:val="00DF2AC5"/>
    <w:rsid w:val="00DF2BDC"/>
    <w:rsid w:val="00DF340C"/>
    <w:rsid w:val="00DF34C3"/>
    <w:rsid w:val="00DF355F"/>
    <w:rsid w:val="00DF3893"/>
    <w:rsid w:val="00DF3BEC"/>
    <w:rsid w:val="00DF3C56"/>
    <w:rsid w:val="00DF3F3D"/>
    <w:rsid w:val="00DF4033"/>
    <w:rsid w:val="00DF40A8"/>
    <w:rsid w:val="00DF421F"/>
    <w:rsid w:val="00DF4373"/>
    <w:rsid w:val="00DF455E"/>
    <w:rsid w:val="00DF4609"/>
    <w:rsid w:val="00DF4A5A"/>
    <w:rsid w:val="00DF4C69"/>
    <w:rsid w:val="00DF5434"/>
    <w:rsid w:val="00DF57CA"/>
    <w:rsid w:val="00DF592A"/>
    <w:rsid w:val="00DF59C4"/>
    <w:rsid w:val="00DF5AC4"/>
    <w:rsid w:val="00DF5C37"/>
    <w:rsid w:val="00DF5D17"/>
    <w:rsid w:val="00DF5D1E"/>
    <w:rsid w:val="00DF6173"/>
    <w:rsid w:val="00DF6210"/>
    <w:rsid w:val="00DF68E1"/>
    <w:rsid w:val="00DF6CBA"/>
    <w:rsid w:val="00DF6F73"/>
    <w:rsid w:val="00DF73DC"/>
    <w:rsid w:val="00DF7704"/>
    <w:rsid w:val="00DF7768"/>
    <w:rsid w:val="00DF77C7"/>
    <w:rsid w:val="00DF7B42"/>
    <w:rsid w:val="00DF7B85"/>
    <w:rsid w:val="00DF7B94"/>
    <w:rsid w:val="00DF7D09"/>
    <w:rsid w:val="00DF7D81"/>
    <w:rsid w:val="00E00056"/>
    <w:rsid w:val="00E006FF"/>
    <w:rsid w:val="00E00E73"/>
    <w:rsid w:val="00E00FA6"/>
    <w:rsid w:val="00E01395"/>
    <w:rsid w:val="00E02261"/>
    <w:rsid w:val="00E022BD"/>
    <w:rsid w:val="00E02401"/>
    <w:rsid w:val="00E0269A"/>
    <w:rsid w:val="00E0278A"/>
    <w:rsid w:val="00E029B1"/>
    <w:rsid w:val="00E02BF0"/>
    <w:rsid w:val="00E02C95"/>
    <w:rsid w:val="00E02ED4"/>
    <w:rsid w:val="00E02F35"/>
    <w:rsid w:val="00E03191"/>
    <w:rsid w:val="00E031DA"/>
    <w:rsid w:val="00E0323F"/>
    <w:rsid w:val="00E03391"/>
    <w:rsid w:val="00E034FE"/>
    <w:rsid w:val="00E039EE"/>
    <w:rsid w:val="00E03B7A"/>
    <w:rsid w:val="00E03BEA"/>
    <w:rsid w:val="00E0456E"/>
    <w:rsid w:val="00E045A9"/>
    <w:rsid w:val="00E045EC"/>
    <w:rsid w:val="00E04627"/>
    <w:rsid w:val="00E0485B"/>
    <w:rsid w:val="00E0499E"/>
    <w:rsid w:val="00E04D80"/>
    <w:rsid w:val="00E050CC"/>
    <w:rsid w:val="00E05153"/>
    <w:rsid w:val="00E05790"/>
    <w:rsid w:val="00E057AB"/>
    <w:rsid w:val="00E05841"/>
    <w:rsid w:val="00E05852"/>
    <w:rsid w:val="00E05895"/>
    <w:rsid w:val="00E05AE4"/>
    <w:rsid w:val="00E062A2"/>
    <w:rsid w:val="00E062FF"/>
    <w:rsid w:val="00E06547"/>
    <w:rsid w:val="00E0686A"/>
    <w:rsid w:val="00E068FE"/>
    <w:rsid w:val="00E06930"/>
    <w:rsid w:val="00E07247"/>
    <w:rsid w:val="00E072A5"/>
    <w:rsid w:val="00E07480"/>
    <w:rsid w:val="00E074C1"/>
    <w:rsid w:val="00E076B0"/>
    <w:rsid w:val="00E078E8"/>
    <w:rsid w:val="00E07A72"/>
    <w:rsid w:val="00E07B9A"/>
    <w:rsid w:val="00E07CF1"/>
    <w:rsid w:val="00E07D55"/>
    <w:rsid w:val="00E07E44"/>
    <w:rsid w:val="00E07EAC"/>
    <w:rsid w:val="00E1046C"/>
    <w:rsid w:val="00E10748"/>
    <w:rsid w:val="00E10775"/>
    <w:rsid w:val="00E1080D"/>
    <w:rsid w:val="00E108A8"/>
    <w:rsid w:val="00E10968"/>
    <w:rsid w:val="00E10FF7"/>
    <w:rsid w:val="00E11464"/>
    <w:rsid w:val="00E1170B"/>
    <w:rsid w:val="00E11A69"/>
    <w:rsid w:val="00E11AB4"/>
    <w:rsid w:val="00E11B0A"/>
    <w:rsid w:val="00E122FE"/>
    <w:rsid w:val="00E127FB"/>
    <w:rsid w:val="00E129FA"/>
    <w:rsid w:val="00E12A7C"/>
    <w:rsid w:val="00E12B42"/>
    <w:rsid w:val="00E12C89"/>
    <w:rsid w:val="00E12FBB"/>
    <w:rsid w:val="00E13020"/>
    <w:rsid w:val="00E13103"/>
    <w:rsid w:val="00E1315B"/>
    <w:rsid w:val="00E1397B"/>
    <w:rsid w:val="00E13B4C"/>
    <w:rsid w:val="00E13F3B"/>
    <w:rsid w:val="00E13FCC"/>
    <w:rsid w:val="00E14019"/>
    <w:rsid w:val="00E14309"/>
    <w:rsid w:val="00E146DF"/>
    <w:rsid w:val="00E146F5"/>
    <w:rsid w:val="00E1481F"/>
    <w:rsid w:val="00E14F83"/>
    <w:rsid w:val="00E14FC9"/>
    <w:rsid w:val="00E151C1"/>
    <w:rsid w:val="00E153DE"/>
    <w:rsid w:val="00E15428"/>
    <w:rsid w:val="00E154A9"/>
    <w:rsid w:val="00E155F4"/>
    <w:rsid w:val="00E15822"/>
    <w:rsid w:val="00E1597A"/>
    <w:rsid w:val="00E15DB0"/>
    <w:rsid w:val="00E160DE"/>
    <w:rsid w:val="00E16372"/>
    <w:rsid w:val="00E1644F"/>
    <w:rsid w:val="00E1651F"/>
    <w:rsid w:val="00E16789"/>
    <w:rsid w:val="00E16A55"/>
    <w:rsid w:val="00E16B8D"/>
    <w:rsid w:val="00E174C3"/>
    <w:rsid w:val="00E17502"/>
    <w:rsid w:val="00E17625"/>
    <w:rsid w:val="00E17C5A"/>
    <w:rsid w:val="00E17D29"/>
    <w:rsid w:val="00E17DE3"/>
    <w:rsid w:val="00E17FCD"/>
    <w:rsid w:val="00E17FE7"/>
    <w:rsid w:val="00E2007C"/>
    <w:rsid w:val="00E203F0"/>
    <w:rsid w:val="00E20424"/>
    <w:rsid w:val="00E20471"/>
    <w:rsid w:val="00E20913"/>
    <w:rsid w:val="00E211BE"/>
    <w:rsid w:val="00E2133B"/>
    <w:rsid w:val="00E21540"/>
    <w:rsid w:val="00E218E7"/>
    <w:rsid w:val="00E21B0E"/>
    <w:rsid w:val="00E21B79"/>
    <w:rsid w:val="00E222A2"/>
    <w:rsid w:val="00E22356"/>
    <w:rsid w:val="00E22559"/>
    <w:rsid w:val="00E22696"/>
    <w:rsid w:val="00E228CE"/>
    <w:rsid w:val="00E22E8A"/>
    <w:rsid w:val="00E230DE"/>
    <w:rsid w:val="00E23146"/>
    <w:rsid w:val="00E2366E"/>
    <w:rsid w:val="00E2371E"/>
    <w:rsid w:val="00E238F3"/>
    <w:rsid w:val="00E23EA5"/>
    <w:rsid w:val="00E23FC3"/>
    <w:rsid w:val="00E2409C"/>
    <w:rsid w:val="00E241AA"/>
    <w:rsid w:val="00E24554"/>
    <w:rsid w:val="00E2459C"/>
    <w:rsid w:val="00E246B5"/>
    <w:rsid w:val="00E24BC5"/>
    <w:rsid w:val="00E24E21"/>
    <w:rsid w:val="00E2500E"/>
    <w:rsid w:val="00E2524A"/>
    <w:rsid w:val="00E25563"/>
    <w:rsid w:val="00E255A3"/>
    <w:rsid w:val="00E25662"/>
    <w:rsid w:val="00E259C2"/>
    <w:rsid w:val="00E25AAF"/>
    <w:rsid w:val="00E25B4B"/>
    <w:rsid w:val="00E25F17"/>
    <w:rsid w:val="00E2609A"/>
    <w:rsid w:val="00E260C6"/>
    <w:rsid w:val="00E26217"/>
    <w:rsid w:val="00E26322"/>
    <w:rsid w:val="00E265ED"/>
    <w:rsid w:val="00E26948"/>
    <w:rsid w:val="00E2696D"/>
    <w:rsid w:val="00E26AC6"/>
    <w:rsid w:val="00E26B1B"/>
    <w:rsid w:val="00E26DD6"/>
    <w:rsid w:val="00E26DFF"/>
    <w:rsid w:val="00E2749E"/>
    <w:rsid w:val="00E274D5"/>
    <w:rsid w:val="00E27633"/>
    <w:rsid w:val="00E2765D"/>
    <w:rsid w:val="00E27754"/>
    <w:rsid w:val="00E2785C"/>
    <w:rsid w:val="00E27899"/>
    <w:rsid w:val="00E27C6B"/>
    <w:rsid w:val="00E27CA1"/>
    <w:rsid w:val="00E27D1B"/>
    <w:rsid w:val="00E301A5"/>
    <w:rsid w:val="00E303B3"/>
    <w:rsid w:val="00E30824"/>
    <w:rsid w:val="00E30DF0"/>
    <w:rsid w:val="00E30E36"/>
    <w:rsid w:val="00E30EBA"/>
    <w:rsid w:val="00E30FF7"/>
    <w:rsid w:val="00E31025"/>
    <w:rsid w:val="00E31884"/>
    <w:rsid w:val="00E319F9"/>
    <w:rsid w:val="00E31BE4"/>
    <w:rsid w:val="00E31C5E"/>
    <w:rsid w:val="00E31CEE"/>
    <w:rsid w:val="00E32040"/>
    <w:rsid w:val="00E3230E"/>
    <w:rsid w:val="00E3234F"/>
    <w:rsid w:val="00E32381"/>
    <w:rsid w:val="00E324FA"/>
    <w:rsid w:val="00E327C6"/>
    <w:rsid w:val="00E32B32"/>
    <w:rsid w:val="00E32C43"/>
    <w:rsid w:val="00E32CE7"/>
    <w:rsid w:val="00E3312A"/>
    <w:rsid w:val="00E334EB"/>
    <w:rsid w:val="00E33839"/>
    <w:rsid w:val="00E338A7"/>
    <w:rsid w:val="00E33CA3"/>
    <w:rsid w:val="00E34166"/>
    <w:rsid w:val="00E344CE"/>
    <w:rsid w:val="00E34663"/>
    <w:rsid w:val="00E34884"/>
    <w:rsid w:val="00E348E8"/>
    <w:rsid w:val="00E34970"/>
    <w:rsid w:val="00E34A46"/>
    <w:rsid w:val="00E34AF8"/>
    <w:rsid w:val="00E34D16"/>
    <w:rsid w:val="00E34F6C"/>
    <w:rsid w:val="00E35096"/>
    <w:rsid w:val="00E35386"/>
    <w:rsid w:val="00E353A2"/>
    <w:rsid w:val="00E3572E"/>
    <w:rsid w:val="00E35B19"/>
    <w:rsid w:val="00E35CBD"/>
    <w:rsid w:val="00E360C7"/>
    <w:rsid w:val="00E361DC"/>
    <w:rsid w:val="00E367ED"/>
    <w:rsid w:val="00E368F0"/>
    <w:rsid w:val="00E36D42"/>
    <w:rsid w:val="00E3714E"/>
    <w:rsid w:val="00E374A7"/>
    <w:rsid w:val="00E3757F"/>
    <w:rsid w:val="00E37641"/>
    <w:rsid w:val="00E3798B"/>
    <w:rsid w:val="00E379EA"/>
    <w:rsid w:val="00E37AE0"/>
    <w:rsid w:val="00E37B45"/>
    <w:rsid w:val="00E37D55"/>
    <w:rsid w:val="00E37FA9"/>
    <w:rsid w:val="00E40025"/>
    <w:rsid w:val="00E40062"/>
    <w:rsid w:val="00E403FC"/>
    <w:rsid w:val="00E4042E"/>
    <w:rsid w:val="00E406CD"/>
    <w:rsid w:val="00E40B15"/>
    <w:rsid w:val="00E40C29"/>
    <w:rsid w:val="00E4104F"/>
    <w:rsid w:val="00E411FC"/>
    <w:rsid w:val="00E41477"/>
    <w:rsid w:val="00E41547"/>
    <w:rsid w:val="00E418E7"/>
    <w:rsid w:val="00E41A6D"/>
    <w:rsid w:val="00E41C58"/>
    <w:rsid w:val="00E41CB9"/>
    <w:rsid w:val="00E41F1D"/>
    <w:rsid w:val="00E4206B"/>
    <w:rsid w:val="00E42454"/>
    <w:rsid w:val="00E42514"/>
    <w:rsid w:val="00E425B5"/>
    <w:rsid w:val="00E42814"/>
    <w:rsid w:val="00E42A00"/>
    <w:rsid w:val="00E4337D"/>
    <w:rsid w:val="00E43460"/>
    <w:rsid w:val="00E43475"/>
    <w:rsid w:val="00E43764"/>
    <w:rsid w:val="00E4394D"/>
    <w:rsid w:val="00E43A2C"/>
    <w:rsid w:val="00E43EE3"/>
    <w:rsid w:val="00E4412B"/>
    <w:rsid w:val="00E4425F"/>
    <w:rsid w:val="00E44A97"/>
    <w:rsid w:val="00E44C58"/>
    <w:rsid w:val="00E44CDB"/>
    <w:rsid w:val="00E44D6F"/>
    <w:rsid w:val="00E44DAC"/>
    <w:rsid w:val="00E44E99"/>
    <w:rsid w:val="00E44FE9"/>
    <w:rsid w:val="00E450E5"/>
    <w:rsid w:val="00E450F9"/>
    <w:rsid w:val="00E455BE"/>
    <w:rsid w:val="00E458AE"/>
    <w:rsid w:val="00E45941"/>
    <w:rsid w:val="00E45C31"/>
    <w:rsid w:val="00E45CBD"/>
    <w:rsid w:val="00E45E7B"/>
    <w:rsid w:val="00E46054"/>
    <w:rsid w:val="00E4605D"/>
    <w:rsid w:val="00E4619A"/>
    <w:rsid w:val="00E46273"/>
    <w:rsid w:val="00E4648C"/>
    <w:rsid w:val="00E4651B"/>
    <w:rsid w:val="00E4661C"/>
    <w:rsid w:val="00E46A05"/>
    <w:rsid w:val="00E46DEE"/>
    <w:rsid w:val="00E47162"/>
    <w:rsid w:val="00E473E4"/>
    <w:rsid w:val="00E47797"/>
    <w:rsid w:val="00E479CF"/>
    <w:rsid w:val="00E47DFB"/>
    <w:rsid w:val="00E504C9"/>
    <w:rsid w:val="00E50ADC"/>
    <w:rsid w:val="00E50D49"/>
    <w:rsid w:val="00E51384"/>
    <w:rsid w:val="00E51444"/>
    <w:rsid w:val="00E518B3"/>
    <w:rsid w:val="00E51910"/>
    <w:rsid w:val="00E51CAF"/>
    <w:rsid w:val="00E51CDC"/>
    <w:rsid w:val="00E51D7D"/>
    <w:rsid w:val="00E51E77"/>
    <w:rsid w:val="00E52062"/>
    <w:rsid w:val="00E52385"/>
    <w:rsid w:val="00E52B45"/>
    <w:rsid w:val="00E52B4A"/>
    <w:rsid w:val="00E52BDB"/>
    <w:rsid w:val="00E52C5F"/>
    <w:rsid w:val="00E53380"/>
    <w:rsid w:val="00E53436"/>
    <w:rsid w:val="00E536F5"/>
    <w:rsid w:val="00E53932"/>
    <w:rsid w:val="00E53A15"/>
    <w:rsid w:val="00E53B8D"/>
    <w:rsid w:val="00E53BD2"/>
    <w:rsid w:val="00E53EEF"/>
    <w:rsid w:val="00E54E7A"/>
    <w:rsid w:val="00E5522D"/>
    <w:rsid w:val="00E55A6F"/>
    <w:rsid w:val="00E55A82"/>
    <w:rsid w:val="00E55B7D"/>
    <w:rsid w:val="00E55C15"/>
    <w:rsid w:val="00E55CDA"/>
    <w:rsid w:val="00E55DB8"/>
    <w:rsid w:val="00E55DBB"/>
    <w:rsid w:val="00E55DD8"/>
    <w:rsid w:val="00E56007"/>
    <w:rsid w:val="00E56148"/>
    <w:rsid w:val="00E563C8"/>
    <w:rsid w:val="00E564FE"/>
    <w:rsid w:val="00E56B68"/>
    <w:rsid w:val="00E57472"/>
    <w:rsid w:val="00E57633"/>
    <w:rsid w:val="00E57663"/>
    <w:rsid w:val="00E577AE"/>
    <w:rsid w:val="00E57B76"/>
    <w:rsid w:val="00E57B8B"/>
    <w:rsid w:val="00E6003D"/>
    <w:rsid w:val="00E602CF"/>
    <w:rsid w:val="00E6066D"/>
    <w:rsid w:val="00E60AC7"/>
    <w:rsid w:val="00E60CF7"/>
    <w:rsid w:val="00E610CE"/>
    <w:rsid w:val="00E61674"/>
    <w:rsid w:val="00E617BD"/>
    <w:rsid w:val="00E61ABB"/>
    <w:rsid w:val="00E61D48"/>
    <w:rsid w:val="00E61E1F"/>
    <w:rsid w:val="00E62795"/>
    <w:rsid w:val="00E628AF"/>
    <w:rsid w:val="00E628B3"/>
    <w:rsid w:val="00E62954"/>
    <w:rsid w:val="00E62D49"/>
    <w:rsid w:val="00E62DF6"/>
    <w:rsid w:val="00E62EAC"/>
    <w:rsid w:val="00E632CC"/>
    <w:rsid w:val="00E6331D"/>
    <w:rsid w:val="00E633F1"/>
    <w:rsid w:val="00E6345C"/>
    <w:rsid w:val="00E6351C"/>
    <w:rsid w:val="00E63723"/>
    <w:rsid w:val="00E637ED"/>
    <w:rsid w:val="00E63859"/>
    <w:rsid w:val="00E6392F"/>
    <w:rsid w:val="00E639B8"/>
    <w:rsid w:val="00E639FC"/>
    <w:rsid w:val="00E63A06"/>
    <w:rsid w:val="00E63AF8"/>
    <w:rsid w:val="00E6400D"/>
    <w:rsid w:val="00E641A7"/>
    <w:rsid w:val="00E641C7"/>
    <w:rsid w:val="00E6423C"/>
    <w:rsid w:val="00E64277"/>
    <w:rsid w:val="00E6445C"/>
    <w:rsid w:val="00E6496F"/>
    <w:rsid w:val="00E64C8C"/>
    <w:rsid w:val="00E64CB0"/>
    <w:rsid w:val="00E65AB1"/>
    <w:rsid w:val="00E65C27"/>
    <w:rsid w:val="00E65DF4"/>
    <w:rsid w:val="00E65F7C"/>
    <w:rsid w:val="00E661DC"/>
    <w:rsid w:val="00E66322"/>
    <w:rsid w:val="00E666E1"/>
    <w:rsid w:val="00E66A1A"/>
    <w:rsid w:val="00E66A7D"/>
    <w:rsid w:val="00E66D1A"/>
    <w:rsid w:val="00E66D2E"/>
    <w:rsid w:val="00E66EF5"/>
    <w:rsid w:val="00E66F37"/>
    <w:rsid w:val="00E66FF4"/>
    <w:rsid w:val="00E67108"/>
    <w:rsid w:val="00E672EA"/>
    <w:rsid w:val="00E673AA"/>
    <w:rsid w:val="00E67686"/>
    <w:rsid w:val="00E6778D"/>
    <w:rsid w:val="00E67CC6"/>
    <w:rsid w:val="00E700F1"/>
    <w:rsid w:val="00E70144"/>
    <w:rsid w:val="00E7023B"/>
    <w:rsid w:val="00E703FB"/>
    <w:rsid w:val="00E70438"/>
    <w:rsid w:val="00E7044C"/>
    <w:rsid w:val="00E705D4"/>
    <w:rsid w:val="00E706D4"/>
    <w:rsid w:val="00E7086E"/>
    <w:rsid w:val="00E70A1F"/>
    <w:rsid w:val="00E70AA3"/>
    <w:rsid w:val="00E70E99"/>
    <w:rsid w:val="00E70F1E"/>
    <w:rsid w:val="00E71299"/>
    <w:rsid w:val="00E7146A"/>
    <w:rsid w:val="00E716EF"/>
    <w:rsid w:val="00E71832"/>
    <w:rsid w:val="00E71BD0"/>
    <w:rsid w:val="00E71CFC"/>
    <w:rsid w:val="00E71DA6"/>
    <w:rsid w:val="00E71E93"/>
    <w:rsid w:val="00E71FD3"/>
    <w:rsid w:val="00E72000"/>
    <w:rsid w:val="00E7278E"/>
    <w:rsid w:val="00E7297B"/>
    <w:rsid w:val="00E72B9A"/>
    <w:rsid w:val="00E73332"/>
    <w:rsid w:val="00E734E0"/>
    <w:rsid w:val="00E737DE"/>
    <w:rsid w:val="00E73821"/>
    <w:rsid w:val="00E73BBC"/>
    <w:rsid w:val="00E73C4A"/>
    <w:rsid w:val="00E73DE4"/>
    <w:rsid w:val="00E73EED"/>
    <w:rsid w:val="00E74686"/>
    <w:rsid w:val="00E7488A"/>
    <w:rsid w:val="00E748D3"/>
    <w:rsid w:val="00E74967"/>
    <w:rsid w:val="00E74B25"/>
    <w:rsid w:val="00E74CCB"/>
    <w:rsid w:val="00E74D35"/>
    <w:rsid w:val="00E750C7"/>
    <w:rsid w:val="00E750F2"/>
    <w:rsid w:val="00E75115"/>
    <w:rsid w:val="00E75233"/>
    <w:rsid w:val="00E753CB"/>
    <w:rsid w:val="00E754C9"/>
    <w:rsid w:val="00E75B13"/>
    <w:rsid w:val="00E75C6C"/>
    <w:rsid w:val="00E75D14"/>
    <w:rsid w:val="00E75E40"/>
    <w:rsid w:val="00E75F8F"/>
    <w:rsid w:val="00E761B5"/>
    <w:rsid w:val="00E765F5"/>
    <w:rsid w:val="00E7668B"/>
    <w:rsid w:val="00E766C8"/>
    <w:rsid w:val="00E76774"/>
    <w:rsid w:val="00E7682D"/>
    <w:rsid w:val="00E76966"/>
    <w:rsid w:val="00E76F20"/>
    <w:rsid w:val="00E77330"/>
    <w:rsid w:val="00E77334"/>
    <w:rsid w:val="00E775CF"/>
    <w:rsid w:val="00E77805"/>
    <w:rsid w:val="00E779B3"/>
    <w:rsid w:val="00E779D0"/>
    <w:rsid w:val="00E77AD9"/>
    <w:rsid w:val="00E77B6C"/>
    <w:rsid w:val="00E77CF2"/>
    <w:rsid w:val="00E77D2E"/>
    <w:rsid w:val="00E77D72"/>
    <w:rsid w:val="00E77E9E"/>
    <w:rsid w:val="00E804E2"/>
    <w:rsid w:val="00E8091E"/>
    <w:rsid w:val="00E80B3E"/>
    <w:rsid w:val="00E810F6"/>
    <w:rsid w:val="00E81154"/>
    <w:rsid w:val="00E8164F"/>
    <w:rsid w:val="00E81874"/>
    <w:rsid w:val="00E81A83"/>
    <w:rsid w:val="00E81B7D"/>
    <w:rsid w:val="00E81BA1"/>
    <w:rsid w:val="00E81C26"/>
    <w:rsid w:val="00E820B0"/>
    <w:rsid w:val="00E821EC"/>
    <w:rsid w:val="00E82259"/>
    <w:rsid w:val="00E823F7"/>
    <w:rsid w:val="00E82489"/>
    <w:rsid w:val="00E824EE"/>
    <w:rsid w:val="00E82527"/>
    <w:rsid w:val="00E8255A"/>
    <w:rsid w:val="00E82676"/>
    <w:rsid w:val="00E826FE"/>
    <w:rsid w:val="00E828C7"/>
    <w:rsid w:val="00E828DC"/>
    <w:rsid w:val="00E8293D"/>
    <w:rsid w:val="00E82ABD"/>
    <w:rsid w:val="00E82AF2"/>
    <w:rsid w:val="00E82CEC"/>
    <w:rsid w:val="00E82DD8"/>
    <w:rsid w:val="00E82F35"/>
    <w:rsid w:val="00E8318D"/>
    <w:rsid w:val="00E833CE"/>
    <w:rsid w:val="00E8347C"/>
    <w:rsid w:val="00E83832"/>
    <w:rsid w:val="00E83B35"/>
    <w:rsid w:val="00E83B59"/>
    <w:rsid w:val="00E83B8C"/>
    <w:rsid w:val="00E83B8D"/>
    <w:rsid w:val="00E83C78"/>
    <w:rsid w:val="00E83D7D"/>
    <w:rsid w:val="00E844BF"/>
    <w:rsid w:val="00E84750"/>
    <w:rsid w:val="00E847D4"/>
    <w:rsid w:val="00E84C99"/>
    <w:rsid w:val="00E84D99"/>
    <w:rsid w:val="00E84FCF"/>
    <w:rsid w:val="00E8517E"/>
    <w:rsid w:val="00E85633"/>
    <w:rsid w:val="00E857EA"/>
    <w:rsid w:val="00E85AD3"/>
    <w:rsid w:val="00E85B50"/>
    <w:rsid w:val="00E85E88"/>
    <w:rsid w:val="00E86054"/>
    <w:rsid w:val="00E8613C"/>
    <w:rsid w:val="00E8614A"/>
    <w:rsid w:val="00E86174"/>
    <w:rsid w:val="00E8643E"/>
    <w:rsid w:val="00E86546"/>
    <w:rsid w:val="00E8682B"/>
    <w:rsid w:val="00E86980"/>
    <w:rsid w:val="00E86E7E"/>
    <w:rsid w:val="00E86F82"/>
    <w:rsid w:val="00E86FA9"/>
    <w:rsid w:val="00E87080"/>
    <w:rsid w:val="00E872F5"/>
    <w:rsid w:val="00E873EC"/>
    <w:rsid w:val="00E876DB"/>
    <w:rsid w:val="00E8773C"/>
    <w:rsid w:val="00E87804"/>
    <w:rsid w:val="00E87843"/>
    <w:rsid w:val="00E879AD"/>
    <w:rsid w:val="00E87A56"/>
    <w:rsid w:val="00E87D35"/>
    <w:rsid w:val="00E87E98"/>
    <w:rsid w:val="00E87F8D"/>
    <w:rsid w:val="00E900A5"/>
    <w:rsid w:val="00E900B8"/>
    <w:rsid w:val="00E902CC"/>
    <w:rsid w:val="00E9053C"/>
    <w:rsid w:val="00E909EE"/>
    <w:rsid w:val="00E90A3D"/>
    <w:rsid w:val="00E90E14"/>
    <w:rsid w:val="00E90E9D"/>
    <w:rsid w:val="00E90EAE"/>
    <w:rsid w:val="00E91016"/>
    <w:rsid w:val="00E9120D"/>
    <w:rsid w:val="00E9165B"/>
    <w:rsid w:val="00E9182C"/>
    <w:rsid w:val="00E91925"/>
    <w:rsid w:val="00E91CF9"/>
    <w:rsid w:val="00E920D4"/>
    <w:rsid w:val="00E925F7"/>
    <w:rsid w:val="00E92758"/>
    <w:rsid w:val="00E92759"/>
    <w:rsid w:val="00E9295A"/>
    <w:rsid w:val="00E92C5D"/>
    <w:rsid w:val="00E92D6A"/>
    <w:rsid w:val="00E93001"/>
    <w:rsid w:val="00E93070"/>
    <w:rsid w:val="00E93299"/>
    <w:rsid w:val="00E93384"/>
    <w:rsid w:val="00E935BA"/>
    <w:rsid w:val="00E93A68"/>
    <w:rsid w:val="00E93E6C"/>
    <w:rsid w:val="00E93FD6"/>
    <w:rsid w:val="00E9402B"/>
    <w:rsid w:val="00E940F0"/>
    <w:rsid w:val="00E941F8"/>
    <w:rsid w:val="00E944D8"/>
    <w:rsid w:val="00E9457B"/>
    <w:rsid w:val="00E94B0B"/>
    <w:rsid w:val="00E94CB5"/>
    <w:rsid w:val="00E94CC6"/>
    <w:rsid w:val="00E94D83"/>
    <w:rsid w:val="00E95270"/>
    <w:rsid w:val="00E95446"/>
    <w:rsid w:val="00E9551E"/>
    <w:rsid w:val="00E95741"/>
    <w:rsid w:val="00E95800"/>
    <w:rsid w:val="00E958C5"/>
    <w:rsid w:val="00E95A77"/>
    <w:rsid w:val="00E95E13"/>
    <w:rsid w:val="00E95EFB"/>
    <w:rsid w:val="00E95F66"/>
    <w:rsid w:val="00E960C4"/>
    <w:rsid w:val="00E96597"/>
    <w:rsid w:val="00E96767"/>
    <w:rsid w:val="00E967B2"/>
    <w:rsid w:val="00E96AC6"/>
    <w:rsid w:val="00E96BAA"/>
    <w:rsid w:val="00E97480"/>
    <w:rsid w:val="00E974F3"/>
    <w:rsid w:val="00E97899"/>
    <w:rsid w:val="00E97934"/>
    <w:rsid w:val="00E97E21"/>
    <w:rsid w:val="00EA02A6"/>
    <w:rsid w:val="00EA03CB"/>
    <w:rsid w:val="00EA06E7"/>
    <w:rsid w:val="00EA070D"/>
    <w:rsid w:val="00EA0767"/>
    <w:rsid w:val="00EA07BE"/>
    <w:rsid w:val="00EA0A77"/>
    <w:rsid w:val="00EA0AAA"/>
    <w:rsid w:val="00EA0B00"/>
    <w:rsid w:val="00EA0B21"/>
    <w:rsid w:val="00EA11D1"/>
    <w:rsid w:val="00EA122D"/>
    <w:rsid w:val="00EA1264"/>
    <w:rsid w:val="00EA1446"/>
    <w:rsid w:val="00EA1469"/>
    <w:rsid w:val="00EA169C"/>
    <w:rsid w:val="00EA1A40"/>
    <w:rsid w:val="00EA1D0D"/>
    <w:rsid w:val="00EA2041"/>
    <w:rsid w:val="00EA207C"/>
    <w:rsid w:val="00EA22E3"/>
    <w:rsid w:val="00EA2649"/>
    <w:rsid w:val="00EA2748"/>
    <w:rsid w:val="00EA2774"/>
    <w:rsid w:val="00EA2980"/>
    <w:rsid w:val="00EA2C09"/>
    <w:rsid w:val="00EA2E7A"/>
    <w:rsid w:val="00EA3008"/>
    <w:rsid w:val="00EA30F7"/>
    <w:rsid w:val="00EA330B"/>
    <w:rsid w:val="00EA34A4"/>
    <w:rsid w:val="00EA3542"/>
    <w:rsid w:val="00EA37F1"/>
    <w:rsid w:val="00EA37FF"/>
    <w:rsid w:val="00EA3824"/>
    <w:rsid w:val="00EA38B2"/>
    <w:rsid w:val="00EA3E6B"/>
    <w:rsid w:val="00EA410B"/>
    <w:rsid w:val="00EA47A7"/>
    <w:rsid w:val="00EA4AEA"/>
    <w:rsid w:val="00EA4EDD"/>
    <w:rsid w:val="00EA4FA6"/>
    <w:rsid w:val="00EA5081"/>
    <w:rsid w:val="00EA522B"/>
    <w:rsid w:val="00EA529D"/>
    <w:rsid w:val="00EA54ED"/>
    <w:rsid w:val="00EA5596"/>
    <w:rsid w:val="00EA55C0"/>
    <w:rsid w:val="00EA5968"/>
    <w:rsid w:val="00EA5AAD"/>
    <w:rsid w:val="00EA5C79"/>
    <w:rsid w:val="00EA5DAD"/>
    <w:rsid w:val="00EA61FA"/>
    <w:rsid w:val="00EA6303"/>
    <w:rsid w:val="00EA6486"/>
    <w:rsid w:val="00EA64E7"/>
    <w:rsid w:val="00EA6569"/>
    <w:rsid w:val="00EA65EC"/>
    <w:rsid w:val="00EA670A"/>
    <w:rsid w:val="00EA67C8"/>
    <w:rsid w:val="00EA6B6F"/>
    <w:rsid w:val="00EA6B9E"/>
    <w:rsid w:val="00EA6D8E"/>
    <w:rsid w:val="00EA6E2B"/>
    <w:rsid w:val="00EA7242"/>
    <w:rsid w:val="00EA7C5D"/>
    <w:rsid w:val="00EB0219"/>
    <w:rsid w:val="00EB0345"/>
    <w:rsid w:val="00EB070F"/>
    <w:rsid w:val="00EB0C95"/>
    <w:rsid w:val="00EB0CF1"/>
    <w:rsid w:val="00EB0D58"/>
    <w:rsid w:val="00EB15D2"/>
    <w:rsid w:val="00EB1755"/>
    <w:rsid w:val="00EB1BE0"/>
    <w:rsid w:val="00EB1D48"/>
    <w:rsid w:val="00EB1DBD"/>
    <w:rsid w:val="00EB1FF7"/>
    <w:rsid w:val="00EB2405"/>
    <w:rsid w:val="00EB26F6"/>
    <w:rsid w:val="00EB2752"/>
    <w:rsid w:val="00EB299F"/>
    <w:rsid w:val="00EB2A1F"/>
    <w:rsid w:val="00EB2A63"/>
    <w:rsid w:val="00EB2CBD"/>
    <w:rsid w:val="00EB30CA"/>
    <w:rsid w:val="00EB3161"/>
    <w:rsid w:val="00EB36A9"/>
    <w:rsid w:val="00EB36D1"/>
    <w:rsid w:val="00EB41AE"/>
    <w:rsid w:val="00EB431B"/>
    <w:rsid w:val="00EB4339"/>
    <w:rsid w:val="00EB472B"/>
    <w:rsid w:val="00EB4982"/>
    <w:rsid w:val="00EB4B2F"/>
    <w:rsid w:val="00EB4D7A"/>
    <w:rsid w:val="00EB4DBB"/>
    <w:rsid w:val="00EB4F92"/>
    <w:rsid w:val="00EB512C"/>
    <w:rsid w:val="00EB52EC"/>
    <w:rsid w:val="00EB5567"/>
    <w:rsid w:val="00EB5764"/>
    <w:rsid w:val="00EB58E3"/>
    <w:rsid w:val="00EB5B19"/>
    <w:rsid w:val="00EB5B6E"/>
    <w:rsid w:val="00EB5C37"/>
    <w:rsid w:val="00EB5D7E"/>
    <w:rsid w:val="00EB6117"/>
    <w:rsid w:val="00EB6623"/>
    <w:rsid w:val="00EB664F"/>
    <w:rsid w:val="00EB6A55"/>
    <w:rsid w:val="00EB6B0E"/>
    <w:rsid w:val="00EB6BAA"/>
    <w:rsid w:val="00EB6F4A"/>
    <w:rsid w:val="00EB6F58"/>
    <w:rsid w:val="00EB6F85"/>
    <w:rsid w:val="00EB7067"/>
    <w:rsid w:val="00EB794C"/>
    <w:rsid w:val="00EB7998"/>
    <w:rsid w:val="00EB7A9F"/>
    <w:rsid w:val="00EB7C77"/>
    <w:rsid w:val="00EC063D"/>
    <w:rsid w:val="00EC08EC"/>
    <w:rsid w:val="00EC0E0B"/>
    <w:rsid w:val="00EC1368"/>
    <w:rsid w:val="00EC1479"/>
    <w:rsid w:val="00EC14DD"/>
    <w:rsid w:val="00EC14E4"/>
    <w:rsid w:val="00EC15F3"/>
    <w:rsid w:val="00EC190F"/>
    <w:rsid w:val="00EC19EA"/>
    <w:rsid w:val="00EC1AB4"/>
    <w:rsid w:val="00EC1BE8"/>
    <w:rsid w:val="00EC20F0"/>
    <w:rsid w:val="00EC2127"/>
    <w:rsid w:val="00EC229F"/>
    <w:rsid w:val="00EC2502"/>
    <w:rsid w:val="00EC29A8"/>
    <w:rsid w:val="00EC2A3E"/>
    <w:rsid w:val="00EC2A5A"/>
    <w:rsid w:val="00EC2BD2"/>
    <w:rsid w:val="00EC2D09"/>
    <w:rsid w:val="00EC2EFB"/>
    <w:rsid w:val="00EC31BB"/>
    <w:rsid w:val="00EC336B"/>
    <w:rsid w:val="00EC3404"/>
    <w:rsid w:val="00EC3467"/>
    <w:rsid w:val="00EC34DD"/>
    <w:rsid w:val="00EC3829"/>
    <w:rsid w:val="00EC3C94"/>
    <w:rsid w:val="00EC4006"/>
    <w:rsid w:val="00EC4076"/>
    <w:rsid w:val="00EC42BD"/>
    <w:rsid w:val="00EC4404"/>
    <w:rsid w:val="00EC4459"/>
    <w:rsid w:val="00EC4633"/>
    <w:rsid w:val="00EC469B"/>
    <w:rsid w:val="00EC4E07"/>
    <w:rsid w:val="00EC4E2A"/>
    <w:rsid w:val="00EC51FC"/>
    <w:rsid w:val="00EC549A"/>
    <w:rsid w:val="00EC566E"/>
    <w:rsid w:val="00EC5AB1"/>
    <w:rsid w:val="00EC658B"/>
    <w:rsid w:val="00EC6627"/>
    <w:rsid w:val="00EC6A3E"/>
    <w:rsid w:val="00EC6B22"/>
    <w:rsid w:val="00EC6B58"/>
    <w:rsid w:val="00EC7112"/>
    <w:rsid w:val="00EC7129"/>
    <w:rsid w:val="00EC715D"/>
    <w:rsid w:val="00EC727A"/>
    <w:rsid w:val="00EC73F8"/>
    <w:rsid w:val="00EC769F"/>
    <w:rsid w:val="00EC783C"/>
    <w:rsid w:val="00EC7C7A"/>
    <w:rsid w:val="00EC7CB1"/>
    <w:rsid w:val="00ED00EE"/>
    <w:rsid w:val="00ED01C5"/>
    <w:rsid w:val="00ED0423"/>
    <w:rsid w:val="00ED0B84"/>
    <w:rsid w:val="00ED0C46"/>
    <w:rsid w:val="00ED0FA8"/>
    <w:rsid w:val="00ED16D2"/>
    <w:rsid w:val="00ED16EC"/>
    <w:rsid w:val="00ED1847"/>
    <w:rsid w:val="00ED1B27"/>
    <w:rsid w:val="00ED282D"/>
    <w:rsid w:val="00ED28DC"/>
    <w:rsid w:val="00ED2A01"/>
    <w:rsid w:val="00ED3033"/>
    <w:rsid w:val="00ED3321"/>
    <w:rsid w:val="00ED332C"/>
    <w:rsid w:val="00ED3939"/>
    <w:rsid w:val="00ED3DB1"/>
    <w:rsid w:val="00ED3F3E"/>
    <w:rsid w:val="00ED4201"/>
    <w:rsid w:val="00ED43BB"/>
    <w:rsid w:val="00ED4521"/>
    <w:rsid w:val="00ED46FC"/>
    <w:rsid w:val="00ED4856"/>
    <w:rsid w:val="00ED4954"/>
    <w:rsid w:val="00ED4980"/>
    <w:rsid w:val="00ED4A80"/>
    <w:rsid w:val="00ED4A83"/>
    <w:rsid w:val="00ED4BE6"/>
    <w:rsid w:val="00ED4E8B"/>
    <w:rsid w:val="00ED5192"/>
    <w:rsid w:val="00ED536E"/>
    <w:rsid w:val="00ED5629"/>
    <w:rsid w:val="00ED5682"/>
    <w:rsid w:val="00ED571C"/>
    <w:rsid w:val="00ED5A4A"/>
    <w:rsid w:val="00ED6094"/>
    <w:rsid w:val="00ED63F5"/>
    <w:rsid w:val="00ED650C"/>
    <w:rsid w:val="00ED65F2"/>
    <w:rsid w:val="00ED663F"/>
    <w:rsid w:val="00ED66EA"/>
    <w:rsid w:val="00ED728A"/>
    <w:rsid w:val="00ED7338"/>
    <w:rsid w:val="00ED7473"/>
    <w:rsid w:val="00ED7589"/>
    <w:rsid w:val="00ED76C5"/>
    <w:rsid w:val="00ED7886"/>
    <w:rsid w:val="00ED7BFC"/>
    <w:rsid w:val="00ED7E1A"/>
    <w:rsid w:val="00ED7EB3"/>
    <w:rsid w:val="00ED7FC1"/>
    <w:rsid w:val="00EE02FD"/>
    <w:rsid w:val="00EE0300"/>
    <w:rsid w:val="00EE05E6"/>
    <w:rsid w:val="00EE0958"/>
    <w:rsid w:val="00EE0BF1"/>
    <w:rsid w:val="00EE0CA9"/>
    <w:rsid w:val="00EE0CBD"/>
    <w:rsid w:val="00EE0F8D"/>
    <w:rsid w:val="00EE10A7"/>
    <w:rsid w:val="00EE12B6"/>
    <w:rsid w:val="00EE16EB"/>
    <w:rsid w:val="00EE18AF"/>
    <w:rsid w:val="00EE1E04"/>
    <w:rsid w:val="00EE1E44"/>
    <w:rsid w:val="00EE2068"/>
    <w:rsid w:val="00EE2882"/>
    <w:rsid w:val="00EE2B1F"/>
    <w:rsid w:val="00EE2BB0"/>
    <w:rsid w:val="00EE2C13"/>
    <w:rsid w:val="00EE2E16"/>
    <w:rsid w:val="00EE3466"/>
    <w:rsid w:val="00EE359F"/>
    <w:rsid w:val="00EE3726"/>
    <w:rsid w:val="00EE37B5"/>
    <w:rsid w:val="00EE3A09"/>
    <w:rsid w:val="00EE4116"/>
    <w:rsid w:val="00EE41D4"/>
    <w:rsid w:val="00EE42C9"/>
    <w:rsid w:val="00EE438B"/>
    <w:rsid w:val="00EE4439"/>
    <w:rsid w:val="00EE444B"/>
    <w:rsid w:val="00EE48FD"/>
    <w:rsid w:val="00EE4975"/>
    <w:rsid w:val="00EE4979"/>
    <w:rsid w:val="00EE4B2A"/>
    <w:rsid w:val="00EE4B2D"/>
    <w:rsid w:val="00EE4B31"/>
    <w:rsid w:val="00EE4D76"/>
    <w:rsid w:val="00EE4ED0"/>
    <w:rsid w:val="00EE4F09"/>
    <w:rsid w:val="00EE4F93"/>
    <w:rsid w:val="00EE58C0"/>
    <w:rsid w:val="00EE5D8D"/>
    <w:rsid w:val="00EE60C2"/>
    <w:rsid w:val="00EE639B"/>
    <w:rsid w:val="00EE63E2"/>
    <w:rsid w:val="00EE6426"/>
    <w:rsid w:val="00EE6600"/>
    <w:rsid w:val="00EE698E"/>
    <w:rsid w:val="00EE6B6B"/>
    <w:rsid w:val="00EE6C55"/>
    <w:rsid w:val="00EE6C98"/>
    <w:rsid w:val="00EE6D9B"/>
    <w:rsid w:val="00EE70E3"/>
    <w:rsid w:val="00EE7118"/>
    <w:rsid w:val="00EE71FA"/>
    <w:rsid w:val="00EE7340"/>
    <w:rsid w:val="00EE7900"/>
    <w:rsid w:val="00EE7A03"/>
    <w:rsid w:val="00EE7A80"/>
    <w:rsid w:val="00EE7E49"/>
    <w:rsid w:val="00EE7EF8"/>
    <w:rsid w:val="00EE7F43"/>
    <w:rsid w:val="00EF0320"/>
    <w:rsid w:val="00EF0B5E"/>
    <w:rsid w:val="00EF0DBE"/>
    <w:rsid w:val="00EF0DD7"/>
    <w:rsid w:val="00EF0E52"/>
    <w:rsid w:val="00EF0FD7"/>
    <w:rsid w:val="00EF10C5"/>
    <w:rsid w:val="00EF10D9"/>
    <w:rsid w:val="00EF114D"/>
    <w:rsid w:val="00EF1398"/>
    <w:rsid w:val="00EF1472"/>
    <w:rsid w:val="00EF1D36"/>
    <w:rsid w:val="00EF1EBB"/>
    <w:rsid w:val="00EF258F"/>
    <w:rsid w:val="00EF279C"/>
    <w:rsid w:val="00EF27DC"/>
    <w:rsid w:val="00EF2811"/>
    <w:rsid w:val="00EF2820"/>
    <w:rsid w:val="00EF29C3"/>
    <w:rsid w:val="00EF2B9B"/>
    <w:rsid w:val="00EF2E1F"/>
    <w:rsid w:val="00EF3035"/>
    <w:rsid w:val="00EF3389"/>
    <w:rsid w:val="00EF3506"/>
    <w:rsid w:val="00EF351F"/>
    <w:rsid w:val="00EF3739"/>
    <w:rsid w:val="00EF3805"/>
    <w:rsid w:val="00EF388A"/>
    <w:rsid w:val="00EF39C1"/>
    <w:rsid w:val="00EF39C6"/>
    <w:rsid w:val="00EF3AC7"/>
    <w:rsid w:val="00EF3DE8"/>
    <w:rsid w:val="00EF4507"/>
    <w:rsid w:val="00EF4523"/>
    <w:rsid w:val="00EF458B"/>
    <w:rsid w:val="00EF47B4"/>
    <w:rsid w:val="00EF4835"/>
    <w:rsid w:val="00EF48C5"/>
    <w:rsid w:val="00EF4A52"/>
    <w:rsid w:val="00EF4B17"/>
    <w:rsid w:val="00EF4BEE"/>
    <w:rsid w:val="00EF5036"/>
    <w:rsid w:val="00EF524A"/>
    <w:rsid w:val="00EF5723"/>
    <w:rsid w:val="00EF5989"/>
    <w:rsid w:val="00EF5CA6"/>
    <w:rsid w:val="00EF5DBF"/>
    <w:rsid w:val="00EF6070"/>
    <w:rsid w:val="00EF6403"/>
    <w:rsid w:val="00EF6946"/>
    <w:rsid w:val="00EF6FE9"/>
    <w:rsid w:val="00EF7211"/>
    <w:rsid w:val="00EF743C"/>
    <w:rsid w:val="00EF79F8"/>
    <w:rsid w:val="00EF7AB0"/>
    <w:rsid w:val="00EF7D4D"/>
    <w:rsid w:val="00EF7D77"/>
    <w:rsid w:val="00F0014A"/>
    <w:rsid w:val="00F0016B"/>
    <w:rsid w:val="00F005A9"/>
    <w:rsid w:val="00F00980"/>
    <w:rsid w:val="00F00B02"/>
    <w:rsid w:val="00F00B48"/>
    <w:rsid w:val="00F00CD9"/>
    <w:rsid w:val="00F00EB1"/>
    <w:rsid w:val="00F00FBE"/>
    <w:rsid w:val="00F012E9"/>
    <w:rsid w:val="00F01324"/>
    <w:rsid w:val="00F01888"/>
    <w:rsid w:val="00F01B3C"/>
    <w:rsid w:val="00F01D29"/>
    <w:rsid w:val="00F01D60"/>
    <w:rsid w:val="00F01F7E"/>
    <w:rsid w:val="00F01FA7"/>
    <w:rsid w:val="00F02021"/>
    <w:rsid w:val="00F026DC"/>
    <w:rsid w:val="00F02741"/>
    <w:rsid w:val="00F02809"/>
    <w:rsid w:val="00F02A86"/>
    <w:rsid w:val="00F02B8B"/>
    <w:rsid w:val="00F02CA9"/>
    <w:rsid w:val="00F02EA6"/>
    <w:rsid w:val="00F03233"/>
    <w:rsid w:val="00F03277"/>
    <w:rsid w:val="00F032E1"/>
    <w:rsid w:val="00F0339E"/>
    <w:rsid w:val="00F03965"/>
    <w:rsid w:val="00F03D03"/>
    <w:rsid w:val="00F03DAB"/>
    <w:rsid w:val="00F040DB"/>
    <w:rsid w:val="00F041F9"/>
    <w:rsid w:val="00F044D1"/>
    <w:rsid w:val="00F04545"/>
    <w:rsid w:val="00F04961"/>
    <w:rsid w:val="00F04C7F"/>
    <w:rsid w:val="00F04CB3"/>
    <w:rsid w:val="00F04EE6"/>
    <w:rsid w:val="00F05119"/>
    <w:rsid w:val="00F0526E"/>
    <w:rsid w:val="00F0657F"/>
    <w:rsid w:val="00F06A03"/>
    <w:rsid w:val="00F06BFC"/>
    <w:rsid w:val="00F06ED2"/>
    <w:rsid w:val="00F06FDC"/>
    <w:rsid w:val="00F06FEE"/>
    <w:rsid w:val="00F07014"/>
    <w:rsid w:val="00F076CE"/>
    <w:rsid w:val="00F07D4F"/>
    <w:rsid w:val="00F07E57"/>
    <w:rsid w:val="00F07EA8"/>
    <w:rsid w:val="00F07F4D"/>
    <w:rsid w:val="00F07FCB"/>
    <w:rsid w:val="00F102AC"/>
    <w:rsid w:val="00F1043C"/>
    <w:rsid w:val="00F1046A"/>
    <w:rsid w:val="00F105FE"/>
    <w:rsid w:val="00F10BFD"/>
    <w:rsid w:val="00F10D96"/>
    <w:rsid w:val="00F11378"/>
    <w:rsid w:val="00F11523"/>
    <w:rsid w:val="00F116F3"/>
    <w:rsid w:val="00F1177F"/>
    <w:rsid w:val="00F117B9"/>
    <w:rsid w:val="00F117BC"/>
    <w:rsid w:val="00F1196F"/>
    <w:rsid w:val="00F11D2E"/>
    <w:rsid w:val="00F125CE"/>
    <w:rsid w:val="00F1267F"/>
    <w:rsid w:val="00F127D0"/>
    <w:rsid w:val="00F128FD"/>
    <w:rsid w:val="00F12B4C"/>
    <w:rsid w:val="00F12BE1"/>
    <w:rsid w:val="00F12EBF"/>
    <w:rsid w:val="00F1328C"/>
    <w:rsid w:val="00F133A5"/>
    <w:rsid w:val="00F13459"/>
    <w:rsid w:val="00F134CF"/>
    <w:rsid w:val="00F138AE"/>
    <w:rsid w:val="00F13E46"/>
    <w:rsid w:val="00F14021"/>
    <w:rsid w:val="00F140A1"/>
    <w:rsid w:val="00F1410C"/>
    <w:rsid w:val="00F14258"/>
    <w:rsid w:val="00F142AD"/>
    <w:rsid w:val="00F1458C"/>
    <w:rsid w:val="00F14602"/>
    <w:rsid w:val="00F14717"/>
    <w:rsid w:val="00F14A28"/>
    <w:rsid w:val="00F14B14"/>
    <w:rsid w:val="00F14D30"/>
    <w:rsid w:val="00F14D92"/>
    <w:rsid w:val="00F1509D"/>
    <w:rsid w:val="00F151D1"/>
    <w:rsid w:val="00F152BA"/>
    <w:rsid w:val="00F1546A"/>
    <w:rsid w:val="00F15472"/>
    <w:rsid w:val="00F156AB"/>
    <w:rsid w:val="00F1587E"/>
    <w:rsid w:val="00F158D7"/>
    <w:rsid w:val="00F15BAC"/>
    <w:rsid w:val="00F15C7E"/>
    <w:rsid w:val="00F15DCC"/>
    <w:rsid w:val="00F15EEA"/>
    <w:rsid w:val="00F1618E"/>
    <w:rsid w:val="00F1620E"/>
    <w:rsid w:val="00F162E4"/>
    <w:rsid w:val="00F16303"/>
    <w:rsid w:val="00F16424"/>
    <w:rsid w:val="00F16515"/>
    <w:rsid w:val="00F16586"/>
    <w:rsid w:val="00F16650"/>
    <w:rsid w:val="00F16784"/>
    <w:rsid w:val="00F16A31"/>
    <w:rsid w:val="00F16A91"/>
    <w:rsid w:val="00F16ADF"/>
    <w:rsid w:val="00F16B24"/>
    <w:rsid w:val="00F16E81"/>
    <w:rsid w:val="00F16FE3"/>
    <w:rsid w:val="00F1719B"/>
    <w:rsid w:val="00F175B8"/>
    <w:rsid w:val="00F177EB"/>
    <w:rsid w:val="00F1781A"/>
    <w:rsid w:val="00F1790C"/>
    <w:rsid w:val="00F17ADB"/>
    <w:rsid w:val="00F17CDF"/>
    <w:rsid w:val="00F17D0D"/>
    <w:rsid w:val="00F17E6B"/>
    <w:rsid w:val="00F17F19"/>
    <w:rsid w:val="00F20191"/>
    <w:rsid w:val="00F2021D"/>
    <w:rsid w:val="00F2037A"/>
    <w:rsid w:val="00F20966"/>
    <w:rsid w:val="00F20988"/>
    <w:rsid w:val="00F209A8"/>
    <w:rsid w:val="00F20CDE"/>
    <w:rsid w:val="00F212CA"/>
    <w:rsid w:val="00F217E9"/>
    <w:rsid w:val="00F217ED"/>
    <w:rsid w:val="00F218A9"/>
    <w:rsid w:val="00F218CC"/>
    <w:rsid w:val="00F2198E"/>
    <w:rsid w:val="00F219C1"/>
    <w:rsid w:val="00F21A72"/>
    <w:rsid w:val="00F21B96"/>
    <w:rsid w:val="00F21D70"/>
    <w:rsid w:val="00F21FD0"/>
    <w:rsid w:val="00F22089"/>
    <w:rsid w:val="00F220F9"/>
    <w:rsid w:val="00F2228D"/>
    <w:rsid w:val="00F226B2"/>
    <w:rsid w:val="00F22C59"/>
    <w:rsid w:val="00F22D0E"/>
    <w:rsid w:val="00F22F93"/>
    <w:rsid w:val="00F239A6"/>
    <w:rsid w:val="00F23B73"/>
    <w:rsid w:val="00F23B93"/>
    <w:rsid w:val="00F2405A"/>
    <w:rsid w:val="00F240EA"/>
    <w:rsid w:val="00F241F0"/>
    <w:rsid w:val="00F242E7"/>
    <w:rsid w:val="00F2436F"/>
    <w:rsid w:val="00F249E8"/>
    <w:rsid w:val="00F24BA4"/>
    <w:rsid w:val="00F253CA"/>
    <w:rsid w:val="00F2546D"/>
    <w:rsid w:val="00F254BB"/>
    <w:rsid w:val="00F2562C"/>
    <w:rsid w:val="00F256D1"/>
    <w:rsid w:val="00F25990"/>
    <w:rsid w:val="00F25A84"/>
    <w:rsid w:val="00F25D9F"/>
    <w:rsid w:val="00F25DF3"/>
    <w:rsid w:val="00F26241"/>
    <w:rsid w:val="00F26648"/>
    <w:rsid w:val="00F269CB"/>
    <w:rsid w:val="00F26D4C"/>
    <w:rsid w:val="00F26F66"/>
    <w:rsid w:val="00F27091"/>
    <w:rsid w:val="00F270C5"/>
    <w:rsid w:val="00F27112"/>
    <w:rsid w:val="00F272CE"/>
    <w:rsid w:val="00F2732F"/>
    <w:rsid w:val="00F27642"/>
    <w:rsid w:val="00F27840"/>
    <w:rsid w:val="00F27844"/>
    <w:rsid w:val="00F27BBA"/>
    <w:rsid w:val="00F27C70"/>
    <w:rsid w:val="00F30506"/>
    <w:rsid w:val="00F3060C"/>
    <w:rsid w:val="00F30A48"/>
    <w:rsid w:val="00F30B74"/>
    <w:rsid w:val="00F30B82"/>
    <w:rsid w:val="00F30EB6"/>
    <w:rsid w:val="00F311D2"/>
    <w:rsid w:val="00F31423"/>
    <w:rsid w:val="00F3150A"/>
    <w:rsid w:val="00F31537"/>
    <w:rsid w:val="00F316F8"/>
    <w:rsid w:val="00F319B5"/>
    <w:rsid w:val="00F31BD2"/>
    <w:rsid w:val="00F31C26"/>
    <w:rsid w:val="00F31D9B"/>
    <w:rsid w:val="00F31DA1"/>
    <w:rsid w:val="00F31DBC"/>
    <w:rsid w:val="00F31F08"/>
    <w:rsid w:val="00F32049"/>
    <w:rsid w:val="00F32866"/>
    <w:rsid w:val="00F329E5"/>
    <w:rsid w:val="00F32D30"/>
    <w:rsid w:val="00F32DED"/>
    <w:rsid w:val="00F33044"/>
    <w:rsid w:val="00F3305A"/>
    <w:rsid w:val="00F330C1"/>
    <w:rsid w:val="00F3339A"/>
    <w:rsid w:val="00F3339E"/>
    <w:rsid w:val="00F333ED"/>
    <w:rsid w:val="00F33759"/>
    <w:rsid w:val="00F33C4A"/>
    <w:rsid w:val="00F33C7D"/>
    <w:rsid w:val="00F33D9F"/>
    <w:rsid w:val="00F33EAD"/>
    <w:rsid w:val="00F33EBC"/>
    <w:rsid w:val="00F33EFF"/>
    <w:rsid w:val="00F34040"/>
    <w:rsid w:val="00F3479E"/>
    <w:rsid w:val="00F34924"/>
    <w:rsid w:val="00F34B6E"/>
    <w:rsid w:val="00F353F3"/>
    <w:rsid w:val="00F356D9"/>
    <w:rsid w:val="00F3596E"/>
    <w:rsid w:val="00F35BFF"/>
    <w:rsid w:val="00F35D88"/>
    <w:rsid w:val="00F3624E"/>
    <w:rsid w:val="00F362E9"/>
    <w:rsid w:val="00F36480"/>
    <w:rsid w:val="00F36584"/>
    <w:rsid w:val="00F366CD"/>
    <w:rsid w:val="00F36ED5"/>
    <w:rsid w:val="00F37095"/>
    <w:rsid w:val="00F3710D"/>
    <w:rsid w:val="00F377F2"/>
    <w:rsid w:val="00F37874"/>
    <w:rsid w:val="00F37B81"/>
    <w:rsid w:val="00F37C16"/>
    <w:rsid w:val="00F37C1B"/>
    <w:rsid w:val="00F37C39"/>
    <w:rsid w:val="00F37E9F"/>
    <w:rsid w:val="00F40681"/>
    <w:rsid w:val="00F406A0"/>
    <w:rsid w:val="00F408E3"/>
    <w:rsid w:val="00F40E49"/>
    <w:rsid w:val="00F40F2D"/>
    <w:rsid w:val="00F41246"/>
    <w:rsid w:val="00F41448"/>
    <w:rsid w:val="00F415D3"/>
    <w:rsid w:val="00F416C3"/>
    <w:rsid w:val="00F416F6"/>
    <w:rsid w:val="00F41E2D"/>
    <w:rsid w:val="00F422A3"/>
    <w:rsid w:val="00F424ED"/>
    <w:rsid w:val="00F42770"/>
    <w:rsid w:val="00F42798"/>
    <w:rsid w:val="00F427B2"/>
    <w:rsid w:val="00F42F41"/>
    <w:rsid w:val="00F4317E"/>
    <w:rsid w:val="00F432FF"/>
    <w:rsid w:val="00F4332B"/>
    <w:rsid w:val="00F434E3"/>
    <w:rsid w:val="00F435AA"/>
    <w:rsid w:val="00F4364E"/>
    <w:rsid w:val="00F438BD"/>
    <w:rsid w:val="00F43953"/>
    <w:rsid w:val="00F43D53"/>
    <w:rsid w:val="00F4418A"/>
    <w:rsid w:val="00F44258"/>
    <w:rsid w:val="00F449B8"/>
    <w:rsid w:val="00F44CB3"/>
    <w:rsid w:val="00F44E2C"/>
    <w:rsid w:val="00F44FAA"/>
    <w:rsid w:val="00F452D4"/>
    <w:rsid w:val="00F453A7"/>
    <w:rsid w:val="00F455F3"/>
    <w:rsid w:val="00F45890"/>
    <w:rsid w:val="00F45996"/>
    <w:rsid w:val="00F45E74"/>
    <w:rsid w:val="00F460E9"/>
    <w:rsid w:val="00F46378"/>
    <w:rsid w:val="00F4642A"/>
    <w:rsid w:val="00F46464"/>
    <w:rsid w:val="00F46817"/>
    <w:rsid w:val="00F46934"/>
    <w:rsid w:val="00F46A2B"/>
    <w:rsid w:val="00F46C37"/>
    <w:rsid w:val="00F46E46"/>
    <w:rsid w:val="00F46EEA"/>
    <w:rsid w:val="00F46F05"/>
    <w:rsid w:val="00F47032"/>
    <w:rsid w:val="00F473B0"/>
    <w:rsid w:val="00F473BF"/>
    <w:rsid w:val="00F47406"/>
    <w:rsid w:val="00F4772D"/>
    <w:rsid w:val="00F47857"/>
    <w:rsid w:val="00F4798F"/>
    <w:rsid w:val="00F47E42"/>
    <w:rsid w:val="00F50048"/>
    <w:rsid w:val="00F50229"/>
    <w:rsid w:val="00F503D5"/>
    <w:rsid w:val="00F50486"/>
    <w:rsid w:val="00F504B9"/>
    <w:rsid w:val="00F5067D"/>
    <w:rsid w:val="00F50804"/>
    <w:rsid w:val="00F508F9"/>
    <w:rsid w:val="00F50923"/>
    <w:rsid w:val="00F50A25"/>
    <w:rsid w:val="00F50A4D"/>
    <w:rsid w:val="00F50A86"/>
    <w:rsid w:val="00F50CE8"/>
    <w:rsid w:val="00F50D56"/>
    <w:rsid w:val="00F50DAB"/>
    <w:rsid w:val="00F50E5F"/>
    <w:rsid w:val="00F51256"/>
    <w:rsid w:val="00F51361"/>
    <w:rsid w:val="00F51414"/>
    <w:rsid w:val="00F51446"/>
    <w:rsid w:val="00F51838"/>
    <w:rsid w:val="00F51A7E"/>
    <w:rsid w:val="00F51BA2"/>
    <w:rsid w:val="00F51D84"/>
    <w:rsid w:val="00F522E5"/>
    <w:rsid w:val="00F5233B"/>
    <w:rsid w:val="00F5240A"/>
    <w:rsid w:val="00F5273D"/>
    <w:rsid w:val="00F52989"/>
    <w:rsid w:val="00F52992"/>
    <w:rsid w:val="00F52B1B"/>
    <w:rsid w:val="00F52EC6"/>
    <w:rsid w:val="00F530DB"/>
    <w:rsid w:val="00F5337D"/>
    <w:rsid w:val="00F53416"/>
    <w:rsid w:val="00F534A0"/>
    <w:rsid w:val="00F5363A"/>
    <w:rsid w:val="00F5366A"/>
    <w:rsid w:val="00F537F2"/>
    <w:rsid w:val="00F5392D"/>
    <w:rsid w:val="00F53C1D"/>
    <w:rsid w:val="00F53CD3"/>
    <w:rsid w:val="00F53E12"/>
    <w:rsid w:val="00F53E8B"/>
    <w:rsid w:val="00F53FDB"/>
    <w:rsid w:val="00F5401D"/>
    <w:rsid w:val="00F54026"/>
    <w:rsid w:val="00F54433"/>
    <w:rsid w:val="00F54A64"/>
    <w:rsid w:val="00F54AF9"/>
    <w:rsid w:val="00F54FA4"/>
    <w:rsid w:val="00F5505D"/>
    <w:rsid w:val="00F55089"/>
    <w:rsid w:val="00F5508A"/>
    <w:rsid w:val="00F55369"/>
    <w:rsid w:val="00F554D3"/>
    <w:rsid w:val="00F554D4"/>
    <w:rsid w:val="00F55548"/>
    <w:rsid w:val="00F55803"/>
    <w:rsid w:val="00F558C0"/>
    <w:rsid w:val="00F55B99"/>
    <w:rsid w:val="00F55EDE"/>
    <w:rsid w:val="00F55F57"/>
    <w:rsid w:val="00F56232"/>
    <w:rsid w:val="00F56348"/>
    <w:rsid w:val="00F56379"/>
    <w:rsid w:val="00F56A9D"/>
    <w:rsid w:val="00F56BF7"/>
    <w:rsid w:val="00F56F70"/>
    <w:rsid w:val="00F571B8"/>
    <w:rsid w:val="00F572E6"/>
    <w:rsid w:val="00F573B9"/>
    <w:rsid w:val="00F57A53"/>
    <w:rsid w:val="00F57B88"/>
    <w:rsid w:val="00F57BCA"/>
    <w:rsid w:val="00F600BC"/>
    <w:rsid w:val="00F604EE"/>
    <w:rsid w:val="00F61092"/>
    <w:rsid w:val="00F610C9"/>
    <w:rsid w:val="00F612AE"/>
    <w:rsid w:val="00F612DB"/>
    <w:rsid w:val="00F613E0"/>
    <w:rsid w:val="00F613FE"/>
    <w:rsid w:val="00F6155B"/>
    <w:rsid w:val="00F61721"/>
    <w:rsid w:val="00F61977"/>
    <w:rsid w:val="00F6198F"/>
    <w:rsid w:val="00F61AB3"/>
    <w:rsid w:val="00F61DD7"/>
    <w:rsid w:val="00F61EDA"/>
    <w:rsid w:val="00F62185"/>
    <w:rsid w:val="00F6256B"/>
    <w:rsid w:val="00F6271D"/>
    <w:rsid w:val="00F6273A"/>
    <w:rsid w:val="00F62A54"/>
    <w:rsid w:val="00F62D02"/>
    <w:rsid w:val="00F62DCD"/>
    <w:rsid w:val="00F62E46"/>
    <w:rsid w:val="00F63529"/>
    <w:rsid w:val="00F63A4E"/>
    <w:rsid w:val="00F63AB5"/>
    <w:rsid w:val="00F63AE3"/>
    <w:rsid w:val="00F63B2B"/>
    <w:rsid w:val="00F64266"/>
    <w:rsid w:val="00F64281"/>
    <w:rsid w:val="00F64397"/>
    <w:rsid w:val="00F6464F"/>
    <w:rsid w:val="00F64782"/>
    <w:rsid w:val="00F64898"/>
    <w:rsid w:val="00F64913"/>
    <w:rsid w:val="00F64C27"/>
    <w:rsid w:val="00F64D3E"/>
    <w:rsid w:val="00F6521A"/>
    <w:rsid w:val="00F653BB"/>
    <w:rsid w:val="00F659CE"/>
    <w:rsid w:val="00F65A6C"/>
    <w:rsid w:val="00F65C77"/>
    <w:rsid w:val="00F65D17"/>
    <w:rsid w:val="00F66018"/>
    <w:rsid w:val="00F66377"/>
    <w:rsid w:val="00F665FA"/>
    <w:rsid w:val="00F6672D"/>
    <w:rsid w:val="00F66EBE"/>
    <w:rsid w:val="00F66FC6"/>
    <w:rsid w:val="00F6707E"/>
    <w:rsid w:val="00F672DE"/>
    <w:rsid w:val="00F674CC"/>
    <w:rsid w:val="00F678B4"/>
    <w:rsid w:val="00F67C86"/>
    <w:rsid w:val="00F7004F"/>
    <w:rsid w:val="00F70081"/>
    <w:rsid w:val="00F703D8"/>
    <w:rsid w:val="00F70535"/>
    <w:rsid w:val="00F70774"/>
    <w:rsid w:val="00F708C1"/>
    <w:rsid w:val="00F70955"/>
    <w:rsid w:val="00F70BDC"/>
    <w:rsid w:val="00F70DF7"/>
    <w:rsid w:val="00F71275"/>
    <w:rsid w:val="00F7129A"/>
    <w:rsid w:val="00F713A4"/>
    <w:rsid w:val="00F716A7"/>
    <w:rsid w:val="00F71B0A"/>
    <w:rsid w:val="00F71FAD"/>
    <w:rsid w:val="00F7261B"/>
    <w:rsid w:val="00F72870"/>
    <w:rsid w:val="00F7298D"/>
    <w:rsid w:val="00F72AA3"/>
    <w:rsid w:val="00F72EC8"/>
    <w:rsid w:val="00F72EFA"/>
    <w:rsid w:val="00F72F2A"/>
    <w:rsid w:val="00F72F85"/>
    <w:rsid w:val="00F732A7"/>
    <w:rsid w:val="00F735E5"/>
    <w:rsid w:val="00F73D5A"/>
    <w:rsid w:val="00F73F8F"/>
    <w:rsid w:val="00F740A2"/>
    <w:rsid w:val="00F74709"/>
    <w:rsid w:val="00F74866"/>
    <w:rsid w:val="00F7498E"/>
    <w:rsid w:val="00F74ECE"/>
    <w:rsid w:val="00F75101"/>
    <w:rsid w:val="00F7536F"/>
    <w:rsid w:val="00F75522"/>
    <w:rsid w:val="00F7558C"/>
    <w:rsid w:val="00F7560F"/>
    <w:rsid w:val="00F758E9"/>
    <w:rsid w:val="00F75D2C"/>
    <w:rsid w:val="00F75D54"/>
    <w:rsid w:val="00F75D7D"/>
    <w:rsid w:val="00F75DB1"/>
    <w:rsid w:val="00F762C6"/>
    <w:rsid w:val="00F76358"/>
    <w:rsid w:val="00F76498"/>
    <w:rsid w:val="00F764E0"/>
    <w:rsid w:val="00F765B7"/>
    <w:rsid w:val="00F7681B"/>
    <w:rsid w:val="00F76888"/>
    <w:rsid w:val="00F76945"/>
    <w:rsid w:val="00F769DF"/>
    <w:rsid w:val="00F769F4"/>
    <w:rsid w:val="00F76A59"/>
    <w:rsid w:val="00F76D21"/>
    <w:rsid w:val="00F76DAF"/>
    <w:rsid w:val="00F76EBE"/>
    <w:rsid w:val="00F76F6F"/>
    <w:rsid w:val="00F77006"/>
    <w:rsid w:val="00F77096"/>
    <w:rsid w:val="00F770C5"/>
    <w:rsid w:val="00F7738D"/>
    <w:rsid w:val="00F773B3"/>
    <w:rsid w:val="00F77890"/>
    <w:rsid w:val="00F779EF"/>
    <w:rsid w:val="00F77A24"/>
    <w:rsid w:val="00F77A77"/>
    <w:rsid w:val="00F77AA3"/>
    <w:rsid w:val="00F77ADB"/>
    <w:rsid w:val="00F77BC1"/>
    <w:rsid w:val="00F77D48"/>
    <w:rsid w:val="00F77D9D"/>
    <w:rsid w:val="00F77ED2"/>
    <w:rsid w:val="00F80647"/>
    <w:rsid w:val="00F806C9"/>
    <w:rsid w:val="00F80751"/>
    <w:rsid w:val="00F80851"/>
    <w:rsid w:val="00F80B24"/>
    <w:rsid w:val="00F80C63"/>
    <w:rsid w:val="00F80CCF"/>
    <w:rsid w:val="00F80DA4"/>
    <w:rsid w:val="00F80FED"/>
    <w:rsid w:val="00F81296"/>
    <w:rsid w:val="00F81726"/>
    <w:rsid w:val="00F81736"/>
    <w:rsid w:val="00F8183A"/>
    <w:rsid w:val="00F81956"/>
    <w:rsid w:val="00F819B4"/>
    <w:rsid w:val="00F81AF5"/>
    <w:rsid w:val="00F81DAF"/>
    <w:rsid w:val="00F81E68"/>
    <w:rsid w:val="00F82102"/>
    <w:rsid w:val="00F8232A"/>
    <w:rsid w:val="00F823FD"/>
    <w:rsid w:val="00F82404"/>
    <w:rsid w:val="00F82437"/>
    <w:rsid w:val="00F827B2"/>
    <w:rsid w:val="00F828CB"/>
    <w:rsid w:val="00F828F5"/>
    <w:rsid w:val="00F82A76"/>
    <w:rsid w:val="00F82DA9"/>
    <w:rsid w:val="00F82E4D"/>
    <w:rsid w:val="00F83098"/>
    <w:rsid w:val="00F832F3"/>
    <w:rsid w:val="00F83335"/>
    <w:rsid w:val="00F836D4"/>
    <w:rsid w:val="00F8371F"/>
    <w:rsid w:val="00F837AB"/>
    <w:rsid w:val="00F83E0A"/>
    <w:rsid w:val="00F83FF6"/>
    <w:rsid w:val="00F8419A"/>
    <w:rsid w:val="00F84230"/>
    <w:rsid w:val="00F8428A"/>
    <w:rsid w:val="00F84968"/>
    <w:rsid w:val="00F84A5F"/>
    <w:rsid w:val="00F84C58"/>
    <w:rsid w:val="00F84D63"/>
    <w:rsid w:val="00F850F3"/>
    <w:rsid w:val="00F854AD"/>
    <w:rsid w:val="00F85A4E"/>
    <w:rsid w:val="00F85C72"/>
    <w:rsid w:val="00F85DC0"/>
    <w:rsid w:val="00F861D7"/>
    <w:rsid w:val="00F86296"/>
    <w:rsid w:val="00F8635F"/>
    <w:rsid w:val="00F863E2"/>
    <w:rsid w:val="00F86475"/>
    <w:rsid w:val="00F8656C"/>
    <w:rsid w:val="00F86895"/>
    <w:rsid w:val="00F868ED"/>
    <w:rsid w:val="00F8693F"/>
    <w:rsid w:val="00F86A26"/>
    <w:rsid w:val="00F86C30"/>
    <w:rsid w:val="00F86D06"/>
    <w:rsid w:val="00F87011"/>
    <w:rsid w:val="00F87034"/>
    <w:rsid w:val="00F871B7"/>
    <w:rsid w:val="00F8741C"/>
    <w:rsid w:val="00F87637"/>
    <w:rsid w:val="00F87707"/>
    <w:rsid w:val="00F8770A"/>
    <w:rsid w:val="00F87A2F"/>
    <w:rsid w:val="00F87B99"/>
    <w:rsid w:val="00F87C09"/>
    <w:rsid w:val="00F90111"/>
    <w:rsid w:val="00F90332"/>
    <w:rsid w:val="00F90B34"/>
    <w:rsid w:val="00F90CA2"/>
    <w:rsid w:val="00F90DAF"/>
    <w:rsid w:val="00F90E35"/>
    <w:rsid w:val="00F90F56"/>
    <w:rsid w:val="00F91035"/>
    <w:rsid w:val="00F9142F"/>
    <w:rsid w:val="00F91507"/>
    <w:rsid w:val="00F91A3B"/>
    <w:rsid w:val="00F91A88"/>
    <w:rsid w:val="00F91E65"/>
    <w:rsid w:val="00F91F53"/>
    <w:rsid w:val="00F92113"/>
    <w:rsid w:val="00F924EA"/>
    <w:rsid w:val="00F9294A"/>
    <w:rsid w:val="00F92A08"/>
    <w:rsid w:val="00F92AA6"/>
    <w:rsid w:val="00F92FF7"/>
    <w:rsid w:val="00F93100"/>
    <w:rsid w:val="00F931A4"/>
    <w:rsid w:val="00F9324B"/>
    <w:rsid w:val="00F9351F"/>
    <w:rsid w:val="00F9389F"/>
    <w:rsid w:val="00F939B5"/>
    <w:rsid w:val="00F93A10"/>
    <w:rsid w:val="00F93A47"/>
    <w:rsid w:val="00F93B2F"/>
    <w:rsid w:val="00F93E9D"/>
    <w:rsid w:val="00F93FE8"/>
    <w:rsid w:val="00F94144"/>
    <w:rsid w:val="00F94167"/>
    <w:rsid w:val="00F94423"/>
    <w:rsid w:val="00F94429"/>
    <w:rsid w:val="00F9442A"/>
    <w:rsid w:val="00F94641"/>
    <w:rsid w:val="00F946D9"/>
    <w:rsid w:val="00F94787"/>
    <w:rsid w:val="00F94967"/>
    <w:rsid w:val="00F94A02"/>
    <w:rsid w:val="00F94B81"/>
    <w:rsid w:val="00F94C7F"/>
    <w:rsid w:val="00F94EF6"/>
    <w:rsid w:val="00F950F7"/>
    <w:rsid w:val="00F9528D"/>
    <w:rsid w:val="00F954BA"/>
    <w:rsid w:val="00F95511"/>
    <w:rsid w:val="00F95926"/>
    <w:rsid w:val="00F95B75"/>
    <w:rsid w:val="00F95DB3"/>
    <w:rsid w:val="00F9657C"/>
    <w:rsid w:val="00F968DB"/>
    <w:rsid w:val="00F96B89"/>
    <w:rsid w:val="00F96CB3"/>
    <w:rsid w:val="00F96CEF"/>
    <w:rsid w:val="00F974C7"/>
    <w:rsid w:val="00F9796F"/>
    <w:rsid w:val="00F97996"/>
    <w:rsid w:val="00F97CA6"/>
    <w:rsid w:val="00FA00EA"/>
    <w:rsid w:val="00FA043B"/>
    <w:rsid w:val="00FA05FF"/>
    <w:rsid w:val="00FA08EE"/>
    <w:rsid w:val="00FA0D73"/>
    <w:rsid w:val="00FA0E06"/>
    <w:rsid w:val="00FA0E3C"/>
    <w:rsid w:val="00FA0ED6"/>
    <w:rsid w:val="00FA1030"/>
    <w:rsid w:val="00FA1933"/>
    <w:rsid w:val="00FA197B"/>
    <w:rsid w:val="00FA1BEC"/>
    <w:rsid w:val="00FA1E0A"/>
    <w:rsid w:val="00FA20C2"/>
    <w:rsid w:val="00FA211A"/>
    <w:rsid w:val="00FA25B8"/>
    <w:rsid w:val="00FA278C"/>
    <w:rsid w:val="00FA2A66"/>
    <w:rsid w:val="00FA2B99"/>
    <w:rsid w:val="00FA2D33"/>
    <w:rsid w:val="00FA2EB8"/>
    <w:rsid w:val="00FA3267"/>
    <w:rsid w:val="00FA33D3"/>
    <w:rsid w:val="00FA35C5"/>
    <w:rsid w:val="00FA36CE"/>
    <w:rsid w:val="00FA3855"/>
    <w:rsid w:val="00FA3968"/>
    <w:rsid w:val="00FA3A9B"/>
    <w:rsid w:val="00FA3C97"/>
    <w:rsid w:val="00FA3E41"/>
    <w:rsid w:val="00FA3F2A"/>
    <w:rsid w:val="00FA3FDD"/>
    <w:rsid w:val="00FA425E"/>
    <w:rsid w:val="00FA46CB"/>
    <w:rsid w:val="00FA4702"/>
    <w:rsid w:val="00FA4A5E"/>
    <w:rsid w:val="00FA4BEC"/>
    <w:rsid w:val="00FA4CC8"/>
    <w:rsid w:val="00FA4CD3"/>
    <w:rsid w:val="00FA4E2F"/>
    <w:rsid w:val="00FA5211"/>
    <w:rsid w:val="00FA548D"/>
    <w:rsid w:val="00FA5A7E"/>
    <w:rsid w:val="00FA5E8F"/>
    <w:rsid w:val="00FA5F7A"/>
    <w:rsid w:val="00FA610F"/>
    <w:rsid w:val="00FA63A0"/>
    <w:rsid w:val="00FA6556"/>
    <w:rsid w:val="00FA65D9"/>
    <w:rsid w:val="00FA666C"/>
    <w:rsid w:val="00FA67EA"/>
    <w:rsid w:val="00FA6853"/>
    <w:rsid w:val="00FA6B7A"/>
    <w:rsid w:val="00FA6C90"/>
    <w:rsid w:val="00FA6D2B"/>
    <w:rsid w:val="00FA6D69"/>
    <w:rsid w:val="00FA7128"/>
    <w:rsid w:val="00FA73AB"/>
    <w:rsid w:val="00FA7682"/>
    <w:rsid w:val="00FA7730"/>
    <w:rsid w:val="00FA7D60"/>
    <w:rsid w:val="00FA7D86"/>
    <w:rsid w:val="00FB002D"/>
    <w:rsid w:val="00FB06B7"/>
    <w:rsid w:val="00FB0808"/>
    <w:rsid w:val="00FB09E9"/>
    <w:rsid w:val="00FB0AC5"/>
    <w:rsid w:val="00FB0B1F"/>
    <w:rsid w:val="00FB1283"/>
    <w:rsid w:val="00FB149F"/>
    <w:rsid w:val="00FB19AF"/>
    <w:rsid w:val="00FB1DE7"/>
    <w:rsid w:val="00FB1EF2"/>
    <w:rsid w:val="00FB1FD8"/>
    <w:rsid w:val="00FB2077"/>
    <w:rsid w:val="00FB21F3"/>
    <w:rsid w:val="00FB233F"/>
    <w:rsid w:val="00FB26AB"/>
    <w:rsid w:val="00FB2A1B"/>
    <w:rsid w:val="00FB2B02"/>
    <w:rsid w:val="00FB2D1D"/>
    <w:rsid w:val="00FB2D29"/>
    <w:rsid w:val="00FB2EA0"/>
    <w:rsid w:val="00FB308D"/>
    <w:rsid w:val="00FB332C"/>
    <w:rsid w:val="00FB34DD"/>
    <w:rsid w:val="00FB3645"/>
    <w:rsid w:val="00FB37A8"/>
    <w:rsid w:val="00FB3832"/>
    <w:rsid w:val="00FB3940"/>
    <w:rsid w:val="00FB3AF5"/>
    <w:rsid w:val="00FB3C26"/>
    <w:rsid w:val="00FB3E3A"/>
    <w:rsid w:val="00FB416B"/>
    <w:rsid w:val="00FB4DA0"/>
    <w:rsid w:val="00FB5012"/>
    <w:rsid w:val="00FB536E"/>
    <w:rsid w:val="00FB5433"/>
    <w:rsid w:val="00FB5436"/>
    <w:rsid w:val="00FB57EE"/>
    <w:rsid w:val="00FB5836"/>
    <w:rsid w:val="00FB599E"/>
    <w:rsid w:val="00FB5A25"/>
    <w:rsid w:val="00FB5BF5"/>
    <w:rsid w:val="00FB6025"/>
    <w:rsid w:val="00FB60B2"/>
    <w:rsid w:val="00FB6169"/>
    <w:rsid w:val="00FB61EB"/>
    <w:rsid w:val="00FB62BB"/>
    <w:rsid w:val="00FB638B"/>
    <w:rsid w:val="00FB66AA"/>
    <w:rsid w:val="00FB6951"/>
    <w:rsid w:val="00FB69DA"/>
    <w:rsid w:val="00FB69F3"/>
    <w:rsid w:val="00FB6A75"/>
    <w:rsid w:val="00FB6BBE"/>
    <w:rsid w:val="00FB6F93"/>
    <w:rsid w:val="00FB7294"/>
    <w:rsid w:val="00FB764F"/>
    <w:rsid w:val="00FB78B8"/>
    <w:rsid w:val="00FB7BB9"/>
    <w:rsid w:val="00FB7CFA"/>
    <w:rsid w:val="00FC0097"/>
    <w:rsid w:val="00FC00FB"/>
    <w:rsid w:val="00FC01AE"/>
    <w:rsid w:val="00FC03B2"/>
    <w:rsid w:val="00FC04CC"/>
    <w:rsid w:val="00FC07A1"/>
    <w:rsid w:val="00FC090C"/>
    <w:rsid w:val="00FC0AFA"/>
    <w:rsid w:val="00FC0B04"/>
    <w:rsid w:val="00FC0B0E"/>
    <w:rsid w:val="00FC0DAA"/>
    <w:rsid w:val="00FC0E7F"/>
    <w:rsid w:val="00FC1062"/>
    <w:rsid w:val="00FC11B4"/>
    <w:rsid w:val="00FC13FB"/>
    <w:rsid w:val="00FC14F9"/>
    <w:rsid w:val="00FC1A75"/>
    <w:rsid w:val="00FC1D0C"/>
    <w:rsid w:val="00FC1E83"/>
    <w:rsid w:val="00FC1F78"/>
    <w:rsid w:val="00FC2071"/>
    <w:rsid w:val="00FC22BB"/>
    <w:rsid w:val="00FC23D1"/>
    <w:rsid w:val="00FC23DF"/>
    <w:rsid w:val="00FC251E"/>
    <w:rsid w:val="00FC2532"/>
    <w:rsid w:val="00FC2557"/>
    <w:rsid w:val="00FC25C3"/>
    <w:rsid w:val="00FC2CC0"/>
    <w:rsid w:val="00FC2D29"/>
    <w:rsid w:val="00FC3665"/>
    <w:rsid w:val="00FC3814"/>
    <w:rsid w:val="00FC3DE6"/>
    <w:rsid w:val="00FC3E0A"/>
    <w:rsid w:val="00FC405A"/>
    <w:rsid w:val="00FC443C"/>
    <w:rsid w:val="00FC449A"/>
    <w:rsid w:val="00FC44C6"/>
    <w:rsid w:val="00FC49DF"/>
    <w:rsid w:val="00FC4EE8"/>
    <w:rsid w:val="00FC50B5"/>
    <w:rsid w:val="00FC5405"/>
    <w:rsid w:val="00FC5419"/>
    <w:rsid w:val="00FC5463"/>
    <w:rsid w:val="00FC5571"/>
    <w:rsid w:val="00FC5B9A"/>
    <w:rsid w:val="00FC5D37"/>
    <w:rsid w:val="00FC5EA1"/>
    <w:rsid w:val="00FC6468"/>
    <w:rsid w:val="00FC66DC"/>
    <w:rsid w:val="00FC68E1"/>
    <w:rsid w:val="00FC6B4A"/>
    <w:rsid w:val="00FC6D2E"/>
    <w:rsid w:val="00FC7155"/>
    <w:rsid w:val="00FC73AF"/>
    <w:rsid w:val="00FC7699"/>
    <w:rsid w:val="00FC780E"/>
    <w:rsid w:val="00FC7849"/>
    <w:rsid w:val="00FC786B"/>
    <w:rsid w:val="00FC7CFD"/>
    <w:rsid w:val="00FD01E2"/>
    <w:rsid w:val="00FD0282"/>
    <w:rsid w:val="00FD042C"/>
    <w:rsid w:val="00FD06C7"/>
    <w:rsid w:val="00FD12A6"/>
    <w:rsid w:val="00FD14C8"/>
    <w:rsid w:val="00FD158B"/>
    <w:rsid w:val="00FD1639"/>
    <w:rsid w:val="00FD18E0"/>
    <w:rsid w:val="00FD1C88"/>
    <w:rsid w:val="00FD20C3"/>
    <w:rsid w:val="00FD2222"/>
    <w:rsid w:val="00FD231D"/>
    <w:rsid w:val="00FD263C"/>
    <w:rsid w:val="00FD27B1"/>
    <w:rsid w:val="00FD294A"/>
    <w:rsid w:val="00FD2A55"/>
    <w:rsid w:val="00FD2B87"/>
    <w:rsid w:val="00FD30BA"/>
    <w:rsid w:val="00FD3C0C"/>
    <w:rsid w:val="00FD3F74"/>
    <w:rsid w:val="00FD40F3"/>
    <w:rsid w:val="00FD4199"/>
    <w:rsid w:val="00FD46F6"/>
    <w:rsid w:val="00FD4A8E"/>
    <w:rsid w:val="00FD4B41"/>
    <w:rsid w:val="00FD4E4C"/>
    <w:rsid w:val="00FD4F76"/>
    <w:rsid w:val="00FD50B8"/>
    <w:rsid w:val="00FD5402"/>
    <w:rsid w:val="00FD54FA"/>
    <w:rsid w:val="00FD55D3"/>
    <w:rsid w:val="00FD5807"/>
    <w:rsid w:val="00FD598F"/>
    <w:rsid w:val="00FD6022"/>
    <w:rsid w:val="00FD6036"/>
    <w:rsid w:val="00FD63BC"/>
    <w:rsid w:val="00FD65EF"/>
    <w:rsid w:val="00FD6702"/>
    <w:rsid w:val="00FD6758"/>
    <w:rsid w:val="00FD67AA"/>
    <w:rsid w:val="00FD6977"/>
    <w:rsid w:val="00FD6A48"/>
    <w:rsid w:val="00FD6C21"/>
    <w:rsid w:val="00FD6F66"/>
    <w:rsid w:val="00FD6F7B"/>
    <w:rsid w:val="00FD6FF0"/>
    <w:rsid w:val="00FD7309"/>
    <w:rsid w:val="00FD753A"/>
    <w:rsid w:val="00FD7766"/>
    <w:rsid w:val="00FD77EA"/>
    <w:rsid w:val="00FD7911"/>
    <w:rsid w:val="00FD7BD8"/>
    <w:rsid w:val="00FD7F81"/>
    <w:rsid w:val="00FE0072"/>
    <w:rsid w:val="00FE0246"/>
    <w:rsid w:val="00FE0365"/>
    <w:rsid w:val="00FE07B6"/>
    <w:rsid w:val="00FE09A9"/>
    <w:rsid w:val="00FE0AD1"/>
    <w:rsid w:val="00FE0D7E"/>
    <w:rsid w:val="00FE0DAD"/>
    <w:rsid w:val="00FE13DD"/>
    <w:rsid w:val="00FE18C6"/>
    <w:rsid w:val="00FE190E"/>
    <w:rsid w:val="00FE1B67"/>
    <w:rsid w:val="00FE1B8D"/>
    <w:rsid w:val="00FE1BCE"/>
    <w:rsid w:val="00FE1F66"/>
    <w:rsid w:val="00FE21B2"/>
    <w:rsid w:val="00FE233C"/>
    <w:rsid w:val="00FE241F"/>
    <w:rsid w:val="00FE2442"/>
    <w:rsid w:val="00FE268F"/>
    <w:rsid w:val="00FE2820"/>
    <w:rsid w:val="00FE29B2"/>
    <w:rsid w:val="00FE2A56"/>
    <w:rsid w:val="00FE3177"/>
    <w:rsid w:val="00FE3293"/>
    <w:rsid w:val="00FE3475"/>
    <w:rsid w:val="00FE3721"/>
    <w:rsid w:val="00FE3948"/>
    <w:rsid w:val="00FE3B49"/>
    <w:rsid w:val="00FE3B70"/>
    <w:rsid w:val="00FE3BBB"/>
    <w:rsid w:val="00FE3EDC"/>
    <w:rsid w:val="00FE40ED"/>
    <w:rsid w:val="00FE438F"/>
    <w:rsid w:val="00FE44CE"/>
    <w:rsid w:val="00FE4696"/>
    <w:rsid w:val="00FE4C21"/>
    <w:rsid w:val="00FE4D89"/>
    <w:rsid w:val="00FE4DFB"/>
    <w:rsid w:val="00FE4FE3"/>
    <w:rsid w:val="00FE5189"/>
    <w:rsid w:val="00FE545B"/>
    <w:rsid w:val="00FE56CF"/>
    <w:rsid w:val="00FE57F6"/>
    <w:rsid w:val="00FE58AE"/>
    <w:rsid w:val="00FE58BE"/>
    <w:rsid w:val="00FE58C8"/>
    <w:rsid w:val="00FE5904"/>
    <w:rsid w:val="00FE5B5F"/>
    <w:rsid w:val="00FE5EDC"/>
    <w:rsid w:val="00FE5F2E"/>
    <w:rsid w:val="00FE5F49"/>
    <w:rsid w:val="00FE6050"/>
    <w:rsid w:val="00FE6415"/>
    <w:rsid w:val="00FE65F2"/>
    <w:rsid w:val="00FE6801"/>
    <w:rsid w:val="00FE6957"/>
    <w:rsid w:val="00FE6F01"/>
    <w:rsid w:val="00FE6F8D"/>
    <w:rsid w:val="00FE7175"/>
    <w:rsid w:val="00FE7CDB"/>
    <w:rsid w:val="00FE7EFA"/>
    <w:rsid w:val="00FF0091"/>
    <w:rsid w:val="00FF011C"/>
    <w:rsid w:val="00FF0120"/>
    <w:rsid w:val="00FF02EE"/>
    <w:rsid w:val="00FF0395"/>
    <w:rsid w:val="00FF045E"/>
    <w:rsid w:val="00FF0A8F"/>
    <w:rsid w:val="00FF0DC1"/>
    <w:rsid w:val="00FF0E29"/>
    <w:rsid w:val="00FF13BC"/>
    <w:rsid w:val="00FF13FD"/>
    <w:rsid w:val="00FF18D3"/>
    <w:rsid w:val="00FF2006"/>
    <w:rsid w:val="00FF208D"/>
    <w:rsid w:val="00FF209C"/>
    <w:rsid w:val="00FF2101"/>
    <w:rsid w:val="00FF2425"/>
    <w:rsid w:val="00FF2472"/>
    <w:rsid w:val="00FF24AD"/>
    <w:rsid w:val="00FF2604"/>
    <w:rsid w:val="00FF2962"/>
    <w:rsid w:val="00FF2A68"/>
    <w:rsid w:val="00FF2B90"/>
    <w:rsid w:val="00FF2C89"/>
    <w:rsid w:val="00FF2D68"/>
    <w:rsid w:val="00FF2D9E"/>
    <w:rsid w:val="00FF2F0B"/>
    <w:rsid w:val="00FF305C"/>
    <w:rsid w:val="00FF345F"/>
    <w:rsid w:val="00FF3572"/>
    <w:rsid w:val="00FF35E1"/>
    <w:rsid w:val="00FF36FE"/>
    <w:rsid w:val="00FF3F41"/>
    <w:rsid w:val="00FF4224"/>
    <w:rsid w:val="00FF4537"/>
    <w:rsid w:val="00FF4555"/>
    <w:rsid w:val="00FF4668"/>
    <w:rsid w:val="00FF46B1"/>
    <w:rsid w:val="00FF47C4"/>
    <w:rsid w:val="00FF4838"/>
    <w:rsid w:val="00FF499F"/>
    <w:rsid w:val="00FF4A5C"/>
    <w:rsid w:val="00FF4B6B"/>
    <w:rsid w:val="00FF4BFB"/>
    <w:rsid w:val="00FF4DC9"/>
    <w:rsid w:val="00FF4E51"/>
    <w:rsid w:val="00FF53FC"/>
    <w:rsid w:val="00FF550E"/>
    <w:rsid w:val="00FF560E"/>
    <w:rsid w:val="00FF59B4"/>
    <w:rsid w:val="00FF5AB6"/>
    <w:rsid w:val="00FF5B40"/>
    <w:rsid w:val="00FF5BD3"/>
    <w:rsid w:val="00FF62AE"/>
    <w:rsid w:val="00FF645C"/>
    <w:rsid w:val="00FF647D"/>
    <w:rsid w:val="00FF66C0"/>
    <w:rsid w:val="00FF671C"/>
    <w:rsid w:val="00FF6986"/>
    <w:rsid w:val="00FF6F1C"/>
    <w:rsid w:val="00FF71A0"/>
    <w:rsid w:val="00FF71F6"/>
    <w:rsid w:val="00FF7245"/>
    <w:rsid w:val="00FF7312"/>
    <w:rsid w:val="00FF7441"/>
    <w:rsid w:val="00FF77D2"/>
    <w:rsid w:val="00FF7873"/>
    <w:rsid w:val="00FF7C4B"/>
    <w:rsid w:val="00FF7F0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1B89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4E6414"/>
    <w:pPr>
      <w:spacing w:before="160" w:after="160"/>
    </w:pPr>
    <w:rPr>
      <w:color w:val="000000" w:themeColor="text1"/>
      <w:sz w:val="20"/>
      <w:szCs w:val="18"/>
    </w:rPr>
  </w:style>
  <w:style w:type="paragraph" w:styleId="Heading1">
    <w:name w:val="heading 1"/>
    <w:basedOn w:val="Normal"/>
    <w:next w:val="Normal"/>
    <w:link w:val="Heading1Char"/>
    <w:uiPriority w:val="9"/>
    <w:qFormat/>
    <w:rsid w:val="00121A3F"/>
    <w:pPr>
      <w:keepNext/>
      <w:keepLines/>
      <w:numPr>
        <w:numId w:val="27"/>
      </w:numPr>
      <w:spacing w:before="240" w:after="240"/>
      <w:outlineLvl w:val="0"/>
    </w:pPr>
    <w:rPr>
      <w:rFonts w:asciiTheme="majorHAnsi" w:eastAsiaTheme="majorEastAsia" w:hAnsiTheme="majorHAnsi" w:cstheme="majorBidi"/>
      <w:color w:val="16A3A7"/>
      <w:sz w:val="40"/>
      <w:szCs w:val="32"/>
    </w:rPr>
  </w:style>
  <w:style w:type="paragraph" w:styleId="Heading2">
    <w:name w:val="heading 2"/>
    <w:basedOn w:val="Normal"/>
    <w:next w:val="Normal"/>
    <w:link w:val="Heading2Char"/>
    <w:uiPriority w:val="9"/>
    <w:unhideWhenUsed/>
    <w:qFormat/>
    <w:rsid w:val="00AF1E95"/>
    <w:pPr>
      <w:keepNext/>
      <w:keepLines/>
      <w:numPr>
        <w:ilvl w:val="1"/>
        <w:numId w:val="27"/>
      </w:numPr>
      <w:spacing w:before="360" w:after="240" w:line="280" w:lineRule="exact"/>
      <w:outlineLvl w:val="1"/>
    </w:pPr>
    <w:rPr>
      <w:b/>
      <w:color w:val="595959" w:themeColor="text1" w:themeTint="A6"/>
      <w:sz w:val="28"/>
    </w:rPr>
  </w:style>
  <w:style w:type="paragraph" w:styleId="Heading3">
    <w:name w:val="heading 3"/>
    <w:basedOn w:val="Normal"/>
    <w:next w:val="Normal"/>
    <w:link w:val="Heading3Char"/>
    <w:uiPriority w:val="9"/>
    <w:unhideWhenUsed/>
    <w:qFormat/>
    <w:rsid w:val="007F1902"/>
    <w:pPr>
      <w:keepNext/>
      <w:keepLines/>
      <w:numPr>
        <w:ilvl w:val="2"/>
        <w:numId w:val="27"/>
      </w:numPr>
      <w:spacing w:before="360" w:after="0"/>
      <w:outlineLvl w:val="2"/>
    </w:pPr>
    <w:rPr>
      <w:rFonts w:asciiTheme="majorHAnsi" w:eastAsiaTheme="majorEastAsia" w:hAnsiTheme="majorHAnsi" w:cstheme="majorBidi"/>
      <w:b/>
      <w:color w:val="595959" w:themeColor="text1" w:themeTint="A6"/>
      <w:sz w:val="22"/>
      <w:szCs w:val="24"/>
    </w:rPr>
  </w:style>
  <w:style w:type="paragraph" w:styleId="Heading4">
    <w:name w:val="heading 4"/>
    <w:basedOn w:val="Normal"/>
    <w:next w:val="Normal"/>
    <w:link w:val="Heading4Char"/>
    <w:uiPriority w:val="9"/>
    <w:unhideWhenUsed/>
    <w:qFormat/>
    <w:rsid w:val="0095677C"/>
    <w:pPr>
      <w:keepNext/>
      <w:numPr>
        <w:ilvl w:val="3"/>
        <w:numId w:val="27"/>
      </w:numPr>
      <w:spacing w:before="280"/>
      <w:ind w:left="862" w:hanging="862"/>
      <w:outlineLvl w:val="3"/>
    </w:pPr>
    <w:rPr>
      <w:b/>
    </w:rPr>
  </w:style>
  <w:style w:type="paragraph" w:styleId="Heading5">
    <w:name w:val="heading 5"/>
    <w:basedOn w:val="Normal"/>
    <w:next w:val="Normal"/>
    <w:link w:val="Heading5Char"/>
    <w:uiPriority w:val="9"/>
    <w:unhideWhenUsed/>
    <w:qFormat/>
    <w:rsid w:val="0095677C"/>
    <w:pPr>
      <w:keepNext/>
      <w:keepLines/>
      <w:spacing w:before="240" w:after="0"/>
      <w:ind w:left="1009" w:hanging="1009"/>
      <w:outlineLvl w:val="4"/>
    </w:pPr>
    <w:rPr>
      <w:rFonts w:asciiTheme="majorHAnsi" w:eastAsiaTheme="majorEastAsia" w:hAnsiTheme="majorHAnsi" w:cstheme="majorBidi"/>
      <w:b/>
      <w:szCs w:val="20"/>
    </w:rPr>
  </w:style>
  <w:style w:type="paragraph" w:styleId="Heading6">
    <w:name w:val="heading 6"/>
    <w:basedOn w:val="Normal"/>
    <w:next w:val="Normal"/>
    <w:link w:val="Heading6Char"/>
    <w:uiPriority w:val="9"/>
    <w:unhideWhenUsed/>
    <w:qFormat/>
    <w:rsid w:val="007F1902"/>
    <w:pPr>
      <w:keepNext/>
      <w:keepLines/>
      <w:numPr>
        <w:ilvl w:val="5"/>
        <w:numId w:val="27"/>
      </w:numPr>
      <w:spacing w:before="40" w:after="0"/>
      <w:outlineLvl w:val="5"/>
    </w:pPr>
    <w:rPr>
      <w:rFonts w:asciiTheme="majorHAnsi" w:eastAsiaTheme="majorEastAsia" w:hAnsiTheme="majorHAnsi" w:cstheme="majorBidi"/>
      <w:sz w:val="18"/>
    </w:rPr>
  </w:style>
  <w:style w:type="paragraph" w:styleId="Heading7">
    <w:name w:val="heading 7"/>
    <w:basedOn w:val="Normal"/>
    <w:next w:val="Normal"/>
    <w:link w:val="Heading7Char"/>
    <w:uiPriority w:val="9"/>
    <w:unhideWhenUsed/>
    <w:qFormat/>
    <w:rsid w:val="007F1902"/>
    <w:pPr>
      <w:keepNext/>
      <w:keepLines/>
      <w:numPr>
        <w:ilvl w:val="6"/>
        <w:numId w:val="27"/>
      </w:numPr>
      <w:spacing w:before="40" w:after="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193A82"/>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3A82"/>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ductioncopy">
    <w:name w:val="Introduction copy"/>
    <w:basedOn w:val="Normal"/>
    <w:qFormat/>
    <w:rsid w:val="004E6414"/>
    <w:pPr>
      <w:spacing w:after="280"/>
    </w:pPr>
    <w:rPr>
      <w:color w:val="7F7F7F" w:themeColor="text1" w:themeTint="80"/>
      <w:sz w:val="28"/>
      <w:szCs w:val="28"/>
    </w:rPr>
  </w:style>
  <w:style w:type="character" w:customStyle="1" w:styleId="Heading1Char">
    <w:name w:val="Heading 1 Char"/>
    <w:basedOn w:val="DefaultParagraphFont"/>
    <w:link w:val="Heading1"/>
    <w:uiPriority w:val="9"/>
    <w:rsid w:val="00121A3F"/>
    <w:rPr>
      <w:rFonts w:asciiTheme="majorHAnsi" w:eastAsiaTheme="majorEastAsia" w:hAnsiTheme="majorHAnsi" w:cstheme="majorBidi"/>
      <w:color w:val="16A3A7"/>
      <w:sz w:val="40"/>
      <w:szCs w:val="32"/>
    </w:rPr>
  </w:style>
  <w:style w:type="character" w:customStyle="1" w:styleId="Heading2Char">
    <w:name w:val="Heading 2 Char"/>
    <w:basedOn w:val="DefaultParagraphFont"/>
    <w:link w:val="Heading2"/>
    <w:uiPriority w:val="9"/>
    <w:rsid w:val="00AF1E95"/>
    <w:rPr>
      <w:b/>
      <w:color w:val="595959" w:themeColor="text1" w:themeTint="A6"/>
      <w:sz w:val="28"/>
      <w:szCs w:val="18"/>
    </w:rPr>
  </w:style>
  <w:style w:type="paragraph" w:styleId="ListBullet">
    <w:name w:val="List Bullet"/>
    <w:basedOn w:val="Normal"/>
    <w:uiPriority w:val="99"/>
    <w:unhideWhenUsed/>
    <w:rsid w:val="008F6B7D"/>
    <w:pPr>
      <w:numPr>
        <w:numId w:val="4"/>
      </w:numPr>
      <w:spacing w:before="0" w:after="60"/>
      <w:contextualSpacing/>
    </w:pPr>
  </w:style>
  <w:style w:type="paragraph" w:styleId="ListBullet2">
    <w:name w:val="List Bullet 2"/>
    <w:basedOn w:val="Normal"/>
    <w:uiPriority w:val="99"/>
    <w:unhideWhenUsed/>
    <w:rsid w:val="008F6B7D"/>
    <w:pPr>
      <w:numPr>
        <w:numId w:val="3"/>
      </w:numPr>
      <w:spacing w:before="0" w:after="60"/>
      <w:contextualSpacing/>
    </w:pPr>
  </w:style>
  <w:style w:type="paragraph" w:styleId="ListBullet3">
    <w:name w:val="List Bullet 3"/>
    <w:basedOn w:val="Normal"/>
    <w:uiPriority w:val="99"/>
    <w:unhideWhenUsed/>
    <w:rsid w:val="008F6B7D"/>
    <w:pPr>
      <w:numPr>
        <w:numId w:val="2"/>
      </w:numPr>
      <w:spacing w:before="0" w:after="60"/>
      <w:contextualSpacing/>
    </w:pPr>
  </w:style>
  <w:style w:type="paragraph" w:styleId="ListBullet4">
    <w:name w:val="List Bullet 4"/>
    <w:basedOn w:val="Normal"/>
    <w:uiPriority w:val="99"/>
    <w:unhideWhenUsed/>
    <w:rsid w:val="008F6B7D"/>
    <w:pPr>
      <w:numPr>
        <w:numId w:val="1"/>
      </w:numPr>
      <w:spacing w:before="0" w:after="60"/>
      <w:contextualSpacing/>
    </w:pPr>
  </w:style>
  <w:style w:type="paragraph" w:styleId="Header">
    <w:name w:val="header"/>
    <w:basedOn w:val="Normal"/>
    <w:link w:val="HeaderChar"/>
    <w:uiPriority w:val="99"/>
    <w:unhideWhenUsed/>
    <w:rsid w:val="008F6B7D"/>
    <w:pPr>
      <w:tabs>
        <w:tab w:val="center" w:pos="4680"/>
        <w:tab w:val="right" w:pos="9360"/>
      </w:tabs>
      <w:spacing w:before="0" w:after="0"/>
    </w:pPr>
  </w:style>
  <w:style w:type="character" w:customStyle="1" w:styleId="HeaderChar">
    <w:name w:val="Header Char"/>
    <w:basedOn w:val="DefaultParagraphFont"/>
    <w:link w:val="Header"/>
    <w:uiPriority w:val="99"/>
    <w:rsid w:val="008F6B7D"/>
    <w:rPr>
      <w:sz w:val="18"/>
      <w:szCs w:val="18"/>
    </w:rPr>
  </w:style>
  <w:style w:type="paragraph" w:styleId="Footer">
    <w:name w:val="footer"/>
    <w:basedOn w:val="Normal"/>
    <w:link w:val="FooterChar"/>
    <w:uiPriority w:val="99"/>
    <w:unhideWhenUsed/>
    <w:rsid w:val="008F6B7D"/>
    <w:pPr>
      <w:tabs>
        <w:tab w:val="center" w:pos="4680"/>
        <w:tab w:val="right" w:pos="9360"/>
      </w:tabs>
      <w:spacing w:before="0" w:after="0"/>
    </w:pPr>
  </w:style>
  <w:style w:type="character" w:customStyle="1" w:styleId="FooterChar">
    <w:name w:val="Footer Char"/>
    <w:basedOn w:val="DefaultParagraphFont"/>
    <w:link w:val="Footer"/>
    <w:uiPriority w:val="99"/>
    <w:rsid w:val="008F6B7D"/>
    <w:rPr>
      <w:sz w:val="18"/>
      <w:szCs w:val="18"/>
    </w:rPr>
  </w:style>
  <w:style w:type="paragraph" w:styleId="Title">
    <w:name w:val="Title"/>
    <w:basedOn w:val="Header"/>
    <w:next w:val="Normal"/>
    <w:link w:val="TitleChar"/>
    <w:uiPriority w:val="10"/>
    <w:qFormat/>
    <w:rsid w:val="005929A2"/>
    <w:pPr>
      <w:spacing w:after="60"/>
    </w:pPr>
    <w:rPr>
      <w:rFonts w:asciiTheme="majorHAnsi" w:hAnsiTheme="majorHAnsi" w:cstheme="majorHAnsi"/>
      <w:sz w:val="52"/>
      <w:szCs w:val="44"/>
    </w:rPr>
  </w:style>
  <w:style w:type="character" w:customStyle="1" w:styleId="TitleChar">
    <w:name w:val="Title Char"/>
    <w:basedOn w:val="DefaultParagraphFont"/>
    <w:link w:val="Title"/>
    <w:uiPriority w:val="10"/>
    <w:rsid w:val="005929A2"/>
    <w:rPr>
      <w:rFonts w:asciiTheme="majorHAnsi" w:hAnsiTheme="majorHAnsi" w:cstheme="majorHAnsi"/>
      <w:color w:val="000000" w:themeColor="text1"/>
      <w:sz w:val="52"/>
      <w:szCs w:val="44"/>
    </w:rPr>
  </w:style>
  <w:style w:type="paragraph" w:styleId="Subtitle">
    <w:name w:val="Subtitle"/>
    <w:basedOn w:val="Normal"/>
    <w:next w:val="Normal"/>
    <w:link w:val="SubtitleChar"/>
    <w:uiPriority w:val="11"/>
    <w:qFormat/>
    <w:rsid w:val="000D5F1A"/>
    <w:pPr>
      <w:tabs>
        <w:tab w:val="center" w:pos="4680"/>
        <w:tab w:val="right" w:pos="9360"/>
      </w:tabs>
      <w:spacing w:before="0" w:after="0"/>
    </w:pPr>
    <w:rPr>
      <w:rFonts w:asciiTheme="majorHAnsi" w:hAnsiTheme="majorHAnsi" w:cstheme="majorHAnsi"/>
      <w:sz w:val="40"/>
      <w:szCs w:val="40"/>
    </w:rPr>
  </w:style>
  <w:style w:type="character" w:customStyle="1" w:styleId="SubtitleChar">
    <w:name w:val="Subtitle Char"/>
    <w:basedOn w:val="DefaultParagraphFont"/>
    <w:link w:val="Subtitle"/>
    <w:uiPriority w:val="11"/>
    <w:rsid w:val="000D5F1A"/>
    <w:rPr>
      <w:rFonts w:asciiTheme="majorHAnsi" w:hAnsiTheme="majorHAnsi" w:cstheme="majorHAnsi"/>
      <w:color w:val="000000" w:themeColor="text1"/>
      <w:sz w:val="40"/>
      <w:szCs w:val="40"/>
    </w:rPr>
  </w:style>
  <w:style w:type="table" w:styleId="TableGrid">
    <w:name w:val="Table Grid"/>
    <w:basedOn w:val="TableNormal"/>
    <w:uiPriority w:val="39"/>
    <w:rsid w:val="00F316F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orangetitle">
    <w:name w:val="Small orange title"/>
    <w:basedOn w:val="Normal"/>
    <w:qFormat/>
    <w:rsid w:val="009B1A69"/>
    <w:pPr>
      <w:spacing w:before="60" w:after="60"/>
    </w:pPr>
    <w:rPr>
      <w:rFonts w:ascii="Arial" w:eastAsia="Times New Roman" w:hAnsi="Arial" w:cs="Arial"/>
      <w:b/>
      <w:color w:val="E37607"/>
      <w:lang w:eastAsia="en-AU"/>
    </w:rPr>
  </w:style>
  <w:style w:type="paragraph" w:customStyle="1" w:styleId="Quotation">
    <w:name w:val="Quotation"/>
    <w:basedOn w:val="Normal"/>
    <w:qFormat/>
    <w:rsid w:val="00592140"/>
    <w:rPr>
      <w:i/>
      <w:color w:val="16A3A7"/>
      <w:sz w:val="28"/>
      <w:szCs w:val="28"/>
    </w:rPr>
  </w:style>
  <w:style w:type="character" w:customStyle="1" w:styleId="Heading3Char">
    <w:name w:val="Heading 3 Char"/>
    <w:basedOn w:val="DefaultParagraphFont"/>
    <w:link w:val="Heading3"/>
    <w:uiPriority w:val="9"/>
    <w:rsid w:val="007F1902"/>
    <w:rPr>
      <w:rFonts w:asciiTheme="majorHAnsi" w:eastAsiaTheme="majorEastAsia" w:hAnsiTheme="majorHAnsi" w:cstheme="majorBidi"/>
      <w:b/>
      <w:color w:val="595959" w:themeColor="text1" w:themeTint="A6"/>
      <w:sz w:val="22"/>
    </w:rPr>
  </w:style>
  <w:style w:type="character" w:customStyle="1" w:styleId="Heading4Char">
    <w:name w:val="Heading 4 Char"/>
    <w:basedOn w:val="DefaultParagraphFont"/>
    <w:link w:val="Heading4"/>
    <w:uiPriority w:val="9"/>
    <w:rsid w:val="0095677C"/>
    <w:rPr>
      <w:b/>
      <w:color w:val="000000" w:themeColor="text1"/>
      <w:sz w:val="20"/>
      <w:szCs w:val="18"/>
    </w:rPr>
  </w:style>
  <w:style w:type="paragraph" w:customStyle="1" w:styleId="Titlewithline">
    <w:name w:val="Title with line"/>
    <w:basedOn w:val="Smallorangetitle"/>
    <w:qFormat/>
    <w:rsid w:val="00121A3F"/>
    <w:pPr>
      <w:pBdr>
        <w:top w:val="single" w:sz="2" w:space="10" w:color="06B9BD"/>
      </w:pBdr>
    </w:pPr>
    <w:rPr>
      <w:color w:val="16A3A7"/>
    </w:rPr>
  </w:style>
  <w:style w:type="paragraph" w:customStyle="1" w:styleId="Tabletitle">
    <w:name w:val="Table title"/>
    <w:basedOn w:val="Tablecopy"/>
    <w:qFormat/>
    <w:rsid w:val="00B93B5C"/>
    <w:rPr>
      <w:b/>
    </w:rPr>
  </w:style>
  <w:style w:type="paragraph" w:customStyle="1" w:styleId="Tablecopy">
    <w:name w:val="Table copy"/>
    <w:basedOn w:val="Normal"/>
    <w:qFormat/>
    <w:rsid w:val="004E6414"/>
    <w:pPr>
      <w:spacing w:before="60" w:after="60"/>
    </w:pPr>
    <w:rPr>
      <w:rFonts w:ascii="Arial" w:eastAsia="Times New Roman" w:hAnsi="Arial" w:cs="Arial"/>
      <w:lang w:eastAsia="en-AU"/>
    </w:rPr>
  </w:style>
  <w:style w:type="table" w:styleId="TableGridLight">
    <w:name w:val="Grid Table Light"/>
    <w:basedOn w:val="TableNormal"/>
    <w:uiPriority w:val="40"/>
    <w:rsid w:val="00EF7A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F7AB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DOTTable">
    <w:name w:val="DOT Table"/>
    <w:basedOn w:val="TableNormal"/>
    <w:uiPriority w:val="99"/>
    <w:rsid w:val="00627AEC"/>
    <w:rPr>
      <w:sz w:val="18"/>
    </w:rPr>
    <w:tblPr/>
    <w:tblStylePr w:type="firstRow">
      <w:rPr>
        <w:rFonts w:asciiTheme="majorHAnsi" w:hAnsiTheme="majorHAnsi"/>
        <w:b/>
        <w:sz w:val="20"/>
      </w:rPr>
    </w:tblStylePr>
  </w:style>
  <w:style w:type="table" w:customStyle="1" w:styleId="DOTtable0">
    <w:name w:val="DOT table"/>
    <w:basedOn w:val="TableNormal"/>
    <w:uiPriority w:val="99"/>
    <w:rsid w:val="00F84D63"/>
    <w:rPr>
      <w:sz w:val="18"/>
    </w:rPr>
    <w:tblPr>
      <w:tblStyleRowBandSize w:val="1"/>
      <w:tblBorders>
        <w:top w:val="single" w:sz="4" w:space="0" w:color="808080" w:themeColor="background1" w:themeShade="80"/>
        <w:bottom w:val="single" w:sz="4" w:space="0" w:color="808080" w:themeColor="background1" w:themeShade="80"/>
      </w:tblBorders>
    </w:tblPr>
    <w:tcPr>
      <w:shd w:val="clear" w:color="auto" w:fill="auto"/>
      <w:vAlign w:val="center"/>
    </w:tcPr>
    <w:tblStylePr w:type="firstRow">
      <w:pPr>
        <w:jc w:val="left"/>
      </w:pPr>
      <w:rPr>
        <w:rFonts w:asciiTheme="majorHAnsi" w:hAnsiTheme="majorHAnsi"/>
        <w:b/>
        <w:color w:val="000000" w:themeColor="text1"/>
        <w:sz w:val="18"/>
      </w:rPr>
      <w:tblPr/>
      <w:tcPr>
        <w:tcBorders>
          <w:bottom w:val="single" w:sz="4" w:space="0" w:color="808080" w:themeColor="background1" w:themeShade="80"/>
        </w:tcBorders>
        <w:shd w:val="clear" w:color="auto" w:fill="D6ECED"/>
      </w:tcPr>
    </w:tblStylePr>
    <w:tblStylePr w:type="band1Horz">
      <w:tblPr/>
      <w:tcPr>
        <w:tcBorders>
          <w:top w:val="single" w:sz="4" w:space="0" w:color="808080" w:themeColor="background1" w:themeShade="80"/>
        </w:tcBorders>
        <w:shd w:val="clear" w:color="auto" w:fill="auto"/>
      </w:tcPr>
    </w:tblStylePr>
    <w:tblStylePr w:type="band2Horz">
      <w:tblPr/>
      <w:tcPr>
        <w:tcBorders>
          <w:top w:val="single" w:sz="4" w:space="0" w:color="808080" w:themeColor="background1" w:themeShade="80"/>
        </w:tcBorders>
        <w:shd w:val="clear" w:color="auto" w:fill="auto"/>
      </w:tcPr>
    </w:tblStylePr>
  </w:style>
  <w:style w:type="paragraph" w:styleId="TOCHeading">
    <w:name w:val="TOC Heading"/>
    <w:next w:val="Normal"/>
    <w:uiPriority w:val="39"/>
    <w:unhideWhenUsed/>
    <w:qFormat/>
    <w:rsid w:val="001C2386"/>
    <w:pPr>
      <w:spacing w:before="240" w:after="360"/>
    </w:pPr>
    <w:rPr>
      <w:rFonts w:asciiTheme="majorHAnsi" w:eastAsiaTheme="majorEastAsia" w:hAnsiTheme="majorHAnsi" w:cstheme="majorBidi"/>
      <w:color w:val="16A3A7"/>
      <w:sz w:val="40"/>
      <w:szCs w:val="32"/>
    </w:rPr>
  </w:style>
  <w:style w:type="character" w:customStyle="1" w:styleId="Heading5Char">
    <w:name w:val="Heading 5 Char"/>
    <w:basedOn w:val="DefaultParagraphFont"/>
    <w:link w:val="Heading5"/>
    <w:uiPriority w:val="9"/>
    <w:rsid w:val="0095677C"/>
    <w:rPr>
      <w:rFonts w:asciiTheme="majorHAnsi" w:eastAsiaTheme="majorEastAsia" w:hAnsiTheme="majorHAnsi" w:cstheme="majorBidi"/>
      <w:b/>
      <w:color w:val="000000" w:themeColor="text1"/>
      <w:sz w:val="20"/>
      <w:szCs w:val="20"/>
    </w:rPr>
  </w:style>
  <w:style w:type="paragraph" w:styleId="TOC1">
    <w:name w:val="toc 1"/>
    <w:basedOn w:val="Normal"/>
    <w:next w:val="Normal"/>
    <w:autoRedefine/>
    <w:uiPriority w:val="39"/>
    <w:unhideWhenUsed/>
    <w:rsid w:val="00123932"/>
    <w:pPr>
      <w:tabs>
        <w:tab w:val="left" w:pos="630"/>
        <w:tab w:val="right" w:leader="underscore" w:pos="9010"/>
      </w:tabs>
      <w:spacing w:before="280" w:after="0"/>
    </w:pPr>
    <w:rPr>
      <w:rFonts w:asciiTheme="majorHAnsi" w:hAnsiTheme="majorHAnsi" w:cs="Arial (Headings)"/>
      <w:b/>
      <w:bCs/>
      <w:noProof/>
      <w:szCs w:val="20"/>
    </w:rPr>
  </w:style>
  <w:style w:type="paragraph" w:styleId="TOC2">
    <w:name w:val="toc 2"/>
    <w:basedOn w:val="Normal"/>
    <w:next w:val="Normal"/>
    <w:autoRedefine/>
    <w:uiPriority w:val="39"/>
    <w:unhideWhenUsed/>
    <w:rsid w:val="00BA48CA"/>
    <w:pPr>
      <w:tabs>
        <w:tab w:val="left" w:pos="1134"/>
        <w:tab w:val="right" w:pos="9010"/>
      </w:tabs>
      <w:spacing w:before="40" w:after="40"/>
      <w:ind w:left="624"/>
    </w:pPr>
    <w:rPr>
      <w:rFonts w:cs="Arial (Body)"/>
      <w:bCs/>
      <w:noProof/>
      <w:szCs w:val="20"/>
    </w:rPr>
  </w:style>
  <w:style w:type="paragraph" w:styleId="TOC3">
    <w:name w:val="toc 3"/>
    <w:basedOn w:val="TOC2"/>
    <w:next w:val="Normal"/>
    <w:autoRedefine/>
    <w:uiPriority w:val="39"/>
    <w:unhideWhenUsed/>
    <w:rsid w:val="00A614ED"/>
    <w:pPr>
      <w:tabs>
        <w:tab w:val="left" w:pos="1985"/>
      </w:tabs>
      <w:ind w:left="1134"/>
    </w:pPr>
  </w:style>
  <w:style w:type="paragraph" w:styleId="TOC4">
    <w:name w:val="toc 4"/>
    <w:basedOn w:val="Normal"/>
    <w:next w:val="Normal"/>
    <w:autoRedefine/>
    <w:uiPriority w:val="39"/>
    <w:unhideWhenUsed/>
    <w:rsid w:val="00C108D7"/>
    <w:pPr>
      <w:spacing w:before="0" w:after="0"/>
    </w:pPr>
    <w:rPr>
      <w:rFonts w:cstheme="minorHAnsi"/>
      <w:szCs w:val="20"/>
    </w:rPr>
  </w:style>
  <w:style w:type="paragraph" w:styleId="TOC5">
    <w:name w:val="toc 5"/>
    <w:basedOn w:val="Normal"/>
    <w:next w:val="Normal"/>
    <w:autoRedefine/>
    <w:uiPriority w:val="39"/>
    <w:unhideWhenUsed/>
    <w:rsid w:val="00C108D7"/>
    <w:pPr>
      <w:spacing w:before="0" w:after="0"/>
    </w:pPr>
    <w:rPr>
      <w:rFonts w:cstheme="minorHAnsi"/>
      <w:szCs w:val="20"/>
    </w:rPr>
  </w:style>
  <w:style w:type="paragraph" w:styleId="TOC6">
    <w:name w:val="toc 6"/>
    <w:basedOn w:val="Normal"/>
    <w:next w:val="Normal"/>
    <w:autoRedefine/>
    <w:uiPriority w:val="39"/>
    <w:unhideWhenUsed/>
    <w:rsid w:val="00C108D7"/>
    <w:pPr>
      <w:spacing w:before="0" w:after="0"/>
    </w:pPr>
    <w:rPr>
      <w:rFonts w:cstheme="minorHAnsi"/>
      <w:szCs w:val="20"/>
    </w:rPr>
  </w:style>
  <w:style w:type="paragraph" w:styleId="TOC7">
    <w:name w:val="toc 7"/>
    <w:basedOn w:val="Normal"/>
    <w:next w:val="Normal"/>
    <w:autoRedefine/>
    <w:uiPriority w:val="39"/>
    <w:unhideWhenUsed/>
    <w:rsid w:val="00C108D7"/>
    <w:pPr>
      <w:spacing w:before="0" w:after="0"/>
    </w:pPr>
    <w:rPr>
      <w:rFonts w:cstheme="minorHAnsi"/>
      <w:szCs w:val="20"/>
    </w:rPr>
  </w:style>
  <w:style w:type="paragraph" w:styleId="TOC8">
    <w:name w:val="toc 8"/>
    <w:basedOn w:val="Normal"/>
    <w:next w:val="Normal"/>
    <w:autoRedefine/>
    <w:uiPriority w:val="39"/>
    <w:unhideWhenUsed/>
    <w:rsid w:val="00C108D7"/>
    <w:pPr>
      <w:spacing w:before="0" w:after="0"/>
    </w:pPr>
    <w:rPr>
      <w:rFonts w:cstheme="minorHAnsi"/>
      <w:szCs w:val="20"/>
    </w:rPr>
  </w:style>
  <w:style w:type="paragraph" w:styleId="TOC9">
    <w:name w:val="toc 9"/>
    <w:basedOn w:val="Normal"/>
    <w:next w:val="Normal"/>
    <w:autoRedefine/>
    <w:uiPriority w:val="39"/>
    <w:unhideWhenUsed/>
    <w:rsid w:val="00C108D7"/>
    <w:pPr>
      <w:spacing w:before="0" w:after="0"/>
    </w:pPr>
    <w:rPr>
      <w:rFonts w:cstheme="minorHAnsi"/>
      <w:szCs w:val="20"/>
    </w:rPr>
  </w:style>
  <w:style w:type="character" w:styleId="Hyperlink">
    <w:name w:val="Hyperlink"/>
    <w:basedOn w:val="DefaultParagraphFont"/>
    <w:uiPriority w:val="99"/>
    <w:unhideWhenUsed/>
    <w:rsid w:val="00BA371A"/>
    <w:rPr>
      <w:color w:val="E37607" w:themeColor="hyperlink"/>
      <w:u w:val="single"/>
    </w:rPr>
  </w:style>
  <w:style w:type="character" w:styleId="PageNumber">
    <w:name w:val="page number"/>
    <w:basedOn w:val="DefaultParagraphFont"/>
    <w:uiPriority w:val="99"/>
    <w:semiHidden/>
    <w:unhideWhenUsed/>
    <w:rsid w:val="00BE1DA0"/>
  </w:style>
  <w:style w:type="character" w:customStyle="1" w:styleId="Heading6Char">
    <w:name w:val="Heading 6 Char"/>
    <w:basedOn w:val="DefaultParagraphFont"/>
    <w:link w:val="Heading6"/>
    <w:uiPriority w:val="9"/>
    <w:rsid w:val="007F1902"/>
    <w:rPr>
      <w:rFonts w:asciiTheme="majorHAnsi" w:eastAsiaTheme="majorEastAsia" w:hAnsiTheme="majorHAnsi" w:cstheme="majorBidi"/>
      <w:color w:val="000000" w:themeColor="text1"/>
      <w:sz w:val="18"/>
      <w:szCs w:val="18"/>
    </w:rPr>
  </w:style>
  <w:style w:type="character" w:customStyle="1" w:styleId="Heading7Char">
    <w:name w:val="Heading 7 Char"/>
    <w:basedOn w:val="DefaultParagraphFont"/>
    <w:link w:val="Heading7"/>
    <w:uiPriority w:val="9"/>
    <w:rsid w:val="007F1902"/>
    <w:rPr>
      <w:rFonts w:asciiTheme="majorHAnsi" w:eastAsiaTheme="majorEastAsia" w:hAnsiTheme="majorHAnsi" w:cstheme="majorBidi"/>
      <w:i/>
      <w:iCs/>
      <w:color w:val="000000" w:themeColor="text1"/>
      <w:sz w:val="18"/>
      <w:szCs w:val="18"/>
    </w:rPr>
  </w:style>
  <w:style w:type="paragraph" w:customStyle="1" w:styleId="SectionBreakTitle">
    <w:name w:val="Section Break Title"/>
    <w:basedOn w:val="Title"/>
    <w:qFormat/>
    <w:rsid w:val="00B12F9B"/>
    <w:rPr>
      <w:sz w:val="44"/>
    </w:rPr>
  </w:style>
  <w:style w:type="paragraph" w:customStyle="1" w:styleId="Sectionbreaksubheading">
    <w:name w:val="Section break subheading"/>
    <w:basedOn w:val="Subtitle"/>
    <w:qFormat/>
    <w:rsid w:val="00ED4E8B"/>
    <w:rPr>
      <w:color w:val="595959" w:themeColor="text1" w:themeTint="A6"/>
      <w:sz w:val="36"/>
    </w:rPr>
  </w:style>
  <w:style w:type="character" w:customStyle="1" w:styleId="Heading8Char">
    <w:name w:val="Heading 8 Char"/>
    <w:basedOn w:val="DefaultParagraphFont"/>
    <w:link w:val="Heading8"/>
    <w:uiPriority w:val="9"/>
    <w:semiHidden/>
    <w:rsid w:val="00193A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3A82"/>
    <w:rPr>
      <w:rFonts w:asciiTheme="majorHAnsi" w:eastAsiaTheme="majorEastAsia" w:hAnsiTheme="majorHAnsi" w:cstheme="majorBidi"/>
      <w:i/>
      <w:iCs/>
      <w:color w:val="272727" w:themeColor="text1" w:themeTint="D8"/>
      <w:sz w:val="21"/>
      <w:szCs w:val="21"/>
    </w:rPr>
  </w:style>
  <w:style w:type="paragraph" w:styleId="ListParagraph">
    <w:name w:val="List Paragraph"/>
    <w:aliases w:val="DdeM List Paragraph"/>
    <w:basedOn w:val="Normal"/>
    <w:link w:val="ListParagraphChar"/>
    <w:uiPriority w:val="34"/>
    <w:qFormat/>
    <w:rsid w:val="00D91342"/>
    <w:pPr>
      <w:spacing w:before="0" w:after="0"/>
      <w:ind w:left="720"/>
      <w:contextualSpacing/>
    </w:pPr>
    <w:rPr>
      <w:rFonts w:ascii="Times New Roman" w:eastAsia="Times New Roman" w:hAnsi="Times New Roman" w:cs="Times New Roman"/>
      <w:color w:val="53565A"/>
      <w:sz w:val="24"/>
      <w:szCs w:val="24"/>
      <w:lang w:eastAsia="en-AU"/>
    </w:rPr>
  </w:style>
  <w:style w:type="character" w:customStyle="1" w:styleId="ListParagraphChar">
    <w:name w:val="List Paragraph Char"/>
    <w:aliases w:val="DdeM List Paragraph Char"/>
    <w:basedOn w:val="DefaultParagraphFont"/>
    <w:link w:val="ListParagraph"/>
    <w:uiPriority w:val="34"/>
    <w:rsid w:val="00D91342"/>
    <w:rPr>
      <w:rFonts w:ascii="Times New Roman" w:eastAsia="Times New Roman" w:hAnsi="Times New Roman" w:cs="Times New Roman"/>
      <w:color w:val="53565A"/>
      <w:lang w:eastAsia="en-AU"/>
    </w:rPr>
  </w:style>
  <w:style w:type="paragraph" w:styleId="FootnoteText">
    <w:name w:val="footnote text"/>
    <w:aliases w:val="AR Footnote Text"/>
    <w:basedOn w:val="Normal"/>
    <w:link w:val="FootnoteTextChar"/>
    <w:uiPriority w:val="99"/>
    <w:unhideWhenUsed/>
    <w:qFormat/>
    <w:rsid w:val="008F6844"/>
    <w:pPr>
      <w:spacing w:before="0" w:after="0"/>
    </w:pPr>
    <w:rPr>
      <w:rFonts w:ascii="Arial" w:eastAsia="Times New Roman" w:hAnsi="Arial" w:cs="Times New Roman"/>
      <w:color w:val="53565A"/>
      <w:szCs w:val="20"/>
    </w:rPr>
  </w:style>
  <w:style w:type="character" w:customStyle="1" w:styleId="FootnoteTextChar">
    <w:name w:val="Footnote Text Char"/>
    <w:aliases w:val="AR Footnote Text Char"/>
    <w:basedOn w:val="DefaultParagraphFont"/>
    <w:link w:val="FootnoteText"/>
    <w:uiPriority w:val="99"/>
    <w:rsid w:val="008F6844"/>
    <w:rPr>
      <w:rFonts w:ascii="Arial" w:eastAsia="Times New Roman" w:hAnsi="Arial" w:cs="Times New Roman"/>
      <w:color w:val="53565A"/>
      <w:sz w:val="20"/>
      <w:szCs w:val="20"/>
    </w:rPr>
  </w:style>
  <w:style w:type="character" w:styleId="FootnoteReference">
    <w:name w:val="footnote reference"/>
    <w:basedOn w:val="DefaultParagraphFont"/>
    <w:unhideWhenUsed/>
    <w:rsid w:val="008F6844"/>
    <w:rPr>
      <w:vertAlign w:val="superscript"/>
    </w:rPr>
  </w:style>
  <w:style w:type="paragraph" w:customStyle="1" w:styleId="bodyCopy">
    <w:name w:val="#  body Copy"/>
    <w:basedOn w:val="Normal"/>
    <w:rsid w:val="00A91593"/>
    <w:pPr>
      <w:spacing w:before="120" w:after="200"/>
    </w:pPr>
    <w:rPr>
      <w:rFonts w:ascii="Tahoma" w:eastAsia="Times New Roman" w:hAnsi="Tahoma" w:cs="Times New Roman"/>
      <w:color w:val="000000"/>
      <w:szCs w:val="20"/>
    </w:rPr>
  </w:style>
  <w:style w:type="paragraph" w:customStyle="1" w:styleId="Appendix1">
    <w:name w:val="Appendix 1"/>
    <w:basedOn w:val="Normal"/>
    <w:qFormat/>
    <w:rsid w:val="00A91593"/>
    <w:pPr>
      <w:pageBreakBefore/>
      <w:numPr>
        <w:numId w:val="5"/>
      </w:numPr>
      <w:spacing w:before="120" w:after="120"/>
      <w:ind w:left="567" w:hanging="567"/>
      <w:outlineLvl w:val="0"/>
    </w:pPr>
    <w:rPr>
      <w:rFonts w:ascii="Tahoma" w:eastAsia="Times New Roman" w:hAnsi="Tahoma" w:cs="Times New Roman"/>
      <w:color w:val="auto"/>
      <w:sz w:val="40"/>
      <w:szCs w:val="40"/>
    </w:rPr>
  </w:style>
  <w:style w:type="paragraph" w:customStyle="1" w:styleId="bulletL1">
    <w:name w:val="# bullet L1"/>
    <w:basedOn w:val="Normal"/>
    <w:rsid w:val="00C71CF2"/>
    <w:pPr>
      <w:numPr>
        <w:numId w:val="6"/>
      </w:numPr>
      <w:spacing w:before="0" w:after="60"/>
    </w:pPr>
    <w:rPr>
      <w:rFonts w:ascii="Tahoma" w:eastAsia="Times New Roman" w:hAnsi="Tahoma" w:cs="Times New Roman"/>
      <w:color w:val="auto"/>
      <w:szCs w:val="20"/>
    </w:rPr>
  </w:style>
  <w:style w:type="paragraph" w:customStyle="1" w:styleId="bulletL2">
    <w:name w:val="# bullet L2"/>
    <w:basedOn w:val="Normal"/>
    <w:rsid w:val="00C71CF2"/>
    <w:pPr>
      <w:numPr>
        <w:ilvl w:val="1"/>
        <w:numId w:val="6"/>
      </w:numPr>
      <w:tabs>
        <w:tab w:val="clear" w:pos="1080"/>
        <w:tab w:val="num" w:pos="709"/>
      </w:tabs>
      <w:spacing w:before="0" w:after="60"/>
      <w:ind w:left="709" w:hanging="284"/>
    </w:pPr>
    <w:rPr>
      <w:rFonts w:ascii="Tahoma" w:eastAsia="Times New Roman" w:hAnsi="Tahoma" w:cs="Times New Roman"/>
      <w:color w:val="auto"/>
      <w:szCs w:val="20"/>
    </w:rPr>
  </w:style>
  <w:style w:type="paragraph" w:styleId="NormalWeb">
    <w:name w:val="Normal (Web)"/>
    <w:basedOn w:val="Normal"/>
    <w:uiPriority w:val="99"/>
    <w:unhideWhenUsed/>
    <w:rsid w:val="00E324FA"/>
    <w:pPr>
      <w:spacing w:before="100" w:beforeAutospacing="1" w:after="100" w:afterAutospacing="1"/>
    </w:pPr>
    <w:rPr>
      <w:rFonts w:ascii="Times New Roman" w:eastAsia="Times New Roman" w:hAnsi="Times New Roman" w:cs="Times New Roman"/>
      <w:color w:val="auto"/>
      <w:sz w:val="24"/>
      <w:szCs w:val="24"/>
      <w:lang w:eastAsia="en-AU"/>
    </w:rPr>
  </w:style>
  <w:style w:type="paragraph" w:styleId="ListNumber">
    <w:name w:val="List Number"/>
    <w:aliases w:val="CDSE Heading 1"/>
    <w:basedOn w:val="Normal"/>
    <w:autoRedefine/>
    <w:semiHidden/>
    <w:rsid w:val="00E324FA"/>
    <w:pPr>
      <w:numPr>
        <w:numId w:val="7"/>
      </w:numPr>
      <w:spacing w:before="0" w:after="0"/>
    </w:pPr>
    <w:rPr>
      <w:rFonts w:ascii="Arial" w:eastAsia="Times New Roman" w:hAnsi="Arial" w:cs="Times New Roman"/>
      <w:b/>
      <w:color w:val="auto"/>
      <w:sz w:val="24"/>
      <w:szCs w:val="24"/>
      <w:lang w:eastAsia="en-AU"/>
    </w:rPr>
  </w:style>
  <w:style w:type="paragraph" w:styleId="BalloonText">
    <w:name w:val="Balloon Text"/>
    <w:basedOn w:val="Normal"/>
    <w:link w:val="BalloonTextChar"/>
    <w:uiPriority w:val="99"/>
    <w:semiHidden/>
    <w:unhideWhenUsed/>
    <w:rsid w:val="00E324FA"/>
    <w:pPr>
      <w:spacing w:before="0" w:after="0"/>
    </w:pPr>
    <w:rPr>
      <w:rFonts w:ascii="Segoe UI" w:hAnsi="Segoe UI" w:cs="Segoe UI"/>
      <w:sz w:val="18"/>
    </w:rPr>
  </w:style>
  <w:style w:type="character" w:customStyle="1" w:styleId="BalloonTextChar">
    <w:name w:val="Balloon Text Char"/>
    <w:basedOn w:val="DefaultParagraphFont"/>
    <w:link w:val="BalloonText"/>
    <w:uiPriority w:val="99"/>
    <w:semiHidden/>
    <w:rsid w:val="00E324FA"/>
    <w:rPr>
      <w:rFonts w:ascii="Segoe UI" w:hAnsi="Segoe UI" w:cs="Segoe UI"/>
      <w:color w:val="000000" w:themeColor="text1"/>
      <w:sz w:val="18"/>
      <w:szCs w:val="18"/>
    </w:rPr>
  </w:style>
  <w:style w:type="paragraph" w:customStyle="1" w:styleId="AppendixStyle1">
    <w:name w:val="Appendix Style 1"/>
    <w:basedOn w:val="Normal"/>
    <w:next w:val="bodyCopy"/>
    <w:qFormat/>
    <w:rsid w:val="00816D81"/>
    <w:pPr>
      <w:pageBreakBefore/>
      <w:numPr>
        <w:numId w:val="8"/>
      </w:numPr>
      <w:spacing w:before="120" w:after="120"/>
    </w:pPr>
    <w:rPr>
      <w:rFonts w:ascii="Tahoma" w:eastAsia="Times New Roman" w:hAnsi="Tahoma" w:cs="Times New Roman"/>
      <w:caps/>
      <w:color w:val="auto"/>
      <w:sz w:val="40"/>
      <w:szCs w:val="40"/>
    </w:rPr>
  </w:style>
  <w:style w:type="paragraph" w:styleId="Caption">
    <w:name w:val="caption"/>
    <w:aliases w:val="Caption Tables"/>
    <w:basedOn w:val="Normal"/>
    <w:next w:val="Normal"/>
    <w:link w:val="CaptionChar"/>
    <w:uiPriority w:val="35"/>
    <w:unhideWhenUsed/>
    <w:qFormat/>
    <w:rsid w:val="00B70667"/>
    <w:pPr>
      <w:spacing w:before="0" w:after="200"/>
    </w:pPr>
    <w:rPr>
      <w:i/>
      <w:iCs/>
      <w:color w:val="0A1F3F" w:themeColor="text2"/>
      <w:sz w:val="18"/>
    </w:rPr>
  </w:style>
  <w:style w:type="paragraph" w:styleId="BodyText">
    <w:name w:val="Body Text"/>
    <w:basedOn w:val="Normal"/>
    <w:link w:val="BodyTextChar"/>
    <w:qFormat/>
    <w:rsid w:val="00AD1ED3"/>
    <w:pPr>
      <w:spacing w:before="80" w:after="80"/>
    </w:pPr>
    <w:rPr>
      <w:color w:val="auto"/>
      <w:sz w:val="22"/>
      <w:szCs w:val="22"/>
    </w:rPr>
  </w:style>
  <w:style w:type="character" w:customStyle="1" w:styleId="BodyTextChar">
    <w:name w:val="Body Text Char"/>
    <w:basedOn w:val="DefaultParagraphFont"/>
    <w:link w:val="BodyText"/>
    <w:rsid w:val="00AD1ED3"/>
    <w:rPr>
      <w:sz w:val="22"/>
      <w:szCs w:val="22"/>
    </w:rPr>
  </w:style>
  <w:style w:type="paragraph" w:customStyle="1" w:styleId="Bullet1">
    <w:name w:val="Bullet_1"/>
    <w:basedOn w:val="BodyText"/>
    <w:qFormat/>
    <w:rsid w:val="00AD1ED3"/>
    <w:pPr>
      <w:numPr>
        <w:numId w:val="9"/>
      </w:numPr>
    </w:pPr>
  </w:style>
  <w:style w:type="paragraph" w:customStyle="1" w:styleId="Bullet2">
    <w:name w:val="Bullet_2"/>
    <w:basedOn w:val="BodyText"/>
    <w:qFormat/>
    <w:rsid w:val="00AD1ED3"/>
    <w:pPr>
      <w:numPr>
        <w:ilvl w:val="1"/>
        <w:numId w:val="9"/>
      </w:numPr>
    </w:pPr>
  </w:style>
  <w:style w:type="paragraph" w:customStyle="1" w:styleId="Bullet3">
    <w:name w:val="Bullet_3"/>
    <w:basedOn w:val="BodyText"/>
    <w:qFormat/>
    <w:rsid w:val="00AD1ED3"/>
    <w:pPr>
      <w:numPr>
        <w:ilvl w:val="2"/>
        <w:numId w:val="9"/>
      </w:numPr>
    </w:pPr>
  </w:style>
  <w:style w:type="paragraph" w:customStyle="1" w:styleId="DraftHeading4">
    <w:name w:val="Draft Heading 4"/>
    <w:basedOn w:val="Normal"/>
    <w:next w:val="Normal"/>
    <w:link w:val="DraftHeading4Char"/>
    <w:rsid w:val="00076230"/>
    <w:pPr>
      <w:overflowPunct w:val="0"/>
      <w:autoSpaceDE w:val="0"/>
      <w:autoSpaceDN w:val="0"/>
      <w:adjustRightInd w:val="0"/>
      <w:spacing w:before="120" w:after="0"/>
      <w:textAlignment w:val="baseline"/>
    </w:pPr>
    <w:rPr>
      <w:rFonts w:ascii="Times New Roman" w:eastAsia="Times New Roman" w:hAnsi="Times New Roman" w:cs="Times New Roman"/>
      <w:color w:val="auto"/>
      <w:sz w:val="24"/>
      <w:szCs w:val="20"/>
    </w:rPr>
  </w:style>
  <w:style w:type="character" w:customStyle="1" w:styleId="DraftHeading4Char">
    <w:name w:val="Draft Heading 4 Char"/>
    <w:basedOn w:val="DefaultParagraphFont"/>
    <w:link w:val="DraftHeading4"/>
    <w:rsid w:val="00076230"/>
    <w:rPr>
      <w:rFonts w:ascii="Times New Roman" w:eastAsia="Times New Roman" w:hAnsi="Times New Roman" w:cs="Times New Roman"/>
      <w:szCs w:val="20"/>
    </w:rPr>
  </w:style>
  <w:style w:type="paragraph" w:customStyle="1" w:styleId="TableTitle0">
    <w:name w:val="Table Title"/>
    <w:qFormat/>
    <w:rsid w:val="00E4206B"/>
    <w:pPr>
      <w:spacing w:before="240" w:after="120" w:line="240" w:lineRule="exact"/>
    </w:pPr>
    <w:rPr>
      <w:b/>
      <w:szCs w:val="22"/>
    </w:rPr>
  </w:style>
  <w:style w:type="table" w:customStyle="1" w:styleId="ListTable3-Accent41">
    <w:name w:val="List Table 3 - Accent 41"/>
    <w:aliases w:val="TfVTable"/>
    <w:basedOn w:val="TableNormal"/>
    <w:uiPriority w:val="48"/>
    <w:rsid w:val="00E4206B"/>
    <w:rPr>
      <w:sz w:val="22"/>
      <w:szCs w:val="22"/>
    </w:rPr>
    <w:tblPr>
      <w:tblStyleRowBandSize w:val="1"/>
      <w:tblStyleColBandSize w:val="1"/>
      <w:tblBorders>
        <w:top w:val="single" w:sz="4" w:space="0" w:color="555857" w:themeColor="accent4"/>
        <w:bottom w:val="single" w:sz="4" w:space="0" w:color="555857" w:themeColor="accent4"/>
      </w:tblBorders>
    </w:tblPr>
    <w:tblStylePr w:type="firstRow">
      <w:rPr>
        <w:b/>
        <w:bCs/>
        <w:color w:val="FFFFFF" w:themeColor="background1"/>
      </w:rPr>
      <w:tblPr/>
      <w:trPr>
        <w:cantSplit/>
        <w:tblHeader/>
      </w:trPr>
      <w:tcPr>
        <w:shd w:val="clear" w:color="auto" w:fill="555857" w:themeFill="accent4"/>
      </w:tcPr>
    </w:tblStylePr>
    <w:tblStylePr w:type="lastRow">
      <w:rPr>
        <w:b/>
        <w:bCs/>
      </w:rPr>
      <w:tblPr/>
      <w:tcPr>
        <w:tcBorders>
          <w:top w:val="double" w:sz="4" w:space="0" w:color="55585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55857" w:themeColor="accent4"/>
          <w:right w:val="single" w:sz="4" w:space="0" w:color="555857" w:themeColor="accent4"/>
        </w:tcBorders>
      </w:tcPr>
    </w:tblStylePr>
    <w:tblStylePr w:type="band1Horz">
      <w:tblPr/>
      <w:tcPr>
        <w:tcBorders>
          <w:top w:val="single" w:sz="4" w:space="0" w:color="555857" w:themeColor="accent4"/>
          <w:bottom w:val="single" w:sz="4" w:space="0" w:color="55585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55857" w:themeColor="accent4"/>
          <w:left w:val="nil"/>
        </w:tcBorders>
      </w:tcPr>
    </w:tblStylePr>
    <w:tblStylePr w:type="swCell">
      <w:tblPr/>
      <w:tcPr>
        <w:tcBorders>
          <w:top w:val="double" w:sz="4" w:space="0" w:color="555857" w:themeColor="accent4"/>
          <w:right w:val="nil"/>
        </w:tcBorders>
      </w:tcPr>
    </w:tblStylePr>
  </w:style>
  <w:style w:type="character" w:styleId="UnresolvedMention">
    <w:name w:val="Unresolved Mention"/>
    <w:basedOn w:val="DefaultParagraphFont"/>
    <w:uiPriority w:val="99"/>
    <w:unhideWhenUsed/>
    <w:rsid w:val="004B3E0A"/>
    <w:rPr>
      <w:color w:val="605E5C"/>
      <w:shd w:val="clear" w:color="auto" w:fill="E1DFDD"/>
    </w:rPr>
  </w:style>
  <w:style w:type="paragraph" w:styleId="CommentText">
    <w:name w:val="annotation text"/>
    <w:basedOn w:val="Normal"/>
    <w:link w:val="CommentTextChar"/>
    <w:uiPriority w:val="99"/>
    <w:unhideWhenUsed/>
    <w:rsid w:val="00DB6DF4"/>
    <w:rPr>
      <w:szCs w:val="20"/>
    </w:rPr>
  </w:style>
  <w:style w:type="character" w:customStyle="1" w:styleId="CommentTextChar">
    <w:name w:val="Comment Text Char"/>
    <w:basedOn w:val="DefaultParagraphFont"/>
    <w:link w:val="CommentText"/>
    <w:uiPriority w:val="99"/>
    <w:rsid w:val="00DB6DF4"/>
    <w:rPr>
      <w:color w:val="000000" w:themeColor="text1"/>
      <w:sz w:val="20"/>
      <w:szCs w:val="20"/>
    </w:rPr>
  </w:style>
  <w:style w:type="character" w:styleId="CommentReference">
    <w:name w:val="annotation reference"/>
    <w:basedOn w:val="DefaultParagraphFont"/>
    <w:uiPriority w:val="99"/>
    <w:semiHidden/>
    <w:unhideWhenUsed/>
    <w:rsid w:val="004137DA"/>
    <w:rPr>
      <w:sz w:val="16"/>
      <w:szCs w:val="16"/>
    </w:rPr>
  </w:style>
  <w:style w:type="paragraph" w:styleId="CommentSubject">
    <w:name w:val="annotation subject"/>
    <w:basedOn w:val="CommentText"/>
    <w:next w:val="CommentText"/>
    <w:link w:val="CommentSubjectChar"/>
    <w:uiPriority w:val="99"/>
    <w:semiHidden/>
    <w:unhideWhenUsed/>
    <w:rsid w:val="004137DA"/>
    <w:rPr>
      <w:b/>
      <w:bCs/>
    </w:rPr>
  </w:style>
  <w:style w:type="character" w:customStyle="1" w:styleId="CommentSubjectChar">
    <w:name w:val="Comment Subject Char"/>
    <w:basedOn w:val="CommentTextChar"/>
    <w:link w:val="CommentSubject"/>
    <w:uiPriority w:val="99"/>
    <w:semiHidden/>
    <w:rsid w:val="004137DA"/>
    <w:rPr>
      <w:b/>
      <w:bCs/>
      <w:color w:val="000000" w:themeColor="text1"/>
      <w:sz w:val="20"/>
      <w:szCs w:val="20"/>
    </w:rPr>
  </w:style>
  <w:style w:type="character" w:styleId="Mention">
    <w:name w:val="Mention"/>
    <w:basedOn w:val="DefaultParagraphFont"/>
    <w:uiPriority w:val="99"/>
    <w:unhideWhenUsed/>
    <w:rsid w:val="007A6979"/>
    <w:rPr>
      <w:color w:val="2B579A"/>
      <w:shd w:val="clear" w:color="auto" w:fill="E1DFDD"/>
    </w:rPr>
  </w:style>
  <w:style w:type="paragraph" w:styleId="Revision">
    <w:name w:val="Revision"/>
    <w:hidden/>
    <w:uiPriority w:val="99"/>
    <w:semiHidden/>
    <w:rsid w:val="008C5BED"/>
    <w:rPr>
      <w:color w:val="000000" w:themeColor="text1"/>
      <w:sz w:val="20"/>
      <w:szCs w:val="18"/>
    </w:rPr>
  </w:style>
  <w:style w:type="paragraph" w:styleId="EndnoteText">
    <w:name w:val="endnote text"/>
    <w:basedOn w:val="Normal"/>
    <w:link w:val="EndnoteTextChar"/>
    <w:uiPriority w:val="99"/>
    <w:semiHidden/>
    <w:unhideWhenUsed/>
    <w:rsid w:val="002D58E2"/>
    <w:pPr>
      <w:spacing w:before="0" w:after="0"/>
    </w:pPr>
    <w:rPr>
      <w:szCs w:val="20"/>
    </w:rPr>
  </w:style>
  <w:style w:type="character" w:customStyle="1" w:styleId="EndnoteTextChar">
    <w:name w:val="Endnote Text Char"/>
    <w:basedOn w:val="DefaultParagraphFont"/>
    <w:link w:val="EndnoteText"/>
    <w:uiPriority w:val="99"/>
    <w:semiHidden/>
    <w:rsid w:val="002D58E2"/>
    <w:rPr>
      <w:color w:val="000000" w:themeColor="text1"/>
      <w:sz w:val="20"/>
      <w:szCs w:val="20"/>
    </w:rPr>
  </w:style>
  <w:style w:type="character" w:styleId="EndnoteReference">
    <w:name w:val="endnote reference"/>
    <w:basedOn w:val="DefaultParagraphFont"/>
    <w:uiPriority w:val="99"/>
    <w:semiHidden/>
    <w:unhideWhenUsed/>
    <w:rsid w:val="002D58E2"/>
    <w:rPr>
      <w:vertAlign w:val="superscript"/>
    </w:rPr>
  </w:style>
  <w:style w:type="character" w:styleId="FollowedHyperlink">
    <w:name w:val="FollowedHyperlink"/>
    <w:basedOn w:val="DefaultParagraphFont"/>
    <w:uiPriority w:val="99"/>
    <w:semiHidden/>
    <w:unhideWhenUsed/>
    <w:rsid w:val="001D16F1"/>
    <w:rPr>
      <w:color w:val="737071" w:themeColor="followedHyperlink"/>
      <w:u w:val="single"/>
    </w:rPr>
  </w:style>
  <w:style w:type="character" w:styleId="Strong">
    <w:name w:val="Strong"/>
    <w:basedOn w:val="DefaultParagraphFont"/>
    <w:uiPriority w:val="22"/>
    <w:qFormat/>
    <w:rsid w:val="00FF2F0B"/>
    <w:rPr>
      <w:b/>
      <w:bCs/>
    </w:rPr>
  </w:style>
  <w:style w:type="character" w:customStyle="1" w:styleId="CaptionChar">
    <w:name w:val="Caption Char"/>
    <w:aliases w:val="Caption Tables Char"/>
    <w:basedOn w:val="DefaultParagraphFont"/>
    <w:link w:val="Caption"/>
    <w:uiPriority w:val="35"/>
    <w:rsid w:val="00C141DF"/>
    <w:rPr>
      <w:i/>
      <w:iCs/>
      <w:color w:val="0A1F3F" w:themeColor="text2"/>
      <w:sz w:val="18"/>
      <w:szCs w:val="18"/>
    </w:rPr>
  </w:style>
  <w:style w:type="paragraph" w:styleId="TableofFigures">
    <w:name w:val="table of figures"/>
    <w:basedOn w:val="Normal"/>
    <w:next w:val="Normal"/>
    <w:uiPriority w:val="99"/>
    <w:unhideWhenUsed/>
    <w:rsid w:val="00ED49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4259">
      <w:bodyDiv w:val="1"/>
      <w:marLeft w:val="0"/>
      <w:marRight w:val="0"/>
      <w:marTop w:val="0"/>
      <w:marBottom w:val="0"/>
      <w:divBdr>
        <w:top w:val="none" w:sz="0" w:space="0" w:color="auto"/>
        <w:left w:val="none" w:sz="0" w:space="0" w:color="auto"/>
        <w:bottom w:val="none" w:sz="0" w:space="0" w:color="auto"/>
        <w:right w:val="none" w:sz="0" w:space="0" w:color="auto"/>
      </w:divBdr>
    </w:div>
    <w:div w:id="67044309">
      <w:bodyDiv w:val="1"/>
      <w:marLeft w:val="0"/>
      <w:marRight w:val="0"/>
      <w:marTop w:val="0"/>
      <w:marBottom w:val="0"/>
      <w:divBdr>
        <w:top w:val="none" w:sz="0" w:space="0" w:color="auto"/>
        <w:left w:val="none" w:sz="0" w:space="0" w:color="auto"/>
        <w:bottom w:val="none" w:sz="0" w:space="0" w:color="auto"/>
        <w:right w:val="none" w:sz="0" w:space="0" w:color="auto"/>
      </w:divBdr>
    </w:div>
    <w:div w:id="103234578">
      <w:bodyDiv w:val="1"/>
      <w:marLeft w:val="0"/>
      <w:marRight w:val="0"/>
      <w:marTop w:val="0"/>
      <w:marBottom w:val="0"/>
      <w:divBdr>
        <w:top w:val="none" w:sz="0" w:space="0" w:color="auto"/>
        <w:left w:val="none" w:sz="0" w:space="0" w:color="auto"/>
        <w:bottom w:val="none" w:sz="0" w:space="0" w:color="auto"/>
        <w:right w:val="none" w:sz="0" w:space="0" w:color="auto"/>
      </w:divBdr>
    </w:div>
    <w:div w:id="116535124">
      <w:bodyDiv w:val="1"/>
      <w:marLeft w:val="0"/>
      <w:marRight w:val="0"/>
      <w:marTop w:val="0"/>
      <w:marBottom w:val="0"/>
      <w:divBdr>
        <w:top w:val="none" w:sz="0" w:space="0" w:color="auto"/>
        <w:left w:val="none" w:sz="0" w:space="0" w:color="auto"/>
        <w:bottom w:val="none" w:sz="0" w:space="0" w:color="auto"/>
        <w:right w:val="none" w:sz="0" w:space="0" w:color="auto"/>
      </w:divBdr>
    </w:div>
    <w:div w:id="246185575">
      <w:bodyDiv w:val="1"/>
      <w:marLeft w:val="0"/>
      <w:marRight w:val="0"/>
      <w:marTop w:val="0"/>
      <w:marBottom w:val="0"/>
      <w:divBdr>
        <w:top w:val="none" w:sz="0" w:space="0" w:color="auto"/>
        <w:left w:val="none" w:sz="0" w:space="0" w:color="auto"/>
        <w:bottom w:val="none" w:sz="0" w:space="0" w:color="auto"/>
        <w:right w:val="none" w:sz="0" w:space="0" w:color="auto"/>
      </w:divBdr>
    </w:div>
    <w:div w:id="280460117">
      <w:bodyDiv w:val="1"/>
      <w:marLeft w:val="0"/>
      <w:marRight w:val="0"/>
      <w:marTop w:val="0"/>
      <w:marBottom w:val="0"/>
      <w:divBdr>
        <w:top w:val="none" w:sz="0" w:space="0" w:color="auto"/>
        <w:left w:val="none" w:sz="0" w:space="0" w:color="auto"/>
        <w:bottom w:val="none" w:sz="0" w:space="0" w:color="auto"/>
        <w:right w:val="none" w:sz="0" w:space="0" w:color="auto"/>
      </w:divBdr>
    </w:div>
    <w:div w:id="292176521">
      <w:bodyDiv w:val="1"/>
      <w:marLeft w:val="0"/>
      <w:marRight w:val="0"/>
      <w:marTop w:val="0"/>
      <w:marBottom w:val="0"/>
      <w:divBdr>
        <w:top w:val="none" w:sz="0" w:space="0" w:color="auto"/>
        <w:left w:val="none" w:sz="0" w:space="0" w:color="auto"/>
        <w:bottom w:val="none" w:sz="0" w:space="0" w:color="auto"/>
        <w:right w:val="none" w:sz="0" w:space="0" w:color="auto"/>
      </w:divBdr>
    </w:div>
    <w:div w:id="314457564">
      <w:bodyDiv w:val="1"/>
      <w:marLeft w:val="0"/>
      <w:marRight w:val="0"/>
      <w:marTop w:val="0"/>
      <w:marBottom w:val="0"/>
      <w:divBdr>
        <w:top w:val="none" w:sz="0" w:space="0" w:color="auto"/>
        <w:left w:val="none" w:sz="0" w:space="0" w:color="auto"/>
        <w:bottom w:val="none" w:sz="0" w:space="0" w:color="auto"/>
        <w:right w:val="none" w:sz="0" w:space="0" w:color="auto"/>
      </w:divBdr>
    </w:div>
    <w:div w:id="354237789">
      <w:bodyDiv w:val="1"/>
      <w:marLeft w:val="0"/>
      <w:marRight w:val="0"/>
      <w:marTop w:val="0"/>
      <w:marBottom w:val="0"/>
      <w:divBdr>
        <w:top w:val="none" w:sz="0" w:space="0" w:color="auto"/>
        <w:left w:val="none" w:sz="0" w:space="0" w:color="auto"/>
        <w:bottom w:val="none" w:sz="0" w:space="0" w:color="auto"/>
        <w:right w:val="none" w:sz="0" w:space="0" w:color="auto"/>
      </w:divBdr>
    </w:div>
    <w:div w:id="382366537">
      <w:bodyDiv w:val="1"/>
      <w:marLeft w:val="0"/>
      <w:marRight w:val="0"/>
      <w:marTop w:val="0"/>
      <w:marBottom w:val="0"/>
      <w:divBdr>
        <w:top w:val="none" w:sz="0" w:space="0" w:color="auto"/>
        <w:left w:val="none" w:sz="0" w:space="0" w:color="auto"/>
        <w:bottom w:val="none" w:sz="0" w:space="0" w:color="auto"/>
        <w:right w:val="none" w:sz="0" w:space="0" w:color="auto"/>
      </w:divBdr>
    </w:div>
    <w:div w:id="392393233">
      <w:bodyDiv w:val="1"/>
      <w:marLeft w:val="0"/>
      <w:marRight w:val="0"/>
      <w:marTop w:val="0"/>
      <w:marBottom w:val="0"/>
      <w:divBdr>
        <w:top w:val="none" w:sz="0" w:space="0" w:color="auto"/>
        <w:left w:val="none" w:sz="0" w:space="0" w:color="auto"/>
        <w:bottom w:val="none" w:sz="0" w:space="0" w:color="auto"/>
        <w:right w:val="none" w:sz="0" w:space="0" w:color="auto"/>
      </w:divBdr>
    </w:div>
    <w:div w:id="433474809">
      <w:bodyDiv w:val="1"/>
      <w:marLeft w:val="0"/>
      <w:marRight w:val="0"/>
      <w:marTop w:val="0"/>
      <w:marBottom w:val="0"/>
      <w:divBdr>
        <w:top w:val="none" w:sz="0" w:space="0" w:color="auto"/>
        <w:left w:val="none" w:sz="0" w:space="0" w:color="auto"/>
        <w:bottom w:val="none" w:sz="0" w:space="0" w:color="auto"/>
        <w:right w:val="none" w:sz="0" w:space="0" w:color="auto"/>
      </w:divBdr>
    </w:div>
    <w:div w:id="439033060">
      <w:bodyDiv w:val="1"/>
      <w:marLeft w:val="0"/>
      <w:marRight w:val="0"/>
      <w:marTop w:val="0"/>
      <w:marBottom w:val="0"/>
      <w:divBdr>
        <w:top w:val="none" w:sz="0" w:space="0" w:color="auto"/>
        <w:left w:val="none" w:sz="0" w:space="0" w:color="auto"/>
        <w:bottom w:val="none" w:sz="0" w:space="0" w:color="auto"/>
        <w:right w:val="none" w:sz="0" w:space="0" w:color="auto"/>
      </w:divBdr>
    </w:div>
    <w:div w:id="490683224">
      <w:bodyDiv w:val="1"/>
      <w:marLeft w:val="0"/>
      <w:marRight w:val="0"/>
      <w:marTop w:val="0"/>
      <w:marBottom w:val="0"/>
      <w:divBdr>
        <w:top w:val="none" w:sz="0" w:space="0" w:color="auto"/>
        <w:left w:val="none" w:sz="0" w:space="0" w:color="auto"/>
        <w:bottom w:val="none" w:sz="0" w:space="0" w:color="auto"/>
        <w:right w:val="none" w:sz="0" w:space="0" w:color="auto"/>
      </w:divBdr>
    </w:div>
    <w:div w:id="496574522">
      <w:bodyDiv w:val="1"/>
      <w:marLeft w:val="0"/>
      <w:marRight w:val="0"/>
      <w:marTop w:val="0"/>
      <w:marBottom w:val="0"/>
      <w:divBdr>
        <w:top w:val="none" w:sz="0" w:space="0" w:color="auto"/>
        <w:left w:val="none" w:sz="0" w:space="0" w:color="auto"/>
        <w:bottom w:val="none" w:sz="0" w:space="0" w:color="auto"/>
        <w:right w:val="none" w:sz="0" w:space="0" w:color="auto"/>
      </w:divBdr>
    </w:div>
    <w:div w:id="510797611">
      <w:bodyDiv w:val="1"/>
      <w:marLeft w:val="0"/>
      <w:marRight w:val="0"/>
      <w:marTop w:val="0"/>
      <w:marBottom w:val="0"/>
      <w:divBdr>
        <w:top w:val="none" w:sz="0" w:space="0" w:color="auto"/>
        <w:left w:val="none" w:sz="0" w:space="0" w:color="auto"/>
        <w:bottom w:val="none" w:sz="0" w:space="0" w:color="auto"/>
        <w:right w:val="none" w:sz="0" w:space="0" w:color="auto"/>
      </w:divBdr>
    </w:div>
    <w:div w:id="512762238">
      <w:bodyDiv w:val="1"/>
      <w:marLeft w:val="0"/>
      <w:marRight w:val="0"/>
      <w:marTop w:val="0"/>
      <w:marBottom w:val="0"/>
      <w:divBdr>
        <w:top w:val="none" w:sz="0" w:space="0" w:color="auto"/>
        <w:left w:val="none" w:sz="0" w:space="0" w:color="auto"/>
        <w:bottom w:val="none" w:sz="0" w:space="0" w:color="auto"/>
        <w:right w:val="none" w:sz="0" w:space="0" w:color="auto"/>
      </w:divBdr>
    </w:div>
    <w:div w:id="608272231">
      <w:bodyDiv w:val="1"/>
      <w:marLeft w:val="0"/>
      <w:marRight w:val="0"/>
      <w:marTop w:val="0"/>
      <w:marBottom w:val="0"/>
      <w:divBdr>
        <w:top w:val="none" w:sz="0" w:space="0" w:color="auto"/>
        <w:left w:val="none" w:sz="0" w:space="0" w:color="auto"/>
        <w:bottom w:val="none" w:sz="0" w:space="0" w:color="auto"/>
        <w:right w:val="none" w:sz="0" w:space="0" w:color="auto"/>
      </w:divBdr>
    </w:div>
    <w:div w:id="720401822">
      <w:bodyDiv w:val="1"/>
      <w:marLeft w:val="0"/>
      <w:marRight w:val="0"/>
      <w:marTop w:val="0"/>
      <w:marBottom w:val="0"/>
      <w:divBdr>
        <w:top w:val="none" w:sz="0" w:space="0" w:color="auto"/>
        <w:left w:val="none" w:sz="0" w:space="0" w:color="auto"/>
        <w:bottom w:val="none" w:sz="0" w:space="0" w:color="auto"/>
        <w:right w:val="none" w:sz="0" w:space="0" w:color="auto"/>
      </w:divBdr>
    </w:div>
    <w:div w:id="815337782">
      <w:bodyDiv w:val="1"/>
      <w:marLeft w:val="0"/>
      <w:marRight w:val="0"/>
      <w:marTop w:val="0"/>
      <w:marBottom w:val="0"/>
      <w:divBdr>
        <w:top w:val="none" w:sz="0" w:space="0" w:color="auto"/>
        <w:left w:val="none" w:sz="0" w:space="0" w:color="auto"/>
        <w:bottom w:val="none" w:sz="0" w:space="0" w:color="auto"/>
        <w:right w:val="none" w:sz="0" w:space="0" w:color="auto"/>
      </w:divBdr>
    </w:div>
    <w:div w:id="886912670">
      <w:bodyDiv w:val="1"/>
      <w:marLeft w:val="0"/>
      <w:marRight w:val="0"/>
      <w:marTop w:val="0"/>
      <w:marBottom w:val="0"/>
      <w:divBdr>
        <w:top w:val="none" w:sz="0" w:space="0" w:color="auto"/>
        <w:left w:val="none" w:sz="0" w:space="0" w:color="auto"/>
        <w:bottom w:val="none" w:sz="0" w:space="0" w:color="auto"/>
        <w:right w:val="none" w:sz="0" w:space="0" w:color="auto"/>
      </w:divBdr>
    </w:div>
    <w:div w:id="908686467">
      <w:bodyDiv w:val="1"/>
      <w:marLeft w:val="0"/>
      <w:marRight w:val="0"/>
      <w:marTop w:val="0"/>
      <w:marBottom w:val="0"/>
      <w:divBdr>
        <w:top w:val="none" w:sz="0" w:space="0" w:color="auto"/>
        <w:left w:val="none" w:sz="0" w:space="0" w:color="auto"/>
        <w:bottom w:val="none" w:sz="0" w:space="0" w:color="auto"/>
        <w:right w:val="none" w:sz="0" w:space="0" w:color="auto"/>
      </w:divBdr>
    </w:div>
    <w:div w:id="996298012">
      <w:bodyDiv w:val="1"/>
      <w:marLeft w:val="0"/>
      <w:marRight w:val="0"/>
      <w:marTop w:val="0"/>
      <w:marBottom w:val="0"/>
      <w:divBdr>
        <w:top w:val="none" w:sz="0" w:space="0" w:color="auto"/>
        <w:left w:val="none" w:sz="0" w:space="0" w:color="auto"/>
        <w:bottom w:val="none" w:sz="0" w:space="0" w:color="auto"/>
        <w:right w:val="none" w:sz="0" w:space="0" w:color="auto"/>
      </w:divBdr>
    </w:div>
    <w:div w:id="1053315043">
      <w:bodyDiv w:val="1"/>
      <w:marLeft w:val="0"/>
      <w:marRight w:val="0"/>
      <w:marTop w:val="0"/>
      <w:marBottom w:val="0"/>
      <w:divBdr>
        <w:top w:val="none" w:sz="0" w:space="0" w:color="auto"/>
        <w:left w:val="none" w:sz="0" w:space="0" w:color="auto"/>
        <w:bottom w:val="none" w:sz="0" w:space="0" w:color="auto"/>
        <w:right w:val="none" w:sz="0" w:space="0" w:color="auto"/>
      </w:divBdr>
    </w:div>
    <w:div w:id="1056706987">
      <w:bodyDiv w:val="1"/>
      <w:marLeft w:val="0"/>
      <w:marRight w:val="0"/>
      <w:marTop w:val="0"/>
      <w:marBottom w:val="0"/>
      <w:divBdr>
        <w:top w:val="none" w:sz="0" w:space="0" w:color="auto"/>
        <w:left w:val="none" w:sz="0" w:space="0" w:color="auto"/>
        <w:bottom w:val="none" w:sz="0" w:space="0" w:color="auto"/>
        <w:right w:val="none" w:sz="0" w:space="0" w:color="auto"/>
      </w:divBdr>
    </w:div>
    <w:div w:id="1279291985">
      <w:bodyDiv w:val="1"/>
      <w:marLeft w:val="0"/>
      <w:marRight w:val="0"/>
      <w:marTop w:val="0"/>
      <w:marBottom w:val="0"/>
      <w:divBdr>
        <w:top w:val="none" w:sz="0" w:space="0" w:color="auto"/>
        <w:left w:val="none" w:sz="0" w:space="0" w:color="auto"/>
        <w:bottom w:val="none" w:sz="0" w:space="0" w:color="auto"/>
        <w:right w:val="none" w:sz="0" w:space="0" w:color="auto"/>
      </w:divBdr>
    </w:div>
    <w:div w:id="1351834503">
      <w:bodyDiv w:val="1"/>
      <w:marLeft w:val="0"/>
      <w:marRight w:val="0"/>
      <w:marTop w:val="0"/>
      <w:marBottom w:val="0"/>
      <w:divBdr>
        <w:top w:val="none" w:sz="0" w:space="0" w:color="auto"/>
        <w:left w:val="none" w:sz="0" w:space="0" w:color="auto"/>
        <w:bottom w:val="none" w:sz="0" w:space="0" w:color="auto"/>
        <w:right w:val="none" w:sz="0" w:space="0" w:color="auto"/>
      </w:divBdr>
    </w:div>
    <w:div w:id="1351957410">
      <w:bodyDiv w:val="1"/>
      <w:marLeft w:val="0"/>
      <w:marRight w:val="0"/>
      <w:marTop w:val="0"/>
      <w:marBottom w:val="0"/>
      <w:divBdr>
        <w:top w:val="none" w:sz="0" w:space="0" w:color="auto"/>
        <w:left w:val="none" w:sz="0" w:space="0" w:color="auto"/>
        <w:bottom w:val="none" w:sz="0" w:space="0" w:color="auto"/>
        <w:right w:val="none" w:sz="0" w:space="0" w:color="auto"/>
      </w:divBdr>
    </w:div>
    <w:div w:id="1372341140">
      <w:bodyDiv w:val="1"/>
      <w:marLeft w:val="0"/>
      <w:marRight w:val="0"/>
      <w:marTop w:val="0"/>
      <w:marBottom w:val="0"/>
      <w:divBdr>
        <w:top w:val="none" w:sz="0" w:space="0" w:color="auto"/>
        <w:left w:val="none" w:sz="0" w:space="0" w:color="auto"/>
        <w:bottom w:val="none" w:sz="0" w:space="0" w:color="auto"/>
        <w:right w:val="none" w:sz="0" w:space="0" w:color="auto"/>
      </w:divBdr>
    </w:div>
    <w:div w:id="1577475482">
      <w:bodyDiv w:val="1"/>
      <w:marLeft w:val="0"/>
      <w:marRight w:val="0"/>
      <w:marTop w:val="0"/>
      <w:marBottom w:val="0"/>
      <w:divBdr>
        <w:top w:val="none" w:sz="0" w:space="0" w:color="auto"/>
        <w:left w:val="none" w:sz="0" w:space="0" w:color="auto"/>
        <w:bottom w:val="none" w:sz="0" w:space="0" w:color="auto"/>
        <w:right w:val="none" w:sz="0" w:space="0" w:color="auto"/>
      </w:divBdr>
    </w:div>
    <w:div w:id="1590769936">
      <w:bodyDiv w:val="1"/>
      <w:marLeft w:val="0"/>
      <w:marRight w:val="0"/>
      <w:marTop w:val="0"/>
      <w:marBottom w:val="0"/>
      <w:divBdr>
        <w:top w:val="none" w:sz="0" w:space="0" w:color="auto"/>
        <w:left w:val="none" w:sz="0" w:space="0" w:color="auto"/>
        <w:bottom w:val="none" w:sz="0" w:space="0" w:color="auto"/>
        <w:right w:val="none" w:sz="0" w:space="0" w:color="auto"/>
      </w:divBdr>
    </w:div>
    <w:div w:id="1627928113">
      <w:bodyDiv w:val="1"/>
      <w:marLeft w:val="0"/>
      <w:marRight w:val="0"/>
      <w:marTop w:val="0"/>
      <w:marBottom w:val="0"/>
      <w:divBdr>
        <w:top w:val="none" w:sz="0" w:space="0" w:color="auto"/>
        <w:left w:val="none" w:sz="0" w:space="0" w:color="auto"/>
        <w:bottom w:val="none" w:sz="0" w:space="0" w:color="auto"/>
        <w:right w:val="none" w:sz="0" w:space="0" w:color="auto"/>
      </w:divBdr>
    </w:div>
    <w:div w:id="1683505672">
      <w:bodyDiv w:val="1"/>
      <w:marLeft w:val="0"/>
      <w:marRight w:val="0"/>
      <w:marTop w:val="0"/>
      <w:marBottom w:val="0"/>
      <w:divBdr>
        <w:top w:val="none" w:sz="0" w:space="0" w:color="auto"/>
        <w:left w:val="none" w:sz="0" w:space="0" w:color="auto"/>
        <w:bottom w:val="none" w:sz="0" w:space="0" w:color="auto"/>
        <w:right w:val="none" w:sz="0" w:space="0" w:color="auto"/>
      </w:divBdr>
    </w:div>
    <w:div w:id="1691755169">
      <w:bodyDiv w:val="1"/>
      <w:marLeft w:val="0"/>
      <w:marRight w:val="0"/>
      <w:marTop w:val="0"/>
      <w:marBottom w:val="0"/>
      <w:divBdr>
        <w:top w:val="none" w:sz="0" w:space="0" w:color="auto"/>
        <w:left w:val="none" w:sz="0" w:space="0" w:color="auto"/>
        <w:bottom w:val="none" w:sz="0" w:space="0" w:color="auto"/>
        <w:right w:val="none" w:sz="0" w:space="0" w:color="auto"/>
      </w:divBdr>
    </w:div>
    <w:div w:id="1735425802">
      <w:bodyDiv w:val="1"/>
      <w:marLeft w:val="0"/>
      <w:marRight w:val="0"/>
      <w:marTop w:val="0"/>
      <w:marBottom w:val="0"/>
      <w:divBdr>
        <w:top w:val="none" w:sz="0" w:space="0" w:color="auto"/>
        <w:left w:val="none" w:sz="0" w:space="0" w:color="auto"/>
        <w:bottom w:val="none" w:sz="0" w:space="0" w:color="auto"/>
        <w:right w:val="none" w:sz="0" w:space="0" w:color="auto"/>
      </w:divBdr>
    </w:div>
    <w:div w:id="1768848105">
      <w:bodyDiv w:val="1"/>
      <w:marLeft w:val="0"/>
      <w:marRight w:val="0"/>
      <w:marTop w:val="0"/>
      <w:marBottom w:val="0"/>
      <w:divBdr>
        <w:top w:val="none" w:sz="0" w:space="0" w:color="auto"/>
        <w:left w:val="none" w:sz="0" w:space="0" w:color="auto"/>
        <w:bottom w:val="none" w:sz="0" w:space="0" w:color="auto"/>
        <w:right w:val="none" w:sz="0" w:space="0" w:color="auto"/>
      </w:divBdr>
    </w:div>
    <w:div w:id="1824226789">
      <w:bodyDiv w:val="1"/>
      <w:marLeft w:val="0"/>
      <w:marRight w:val="0"/>
      <w:marTop w:val="0"/>
      <w:marBottom w:val="0"/>
      <w:divBdr>
        <w:top w:val="none" w:sz="0" w:space="0" w:color="auto"/>
        <w:left w:val="none" w:sz="0" w:space="0" w:color="auto"/>
        <w:bottom w:val="none" w:sz="0" w:space="0" w:color="auto"/>
        <w:right w:val="none" w:sz="0" w:space="0" w:color="auto"/>
      </w:divBdr>
    </w:div>
    <w:div w:id="1862011396">
      <w:bodyDiv w:val="1"/>
      <w:marLeft w:val="0"/>
      <w:marRight w:val="0"/>
      <w:marTop w:val="0"/>
      <w:marBottom w:val="0"/>
      <w:divBdr>
        <w:top w:val="none" w:sz="0" w:space="0" w:color="auto"/>
        <w:left w:val="none" w:sz="0" w:space="0" w:color="auto"/>
        <w:bottom w:val="none" w:sz="0" w:space="0" w:color="auto"/>
        <w:right w:val="none" w:sz="0" w:space="0" w:color="auto"/>
      </w:divBdr>
    </w:div>
    <w:div w:id="1870558719">
      <w:bodyDiv w:val="1"/>
      <w:marLeft w:val="0"/>
      <w:marRight w:val="0"/>
      <w:marTop w:val="0"/>
      <w:marBottom w:val="0"/>
      <w:divBdr>
        <w:top w:val="none" w:sz="0" w:space="0" w:color="auto"/>
        <w:left w:val="none" w:sz="0" w:space="0" w:color="auto"/>
        <w:bottom w:val="none" w:sz="0" w:space="0" w:color="auto"/>
        <w:right w:val="none" w:sz="0" w:space="0" w:color="auto"/>
      </w:divBdr>
    </w:div>
    <w:div w:id="1903826346">
      <w:bodyDiv w:val="1"/>
      <w:marLeft w:val="0"/>
      <w:marRight w:val="0"/>
      <w:marTop w:val="0"/>
      <w:marBottom w:val="0"/>
      <w:divBdr>
        <w:top w:val="none" w:sz="0" w:space="0" w:color="auto"/>
        <w:left w:val="none" w:sz="0" w:space="0" w:color="auto"/>
        <w:bottom w:val="none" w:sz="0" w:space="0" w:color="auto"/>
        <w:right w:val="none" w:sz="0" w:space="0" w:color="auto"/>
      </w:divBdr>
    </w:div>
    <w:div w:id="2005543231">
      <w:bodyDiv w:val="1"/>
      <w:marLeft w:val="0"/>
      <w:marRight w:val="0"/>
      <w:marTop w:val="0"/>
      <w:marBottom w:val="0"/>
      <w:divBdr>
        <w:top w:val="none" w:sz="0" w:space="0" w:color="auto"/>
        <w:left w:val="none" w:sz="0" w:space="0" w:color="auto"/>
        <w:bottom w:val="none" w:sz="0" w:space="0" w:color="auto"/>
        <w:right w:val="none" w:sz="0" w:space="0" w:color="auto"/>
      </w:divBdr>
    </w:div>
    <w:div w:id="2024436569">
      <w:bodyDiv w:val="1"/>
      <w:marLeft w:val="0"/>
      <w:marRight w:val="0"/>
      <w:marTop w:val="0"/>
      <w:marBottom w:val="0"/>
      <w:divBdr>
        <w:top w:val="none" w:sz="0" w:space="0" w:color="auto"/>
        <w:left w:val="none" w:sz="0" w:space="0" w:color="auto"/>
        <w:bottom w:val="none" w:sz="0" w:space="0" w:color="auto"/>
        <w:right w:val="none" w:sz="0" w:space="0" w:color="auto"/>
      </w:divBdr>
    </w:div>
    <w:div w:id="2036618347">
      <w:bodyDiv w:val="1"/>
      <w:marLeft w:val="0"/>
      <w:marRight w:val="0"/>
      <w:marTop w:val="0"/>
      <w:marBottom w:val="0"/>
      <w:divBdr>
        <w:top w:val="none" w:sz="0" w:space="0" w:color="auto"/>
        <w:left w:val="none" w:sz="0" w:space="0" w:color="auto"/>
        <w:bottom w:val="none" w:sz="0" w:space="0" w:color="auto"/>
        <w:right w:val="none" w:sz="0" w:space="0" w:color="auto"/>
      </w:divBdr>
    </w:div>
    <w:div w:id="2097507714">
      <w:bodyDiv w:val="1"/>
      <w:marLeft w:val="0"/>
      <w:marRight w:val="0"/>
      <w:marTop w:val="0"/>
      <w:marBottom w:val="0"/>
      <w:divBdr>
        <w:top w:val="none" w:sz="0" w:space="0" w:color="auto"/>
        <w:left w:val="none" w:sz="0" w:space="0" w:color="auto"/>
        <w:bottom w:val="none" w:sz="0" w:space="0" w:color="auto"/>
        <w:right w:val="none" w:sz="0" w:space="0" w:color="auto"/>
      </w:divBdr>
    </w:div>
    <w:div w:id="2122724065">
      <w:bodyDiv w:val="1"/>
      <w:marLeft w:val="0"/>
      <w:marRight w:val="0"/>
      <w:marTop w:val="0"/>
      <w:marBottom w:val="0"/>
      <w:divBdr>
        <w:top w:val="none" w:sz="0" w:space="0" w:color="auto"/>
        <w:left w:val="none" w:sz="0" w:space="0" w:color="auto"/>
        <w:bottom w:val="none" w:sz="0" w:space="0" w:color="auto"/>
        <w:right w:val="none" w:sz="0" w:space="0" w:color="auto"/>
      </w:divBdr>
    </w:div>
    <w:div w:id="213073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en.wikipedia.org/wiki/Enforcement" TargetMode="External"/><Relationship Id="rId3" Type="http://schemas.openxmlformats.org/officeDocument/2006/relationships/customXml" Target="../customXml/item3.xml"/><Relationship Id="rId21" Type="http://schemas.openxmlformats.org/officeDocument/2006/relationships/hyperlink" Target="https://getinvolved.transport.vic.gov.au/"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en.wikipedia.org/wiki/Accreditation"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en.wikipedia.org/wiki/Mini-bu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28" Type="http://schemas.openxmlformats.org/officeDocument/2006/relationships/hyperlink" Target="https://getinvolved.transport.vic.gov.au/" TargetMode="External"/><Relationship Id="rId10" Type="http://schemas.openxmlformats.org/officeDocument/2006/relationships/footnotes" Target="footnotes.xml"/><Relationship Id="rId19" Type="http://schemas.openxmlformats.org/officeDocument/2006/relationships/hyperlink" Target="https://en.wikipedia.org/wiki/Stakeholder_engagemen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customXml" Target="ink/ink1.xml"/><Relationship Id="rId27" Type="http://schemas.openxmlformats.org/officeDocument/2006/relationships/image" Target="media/image3.emf"/><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bitre.gov.au/sites/default/files/Road%20trauma%20Australia%202018%20statistical%20summary.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8T09:48:50.883"/>
    </inkml:context>
    <inkml:brush xml:id="br0">
      <inkml:brushProperty name="width" value="0.1" units="cm"/>
      <inkml:brushProperty name="height" value="0.1" units="cm"/>
      <inkml:brushProperty name="color" value="#E71224"/>
    </inkml:brush>
  </inkml:definitions>
  <inkml:trace contextRef="#ctx0" brushRef="#br0">731 909 15200 0 0,'0'0'1351'0'0,"-3"-11"-1079"0"0,3 4-272 0 0,3-4 0 0 0,-3 3 384 0 0,4-3 16 0 0</inkml:trace>
</inkml:ink>
</file>

<file path=word/theme/theme1.xml><?xml version="1.0" encoding="utf-8"?>
<a:theme xmlns:a="http://schemas.openxmlformats.org/drawingml/2006/main" name="Office Theme">
  <a:themeElements>
    <a:clrScheme name="DoT Colours">
      <a:dk1>
        <a:srgbClr val="000000"/>
      </a:dk1>
      <a:lt1>
        <a:srgbClr val="FFFFFF"/>
      </a:lt1>
      <a:dk2>
        <a:srgbClr val="0A1F3F"/>
      </a:dk2>
      <a:lt2>
        <a:srgbClr val="E7E6E6"/>
      </a:lt2>
      <a:accent1>
        <a:srgbClr val="06B9BD"/>
      </a:accent1>
      <a:accent2>
        <a:srgbClr val="FF8200"/>
      </a:accent2>
      <a:accent3>
        <a:srgbClr val="E1EEF9"/>
      </a:accent3>
      <a:accent4>
        <a:srgbClr val="555857"/>
      </a:accent4>
      <a:accent5>
        <a:srgbClr val="FFD100"/>
      </a:accent5>
      <a:accent6>
        <a:srgbClr val="13A2A6"/>
      </a:accent6>
      <a:hlink>
        <a:srgbClr val="E37607"/>
      </a:hlink>
      <a:folHlink>
        <a:srgbClr val="73707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K a p i s h F i l e n a m e T o U r i M a p p i n g s 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02395C1FBF038468E02E532EFAA10B9" ma:contentTypeVersion="13" ma:contentTypeDescription="Create a new document." ma:contentTypeScope="" ma:versionID="fe72288b281b279408ef192fd673a67a">
  <xsd:schema xmlns:xsd="http://www.w3.org/2001/XMLSchema" xmlns:xs="http://www.w3.org/2001/XMLSchema" xmlns:p="http://schemas.microsoft.com/office/2006/metadata/properties" xmlns:ns3="f8878eea-03d4-4090-848c-7def49302c9b" xmlns:ns4="1fcdb7fc-5b16-4e5d-9eb4-819b3c2d5542" targetNamespace="http://schemas.microsoft.com/office/2006/metadata/properties" ma:root="true" ma:fieldsID="135558b7c84a395c45292115a07fccdf" ns3:_="" ns4:_="">
    <xsd:import namespace="f8878eea-03d4-4090-848c-7def49302c9b"/>
    <xsd:import namespace="1fcdb7fc-5b16-4e5d-9eb4-819b3c2d554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78eea-03d4-4090-848c-7def49302c9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cdb7fc-5b16-4e5d-9eb4-819b3c2d554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CAD756-DE2A-483C-95F3-2A099822BF2F}">
  <ds:schemaRefs>
    <ds:schemaRef ds:uri="http://www.w3.org/2001/XMLSchema"/>
  </ds:schemaRefs>
</ds:datastoreItem>
</file>

<file path=customXml/itemProps2.xml><?xml version="1.0" encoding="utf-8"?>
<ds:datastoreItem xmlns:ds="http://schemas.openxmlformats.org/officeDocument/2006/customXml" ds:itemID="{04DEDA10-4319-4B62-8409-257FE30B94BB}">
  <ds:schemaRefs>
    <ds:schemaRef ds:uri="http://schemas.openxmlformats.org/officeDocument/2006/bibliography"/>
  </ds:schemaRefs>
</ds:datastoreItem>
</file>

<file path=customXml/itemProps3.xml><?xml version="1.0" encoding="utf-8"?>
<ds:datastoreItem xmlns:ds="http://schemas.openxmlformats.org/officeDocument/2006/customXml" ds:itemID="{1A6753E1-9553-4FBC-B565-F6D3F50E2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78eea-03d4-4090-848c-7def49302c9b"/>
    <ds:schemaRef ds:uri="1fcdb7fc-5b16-4e5d-9eb4-819b3c2d55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CA0702-F2ED-49F0-A5C5-80B0D4F1A94C}">
  <ds:schemaRefs>
    <ds:schemaRef ds:uri="http://schemas.microsoft.com/sharepoint/v3/contenttype/forms"/>
  </ds:schemaRefs>
</ds:datastoreItem>
</file>

<file path=customXml/itemProps5.xml><?xml version="1.0" encoding="utf-8"?>
<ds:datastoreItem xmlns:ds="http://schemas.openxmlformats.org/officeDocument/2006/customXml" ds:itemID="{A39D7922-A603-477C-96E2-BA8E806C04FF}">
  <ds:schemaRefs>
    <ds:schemaRef ds:uri="1fcdb7fc-5b16-4e5d-9eb4-819b3c2d5542"/>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8878eea-03d4-4090-848c-7def49302c9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127</Pages>
  <Words>64507</Words>
  <Characters>367690</Characters>
  <Application>Microsoft Office Word</Application>
  <DocSecurity>0</DocSecurity>
  <Lines>3064</Lines>
  <Paragraphs>862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431335</CharactersWithSpaces>
  <SharedDoc>false</SharedDoc>
  <HLinks>
    <vt:vector size="618" baseType="variant">
      <vt:variant>
        <vt:i4>3932207</vt:i4>
      </vt:variant>
      <vt:variant>
        <vt:i4>606</vt:i4>
      </vt:variant>
      <vt:variant>
        <vt:i4>0</vt:i4>
      </vt:variant>
      <vt:variant>
        <vt:i4>5</vt:i4>
      </vt:variant>
      <vt:variant>
        <vt:lpwstr>https://en.wikipedia.org/wiki/Mini-bus</vt:lpwstr>
      </vt:variant>
      <vt:variant>
        <vt:lpwstr/>
      </vt:variant>
      <vt:variant>
        <vt:i4>7798812</vt:i4>
      </vt:variant>
      <vt:variant>
        <vt:i4>603</vt:i4>
      </vt:variant>
      <vt:variant>
        <vt:i4>0</vt:i4>
      </vt:variant>
      <vt:variant>
        <vt:i4>5</vt:i4>
      </vt:variant>
      <vt:variant>
        <vt:lpwstr>https://en.wikipedia.org/wiki/Stakeholder_engagement</vt:lpwstr>
      </vt:variant>
      <vt:variant>
        <vt:lpwstr/>
      </vt:variant>
      <vt:variant>
        <vt:i4>4980741</vt:i4>
      </vt:variant>
      <vt:variant>
        <vt:i4>600</vt:i4>
      </vt:variant>
      <vt:variant>
        <vt:i4>0</vt:i4>
      </vt:variant>
      <vt:variant>
        <vt:i4>5</vt:i4>
      </vt:variant>
      <vt:variant>
        <vt:lpwstr>https://en.wikipedia.org/wiki/Enforcement</vt:lpwstr>
      </vt:variant>
      <vt:variant>
        <vt:lpwstr/>
      </vt:variant>
      <vt:variant>
        <vt:i4>3604594</vt:i4>
      </vt:variant>
      <vt:variant>
        <vt:i4>597</vt:i4>
      </vt:variant>
      <vt:variant>
        <vt:i4>0</vt:i4>
      </vt:variant>
      <vt:variant>
        <vt:i4>5</vt:i4>
      </vt:variant>
      <vt:variant>
        <vt:lpwstr>https://en.wikipedia.org/wiki/Accreditation</vt:lpwstr>
      </vt:variant>
      <vt:variant>
        <vt:lpwstr/>
      </vt:variant>
      <vt:variant>
        <vt:i4>1703996</vt:i4>
      </vt:variant>
      <vt:variant>
        <vt:i4>590</vt:i4>
      </vt:variant>
      <vt:variant>
        <vt:i4>0</vt:i4>
      </vt:variant>
      <vt:variant>
        <vt:i4>5</vt:i4>
      </vt:variant>
      <vt:variant>
        <vt:lpwstr/>
      </vt:variant>
      <vt:variant>
        <vt:lpwstr>_Toc40101489</vt:lpwstr>
      </vt:variant>
      <vt:variant>
        <vt:i4>1769532</vt:i4>
      </vt:variant>
      <vt:variant>
        <vt:i4>584</vt:i4>
      </vt:variant>
      <vt:variant>
        <vt:i4>0</vt:i4>
      </vt:variant>
      <vt:variant>
        <vt:i4>5</vt:i4>
      </vt:variant>
      <vt:variant>
        <vt:lpwstr/>
      </vt:variant>
      <vt:variant>
        <vt:lpwstr>_Toc40101488</vt:lpwstr>
      </vt:variant>
      <vt:variant>
        <vt:i4>1310780</vt:i4>
      </vt:variant>
      <vt:variant>
        <vt:i4>578</vt:i4>
      </vt:variant>
      <vt:variant>
        <vt:i4>0</vt:i4>
      </vt:variant>
      <vt:variant>
        <vt:i4>5</vt:i4>
      </vt:variant>
      <vt:variant>
        <vt:lpwstr/>
      </vt:variant>
      <vt:variant>
        <vt:lpwstr>_Toc40101487</vt:lpwstr>
      </vt:variant>
      <vt:variant>
        <vt:i4>1376316</vt:i4>
      </vt:variant>
      <vt:variant>
        <vt:i4>572</vt:i4>
      </vt:variant>
      <vt:variant>
        <vt:i4>0</vt:i4>
      </vt:variant>
      <vt:variant>
        <vt:i4>5</vt:i4>
      </vt:variant>
      <vt:variant>
        <vt:lpwstr/>
      </vt:variant>
      <vt:variant>
        <vt:lpwstr>_Toc40101486</vt:lpwstr>
      </vt:variant>
      <vt:variant>
        <vt:i4>1441852</vt:i4>
      </vt:variant>
      <vt:variant>
        <vt:i4>566</vt:i4>
      </vt:variant>
      <vt:variant>
        <vt:i4>0</vt:i4>
      </vt:variant>
      <vt:variant>
        <vt:i4>5</vt:i4>
      </vt:variant>
      <vt:variant>
        <vt:lpwstr/>
      </vt:variant>
      <vt:variant>
        <vt:lpwstr>_Toc40101485</vt:lpwstr>
      </vt:variant>
      <vt:variant>
        <vt:i4>1507388</vt:i4>
      </vt:variant>
      <vt:variant>
        <vt:i4>560</vt:i4>
      </vt:variant>
      <vt:variant>
        <vt:i4>0</vt:i4>
      </vt:variant>
      <vt:variant>
        <vt:i4>5</vt:i4>
      </vt:variant>
      <vt:variant>
        <vt:lpwstr/>
      </vt:variant>
      <vt:variant>
        <vt:lpwstr>_Toc40101484</vt:lpwstr>
      </vt:variant>
      <vt:variant>
        <vt:i4>1048636</vt:i4>
      </vt:variant>
      <vt:variant>
        <vt:i4>554</vt:i4>
      </vt:variant>
      <vt:variant>
        <vt:i4>0</vt:i4>
      </vt:variant>
      <vt:variant>
        <vt:i4>5</vt:i4>
      </vt:variant>
      <vt:variant>
        <vt:lpwstr/>
      </vt:variant>
      <vt:variant>
        <vt:lpwstr>_Toc40101483</vt:lpwstr>
      </vt:variant>
      <vt:variant>
        <vt:i4>1114172</vt:i4>
      </vt:variant>
      <vt:variant>
        <vt:i4>548</vt:i4>
      </vt:variant>
      <vt:variant>
        <vt:i4>0</vt:i4>
      </vt:variant>
      <vt:variant>
        <vt:i4>5</vt:i4>
      </vt:variant>
      <vt:variant>
        <vt:lpwstr/>
      </vt:variant>
      <vt:variant>
        <vt:lpwstr>_Toc40101482</vt:lpwstr>
      </vt:variant>
      <vt:variant>
        <vt:i4>1179708</vt:i4>
      </vt:variant>
      <vt:variant>
        <vt:i4>542</vt:i4>
      </vt:variant>
      <vt:variant>
        <vt:i4>0</vt:i4>
      </vt:variant>
      <vt:variant>
        <vt:i4>5</vt:i4>
      </vt:variant>
      <vt:variant>
        <vt:lpwstr/>
      </vt:variant>
      <vt:variant>
        <vt:lpwstr>_Toc40101481</vt:lpwstr>
      </vt:variant>
      <vt:variant>
        <vt:i4>1245244</vt:i4>
      </vt:variant>
      <vt:variant>
        <vt:i4>536</vt:i4>
      </vt:variant>
      <vt:variant>
        <vt:i4>0</vt:i4>
      </vt:variant>
      <vt:variant>
        <vt:i4>5</vt:i4>
      </vt:variant>
      <vt:variant>
        <vt:lpwstr/>
      </vt:variant>
      <vt:variant>
        <vt:lpwstr>_Toc40101480</vt:lpwstr>
      </vt:variant>
      <vt:variant>
        <vt:i4>1703987</vt:i4>
      </vt:variant>
      <vt:variant>
        <vt:i4>530</vt:i4>
      </vt:variant>
      <vt:variant>
        <vt:i4>0</vt:i4>
      </vt:variant>
      <vt:variant>
        <vt:i4>5</vt:i4>
      </vt:variant>
      <vt:variant>
        <vt:lpwstr/>
      </vt:variant>
      <vt:variant>
        <vt:lpwstr>_Toc40101479</vt:lpwstr>
      </vt:variant>
      <vt:variant>
        <vt:i4>1769523</vt:i4>
      </vt:variant>
      <vt:variant>
        <vt:i4>524</vt:i4>
      </vt:variant>
      <vt:variant>
        <vt:i4>0</vt:i4>
      </vt:variant>
      <vt:variant>
        <vt:i4>5</vt:i4>
      </vt:variant>
      <vt:variant>
        <vt:lpwstr/>
      </vt:variant>
      <vt:variant>
        <vt:lpwstr>_Toc40101478</vt:lpwstr>
      </vt:variant>
      <vt:variant>
        <vt:i4>1310771</vt:i4>
      </vt:variant>
      <vt:variant>
        <vt:i4>518</vt:i4>
      </vt:variant>
      <vt:variant>
        <vt:i4>0</vt:i4>
      </vt:variant>
      <vt:variant>
        <vt:i4>5</vt:i4>
      </vt:variant>
      <vt:variant>
        <vt:lpwstr/>
      </vt:variant>
      <vt:variant>
        <vt:lpwstr>_Toc40101477</vt:lpwstr>
      </vt:variant>
      <vt:variant>
        <vt:i4>1376307</vt:i4>
      </vt:variant>
      <vt:variant>
        <vt:i4>512</vt:i4>
      </vt:variant>
      <vt:variant>
        <vt:i4>0</vt:i4>
      </vt:variant>
      <vt:variant>
        <vt:i4>5</vt:i4>
      </vt:variant>
      <vt:variant>
        <vt:lpwstr/>
      </vt:variant>
      <vt:variant>
        <vt:lpwstr>_Toc40101476</vt:lpwstr>
      </vt:variant>
      <vt:variant>
        <vt:i4>1441843</vt:i4>
      </vt:variant>
      <vt:variant>
        <vt:i4>506</vt:i4>
      </vt:variant>
      <vt:variant>
        <vt:i4>0</vt:i4>
      </vt:variant>
      <vt:variant>
        <vt:i4>5</vt:i4>
      </vt:variant>
      <vt:variant>
        <vt:lpwstr/>
      </vt:variant>
      <vt:variant>
        <vt:lpwstr>_Toc40101475</vt:lpwstr>
      </vt:variant>
      <vt:variant>
        <vt:i4>1507379</vt:i4>
      </vt:variant>
      <vt:variant>
        <vt:i4>500</vt:i4>
      </vt:variant>
      <vt:variant>
        <vt:i4>0</vt:i4>
      </vt:variant>
      <vt:variant>
        <vt:i4>5</vt:i4>
      </vt:variant>
      <vt:variant>
        <vt:lpwstr/>
      </vt:variant>
      <vt:variant>
        <vt:lpwstr>_Toc40101474</vt:lpwstr>
      </vt:variant>
      <vt:variant>
        <vt:i4>1048627</vt:i4>
      </vt:variant>
      <vt:variant>
        <vt:i4>494</vt:i4>
      </vt:variant>
      <vt:variant>
        <vt:i4>0</vt:i4>
      </vt:variant>
      <vt:variant>
        <vt:i4>5</vt:i4>
      </vt:variant>
      <vt:variant>
        <vt:lpwstr/>
      </vt:variant>
      <vt:variant>
        <vt:lpwstr>_Toc40101473</vt:lpwstr>
      </vt:variant>
      <vt:variant>
        <vt:i4>1114163</vt:i4>
      </vt:variant>
      <vt:variant>
        <vt:i4>488</vt:i4>
      </vt:variant>
      <vt:variant>
        <vt:i4>0</vt:i4>
      </vt:variant>
      <vt:variant>
        <vt:i4>5</vt:i4>
      </vt:variant>
      <vt:variant>
        <vt:lpwstr/>
      </vt:variant>
      <vt:variant>
        <vt:lpwstr>_Toc40101472</vt:lpwstr>
      </vt:variant>
      <vt:variant>
        <vt:i4>1179699</vt:i4>
      </vt:variant>
      <vt:variant>
        <vt:i4>482</vt:i4>
      </vt:variant>
      <vt:variant>
        <vt:i4>0</vt:i4>
      </vt:variant>
      <vt:variant>
        <vt:i4>5</vt:i4>
      </vt:variant>
      <vt:variant>
        <vt:lpwstr/>
      </vt:variant>
      <vt:variant>
        <vt:lpwstr>_Toc40101471</vt:lpwstr>
      </vt:variant>
      <vt:variant>
        <vt:i4>1245235</vt:i4>
      </vt:variant>
      <vt:variant>
        <vt:i4>476</vt:i4>
      </vt:variant>
      <vt:variant>
        <vt:i4>0</vt:i4>
      </vt:variant>
      <vt:variant>
        <vt:i4>5</vt:i4>
      </vt:variant>
      <vt:variant>
        <vt:lpwstr/>
      </vt:variant>
      <vt:variant>
        <vt:lpwstr>_Toc40101470</vt:lpwstr>
      </vt:variant>
      <vt:variant>
        <vt:i4>1703986</vt:i4>
      </vt:variant>
      <vt:variant>
        <vt:i4>470</vt:i4>
      </vt:variant>
      <vt:variant>
        <vt:i4>0</vt:i4>
      </vt:variant>
      <vt:variant>
        <vt:i4>5</vt:i4>
      </vt:variant>
      <vt:variant>
        <vt:lpwstr/>
      </vt:variant>
      <vt:variant>
        <vt:lpwstr>_Toc40101469</vt:lpwstr>
      </vt:variant>
      <vt:variant>
        <vt:i4>1769522</vt:i4>
      </vt:variant>
      <vt:variant>
        <vt:i4>464</vt:i4>
      </vt:variant>
      <vt:variant>
        <vt:i4>0</vt:i4>
      </vt:variant>
      <vt:variant>
        <vt:i4>5</vt:i4>
      </vt:variant>
      <vt:variant>
        <vt:lpwstr/>
      </vt:variant>
      <vt:variant>
        <vt:lpwstr>_Toc40101468</vt:lpwstr>
      </vt:variant>
      <vt:variant>
        <vt:i4>1310770</vt:i4>
      </vt:variant>
      <vt:variant>
        <vt:i4>458</vt:i4>
      </vt:variant>
      <vt:variant>
        <vt:i4>0</vt:i4>
      </vt:variant>
      <vt:variant>
        <vt:i4>5</vt:i4>
      </vt:variant>
      <vt:variant>
        <vt:lpwstr/>
      </vt:variant>
      <vt:variant>
        <vt:lpwstr>_Toc40101467</vt:lpwstr>
      </vt:variant>
      <vt:variant>
        <vt:i4>1376306</vt:i4>
      </vt:variant>
      <vt:variant>
        <vt:i4>452</vt:i4>
      </vt:variant>
      <vt:variant>
        <vt:i4>0</vt:i4>
      </vt:variant>
      <vt:variant>
        <vt:i4>5</vt:i4>
      </vt:variant>
      <vt:variant>
        <vt:lpwstr/>
      </vt:variant>
      <vt:variant>
        <vt:lpwstr>_Toc40101466</vt:lpwstr>
      </vt:variant>
      <vt:variant>
        <vt:i4>1441842</vt:i4>
      </vt:variant>
      <vt:variant>
        <vt:i4>446</vt:i4>
      </vt:variant>
      <vt:variant>
        <vt:i4>0</vt:i4>
      </vt:variant>
      <vt:variant>
        <vt:i4>5</vt:i4>
      </vt:variant>
      <vt:variant>
        <vt:lpwstr/>
      </vt:variant>
      <vt:variant>
        <vt:lpwstr>_Toc40101465</vt:lpwstr>
      </vt:variant>
      <vt:variant>
        <vt:i4>1507378</vt:i4>
      </vt:variant>
      <vt:variant>
        <vt:i4>440</vt:i4>
      </vt:variant>
      <vt:variant>
        <vt:i4>0</vt:i4>
      </vt:variant>
      <vt:variant>
        <vt:i4>5</vt:i4>
      </vt:variant>
      <vt:variant>
        <vt:lpwstr/>
      </vt:variant>
      <vt:variant>
        <vt:lpwstr>_Toc40101464</vt:lpwstr>
      </vt:variant>
      <vt:variant>
        <vt:i4>1048626</vt:i4>
      </vt:variant>
      <vt:variant>
        <vt:i4>434</vt:i4>
      </vt:variant>
      <vt:variant>
        <vt:i4>0</vt:i4>
      </vt:variant>
      <vt:variant>
        <vt:i4>5</vt:i4>
      </vt:variant>
      <vt:variant>
        <vt:lpwstr/>
      </vt:variant>
      <vt:variant>
        <vt:lpwstr>_Toc40101463</vt:lpwstr>
      </vt:variant>
      <vt:variant>
        <vt:i4>1114162</vt:i4>
      </vt:variant>
      <vt:variant>
        <vt:i4>428</vt:i4>
      </vt:variant>
      <vt:variant>
        <vt:i4>0</vt:i4>
      </vt:variant>
      <vt:variant>
        <vt:i4>5</vt:i4>
      </vt:variant>
      <vt:variant>
        <vt:lpwstr/>
      </vt:variant>
      <vt:variant>
        <vt:lpwstr>_Toc40101462</vt:lpwstr>
      </vt:variant>
      <vt:variant>
        <vt:i4>1179698</vt:i4>
      </vt:variant>
      <vt:variant>
        <vt:i4>422</vt:i4>
      </vt:variant>
      <vt:variant>
        <vt:i4>0</vt:i4>
      </vt:variant>
      <vt:variant>
        <vt:i4>5</vt:i4>
      </vt:variant>
      <vt:variant>
        <vt:lpwstr/>
      </vt:variant>
      <vt:variant>
        <vt:lpwstr>_Toc40101461</vt:lpwstr>
      </vt:variant>
      <vt:variant>
        <vt:i4>1703985</vt:i4>
      </vt:variant>
      <vt:variant>
        <vt:i4>416</vt:i4>
      </vt:variant>
      <vt:variant>
        <vt:i4>0</vt:i4>
      </vt:variant>
      <vt:variant>
        <vt:i4>5</vt:i4>
      </vt:variant>
      <vt:variant>
        <vt:lpwstr/>
      </vt:variant>
      <vt:variant>
        <vt:lpwstr>_Toc40101459</vt:lpwstr>
      </vt:variant>
      <vt:variant>
        <vt:i4>1769521</vt:i4>
      </vt:variant>
      <vt:variant>
        <vt:i4>410</vt:i4>
      </vt:variant>
      <vt:variant>
        <vt:i4>0</vt:i4>
      </vt:variant>
      <vt:variant>
        <vt:i4>5</vt:i4>
      </vt:variant>
      <vt:variant>
        <vt:lpwstr/>
      </vt:variant>
      <vt:variant>
        <vt:lpwstr>_Toc40101458</vt:lpwstr>
      </vt:variant>
      <vt:variant>
        <vt:i4>1310769</vt:i4>
      </vt:variant>
      <vt:variant>
        <vt:i4>404</vt:i4>
      </vt:variant>
      <vt:variant>
        <vt:i4>0</vt:i4>
      </vt:variant>
      <vt:variant>
        <vt:i4>5</vt:i4>
      </vt:variant>
      <vt:variant>
        <vt:lpwstr/>
      </vt:variant>
      <vt:variant>
        <vt:lpwstr>_Toc40101457</vt:lpwstr>
      </vt:variant>
      <vt:variant>
        <vt:i4>1376305</vt:i4>
      </vt:variant>
      <vt:variant>
        <vt:i4>398</vt:i4>
      </vt:variant>
      <vt:variant>
        <vt:i4>0</vt:i4>
      </vt:variant>
      <vt:variant>
        <vt:i4>5</vt:i4>
      </vt:variant>
      <vt:variant>
        <vt:lpwstr/>
      </vt:variant>
      <vt:variant>
        <vt:lpwstr>_Toc40101456</vt:lpwstr>
      </vt:variant>
      <vt:variant>
        <vt:i4>1441841</vt:i4>
      </vt:variant>
      <vt:variant>
        <vt:i4>392</vt:i4>
      </vt:variant>
      <vt:variant>
        <vt:i4>0</vt:i4>
      </vt:variant>
      <vt:variant>
        <vt:i4>5</vt:i4>
      </vt:variant>
      <vt:variant>
        <vt:lpwstr/>
      </vt:variant>
      <vt:variant>
        <vt:lpwstr>_Toc40101455</vt:lpwstr>
      </vt:variant>
      <vt:variant>
        <vt:i4>1507377</vt:i4>
      </vt:variant>
      <vt:variant>
        <vt:i4>386</vt:i4>
      </vt:variant>
      <vt:variant>
        <vt:i4>0</vt:i4>
      </vt:variant>
      <vt:variant>
        <vt:i4>5</vt:i4>
      </vt:variant>
      <vt:variant>
        <vt:lpwstr/>
      </vt:variant>
      <vt:variant>
        <vt:lpwstr>_Toc40101454</vt:lpwstr>
      </vt:variant>
      <vt:variant>
        <vt:i4>1048625</vt:i4>
      </vt:variant>
      <vt:variant>
        <vt:i4>380</vt:i4>
      </vt:variant>
      <vt:variant>
        <vt:i4>0</vt:i4>
      </vt:variant>
      <vt:variant>
        <vt:i4>5</vt:i4>
      </vt:variant>
      <vt:variant>
        <vt:lpwstr/>
      </vt:variant>
      <vt:variant>
        <vt:lpwstr>_Toc40101453</vt:lpwstr>
      </vt:variant>
      <vt:variant>
        <vt:i4>1114161</vt:i4>
      </vt:variant>
      <vt:variant>
        <vt:i4>374</vt:i4>
      </vt:variant>
      <vt:variant>
        <vt:i4>0</vt:i4>
      </vt:variant>
      <vt:variant>
        <vt:i4>5</vt:i4>
      </vt:variant>
      <vt:variant>
        <vt:lpwstr/>
      </vt:variant>
      <vt:variant>
        <vt:lpwstr>_Toc40101452</vt:lpwstr>
      </vt:variant>
      <vt:variant>
        <vt:i4>1179697</vt:i4>
      </vt:variant>
      <vt:variant>
        <vt:i4>368</vt:i4>
      </vt:variant>
      <vt:variant>
        <vt:i4>0</vt:i4>
      </vt:variant>
      <vt:variant>
        <vt:i4>5</vt:i4>
      </vt:variant>
      <vt:variant>
        <vt:lpwstr/>
      </vt:variant>
      <vt:variant>
        <vt:lpwstr>_Toc40101451</vt:lpwstr>
      </vt:variant>
      <vt:variant>
        <vt:i4>1245233</vt:i4>
      </vt:variant>
      <vt:variant>
        <vt:i4>362</vt:i4>
      </vt:variant>
      <vt:variant>
        <vt:i4>0</vt:i4>
      </vt:variant>
      <vt:variant>
        <vt:i4>5</vt:i4>
      </vt:variant>
      <vt:variant>
        <vt:lpwstr/>
      </vt:variant>
      <vt:variant>
        <vt:lpwstr>_Toc40101450</vt:lpwstr>
      </vt:variant>
      <vt:variant>
        <vt:i4>1703984</vt:i4>
      </vt:variant>
      <vt:variant>
        <vt:i4>356</vt:i4>
      </vt:variant>
      <vt:variant>
        <vt:i4>0</vt:i4>
      </vt:variant>
      <vt:variant>
        <vt:i4>5</vt:i4>
      </vt:variant>
      <vt:variant>
        <vt:lpwstr/>
      </vt:variant>
      <vt:variant>
        <vt:lpwstr>_Toc40101449</vt:lpwstr>
      </vt:variant>
      <vt:variant>
        <vt:i4>1769520</vt:i4>
      </vt:variant>
      <vt:variant>
        <vt:i4>350</vt:i4>
      </vt:variant>
      <vt:variant>
        <vt:i4>0</vt:i4>
      </vt:variant>
      <vt:variant>
        <vt:i4>5</vt:i4>
      </vt:variant>
      <vt:variant>
        <vt:lpwstr/>
      </vt:variant>
      <vt:variant>
        <vt:lpwstr>_Toc40101448</vt:lpwstr>
      </vt:variant>
      <vt:variant>
        <vt:i4>1310768</vt:i4>
      </vt:variant>
      <vt:variant>
        <vt:i4>344</vt:i4>
      </vt:variant>
      <vt:variant>
        <vt:i4>0</vt:i4>
      </vt:variant>
      <vt:variant>
        <vt:i4>5</vt:i4>
      </vt:variant>
      <vt:variant>
        <vt:lpwstr/>
      </vt:variant>
      <vt:variant>
        <vt:lpwstr>_Toc40101447</vt:lpwstr>
      </vt:variant>
      <vt:variant>
        <vt:i4>1376304</vt:i4>
      </vt:variant>
      <vt:variant>
        <vt:i4>338</vt:i4>
      </vt:variant>
      <vt:variant>
        <vt:i4>0</vt:i4>
      </vt:variant>
      <vt:variant>
        <vt:i4>5</vt:i4>
      </vt:variant>
      <vt:variant>
        <vt:lpwstr/>
      </vt:variant>
      <vt:variant>
        <vt:lpwstr>_Toc40101446</vt:lpwstr>
      </vt:variant>
      <vt:variant>
        <vt:i4>1441840</vt:i4>
      </vt:variant>
      <vt:variant>
        <vt:i4>332</vt:i4>
      </vt:variant>
      <vt:variant>
        <vt:i4>0</vt:i4>
      </vt:variant>
      <vt:variant>
        <vt:i4>5</vt:i4>
      </vt:variant>
      <vt:variant>
        <vt:lpwstr/>
      </vt:variant>
      <vt:variant>
        <vt:lpwstr>_Toc40101445</vt:lpwstr>
      </vt:variant>
      <vt:variant>
        <vt:i4>1507376</vt:i4>
      </vt:variant>
      <vt:variant>
        <vt:i4>326</vt:i4>
      </vt:variant>
      <vt:variant>
        <vt:i4>0</vt:i4>
      </vt:variant>
      <vt:variant>
        <vt:i4>5</vt:i4>
      </vt:variant>
      <vt:variant>
        <vt:lpwstr/>
      </vt:variant>
      <vt:variant>
        <vt:lpwstr>_Toc40101444</vt:lpwstr>
      </vt:variant>
      <vt:variant>
        <vt:i4>1048624</vt:i4>
      </vt:variant>
      <vt:variant>
        <vt:i4>320</vt:i4>
      </vt:variant>
      <vt:variant>
        <vt:i4>0</vt:i4>
      </vt:variant>
      <vt:variant>
        <vt:i4>5</vt:i4>
      </vt:variant>
      <vt:variant>
        <vt:lpwstr/>
      </vt:variant>
      <vt:variant>
        <vt:lpwstr>_Toc40101443</vt:lpwstr>
      </vt:variant>
      <vt:variant>
        <vt:i4>1114160</vt:i4>
      </vt:variant>
      <vt:variant>
        <vt:i4>314</vt:i4>
      </vt:variant>
      <vt:variant>
        <vt:i4>0</vt:i4>
      </vt:variant>
      <vt:variant>
        <vt:i4>5</vt:i4>
      </vt:variant>
      <vt:variant>
        <vt:lpwstr/>
      </vt:variant>
      <vt:variant>
        <vt:lpwstr>_Toc40101442</vt:lpwstr>
      </vt:variant>
      <vt:variant>
        <vt:i4>1179696</vt:i4>
      </vt:variant>
      <vt:variant>
        <vt:i4>308</vt:i4>
      </vt:variant>
      <vt:variant>
        <vt:i4>0</vt:i4>
      </vt:variant>
      <vt:variant>
        <vt:i4>5</vt:i4>
      </vt:variant>
      <vt:variant>
        <vt:lpwstr/>
      </vt:variant>
      <vt:variant>
        <vt:lpwstr>_Toc40101441</vt:lpwstr>
      </vt:variant>
      <vt:variant>
        <vt:i4>1245232</vt:i4>
      </vt:variant>
      <vt:variant>
        <vt:i4>302</vt:i4>
      </vt:variant>
      <vt:variant>
        <vt:i4>0</vt:i4>
      </vt:variant>
      <vt:variant>
        <vt:i4>5</vt:i4>
      </vt:variant>
      <vt:variant>
        <vt:lpwstr/>
      </vt:variant>
      <vt:variant>
        <vt:lpwstr>_Toc40101440</vt:lpwstr>
      </vt:variant>
      <vt:variant>
        <vt:i4>1703991</vt:i4>
      </vt:variant>
      <vt:variant>
        <vt:i4>296</vt:i4>
      </vt:variant>
      <vt:variant>
        <vt:i4>0</vt:i4>
      </vt:variant>
      <vt:variant>
        <vt:i4>5</vt:i4>
      </vt:variant>
      <vt:variant>
        <vt:lpwstr/>
      </vt:variant>
      <vt:variant>
        <vt:lpwstr>_Toc40101439</vt:lpwstr>
      </vt:variant>
      <vt:variant>
        <vt:i4>1769527</vt:i4>
      </vt:variant>
      <vt:variant>
        <vt:i4>290</vt:i4>
      </vt:variant>
      <vt:variant>
        <vt:i4>0</vt:i4>
      </vt:variant>
      <vt:variant>
        <vt:i4>5</vt:i4>
      </vt:variant>
      <vt:variant>
        <vt:lpwstr/>
      </vt:variant>
      <vt:variant>
        <vt:lpwstr>_Toc40101438</vt:lpwstr>
      </vt:variant>
      <vt:variant>
        <vt:i4>1310775</vt:i4>
      </vt:variant>
      <vt:variant>
        <vt:i4>284</vt:i4>
      </vt:variant>
      <vt:variant>
        <vt:i4>0</vt:i4>
      </vt:variant>
      <vt:variant>
        <vt:i4>5</vt:i4>
      </vt:variant>
      <vt:variant>
        <vt:lpwstr/>
      </vt:variant>
      <vt:variant>
        <vt:lpwstr>_Toc40101437</vt:lpwstr>
      </vt:variant>
      <vt:variant>
        <vt:i4>1441847</vt:i4>
      </vt:variant>
      <vt:variant>
        <vt:i4>278</vt:i4>
      </vt:variant>
      <vt:variant>
        <vt:i4>0</vt:i4>
      </vt:variant>
      <vt:variant>
        <vt:i4>5</vt:i4>
      </vt:variant>
      <vt:variant>
        <vt:lpwstr/>
      </vt:variant>
      <vt:variant>
        <vt:lpwstr>_Toc40101435</vt:lpwstr>
      </vt:variant>
      <vt:variant>
        <vt:i4>1507383</vt:i4>
      </vt:variant>
      <vt:variant>
        <vt:i4>272</vt:i4>
      </vt:variant>
      <vt:variant>
        <vt:i4>0</vt:i4>
      </vt:variant>
      <vt:variant>
        <vt:i4>5</vt:i4>
      </vt:variant>
      <vt:variant>
        <vt:lpwstr/>
      </vt:variant>
      <vt:variant>
        <vt:lpwstr>_Toc40101434</vt:lpwstr>
      </vt:variant>
      <vt:variant>
        <vt:i4>1048631</vt:i4>
      </vt:variant>
      <vt:variant>
        <vt:i4>266</vt:i4>
      </vt:variant>
      <vt:variant>
        <vt:i4>0</vt:i4>
      </vt:variant>
      <vt:variant>
        <vt:i4>5</vt:i4>
      </vt:variant>
      <vt:variant>
        <vt:lpwstr/>
      </vt:variant>
      <vt:variant>
        <vt:lpwstr>_Toc40101433</vt:lpwstr>
      </vt:variant>
      <vt:variant>
        <vt:i4>1114167</vt:i4>
      </vt:variant>
      <vt:variant>
        <vt:i4>260</vt:i4>
      </vt:variant>
      <vt:variant>
        <vt:i4>0</vt:i4>
      </vt:variant>
      <vt:variant>
        <vt:i4>5</vt:i4>
      </vt:variant>
      <vt:variant>
        <vt:lpwstr/>
      </vt:variant>
      <vt:variant>
        <vt:lpwstr>_Toc40101432</vt:lpwstr>
      </vt:variant>
      <vt:variant>
        <vt:i4>1179703</vt:i4>
      </vt:variant>
      <vt:variant>
        <vt:i4>254</vt:i4>
      </vt:variant>
      <vt:variant>
        <vt:i4>0</vt:i4>
      </vt:variant>
      <vt:variant>
        <vt:i4>5</vt:i4>
      </vt:variant>
      <vt:variant>
        <vt:lpwstr/>
      </vt:variant>
      <vt:variant>
        <vt:lpwstr>_Toc40101431</vt:lpwstr>
      </vt:variant>
      <vt:variant>
        <vt:i4>1245239</vt:i4>
      </vt:variant>
      <vt:variant>
        <vt:i4>248</vt:i4>
      </vt:variant>
      <vt:variant>
        <vt:i4>0</vt:i4>
      </vt:variant>
      <vt:variant>
        <vt:i4>5</vt:i4>
      </vt:variant>
      <vt:variant>
        <vt:lpwstr/>
      </vt:variant>
      <vt:variant>
        <vt:lpwstr>_Toc40101430</vt:lpwstr>
      </vt:variant>
      <vt:variant>
        <vt:i4>1703990</vt:i4>
      </vt:variant>
      <vt:variant>
        <vt:i4>242</vt:i4>
      </vt:variant>
      <vt:variant>
        <vt:i4>0</vt:i4>
      </vt:variant>
      <vt:variant>
        <vt:i4>5</vt:i4>
      </vt:variant>
      <vt:variant>
        <vt:lpwstr/>
      </vt:variant>
      <vt:variant>
        <vt:lpwstr>_Toc40101429</vt:lpwstr>
      </vt:variant>
      <vt:variant>
        <vt:i4>1769526</vt:i4>
      </vt:variant>
      <vt:variant>
        <vt:i4>236</vt:i4>
      </vt:variant>
      <vt:variant>
        <vt:i4>0</vt:i4>
      </vt:variant>
      <vt:variant>
        <vt:i4>5</vt:i4>
      </vt:variant>
      <vt:variant>
        <vt:lpwstr/>
      </vt:variant>
      <vt:variant>
        <vt:lpwstr>_Toc40101428</vt:lpwstr>
      </vt:variant>
      <vt:variant>
        <vt:i4>1310774</vt:i4>
      </vt:variant>
      <vt:variant>
        <vt:i4>230</vt:i4>
      </vt:variant>
      <vt:variant>
        <vt:i4>0</vt:i4>
      </vt:variant>
      <vt:variant>
        <vt:i4>5</vt:i4>
      </vt:variant>
      <vt:variant>
        <vt:lpwstr/>
      </vt:variant>
      <vt:variant>
        <vt:lpwstr>_Toc40101427</vt:lpwstr>
      </vt:variant>
      <vt:variant>
        <vt:i4>1376310</vt:i4>
      </vt:variant>
      <vt:variant>
        <vt:i4>224</vt:i4>
      </vt:variant>
      <vt:variant>
        <vt:i4>0</vt:i4>
      </vt:variant>
      <vt:variant>
        <vt:i4>5</vt:i4>
      </vt:variant>
      <vt:variant>
        <vt:lpwstr/>
      </vt:variant>
      <vt:variant>
        <vt:lpwstr>_Toc40101426</vt:lpwstr>
      </vt:variant>
      <vt:variant>
        <vt:i4>1441846</vt:i4>
      </vt:variant>
      <vt:variant>
        <vt:i4>218</vt:i4>
      </vt:variant>
      <vt:variant>
        <vt:i4>0</vt:i4>
      </vt:variant>
      <vt:variant>
        <vt:i4>5</vt:i4>
      </vt:variant>
      <vt:variant>
        <vt:lpwstr/>
      </vt:variant>
      <vt:variant>
        <vt:lpwstr>_Toc40101425</vt:lpwstr>
      </vt:variant>
      <vt:variant>
        <vt:i4>1507382</vt:i4>
      </vt:variant>
      <vt:variant>
        <vt:i4>212</vt:i4>
      </vt:variant>
      <vt:variant>
        <vt:i4>0</vt:i4>
      </vt:variant>
      <vt:variant>
        <vt:i4>5</vt:i4>
      </vt:variant>
      <vt:variant>
        <vt:lpwstr/>
      </vt:variant>
      <vt:variant>
        <vt:lpwstr>_Toc40101424</vt:lpwstr>
      </vt:variant>
      <vt:variant>
        <vt:i4>1048630</vt:i4>
      </vt:variant>
      <vt:variant>
        <vt:i4>206</vt:i4>
      </vt:variant>
      <vt:variant>
        <vt:i4>0</vt:i4>
      </vt:variant>
      <vt:variant>
        <vt:i4>5</vt:i4>
      </vt:variant>
      <vt:variant>
        <vt:lpwstr/>
      </vt:variant>
      <vt:variant>
        <vt:lpwstr>_Toc40101423</vt:lpwstr>
      </vt:variant>
      <vt:variant>
        <vt:i4>1114166</vt:i4>
      </vt:variant>
      <vt:variant>
        <vt:i4>200</vt:i4>
      </vt:variant>
      <vt:variant>
        <vt:i4>0</vt:i4>
      </vt:variant>
      <vt:variant>
        <vt:i4>5</vt:i4>
      </vt:variant>
      <vt:variant>
        <vt:lpwstr/>
      </vt:variant>
      <vt:variant>
        <vt:lpwstr>_Toc40101422</vt:lpwstr>
      </vt:variant>
      <vt:variant>
        <vt:i4>1179702</vt:i4>
      </vt:variant>
      <vt:variant>
        <vt:i4>194</vt:i4>
      </vt:variant>
      <vt:variant>
        <vt:i4>0</vt:i4>
      </vt:variant>
      <vt:variant>
        <vt:i4>5</vt:i4>
      </vt:variant>
      <vt:variant>
        <vt:lpwstr/>
      </vt:variant>
      <vt:variant>
        <vt:lpwstr>_Toc40101421</vt:lpwstr>
      </vt:variant>
      <vt:variant>
        <vt:i4>1245238</vt:i4>
      </vt:variant>
      <vt:variant>
        <vt:i4>188</vt:i4>
      </vt:variant>
      <vt:variant>
        <vt:i4>0</vt:i4>
      </vt:variant>
      <vt:variant>
        <vt:i4>5</vt:i4>
      </vt:variant>
      <vt:variant>
        <vt:lpwstr/>
      </vt:variant>
      <vt:variant>
        <vt:lpwstr>_Toc40101420</vt:lpwstr>
      </vt:variant>
      <vt:variant>
        <vt:i4>1703989</vt:i4>
      </vt:variant>
      <vt:variant>
        <vt:i4>182</vt:i4>
      </vt:variant>
      <vt:variant>
        <vt:i4>0</vt:i4>
      </vt:variant>
      <vt:variant>
        <vt:i4>5</vt:i4>
      </vt:variant>
      <vt:variant>
        <vt:lpwstr/>
      </vt:variant>
      <vt:variant>
        <vt:lpwstr>_Toc40101419</vt:lpwstr>
      </vt:variant>
      <vt:variant>
        <vt:i4>1769525</vt:i4>
      </vt:variant>
      <vt:variant>
        <vt:i4>176</vt:i4>
      </vt:variant>
      <vt:variant>
        <vt:i4>0</vt:i4>
      </vt:variant>
      <vt:variant>
        <vt:i4>5</vt:i4>
      </vt:variant>
      <vt:variant>
        <vt:lpwstr/>
      </vt:variant>
      <vt:variant>
        <vt:lpwstr>_Toc40101418</vt:lpwstr>
      </vt:variant>
      <vt:variant>
        <vt:i4>1310773</vt:i4>
      </vt:variant>
      <vt:variant>
        <vt:i4>170</vt:i4>
      </vt:variant>
      <vt:variant>
        <vt:i4>0</vt:i4>
      </vt:variant>
      <vt:variant>
        <vt:i4>5</vt:i4>
      </vt:variant>
      <vt:variant>
        <vt:lpwstr/>
      </vt:variant>
      <vt:variant>
        <vt:lpwstr>_Toc40101417</vt:lpwstr>
      </vt:variant>
      <vt:variant>
        <vt:i4>1376309</vt:i4>
      </vt:variant>
      <vt:variant>
        <vt:i4>164</vt:i4>
      </vt:variant>
      <vt:variant>
        <vt:i4>0</vt:i4>
      </vt:variant>
      <vt:variant>
        <vt:i4>5</vt:i4>
      </vt:variant>
      <vt:variant>
        <vt:lpwstr/>
      </vt:variant>
      <vt:variant>
        <vt:lpwstr>_Toc40101416</vt:lpwstr>
      </vt:variant>
      <vt:variant>
        <vt:i4>1441845</vt:i4>
      </vt:variant>
      <vt:variant>
        <vt:i4>158</vt:i4>
      </vt:variant>
      <vt:variant>
        <vt:i4>0</vt:i4>
      </vt:variant>
      <vt:variant>
        <vt:i4>5</vt:i4>
      </vt:variant>
      <vt:variant>
        <vt:lpwstr/>
      </vt:variant>
      <vt:variant>
        <vt:lpwstr>_Toc40101415</vt:lpwstr>
      </vt:variant>
      <vt:variant>
        <vt:i4>1507381</vt:i4>
      </vt:variant>
      <vt:variant>
        <vt:i4>152</vt:i4>
      </vt:variant>
      <vt:variant>
        <vt:i4>0</vt:i4>
      </vt:variant>
      <vt:variant>
        <vt:i4>5</vt:i4>
      </vt:variant>
      <vt:variant>
        <vt:lpwstr/>
      </vt:variant>
      <vt:variant>
        <vt:lpwstr>_Toc40101414</vt:lpwstr>
      </vt:variant>
      <vt:variant>
        <vt:i4>1048629</vt:i4>
      </vt:variant>
      <vt:variant>
        <vt:i4>146</vt:i4>
      </vt:variant>
      <vt:variant>
        <vt:i4>0</vt:i4>
      </vt:variant>
      <vt:variant>
        <vt:i4>5</vt:i4>
      </vt:variant>
      <vt:variant>
        <vt:lpwstr/>
      </vt:variant>
      <vt:variant>
        <vt:lpwstr>_Toc40101413</vt:lpwstr>
      </vt:variant>
      <vt:variant>
        <vt:i4>1114165</vt:i4>
      </vt:variant>
      <vt:variant>
        <vt:i4>140</vt:i4>
      </vt:variant>
      <vt:variant>
        <vt:i4>0</vt:i4>
      </vt:variant>
      <vt:variant>
        <vt:i4>5</vt:i4>
      </vt:variant>
      <vt:variant>
        <vt:lpwstr/>
      </vt:variant>
      <vt:variant>
        <vt:lpwstr>_Toc40101412</vt:lpwstr>
      </vt:variant>
      <vt:variant>
        <vt:i4>1179701</vt:i4>
      </vt:variant>
      <vt:variant>
        <vt:i4>134</vt:i4>
      </vt:variant>
      <vt:variant>
        <vt:i4>0</vt:i4>
      </vt:variant>
      <vt:variant>
        <vt:i4>5</vt:i4>
      </vt:variant>
      <vt:variant>
        <vt:lpwstr/>
      </vt:variant>
      <vt:variant>
        <vt:lpwstr>_Toc40101411</vt:lpwstr>
      </vt:variant>
      <vt:variant>
        <vt:i4>1245237</vt:i4>
      </vt:variant>
      <vt:variant>
        <vt:i4>128</vt:i4>
      </vt:variant>
      <vt:variant>
        <vt:i4>0</vt:i4>
      </vt:variant>
      <vt:variant>
        <vt:i4>5</vt:i4>
      </vt:variant>
      <vt:variant>
        <vt:lpwstr/>
      </vt:variant>
      <vt:variant>
        <vt:lpwstr>_Toc40101410</vt:lpwstr>
      </vt:variant>
      <vt:variant>
        <vt:i4>1703988</vt:i4>
      </vt:variant>
      <vt:variant>
        <vt:i4>122</vt:i4>
      </vt:variant>
      <vt:variant>
        <vt:i4>0</vt:i4>
      </vt:variant>
      <vt:variant>
        <vt:i4>5</vt:i4>
      </vt:variant>
      <vt:variant>
        <vt:lpwstr/>
      </vt:variant>
      <vt:variant>
        <vt:lpwstr>_Toc40101409</vt:lpwstr>
      </vt:variant>
      <vt:variant>
        <vt:i4>1769524</vt:i4>
      </vt:variant>
      <vt:variant>
        <vt:i4>116</vt:i4>
      </vt:variant>
      <vt:variant>
        <vt:i4>0</vt:i4>
      </vt:variant>
      <vt:variant>
        <vt:i4>5</vt:i4>
      </vt:variant>
      <vt:variant>
        <vt:lpwstr/>
      </vt:variant>
      <vt:variant>
        <vt:lpwstr>_Toc40101408</vt:lpwstr>
      </vt:variant>
      <vt:variant>
        <vt:i4>1310772</vt:i4>
      </vt:variant>
      <vt:variant>
        <vt:i4>110</vt:i4>
      </vt:variant>
      <vt:variant>
        <vt:i4>0</vt:i4>
      </vt:variant>
      <vt:variant>
        <vt:i4>5</vt:i4>
      </vt:variant>
      <vt:variant>
        <vt:lpwstr/>
      </vt:variant>
      <vt:variant>
        <vt:lpwstr>_Toc40101407</vt:lpwstr>
      </vt:variant>
      <vt:variant>
        <vt:i4>1376308</vt:i4>
      </vt:variant>
      <vt:variant>
        <vt:i4>104</vt:i4>
      </vt:variant>
      <vt:variant>
        <vt:i4>0</vt:i4>
      </vt:variant>
      <vt:variant>
        <vt:i4>5</vt:i4>
      </vt:variant>
      <vt:variant>
        <vt:lpwstr/>
      </vt:variant>
      <vt:variant>
        <vt:lpwstr>_Toc40101406</vt:lpwstr>
      </vt:variant>
      <vt:variant>
        <vt:i4>1441844</vt:i4>
      </vt:variant>
      <vt:variant>
        <vt:i4>98</vt:i4>
      </vt:variant>
      <vt:variant>
        <vt:i4>0</vt:i4>
      </vt:variant>
      <vt:variant>
        <vt:i4>5</vt:i4>
      </vt:variant>
      <vt:variant>
        <vt:lpwstr/>
      </vt:variant>
      <vt:variant>
        <vt:lpwstr>_Toc40101405</vt:lpwstr>
      </vt:variant>
      <vt:variant>
        <vt:i4>1507380</vt:i4>
      </vt:variant>
      <vt:variant>
        <vt:i4>92</vt:i4>
      </vt:variant>
      <vt:variant>
        <vt:i4>0</vt:i4>
      </vt:variant>
      <vt:variant>
        <vt:i4>5</vt:i4>
      </vt:variant>
      <vt:variant>
        <vt:lpwstr/>
      </vt:variant>
      <vt:variant>
        <vt:lpwstr>_Toc40101404</vt:lpwstr>
      </vt:variant>
      <vt:variant>
        <vt:i4>1048628</vt:i4>
      </vt:variant>
      <vt:variant>
        <vt:i4>86</vt:i4>
      </vt:variant>
      <vt:variant>
        <vt:i4>0</vt:i4>
      </vt:variant>
      <vt:variant>
        <vt:i4>5</vt:i4>
      </vt:variant>
      <vt:variant>
        <vt:lpwstr/>
      </vt:variant>
      <vt:variant>
        <vt:lpwstr>_Toc40101403</vt:lpwstr>
      </vt:variant>
      <vt:variant>
        <vt:i4>1114164</vt:i4>
      </vt:variant>
      <vt:variant>
        <vt:i4>80</vt:i4>
      </vt:variant>
      <vt:variant>
        <vt:i4>0</vt:i4>
      </vt:variant>
      <vt:variant>
        <vt:i4>5</vt:i4>
      </vt:variant>
      <vt:variant>
        <vt:lpwstr/>
      </vt:variant>
      <vt:variant>
        <vt:lpwstr>_Toc40101402</vt:lpwstr>
      </vt:variant>
      <vt:variant>
        <vt:i4>1179700</vt:i4>
      </vt:variant>
      <vt:variant>
        <vt:i4>74</vt:i4>
      </vt:variant>
      <vt:variant>
        <vt:i4>0</vt:i4>
      </vt:variant>
      <vt:variant>
        <vt:i4>5</vt:i4>
      </vt:variant>
      <vt:variant>
        <vt:lpwstr/>
      </vt:variant>
      <vt:variant>
        <vt:lpwstr>_Toc40101401</vt:lpwstr>
      </vt:variant>
      <vt:variant>
        <vt:i4>1245236</vt:i4>
      </vt:variant>
      <vt:variant>
        <vt:i4>68</vt:i4>
      </vt:variant>
      <vt:variant>
        <vt:i4>0</vt:i4>
      </vt:variant>
      <vt:variant>
        <vt:i4>5</vt:i4>
      </vt:variant>
      <vt:variant>
        <vt:lpwstr/>
      </vt:variant>
      <vt:variant>
        <vt:lpwstr>_Toc40101400</vt:lpwstr>
      </vt:variant>
      <vt:variant>
        <vt:i4>1900605</vt:i4>
      </vt:variant>
      <vt:variant>
        <vt:i4>62</vt:i4>
      </vt:variant>
      <vt:variant>
        <vt:i4>0</vt:i4>
      </vt:variant>
      <vt:variant>
        <vt:i4>5</vt:i4>
      </vt:variant>
      <vt:variant>
        <vt:lpwstr/>
      </vt:variant>
      <vt:variant>
        <vt:lpwstr>_Toc40101399</vt:lpwstr>
      </vt:variant>
      <vt:variant>
        <vt:i4>1835069</vt:i4>
      </vt:variant>
      <vt:variant>
        <vt:i4>56</vt:i4>
      </vt:variant>
      <vt:variant>
        <vt:i4>0</vt:i4>
      </vt:variant>
      <vt:variant>
        <vt:i4>5</vt:i4>
      </vt:variant>
      <vt:variant>
        <vt:lpwstr/>
      </vt:variant>
      <vt:variant>
        <vt:lpwstr>_Toc40101398</vt:lpwstr>
      </vt:variant>
      <vt:variant>
        <vt:i4>1245245</vt:i4>
      </vt:variant>
      <vt:variant>
        <vt:i4>50</vt:i4>
      </vt:variant>
      <vt:variant>
        <vt:i4>0</vt:i4>
      </vt:variant>
      <vt:variant>
        <vt:i4>5</vt:i4>
      </vt:variant>
      <vt:variant>
        <vt:lpwstr/>
      </vt:variant>
      <vt:variant>
        <vt:lpwstr>_Toc40101397</vt:lpwstr>
      </vt:variant>
      <vt:variant>
        <vt:i4>1179709</vt:i4>
      </vt:variant>
      <vt:variant>
        <vt:i4>44</vt:i4>
      </vt:variant>
      <vt:variant>
        <vt:i4>0</vt:i4>
      </vt:variant>
      <vt:variant>
        <vt:i4>5</vt:i4>
      </vt:variant>
      <vt:variant>
        <vt:lpwstr/>
      </vt:variant>
      <vt:variant>
        <vt:lpwstr>_Toc40101396</vt:lpwstr>
      </vt:variant>
      <vt:variant>
        <vt:i4>1114173</vt:i4>
      </vt:variant>
      <vt:variant>
        <vt:i4>38</vt:i4>
      </vt:variant>
      <vt:variant>
        <vt:i4>0</vt:i4>
      </vt:variant>
      <vt:variant>
        <vt:i4>5</vt:i4>
      </vt:variant>
      <vt:variant>
        <vt:lpwstr/>
      </vt:variant>
      <vt:variant>
        <vt:lpwstr>_Toc40101395</vt:lpwstr>
      </vt:variant>
      <vt:variant>
        <vt:i4>1048637</vt:i4>
      </vt:variant>
      <vt:variant>
        <vt:i4>32</vt:i4>
      </vt:variant>
      <vt:variant>
        <vt:i4>0</vt:i4>
      </vt:variant>
      <vt:variant>
        <vt:i4>5</vt:i4>
      </vt:variant>
      <vt:variant>
        <vt:lpwstr/>
      </vt:variant>
      <vt:variant>
        <vt:lpwstr>_Toc40101394</vt:lpwstr>
      </vt:variant>
      <vt:variant>
        <vt:i4>1507389</vt:i4>
      </vt:variant>
      <vt:variant>
        <vt:i4>26</vt:i4>
      </vt:variant>
      <vt:variant>
        <vt:i4>0</vt:i4>
      </vt:variant>
      <vt:variant>
        <vt:i4>5</vt:i4>
      </vt:variant>
      <vt:variant>
        <vt:lpwstr/>
      </vt:variant>
      <vt:variant>
        <vt:lpwstr>_Toc40101393</vt:lpwstr>
      </vt:variant>
      <vt:variant>
        <vt:i4>1441853</vt:i4>
      </vt:variant>
      <vt:variant>
        <vt:i4>20</vt:i4>
      </vt:variant>
      <vt:variant>
        <vt:i4>0</vt:i4>
      </vt:variant>
      <vt:variant>
        <vt:i4>5</vt:i4>
      </vt:variant>
      <vt:variant>
        <vt:lpwstr/>
      </vt:variant>
      <vt:variant>
        <vt:lpwstr>_Toc40101392</vt:lpwstr>
      </vt:variant>
      <vt:variant>
        <vt:i4>1376317</vt:i4>
      </vt:variant>
      <vt:variant>
        <vt:i4>14</vt:i4>
      </vt:variant>
      <vt:variant>
        <vt:i4>0</vt:i4>
      </vt:variant>
      <vt:variant>
        <vt:i4>5</vt:i4>
      </vt:variant>
      <vt:variant>
        <vt:lpwstr/>
      </vt:variant>
      <vt:variant>
        <vt:lpwstr>_Toc40101391</vt:lpwstr>
      </vt:variant>
      <vt:variant>
        <vt:i4>1310781</vt:i4>
      </vt:variant>
      <vt:variant>
        <vt:i4>8</vt:i4>
      </vt:variant>
      <vt:variant>
        <vt:i4>0</vt:i4>
      </vt:variant>
      <vt:variant>
        <vt:i4>5</vt:i4>
      </vt:variant>
      <vt:variant>
        <vt:lpwstr/>
      </vt:variant>
      <vt:variant>
        <vt:lpwstr>_Toc40101390</vt:lpwstr>
      </vt:variant>
      <vt:variant>
        <vt:i4>1900604</vt:i4>
      </vt:variant>
      <vt:variant>
        <vt:i4>2</vt:i4>
      </vt:variant>
      <vt:variant>
        <vt:i4>0</vt:i4>
      </vt:variant>
      <vt:variant>
        <vt:i4>5</vt:i4>
      </vt:variant>
      <vt:variant>
        <vt:lpwstr/>
      </vt:variant>
      <vt:variant>
        <vt:lpwstr>_Toc40101389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2020-07-15T01:24:00Z</dcterms:created>
  <dcterms:modified xsi:type="dcterms:W3CDTF">2020-07-15T01:24:00Z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0x010100602395C1FBF038468E02E532EFAA10B9</vt:lpwstr>
  </property>
</Properties>
</file>