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A815D7" w14:textId="087AC386" w:rsidR="00A63D55" w:rsidRPr="00050FDA" w:rsidRDefault="006D34E8" w:rsidP="00A63D55">
      <w:pPr>
        <w:pStyle w:val="Covertitle"/>
        <w:rPr>
          <w:color w:val="auto"/>
        </w:rPr>
      </w:pPr>
      <w:r w:rsidRPr="00050FDA">
        <w:rPr>
          <w:rFonts w:ascii="Arial" w:hAnsi="Arial" w:cs="Arial"/>
          <w:color w:val="auto"/>
        </w:rPr>
        <w:t>Children’s Services Regulations 2020: Regulatory Impact Statement</w:t>
      </w:r>
    </w:p>
    <w:p w14:paraId="6A71E22E" w14:textId="77777777" w:rsidR="006D34E8" w:rsidRPr="00050FDA" w:rsidRDefault="006D34E8" w:rsidP="006D34E8">
      <w:pPr>
        <w:pStyle w:val="Coversubtitle"/>
        <w:rPr>
          <w:color w:val="auto"/>
        </w:rPr>
      </w:pPr>
      <w:r w:rsidRPr="00050FDA">
        <w:rPr>
          <w:color w:val="auto"/>
        </w:rPr>
        <w:t>Department of Education and Training</w:t>
      </w:r>
    </w:p>
    <w:p w14:paraId="385AAE9A" w14:textId="2DFEF998" w:rsidR="00A63D55" w:rsidRPr="00050FDA" w:rsidRDefault="006D34E8" w:rsidP="006D34E8">
      <w:pPr>
        <w:pStyle w:val="Coversubtitle"/>
        <w:rPr>
          <w:b/>
          <w:color w:val="auto"/>
        </w:rPr>
      </w:pPr>
      <w:r w:rsidRPr="00050FDA">
        <w:rPr>
          <w:b/>
          <w:color w:val="auto"/>
        </w:rPr>
        <w:t>February 2020</w:t>
      </w:r>
    </w:p>
    <w:p w14:paraId="2BE6D8BB" w14:textId="77777777" w:rsidR="00DA3218" w:rsidRDefault="00DA3218" w:rsidP="003E0DF9">
      <w:pPr>
        <w:pStyle w:val="Heading1"/>
        <w:rPr>
          <w:lang w:val="en-AU"/>
        </w:rPr>
        <w:sectPr w:rsidR="00DA3218" w:rsidSect="0011713E">
          <w:headerReference w:type="default" r:id="rId11"/>
          <w:footerReference w:type="even" r:id="rId12"/>
          <w:footerReference w:type="default" r:id="rId13"/>
          <w:pgSz w:w="11900" w:h="16840"/>
          <w:pgMar w:top="992" w:right="1134" w:bottom="1701" w:left="1134" w:header="709" w:footer="709" w:gutter="0"/>
          <w:cols w:space="708"/>
          <w:vAlign w:val="bottom"/>
          <w:docGrid w:linePitch="360"/>
        </w:sectPr>
      </w:pPr>
    </w:p>
    <w:p w14:paraId="55AC1510" w14:textId="77777777" w:rsidR="00DD4A32" w:rsidRDefault="00DD4A32">
      <w:pPr>
        <w:spacing w:after="0"/>
        <w:rPr>
          <w:rFonts w:cstheme="minorHAnsi"/>
          <w:b/>
          <w:color w:val="004EA8" w:themeColor="accent1"/>
          <w:sz w:val="44"/>
          <w:szCs w:val="44"/>
        </w:rPr>
        <w:sectPr w:rsidR="00DD4A32" w:rsidSect="00DA3218">
          <w:headerReference w:type="default" r:id="rId14"/>
          <w:footerReference w:type="default" r:id="rId15"/>
          <w:pgSz w:w="11900" w:h="16840"/>
          <w:pgMar w:top="1985" w:right="1134" w:bottom="1701" w:left="1134" w:header="709" w:footer="709" w:gutter="0"/>
          <w:cols w:space="708"/>
          <w:docGrid w:linePitch="360"/>
        </w:sectPr>
      </w:pPr>
      <w:r>
        <w:rPr>
          <w:rFonts w:cstheme="minorHAnsi"/>
          <w:b/>
          <w:color w:val="004EA8" w:themeColor="accent1"/>
          <w:sz w:val="44"/>
          <w:szCs w:val="44"/>
        </w:rPr>
        <w:lastRenderedPageBreak/>
        <w:br w:type="page"/>
      </w:r>
    </w:p>
    <w:p w14:paraId="0692BD75" w14:textId="5E57D422" w:rsidR="00DA3218" w:rsidRPr="00AB25E1" w:rsidRDefault="00DA3218" w:rsidP="00DA3218">
      <w:pPr>
        <w:spacing w:after="40"/>
        <w:rPr>
          <w:rFonts w:cstheme="minorHAnsi"/>
          <w:b/>
          <w:color w:val="004EA8" w:themeColor="accent1"/>
          <w:sz w:val="44"/>
          <w:szCs w:val="44"/>
        </w:rPr>
      </w:pPr>
      <w:r w:rsidRPr="00AB25E1">
        <w:rPr>
          <w:rFonts w:cstheme="minorHAnsi"/>
          <w:b/>
          <w:color w:val="004EA8" w:themeColor="accent1"/>
          <w:sz w:val="44"/>
          <w:szCs w:val="44"/>
        </w:rPr>
        <w:lastRenderedPageBreak/>
        <w:t>CONTENTS</w:t>
      </w:r>
    </w:p>
    <w:p w14:paraId="467ADB9D" w14:textId="77777777" w:rsidR="00DA3218" w:rsidRDefault="00DA3218" w:rsidP="00DA3218">
      <w:pPr>
        <w:spacing w:after="40"/>
        <w:rPr>
          <w:rFonts w:cstheme="minorHAnsi"/>
          <w:color w:val="7F7F7F" w:themeColor="text1" w:themeTint="80"/>
          <w:sz w:val="13"/>
          <w:szCs w:val="13"/>
        </w:rPr>
      </w:pPr>
    </w:p>
    <w:p w14:paraId="27D1EDCC" w14:textId="51F12B7C" w:rsidR="006C3CDE" w:rsidRDefault="00DA3218">
      <w:pPr>
        <w:pStyle w:val="TOC1"/>
        <w:rPr>
          <w:rFonts w:asciiTheme="minorHAnsi" w:hAnsiTheme="minorHAnsi" w:cstheme="minorBidi"/>
          <w:b w:val="0"/>
          <w:noProof/>
          <w:color w:val="auto"/>
          <w:szCs w:val="22"/>
          <w:lang w:val="en-AU" w:eastAsia="en-AU"/>
        </w:rPr>
      </w:pPr>
      <w:r>
        <w:rPr>
          <w:color w:val="AF272F"/>
        </w:rPr>
        <w:fldChar w:fldCharType="begin"/>
      </w:r>
      <w:r>
        <w:instrText xml:space="preserve"> TOC \t "HEADING 1,1,HEADING 2,2,Heading 3,3" </w:instrText>
      </w:r>
      <w:r>
        <w:rPr>
          <w:color w:val="AF272F"/>
        </w:rPr>
        <w:fldChar w:fldCharType="separate"/>
      </w:r>
      <w:r w:rsidR="006C3CDE">
        <w:rPr>
          <w:noProof/>
        </w:rPr>
        <w:t>Executive summary</w:t>
      </w:r>
      <w:r w:rsidR="006C3CDE">
        <w:rPr>
          <w:noProof/>
        </w:rPr>
        <w:tab/>
      </w:r>
      <w:r w:rsidR="006C3CDE">
        <w:rPr>
          <w:noProof/>
        </w:rPr>
        <w:fldChar w:fldCharType="begin"/>
      </w:r>
      <w:r w:rsidR="006C3CDE">
        <w:rPr>
          <w:noProof/>
        </w:rPr>
        <w:instrText xml:space="preserve"> PAGEREF _Toc32936855 \h </w:instrText>
      </w:r>
      <w:r w:rsidR="006C3CDE">
        <w:rPr>
          <w:noProof/>
        </w:rPr>
      </w:r>
      <w:r w:rsidR="006C3CDE">
        <w:rPr>
          <w:noProof/>
        </w:rPr>
        <w:fldChar w:fldCharType="separate"/>
      </w:r>
      <w:r w:rsidR="006C3CDE">
        <w:rPr>
          <w:noProof/>
        </w:rPr>
        <w:t>7</w:t>
      </w:r>
      <w:r w:rsidR="006C3CDE">
        <w:rPr>
          <w:noProof/>
        </w:rPr>
        <w:fldChar w:fldCharType="end"/>
      </w:r>
    </w:p>
    <w:p w14:paraId="3B9C82B3" w14:textId="33D95EDC" w:rsidR="006C3CDE" w:rsidRDefault="006C3CDE">
      <w:pPr>
        <w:pStyle w:val="TOC1"/>
        <w:rPr>
          <w:rFonts w:asciiTheme="minorHAnsi" w:hAnsiTheme="minorHAnsi" w:cstheme="minorBidi"/>
          <w:b w:val="0"/>
          <w:noProof/>
          <w:color w:val="auto"/>
          <w:szCs w:val="22"/>
          <w:lang w:val="en-AU" w:eastAsia="en-AU"/>
        </w:rPr>
      </w:pPr>
      <w:r>
        <w:rPr>
          <w:noProof/>
        </w:rPr>
        <w:t>Terms and abbreviations</w:t>
      </w:r>
      <w:r>
        <w:rPr>
          <w:noProof/>
        </w:rPr>
        <w:tab/>
      </w:r>
      <w:r>
        <w:rPr>
          <w:noProof/>
        </w:rPr>
        <w:fldChar w:fldCharType="begin"/>
      </w:r>
      <w:r>
        <w:rPr>
          <w:noProof/>
        </w:rPr>
        <w:instrText xml:space="preserve"> PAGEREF _Toc32936856 \h </w:instrText>
      </w:r>
      <w:r>
        <w:rPr>
          <w:noProof/>
        </w:rPr>
      </w:r>
      <w:r>
        <w:rPr>
          <w:noProof/>
        </w:rPr>
        <w:fldChar w:fldCharType="separate"/>
      </w:r>
      <w:r>
        <w:rPr>
          <w:noProof/>
        </w:rPr>
        <w:t>12</w:t>
      </w:r>
      <w:r>
        <w:rPr>
          <w:noProof/>
        </w:rPr>
        <w:fldChar w:fldCharType="end"/>
      </w:r>
    </w:p>
    <w:p w14:paraId="7E4EF3D3" w14:textId="0768C9AF" w:rsidR="006C3CDE" w:rsidRDefault="006C3CDE">
      <w:pPr>
        <w:pStyle w:val="TOC1"/>
        <w:tabs>
          <w:tab w:val="left" w:pos="601"/>
        </w:tabs>
        <w:rPr>
          <w:rFonts w:asciiTheme="minorHAnsi" w:hAnsiTheme="minorHAnsi" w:cstheme="minorBidi"/>
          <w:b w:val="0"/>
          <w:noProof/>
          <w:color w:val="auto"/>
          <w:szCs w:val="22"/>
          <w:lang w:val="en-AU" w:eastAsia="en-AU"/>
        </w:rPr>
      </w:pPr>
      <w:r>
        <w:rPr>
          <w:noProof/>
        </w:rPr>
        <w:t>1.</w:t>
      </w:r>
      <w:r>
        <w:rPr>
          <w:rFonts w:asciiTheme="minorHAnsi" w:hAnsiTheme="minorHAnsi" w:cstheme="minorBidi"/>
          <w:b w:val="0"/>
          <w:noProof/>
          <w:color w:val="auto"/>
          <w:szCs w:val="22"/>
          <w:lang w:val="en-AU" w:eastAsia="en-AU"/>
        </w:rPr>
        <w:tab/>
      </w:r>
      <w:r>
        <w:rPr>
          <w:noProof/>
        </w:rPr>
        <w:t>Introduction</w:t>
      </w:r>
      <w:r>
        <w:rPr>
          <w:noProof/>
        </w:rPr>
        <w:tab/>
      </w:r>
      <w:r>
        <w:rPr>
          <w:noProof/>
        </w:rPr>
        <w:fldChar w:fldCharType="begin"/>
      </w:r>
      <w:r>
        <w:rPr>
          <w:noProof/>
        </w:rPr>
        <w:instrText xml:space="preserve"> PAGEREF _Toc32936857 \h </w:instrText>
      </w:r>
      <w:r>
        <w:rPr>
          <w:noProof/>
        </w:rPr>
      </w:r>
      <w:r>
        <w:rPr>
          <w:noProof/>
        </w:rPr>
        <w:fldChar w:fldCharType="separate"/>
      </w:r>
      <w:r>
        <w:rPr>
          <w:noProof/>
        </w:rPr>
        <w:t>13</w:t>
      </w:r>
      <w:r>
        <w:rPr>
          <w:noProof/>
        </w:rPr>
        <w:fldChar w:fldCharType="end"/>
      </w:r>
    </w:p>
    <w:p w14:paraId="35ECEDF3" w14:textId="0238918C" w:rsidR="006C3CDE" w:rsidRDefault="006C3CDE">
      <w:pPr>
        <w:pStyle w:val="TOC2"/>
        <w:tabs>
          <w:tab w:val="right" w:leader="dot" w:pos="9622"/>
        </w:tabs>
        <w:rPr>
          <w:rFonts w:asciiTheme="minorHAnsi" w:hAnsiTheme="minorHAnsi" w:cstheme="minorBidi"/>
          <w:noProof/>
          <w:color w:val="auto"/>
          <w:szCs w:val="22"/>
          <w:lang w:val="en-AU" w:eastAsia="en-AU"/>
        </w:rPr>
      </w:pPr>
      <w:r w:rsidRPr="00B364F6">
        <w:rPr>
          <w:rFonts w:eastAsiaTheme="minorHAnsi"/>
          <w:noProof/>
        </w:rPr>
        <w:t>1.1 Purpose of the RIS</w:t>
      </w:r>
      <w:r>
        <w:rPr>
          <w:noProof/>
        </w:rPr>
        <w:tab/>
      </w:r>
      <w:r>
        <w:rPr>
          <w:noProof/>
        </w:rPr>
        <w:fldChar w:fldCharType="begin"/>
      </w:r>
      <w:r>
        <w:rPr>
          <w:noProof/>
        </w:rPr>
        <w:instrText xml:space="preserve"> PAGEREF _Toc32936858 \h </w:instrText>
      </w:r>
      <w:r>
        <w:rPr>
          <w:noProof/>
        </w:rPr>
      </w:r>
      <w:r>
        <w:rPr>
          <w:noProof/>
        </w:rPr>
        <w:fldChar w:fldCharType="separate"/>
      </w:r>
      <w:r>
        <w:rPr>
          <w:noProof/>
        </w:rPr>
        <w:t>13</w:t>
      </w:r>
      <w:r>
        <w:rPr>
          <w:noProof/>
        </w:rPr>
        <w:fldChar w:fldCharType="end"/>
      </w:r>
    </w:p>
    <w:p w14:paraId="5D714656" w14:textId="74C228B2" w:rsidR="006C3CDE" w:rsidRDefault="006C3CDE">
      <w:pPr>
        <w:pStyle w:val="TOC2"/>
        <w:tabs>
          <w:tab w:val="right" w:leader="dot" w:pos="9622"/>
        </w:tabs>
        <w:rPr>
          <w:rFonts w:asciiTheme="minorHAnsi" w:hAnsiTheme="minorHAnsi" w:cstheme="minorBidi"/>
          <w:noProof/>
          <w:color w:val="auto"/>
          <w:szCs w:val="22"/>
          <w:lang w:val="en-AU" w:eastAsia="en-AU"/>
        </w:rPr>
      </w:pPr>
      <w:r>
        <w:rPr>
          <w:noProof/>
        </w:rPr>
        <w:t>1.2 Regulatory regime</w:t>
      </w:r>
      <w:r>
        <w:rPr>
          <w:noProof/>
        </w:rPr>
        <w:tab/>
      </w:r>
      <w:r>
        <w:rPr>
          <w:noProof/>
        </w:rPr>
        <w:fldChar w:fldCharType="begin"/>
      </w:r>
      <w:r>
        <w:rPr>
          <w:noProof/>
        </w:rPr>
        <w:instrText xml:space="preserve"> PAGEREF _Toc32936859 \h </w:instrText>
      </w:r>
      <w:r>
        <w:rPr>
          <w:noProof/>
        </w:rPr>
      </w:r>
      <w:r>
        <w:rPr>
          <w:noProof/>
        </w:rPr>
        <w:fldChar w:fldCharType="separate"/>
      </w:r>
      <w:r>
        <w:rPr>
          <w:noProof/>
        </w:rPr>
        <w:t>14</w:t>
      </w:r>
      <w:r>
        <w:rPr>
          <w:noProof/>
        </w:rPr>
        <w:fldChar w:fldCharType="end"/>
      </w:r>
    </w:p>
    <w:p w14:paraId="5DA440E2" w14:textId="12821C95" w:rsidR="006C3CDE" w:rsidRDefault="006C3CDE">
      <w:pPr>
        <w:pStyle w:val="TOC2"/>
        <w:tabs>
          <w:tab w:val="right" w:leader="dot" w:pos="9622"/>
        </w:tabs>
        <w:rPr>
          <w:rFonts w:asciiTheme="minorHAnsi" w:hAnsiTheme="minorHAnsi" w:cstheme="minorBidi"/>
          <w:noProof/>
          <w:color w:val="auto"/>
          <w:szCs w:val="22"/>
          <w:lang w:val="en-AU" w:eastAsia="en-AU"/>
        </w:rPr>
      </w:pPr>
      <w:r>
        <w:rPr>
          <w:noProof/>
        </w:rPr>
        <w:t>1.3 Regulatory authority</w:t>
      </w:r>
      <w:r>
        <w:rPr>
          <w:noProof/>
        </w:rPr>
        <w:tab/>
      </w:r>
      <w:r>
        <w:rPr>
          <w:noProof/>
        </w:rPr>
        <w:fldChar w:fldCharType="begin"/>
      </w:r>
      <w:r>
        <w:rPr>
          <w:noProof/>
        </w:rPr>
        <w:instrText xml:space="preserve"> PAGEREF _Toc32936860 \h </w:instrText>
      </w:r>
      <w:r>
        <w:rPr>
          <w:noProof/>
        </w:rPr>
      </w:r>
      <w:r>
        <w:rPr>
          <w:noProof/>
        </w:rPr>
        <w:fldChar w:fldCharType="separate"/>
      </w:r>
      <w:r>
        <w:rPr>
          <w:noProof/>
        </w:rPr>
        <w:t>15</w:t>
      </w:r>
      <w:r>
        <w:rPr>
          <w:noProof/>
        </w:rPr>
        <w:fldChar w:fldCharType="end"/>
      </w:r>
    </w:p>
    <w:p w14:paraId="015A10AC" w14:textId="3D7409EA" w:rsidR="006C3CDE" w:rsidRDefault="006C3CDE">
      <w:pPr>
        <w:pStyle w:val="TOC2"/>
        <w:tabs>
          <w:tab w:val="right" w:leader="dot" w:pos="9622"/>
        </w:tabs>
        <w:rPr>
          <w:rFonts w:asciiTheme="minorHAnsi" w:hAnsiTheme="minorHAnsi" w:cstheme="minorBidi"/>
          <w:noProof/>
          <w:color w:val="auto"/>
          <w:szCs w:val="22"/>
          <w:lang w:val="en-AU" w:eastAsia="en-AU"/>
        </w:rPr>
      </w:pPr>
      <w:r>
        <w:rPr>
          <w:noProof/>
        </w:rPr>
        <w:t>1.4 Affected groups</w:t>
      </w:r>
      <w:r>
        <w:rPr>
          <w:noProof/>
        </w:rPr>
        <w:tab/>
      </w:r>
      <w:r>
        <w:rPr>
          <w:noProof/>
        </w:rPr>
        <w:fldChar w:fldCharType="begin"/>
      </w:r>
      <w:r>
        <w:rPr>
          <w:noProof/>
        </w:rPr>
        <w:instrText xml:space="preserve"> PAGEREF _Toc32936861 \h </w:instrText>
      </w:r>
      <w:r>
        <w:rPr>
          <w:noProof/>
        </w:rPr>
      </w:r>
      <w:r>
        <w:rPr>
          <w:noProof/>
        </w:rPr>
        <w:fldChar w:fldCharType="separate"/>
      </w:r>
      <w:r>
        <w:rPr>
          <w:noProof/>
        </w:rPr>
        <w:t>15</w:t>
      </w:r>
      <w:r>
        <w:rPr>
          <w:noProof/>
        </w:rPr>
        <w:fldChar w:fldCharType="end"/>
      </w:r>
    </w:p>
    <w:p w14:paraId="773E3F8B" w14:textId="4D72ACEA" w:rsidR="006C3CDE" w:rsidRDefault="006C3CDE">
      <w:pPr>
        <w:pStyle w:val="TOC2"/>
        <w:tabs>
          <w:tab w:val="right" w:leader="dot" w:pos="9622"/>
        </w:tabs>
        <w:rPr>
          <w:rFonts w:asciiTheme="minorHAnsi" w:hAnsiTheme="minorHAnsi" w:cstheme="minorBidi"/>
          <w:noProof/>
          <w:color w:val="auto"/>
          <w:szCs w:val="22"/>
          <w:lang w:val="en-AU" w:eastAsia="en-AU"/>
        </w:rPr>
      </w:pPr>
      <w:r>
        <w:rPr>
          <w:noProof/>
        </w:rPr>
        <w:t>1.5 Invitation to comment</w:t>
      </w:r>
      <w:r>
        <w:rPr>
          <w:noProof/>
        </w:rPr>
        <w:tab/>
      </w:r>
      <w:r>
        <w:rPr>
          <w:noProof/>
        </w:rPr>
        <w:fldChar w:fldCharType="begin"/>
      </w:r>
      <w:r>
        <w:rPr>
          <w:noProof/>
        </w:rPr>
        <w:instrText xml:space="preserve"> PAGEREF _Toc32936862 \h </w:instrText>
      </w:r>
      <w:r>
        <w:rPr>
          <w:noProof/>
        </w:rPr>
      </w:r>
      <w:r>
        <w:rPr>
          <w:noProof/>
        </w:rPr>
        <w:fldChar w:fldCharType="separate"/>
      </w:r>
      <w:r>
        <w:rPr>
          <w:noProof/>
        </w:rPr>
        <w:t>16</w:t>
      </w:r>
      <w:r>
        <w:rPr>
          <w:noProof/>
        </w:rPr>
        <w:fldChar w:fldCharType="end"/>
      </w:r>
    </w:p>
    <w:p w14:paraId="2A18A605" w14:textId="59427D92" w:rsidR="006C3CDE" w:rsidRDefault="006C3CDE">
      <w:pPr>
        <w:pStyle w:val="TOC1"/>
        <w:tabs>
          <w:tab w:val="left" w:pos="601"/>
        </w:tabs>
        <w:rPr>
          <w:rFonts w:asciiTheme="minorHAnsi" w:hAnsiTheme="minorHAnsi" w:cstheme="minorBidi"/>
          <w:b w:val="0"/>
          <w:noProof/>
          <w:color w:val="auto"/>
          <w:szCs w:val="22"/>
          <w:lang w:val="en-AU" w:eastAsia="en-AU"/>
        </w:rPr>
      </w:pPr>
      <w:r>
        <w:rPr>
          <w:noProof/>
        </w:rPr>
        <w:t>2.</w:t>
      </w:r>
      <w:r>
        <w:rPr>
          <w:rFonts w:asciiTheme="minorHAnsi" w:hAnsiTheme="minorHAnsi" w:cstheme="minorBidi"/>
          <w:b w:val="0"/>
          <w:noProof/>
          <w:color w:val="auto"/>
          <w:szCs w:val="22"/>
          <w:lang w:val="en-AU" w:eastAsia="en-AU"/>
        </w:rPr>
        <w:tab/>
      </w:r>
      <w:r>
        <w:rPr>
          <w:noProof/>
        </w:rPr>
        <w:t>What is the problem?</w:t>
      </w:r>
      <w:r>
        <w:rPr>
          <w:noProof/>
        </w:rPr>
        <w:tab/>
      </w:r>
      <w:r>
        <w:rPr>
          <w:noProof/>
        </w:rPr>
        <w:fldChar w:fldCharType="begin"/>
      </w:r>
      <w:r>
        <w:rPr>
          <w:noProof/>
        </w:rPr>
        <w:instrText xml:space="preserve"> PAGEREF _Toc32936863 \h </w:instrText>
      </w:r>
      <w:r>
        <w:rPr>
          <w:noProof/>
        </w:rPr>
      </w:r>
      <w:r>
        <w:rPr>
          <w:noProof/>
        </w:rPr>
        <w:fldChar w:fldCharType="separate"/>
      </w:r>
      <w:r>
        <w:rPr>
          <w:noProof/>
        </w:rPr>
        <w:t>17</w:t>
      </w:r>
      <w:r>
        <w:rPr>
          <w:noProof/>
        </w:rPr>
        <w:fldChar w:fldCharType="end"/>
      </w:r>
    </w:p>
    <w:p w14:paraId="0EA5C9D6" w14:textId="57F6D90C" w:rsidR="006C3CDE" w:rsidRDefault="006C3CDE">
      <w:pPr>
        <w:pStyle w:val="TOC1"/>
        <w:tabs>
          <w:tab w:val="left" w:pos="601"/>
        </w:tabs>
        <w:rPr>
          <w:rFonts w:asciiTheme="minorHAnsi" w:hAnsiTheme="minorHAnsi" w:cstheme="minorBidi"/>
          <w:b w:val="0"/>
          <w:noProof/>
          <w:color w:val="auto"/>
          <w:szCs w:val="22"/>
          <w:lang w:val="en-AU" w:eastAsia="en-AU"/>
        </w:rPr>
      </w:pPr>
      <w:r>
        <w:rPr>
          <w:noProof/>
        </w:rPr>
        <w:t>3.</w:t>
      </w:r>
      <w:r>
        <w:rPr>
          <w:rFonts w:asciiTheme="minorHAnsi" w:hAnsiTheme="minorHAnsi" w:cstheme="minorBidi"/>
          <w:b w:val="0"/>
          <w:noProof/>
          <w:color w:val="auto"/>
          <w:szCs w:val="22"/>
          <w:lang w:val="en-AU" w:eastAsia="en-AU"/>
        </w:rPr>
        <w:tab/>
      </w:r>
      <w:r>
        <w:rPr>
          <w:noProof/>
        </w:rPr>
        <w:t>Picture of the sector</w:t>
      </w:r>
      <w:r>
        <w:rPr>
          <w:noProof/>
        </w:rPr>
        <w:tab/>
      </w:r>
      <w:r>
        <w:rPr>
          <w:noProof/>
        </w:rPr>
        <w:fldChar w:fldCharType="begin"/>
      </w:r>
      <w:r>
        <w:rPr>
          <w:noProof/>
        </w:rPr>
        <w:instrText xml:space="preserve"> PAGEREF _Toc32936864 \h </w:instrText>
      </w:r>
      <w:r>
        <w:rPr>
          <w:noProof/>
        </w:rPr>
      </w:r>
      <w:r>
        <w:rPr>
          <w:noProof/>
        </w:rPr>
        <w:fldChar w:fldCharType="separate"/>
      </w:r>
      <w:r>
        <w:rPr>
          <w:noProof/>
        </w:rPr>
        <w:t>21</w:t>
      </w:r>
      <w:r>
        <w:rPr>
          <w:noProof/>
        </w:rPr>
        <w:fldChar w:fldCharType="end"/>
      </w:r>
    </w:p>
    <w:p w14:paraId="093CDD2E" w14:textId="36FBAB72" w:rsidR="006C3CDE" w:rsidRDefault="006C3CDE">
      <w:pPr>
        <w:pStyle w:val="TOC1"/>
        <w:tabs>
          <w:tab w:val="left" w:pos="601"/>
        </w:tabs>
        <w:rPr>
          <w:rFonts w:asciiTheme="minorHAnsi" w:hAnsiTheme="minorHAnsi" w:cstheme="minorBidi"/>
          <w:b w:val="0"/>
          <w:noProof/>
          <w:color w:val="auto"/>
          <w:szCs w:val="22"/>
          <w:lang w:val="en-AU" w:eastAsia="en-AU"/>
        </w:rPr>
      </w:pPr>
      <w:r>
        <w:rPr>
          <w:noProof/>
        </w:rPr>
        <w:t>4.</w:t>
      </w:r>
      <w:r>
        <w:rPr>
          <w:rFonts w:asciiTheme="minorHAnsi" w:hAnsiTheme="minorHAnsi" w:cstheme="minorBidi"/>
          <w:b w:val="0"/>
          <w:noProof/>
          <w:color w:val="auto"/>
          <w:szCs w:val="22"/>
          <w:lang w:val="en-AU" w:eastAsia="en-AU"/>
        </w:rPr>
        <w:tab/>
      </w:r>
      <w:r>
        <w:rPr>
          <w:noProof/>
        </w:rPr>
        <w:t>Legislative reform</w:t>
      </w:r>
      <w:r>
        <w:rPr>
          <w:noProof/>
        </w:rPr>
        <w:tab/>
      </w:r>
      <w:r>
        <w:rPr>
          <w:noProof/>
        </w:rPr>
        <w:fldChar w:fldCharType="begin"/>
      </w:r>
      <w:r>
        <w:rPr>
          <w:noProof/>
        </w:rPr>
        <w:instrText xml:space="preserve"> PAGEREF _Toc32936865 \h </w:instrText>
      </w:r>
      <w:r>
        <w:rPr>
          <w:noProof/>
        </w:rPr>
      </w:r>
      <w:r>
        <w:rPr>
          <w:noProof/>
        </w:rPr>
        <w:fldChar w:fldCharType="separate"/>
      </w:r>
      <w:r>
        <w:rPr>
          <w:noProof/>
        </w:rPr>
        <w:t>24</w:t>
      </w:r>
      <w:r>
        <w:rPr>
          <w:noProof/>
        </w:rPr>
        <w:fldChar w:fldCharType="end"/>
      </w:r>
    </w:p>
    <w:p w14:paraId="7EFDD74B" w14:textId="6AE61497" w:rsidR="006C3CDE" w:rsidRDefault="006C3CDE">
      <w:pPr>
        <w:pStyle w:val="TOC2"/>
        <w:tabs>
          <w:tab w:val="right" w:leader="dot" w:pos="9622"/>
        </w:tabs>
        <w:rPr>
          <w:rFonts w:asciiTheme="minorHAnsi" w:hAnsiTheme="minorHAnsi" w:cstheme="minorBidi"/>
          <w:noProof/>
          <w:color w:val="auto"/>
          <w:szCs w:val="22"/>
          <w:lang w:val="en-AU" w:eastAsia="en-AU"/>
        </w:rPr>
      </w:pPr>
      <w:r>
        <w:rPr>
          <w:noProof/>
        </w:rPr>
        <w:t>4.1 Statement of objectives</w:t>
      </w:r>
      <w:r>
        <w:rPr>
          <w:noProof/>
        </w:rPr>
        <w:tab/>
      </w:r>
      <w:r>
        <w:rPr>
          <w:noProof/>
        </w:rPr>
        <w:fldChar w:fldCharType="begin"/>
      </w:r>
      <w:r>
        <w:rPr>
          <w:noProof/>
        </w:rPr>
        <w:instrText xml:space="preserve"> PAGEREF _Toc32936866 \h </w:instrText>
      </w:r>
      <w:r>
        <w:rPr>
          <w:noProof/>
        </w:rPr>
      </w:r>
      <w:r>
        <w:rPr>
          <w:noProof/>
        </w:rPr>
        <w:fldChar w:fldCharType="separate"/>
      </w:r>
      <w:r>
        <w:rPr>
          <w:noProof/>
        </w:rPr>
        <w:t>25</w:t>
      </w:r>
      <w:r>
        <w:rPr>
          <w:noProof/>
        </w:rPr>
        <w:fldChar w:fldCharType="end"/>
      </w:r>
    </w:p>
    <w:p w14:paraId="6B39512E" w14:textId="5FDEDD3B" w:rsidR="006C3CDE" w:rsidRDefault="006C3CDE">
      <w:pPr>
        <w:pStyle w:val="TOC1"/>
        <w:tabs>
          <w:tab w:val="left" w:pos="601"/>
        </w:tabs>
        <w:rPr>
          <w:rFonts w:asciiTheme="minorHAnsi" w:hAnsiTheme="minorHAnsi" w:cstheme="minorBidi"/>
          <w:b w:val="0"/>
          <w:noProof/>
          <w:color w:val="auto"/>
          <w:szCs w:val="22"/>
          <w:lang w:val="en-AU" w:eastAsia="en-AU"/>
        </w:rPr>
      </w:pPr>
      <w:r>
        <w:rPr>
          <w:noProof/>
        </w:rPr>
        <w:t>5.</w:t>
      </w:r>
      <w:r>
        <w:rPr>
          <w:rFonts w:asciiTheme="minorHAnsi" w:hAnsiTheme="minorHAnsi" w:cstheme="minorBidi"/>
          <w:b w:val="0"/>
          <w:noProof/>
          <w:color w:val="auto"/>
          <w:szCs w:val="22"/>
          <w:lang w:val="en-AU" w:eastAsia="en-AU"/>
        </w:rPr>
        <w:tab/>
      </w:r>
      <w:r>
        <w:rPr>
          <w:noProof/>
        </w:rPr>
        <w:t>Proposed options</w:t>
      </w:r>
      <w:r>
        <w:rPr>
          <w:noProof/>
        </w:rPr>
        <w:tab/>
      </w:r>
      <w:r>
        <w:rPr>
          <w:noProof/>
        </w:rPr>
        <w:fldChar w:fldCharType="begin"/>
      </w:r>
      <w:r>
        <w:rPr>
          <w:noProof/>
        </w:rPr>
        <w:instrText xml:space="preserve"> PAGEREF _Toc32936867 \h </w:instrText>
      </w:r>
      <w:r>
        <w:rPr>
          <w:noProof/>
        </w:rPr>
      </w:r>
      <w:r>
        <w:rPr>
          <w:noProof/>
        </w:rPr>
        <w:fldChar w:fldCharType="separate"/>
      </w:r>
      <w:r>
        <w:rPr>
          <w:noProof/>
        </w:rPr>
        <w:t>27</w:t>
      </w:r>
      <w:r>
        <w:rPr>
          <w:noProof/>
        </w:rPr>
        <w:fldChar w:fldCharType="end"/>
      </w:r>
    </w:p>
    <w:p w14:paraId="10EC3226" w14:textId="4FE2CE67" w:rsidR="006C3CDE" w:rsidRDefault="006C3CDE">
      <w:pPr>
        <w:pStyle w:val="TOC2"/>
        <w:tabs>
          <w:tab w:val="right" w:leader="dot" w:pos="9622"/>
        </w:tabs>
        <w:rPr>
          <w:rFonts w:asciiTheme="minorHAnsi" w:hAnsiTheme="minorHAnsi" w:cstheme="minorBidi"/>
          <w:noProof/>
          <w:color w:val="auto"/>
          <w:szCs w:val="22"/>
          <w:lang w:val="en-AU" w:eastAsia="en-AU"/>
        </w:rPr>
      </w:pPr>
      <w:r>
        <w:rPr>
          <w:noProof/>
        </w:rPr>
        <w:t>5.1 The Base Case</w:t>
      </w:r>
      <w:r>
        <w:rPr>
          <w:noProof/>
        </w:rPr>
        <w:tab/>
      </w:r>
      <w:r>
        <w:rPr>
          <w:noProof/>
        </w:rPr>
        <w:fldChar w:fldCharType="begin"/>
      </w:r>
      <w:r>
        <w:rPr>
          <w:noProof/>
        </w:rPr>
        <w:instrText xml:space="preserve"> PAGEREF _Toc32936868 \h </w:instrText>
      </w:r>
      <w:r>
        <w:rPr>
          <w:noProof/>
        </w:rPr>
      </w:r>
      <w:r>
        <w:rPr>
          <w:noProof/>
        </w:rPr>
        <w:fldChar w:fldCharType="separate"/>
      </w:r>
      <w:r>
        <w:rPr>
          <w:noProof/>
        </w:rPr>
        <w:t>27</w:t>
      </w:r>
      <w:r>
        <w:rPr>
          <w:noProof/>
        </w:rPr>
        <w:fldChar w:fldCharType="end"/>
      </w:r>
    </w:p>
    <w:p w14:paraId="504C8697" w14:textId="51D34979" w:rsidR="006C3CDE" w:rsidRDefault="006C3CDE">
      <w:pPr>
        <w:pStyle w:val="TOC2"/>
        <w:tabs>
          <w:tab w:val="right" w:leader="dot" w:pos="9622"/>
        </w:tabs>
        <w:rPr>
          <w:rFonts w:asciiTheme="minorHAnsi" w:hAnsiTheme="minorHAnsi" w:cstheme="minorBidi"/>
          <w:noProof/>
          <w:color w:val="auto"/>
          <w:szCs w:val="22"/>
          <w:lang w:val="en-AU" w:eastAsia="en-AU"/>
        </w:rPr>
      </w:pPr>
      <w:r>
        <w:rPr>
          <w:noProof/>
        </w:rPr>
        <w:t>5.2 Regulatory options</w:t>
      </w:r>
      <w:r>
        <w:rPr>
          <w:noProof/>
        </w:rPr>
        <w:tab/>
      </w:r>
      <w:r>
        <w:rPr>
          <w:noProof/>
        </w:rPr>
        <w:fldChar w:fldCharType="begin"/>
      </w:r>
      <w:r>
        <w:rPr>
          <w:noProof/>
        </w:rPr>
        <w:instrText xml:space="preserve"> PAGEREF _Toc32936869 \h </w:instrText>
      </w:r>
      <w:r>
        <w:rPr>
          <w:noProof/>
        </w:rPr>
      </w:r>
      <w:r>
        <w:rPr>
          <w:noProof/>
        </w:rPr>
        <w:fldChar w:fldCharType="separate"/>
      </w:r>
      <w:r>
        <w:rPr>
          <w:noProof/>
        </w:rPr>
        <w:t>29</w:t>
      </w:r>
      <w:r>
        <w:rPr>
          <w:noProof/>
        </w:rPr>
        <w:fldChar w:fldCharType="end"/>
      </w:r>
    </w:p>
    <w:p w14:paraId="22D41DD5" w14:textId="68C22AD2" w:rsidR="006C3CDE" w:rsidRDefault="006C3CDE">
      <w:pPr>
        <w:pStyle w:val="TOC3"/>
        <w:tabs>
          <w:tab w:val="right" w:leader="dot" w:pos="9622"/>
        </w:tabs>
        <w:rPr>
          <w:rFonts w:asciiTheme="minorHAnsi" w:hAnsiTheme="minorHAnsi" w:cstheme="minorBidi"/>
          <w:noProof/>
          <w:szCs w:val="22"/>
          <w:lang w:val="en-AU" w:eastAsia="en-AU"/>
        </w:rPr>
      </w:pPr>
      <w:r>
        <w:rPr>
          <w:noProof/>
        </w:rPr>
        <w:t>A. Approval applications</w:t>
      </w:r>
      <w:r>
        <w:rPr>
          <w:noProof/>
        </w:rPr>
        <w:tab/>
      </w:r>
      <w:r>
        <w:rPr>
          <w:noProof/>
        </w:rPr>
        <w:fldChar w:fldCharType="begin"/>
      </w:r>
      <w:r>
        <w:rPr>
          <w:noProof/>
        </w:rPr>
        <w:instrText xml:space="preserve"> PAGEREF _Toc32936870 \h </w:instrText>
      </w:r>
      <w:r>
        <w:rPr>
          <w:noProof/>
        </w:rPr>
      </w:r>
      <w:r>
        <w:rPr>
          <w:noProof/>
        </w:rPr>
        <w:fldChar w:fldCharType="separate"/>
      </w:r>
      <w:r>
        <w:rPr>
          <w:noProof/>
        </w:rPr>
        <w:t>29</w:t>
      </w:r>
      <w:r>
        <w:rPr>
          <w:noProof/>
        </w:rPr>
        <w:fldChar w:fldCharType="end"/>
      </w:r>
      <w:bookmarkStart w:id="0" w:name="_GoBack"/>
      <w:bookmarkEnd w:id="0"/>
    </w:p>
    <w:p w14:paraId="3E893917" w14:textId="1E3A13BB" w:rsidR="006C3CDE" w:rsidRDefault="006C3CDE">
      <w:pPr>
        <w:pStyle w:val="TOC3"/>
        <w:tabs>
          <w:tab w:val="right" w:leader="dot" w:pos="9622"/>
        </w:tabs>
        <w:rPr>
          <w:rFonts w:asciiTheme="minorHAnsi" w:hAnsiTheme="minorHAnsi" w:cstheme="minorBidi"/>
          <w:noProof/>
          <w:szCs w:val="22"/>
          <w:lang w:val="en-AU" w:eastAsia="en-AU"/>
        </w:rPr>
      </w:pPr>
      <w:r>
        <w:rPr>
          <w:noProof/>
        </w:rPr>
        <w:t>B. Service approval type</w:t>
      </w:r>
      <w:r>
        <w:rPr>
          <w:noProof/>
        </w:rPr>
        <w:tab/>
      </w:r>
      <w:r>
        <w:rPr>
          <w:noProof/>
        </w:rPr>
        <w:fldChar w:fldCharType="begin"/>
      </w:r>
      <w:r>
        <w:rPr>
          <w:noProof/>
        </w:rPr>
        <w:instrText xml:space="preserve"> PAGEREF _Toc32936871 \h </w:instrText>
      </w:r>
      <w:r>
        <w:rPr>
          <w:noProof/>
        </w:rPr>
      </w:r>
      <w:r>
        <w:rPr>
          <w:noProof/>
        </w:rPr>
        <w:fldChar w:fldCharType="separate"/>
      </w:r>
      <w:r>
        <w:rPr>
          <w:noProof/>
        </w:rPr>
        <w:t>33</w:t>
      </w:r>
      <w:r>
        <w:rPr>
          <w:noProof/>
        </w:rPr>
        <w:fldChar w:fldCharType="end"/>
      </w:r>
    </w:p>
    <w:p w14:paraId="315FF07D" w14:textId="30B6568C" w:rsidR="006C3CDE" w:rsidRDefault="006C3CDE">
      <w:pPr>
        <w:pStyle w:val="TOC3"/>
        <w:tabs>
          <w:tab w:val="right" w:leader="dot" w:pos="9622"/>
        </w:tabs>
        <w:rPr>
          <w:rFonts w:asciiTheme="minorHAnsi" w:hAnsiTheme="minorHAnsi" w:cstheme="minorBidi"/>
          <w:noProof/>
          <w:szCs w:val="22"/>
          <w:lang w:val="en-AU" w:eastAsia="en-AU"/>
        </w:rPr>
      </w:pPr>
      <w:r>
        <w:rPr>
          <w:noProof/>
        </w:rPr>
        <w:t>C. Staffing</w:t>
      </w:r>
      <w:r>
        <w:rPr>
          <w:noProof/>
        </w:rPr>
        <w:tab/>
      </w:r>
      <w:r>
        <w:rPr>
          <w:noProof/>
        </w:rPr>
        <w:fldChar w:fldCharType="begin"/>
      </w:r>
      <w:r>
        <w:rPr>
          <w:noProof/>
        </w:rPr>
        <w:instrText xml:space="preserve"> PAGEREF _Toc32936872 \h </w:instrText>
      </w:r>
      <w:r>
        <w:rPr>
          <w:noProof/>
        </w:rPr>
      </w:r>
      <w:r>
        <w:rPr>
          <w:noProof/>
        </w:rPr>
        <w:fldChar w:fldCharType="separate"/>
      </w:r>
      <w:r>
        <w:rPr>
          <w:noProof/>
        </w:rPr>
        <w:t>34</w:t>
      </w:r>
      <w:r>
        <w:rPr>
          <w:noProof/>
        </w:rPr>
        <w:fldChar w:fldCharType="end"/>
      </w:r>
    </w:p>
    <w:p w14:paraId="4899A9AD" w14:textId="308AFD36" w:rsidR="006C3CDE" w:rsidRDefault="006C3CDE">
      <w:pPr>
        <w:pStyle w:val="TOC3"/>
        <w:tabs>
          <w:tab w:val="right" w:leader="dot" w:pos="9622"/>
        </w:tabs>
        <w:rPr>
          <w:rFonts w:asciiTheme="minorHAnsi" w:hAnsiTheme="minorHAnsi" w:cstheme="minorBidi"/>
          <w:noProof/>
          <w:szCs w:val="22"/>
          <w:lang w:val="en-AU" w:eastAsia="en-AU"/>
        </w:rPr>
      </w:pPr>
      <w:r>
        <w:rPr>
          <w:noProof/>
        </w:rPr>
        <w:t>D. Safety, health and wellbeing of children</w:t>
      </w:r>
      <w:r>
        <w:rPr>
          <w:noProof/>
        </w:rPr>
        <w:tab/>
      </w:r>
      <w:r>
        <w:rPr>
          <w:noProof/>
        </w:rPr>
        <w:fldChar w:fldCharType="begin"/>
      </w:r>
      <w:r>
        <w:rPr>
          <w:noProof/>
        </w:rPr>
        <w:instrText xml:space="preserve"> PAGEREF _Toc32936873 \h </w:instrText>
      </w:r>
      <w:r>
        <w:rPr>
          <w:noProof/>
        </w:rPr>
      </w:r>
      <w:r>
        <w:rPr>
          <w:noProof/>
        </w:rPr>
        <w:fldChar w:fldCharType="separate"/>
      </w:r>
      <w:r>
        <w:rPr>
          <w:noProof/>
        </w:rPr>
        <w:t>36</w:t>
      </w:r>
      <w:r>
        <w:rPr>
          <w:noProof/>
        </w:rPr>
        <w:fldChar w:fldCharType="end"/>
      </w:r>
    </w:p>
    <w:p w14:paraId="4A0F2983" w14:textId="593660C7" w:rsidR="006C3CDE" w:rsidRDefault="006C3CDE">
      <w:pPr>
        <w:pStyle w:val="TOC3"/>
        <w:tabs>
          <w:tab w:val="right" w:leader="dot" w:pos="9622"/>
        </w:tabs>
        <w:rPr>
          <w:rFonts w:asciiTheme="minorHAnsi" w:hAnsiTheme="minorHAnsi" w:cstheme="minorBidi"/>
          <w:noProof/>
          <w:szCs w:val="22"/>
          <w:lang w:val="en-AU" w:eastAsia="en-AU"/>
        </w:rPr>
      </w:pPr>
      <w:r>
        <w:rPr>
          <w:noProof/>
        </w:rPr>
        <w:t>E. Equipment and facilities</w:t>
      </w:r>
      <w:r>
        <w:rPr>
          <w:noProof/>
        </w:rPr>
        <w:tab/>
      </w:r>
      <w:r>
        <w:rPr>
          <w:noProof/>
        </w:rPr>
        <w:fldChar w:fldCharType="begin"/>
      </w:r>
      <w:r>
        <w:rPr>
          <w:noProof/>
        </w:rPr>
        <w:instrText xml:space="preserve"> PAGEREF _Toc32936874 \h </w:instrText>
      </w:r>
      <w:r>
        <w:rPr>
          <w:noProof/>
        </w:rPr>
      </w:r>
      <w:r>
        <w:rPr>
          <w:noProof/>
        </w:rPr>
        <w:fldChar w:fldCharType="separate"/>
      </w:r>
      <w:r>
        <w:rPr>
          <w:noProof/>
        </w:rPr>
        <w:t>39</w:t>
      </w:r>
      <w:r>
        <w:rPr>
          <w:noProof/>
        </w:rPr>
        <w:fldChar w:fldCharType="end"/>
      </w:r>
    </w:p>
    <w:p w14:paraId="42B8745C" w14:textId="7C7183B0" w:rsidR="006C3CDE" w:rsidRDefault="006C3CDE">
      <w:pPr>
        <w:pStyle w:val="TOC3"/>
        <w:tabs>
          <w:tab w:val="right" w:leader="dot" w:pos="9622"/>
        </w:tabs>
        <w:rPr>
          <w:rFonts w:asciiTheme="minorHAnsi" w:hAnsiTheme="minorHAnsi" w:cstheme="minorBidi"/>
          <w:noProof/>
          <w:szCs w:val="22"/>
          <w:lang w:val="en-AU" w:eastAsia="en-AU"/>
        </w:rPr>
      </w:pPr>
      <w:r>
        <w:rPr>
          <w:noProof/>
        </w:rPr>
        <w:t>F. Complaints and serious incidents</w:t>
      </w:r>
      <w:r>
        <w:rPr>
          <w:noProof/>
        </w:rPr>
        <w:tab/>
      </w:r>
      <w:r>
        <w:rPr>
          <w:noProof/>
        </w:rPr>
        <w:fldChar w:fldCharType="begin"/>
      </w:r>
      <w:r>
        <w:rPr>
          <w:noProof/>
        </w:rPr>
        <w:instrText xml:space="preserve"> PAGEREF _Toc32936875 \h </w:instrText>
      </w:r>
      <w:r>
        <w:rPr>
          <w:noProof/>
        </w:rPr>
      </w:r>
      <w:r>
        <w:rPr>
          <w:noProof/>
        </w:rPr>
        <w:fldChar w:fldCharType="separate"/>
      </w:r>
      <w:r>
        <w:rPr>
          <w:noProof/>
        </w:rPr>
        <w:t>41</w:t>
      </w:r>
      <w:r>
        <w:rPr>
          <w:noProof/>
        </w:rPr>
        <w:fldChar w:fldCharType="end"/>
      </w:r>
    </w:p>
    <w:p w14:paraId="3954CB3C" w14:textId="695305B8" w:rsidR="006C3CDE" w:rsidRDefault="006C3CDE">
      <w:pPr>
        <w:pStyle w:val="TOC3"/>
        <w:tabs>
          <w:tab w:val="right" w:leader="dot" w:pos="9622"/>
        </w:tabs>
        <w:rPr>
          <w:rFonts w:asciiTheme="minorHAnsi" w:hAnsiTheme="minorHAnsi" w:cstheme="minorBidi"/>
          <w:noProof/>
          <w:szCs w:val="22"/>
          <w:lang w:val="en-AU" w:eastAsia="en-AU"/>
        </w:rPr>
      </w:pPr>
      <w:r>
        <w:rPr>
          <w:noProof/>
        </w:rPr>
        <w:t>G. Registers and record-keeping</w:t>
      </w:r>
      <w:r>
        <w:rPr>
          <w:noProof/>
        </w:rPr>
        <w:tab/>
      </w:r>
      <w:r>
        <w:rPr>
          <w:noProof/>
        </w:rPr>
        <w:fldChar w:fldCharType="begin"/>
      </w:r>
      <w:r>
        <w:rPr>
          <w:noProof/>
        </w:rPr>
        <w:instrText xml:space="preserve"> PAGEREF _Toc32936876 \h </w:instrText>
      </w:r>
      <w:r>
        <w:rPr>
          <w:noProof/>
        </w:rPr>
      </w:r>
      <w:r>
        <w:rPr>
          <w:noProof/>
        </w:rPr>
        <w:fldChar w:fldCharType="separate"/>
      </w:r>
      <w:r>
        <w:rPr>
          <w:noProof/>
        </w:rPr>
        <w:t>41</w:t>
      </w:r>
      <w:r>
        <w:rPr>
          <w:noProof/>
        </w:rPr>
        <w:fldChar w:fldCharType="end"/>
      </w:r>
    </w:p>
    <w:p w14:paraId="05058029" w14:textId="1F2A5122" w:rsidR="006C3CDE" w:rsidRDefault="006C3CDE">
      <w:pPr>
        <w:pStyle w:val="TOC3"/>
        <w:tabs>
          <w:tab w:val="right" w:leader="dot" w:pos="9622"/>
        </w:tabs>
        <w:rPr>
          <w:rFonts w:asciiTheme="minorHAnsi" w:hAnsiTheme="minorHAnsi" w:cstheme="minorBidi"/>
          <w:noProof/>
          <w:szCs w:val="22"/>
          <w:lang w:val="en-AU" w:eastAsia="en-AU"/>
        </w:rPr>
      </w:pPr>
      <w:r>
        <w:rPr>
          <w:noProof/>
        </w:rPr>
        <w:t>H. Fees</w:t>
      </w:r>
      <w:r>
        <w:rPr>
          <w:noProof/>
        </w:rPr>
        <w:tab/>
      </w:r>
      <w:r>
        <w:rPr>
          <w:noProof/>
        </w:rPr>
        <w:fldChar w:fldCharType="begin"/>
      </w:r>
      <w:r>
        <w:rPr>
          <w:noProof/>
        </w:rPr>
        <w:instrText xml:space="preserve"> PAGEREF _Toc32936877 \h </w:instrText>
      </w:r>
      <w:r>
        <w:rPr>
          <w:noProof/>
        </w:rPr>
      </w:r>
      <w:r>
        <w:rPr>
          <w:noProof/>
        </w:rPr>
        <w:fldChar w:fldCharType="separate"/>
      </w:r>
      <w:r>
        <w:rPr>
          <w:noProof/>
        </w:rPr>
        <w:t>45</w:t>
      </w:r>
      <w:r>
        <w:rPr>
          <w:noProof/>
        </w:rPr>
        <w:fldChar w:fldCharType="end"/>
      </w:r>
    </w:p>
    <w:p w14:paraId="3F1263AF" w14:textId="6196B07F" w:rsidR="006C3CDE" w:rsidRDefault="006C3CDE">
      <w:pPr>
        <w:pStyle w:val="TOC3"/>
        <w:tabs>
          <w:tab w:val="right" w:leader="dot" w:pos="9622"/>
        </w:tabs>
        <w:rPr>
          <w:rFonts w:asciiTheme="minorHAnsi" w:hAnsiTheme="minorHAnsi" w:cstheme="minorBidi"/>
          <w:noProof/>
          <w:szCs w:val="22"/>
          <w:lang w:val="en-AU" w:eastAsia="en-AU"/>
        </w:rPr>
      </w:pPr>
      <w:r>
        <w:rPr>
          <w:noProof/>
        </w:rPr>
        <w:t>I. Exemptions or waivers</w:t>
      </w:r>
      <w:r>
        <w:rPr>
          <w:noProof/>
        </w:rPr>
        <w:tab/>
      </w:r>
      <w:r>
        <w:rPr>
          <w:noProof/>
        </w:rPr>
        <w:fldChar w:fldCharType="begin"/>
      </w:r>
      <w:r>
        <w:rPr>
          <w:noProof/>
        </w:rPr>
        <w:instrText xml:space="preserve"> PAGEREF _Toc32936878 \h </w:instrText>
      </w:r>
      <w:r>
        <w:rPr>
          <w:noProof/>
        </w:rPr>
      </w:r>
      <w:r>
        <w:rPr>
          <w:noProof/>
        </w:rPr>
        <w:fldChar w:fldCharType="separate"/>
      </w:r>
      <w:r>
        <w:rPr>
          <w:noProof/>
        </w:rPr>
        <w:t>45</w:t>
      </w:r>
      <w:r>
        <w:rPr>
          <w:noProof/>
        </w:rPr>
        <w:fldChar w:fldCharType="end"/>
      </w:r>
    </w:p>
    <w:p w14:paraId="3F8712A8" w14:textId="2AF9AD23" w:rsidR="006C3CDE" w:rsidRDefault="006C3CDE">
      <w:pPr>
        <w:pStyle w:val="TOC2"/>
        <w:tabs>
          <w:tab w:val="right" w:leader="dot" w:pos="9622"/>
        </w:tabs>
        <w:rPr>
          <w:rFonts w:asciiTheme="minorHAnsi" w:hAnsiTheme="minorHAnsi" w:cstheme="minorBidi"/>
          <w:noProof/>
          <w:color w:val="auto"/>
          <w:szCs w:val="22"/>
          <w:lang w:val="en-AU" w:eastAsia="en-AU"/>
        </w:rPr>
      </w:pPr>
      <w:r>
        <w:rPr>
          <w:noProof/>
        </w:rPr>
        <w:t>5.3 Options not considered in this RIS</w:t>
      </w:r>
      <w:r>
        <w:rPr>
          <w:noProof/>
        </w:rPr>
        <w:tab/>
      </w:r>
      <w:r>
        <w:rPr>
          <w:noProof/>
        </w:rPr>
        <w:fldChar w:fldCharType="begin"/>
      </w:r>
      <w:r>
        <w:rPr>
          <w:noProof/>
        </w:rPr>
        <w:instrText xml:space="preserve"> PAGEREF _Toc32936879 \h </w:instrText>
      </w:r>
      <w:r>
        <w:rPr>
          <w:noProof/>
        </w:rPr>
      </w:r>
      <w:r>
        <w:rPr>
          <w:noProof/>
        </w:rPr>
        <w:fldChar w:fldCharType="separate"/>
      </w:r>
      <w:r>
        <w:rPr>
          <w:noProof/>
        </w:rPr>
        <w:t>47</w:t>
      </w:r>
      <w:r>
        <w:rPr>
          <w:noProof/>
        </w:rPr>
        <w:fldChar w:fldCharType="end"/>
      </w:r>
    </w:p>
    <w:p w14:paraId="3BE387F4" w14:textId="57BEFA05" w:rsidR="006C3CDE" w:rsidRDefault="006C3CDE">
      <w:pPr>
        <w:pStyle w:val="TOC3"/>
        <w:tabs>
          <w:tab w:val="right" w:leader="dot" w:pos="9622"/>
        </w:tabs>
        <w:rPr>
          <w:rFonts w:asciiTheme="minorHAnsi" w:hAnsiTheme="minorHAnsi" w:cstheme="minorBidi"/>
          <w:noProof/>
          <w:szCs w:val="22"/>
          <w:lang w:val="en-AU" w:eastAsia="en-AU"/>
        </w:rPr>
      </w:pPr>
      <w:r>
        <w:rPr>
          <w:noProof/>
        </w:rPr>
        <w:t>5.3.1 Full alignment with the NQF</w:t>
      </w:r>
      <w:r>
        <w:rPr>
          <w:noProof/>
        </w:rPr>
        <w:tab/>
      </w:r>
      <w:r>
        <w:rPr>
          <w:noProof/>
        </w:rPr>
        <w:fldChar w:fldCharType="begin"/>
      </w:r>
      <w:r>
        <w:rPr>
          <w:noProof/>
        </w:rPr>
        <w:instrText xml:space="preserve"> PAGEREF _Toc32936880 \h </w:instrText>
      </w:r>
      <w:r>
        <w:rPr>
          <w:noProof/>
        </w:rPr>
      </w:r>
      <w:r>
        <w:rPr>
          <w:noProof/>
        </w:rPr>
        <w:fldChar w:fldCharType="separate"/>
      </w:r>
      <w:r>
        <w:rPr>
          <w:noProof/>
        </w:rPr>
        <w:t>47</w:t>
      </w:r>
      <w:r>
        <w:rPr>
          <w:noProof/>
        </w:rPr>
        <w:fldChar w:fldCharType="end"/>
      </w:r>
    </w:p>
    <w:p w14:paraId="22E37C13" w14:textId="0BD8901A" w:rsidR="006C3CDE" w:rsidRDefault="006C3CDE">
      <w:pPr>
        <w:pStyle w:val="TOC3"/>
        <w:tabs>
          <w:tab w:val="right" w:leader="dot" w:pos="9622"/>
        </w:tabs>
        <w:rPr>
          <w:rFonts w:asciiTheme="minorHAnsi" w:hAnsiTheme="minorHAnsi" w:cstheme="minorBidi"/>
          <w:noProof/>
          <w:szCs w:val="22"/>
          <w:lang w:val="en-AU" w:eastAsia="en-AU"/>
        </w:rPr>
      </w:pPr>
      <w:r>
        <w:rPr>
          <w:noProof/>
        </w:rPr>
        <w:t>5.3.2 Non-regulatory options</w:t>
      </w:r>
      <w:r>
        <w:rPr>
          <w:noProof/>
        </w:rPr>
        <w:tab/>
      </w:r>
      <w:r>
        <w:rPr>
          <w:noProof/>
        </w:rPr>
        <w:fldChar w:fldCharType="begin"/>
      </w:r>
      <w:r>
        <w:rPr>
          <w:noProof/>
        </w:rPr>
        <w:instrText xml:space="preserve"> PAGEREF _Toc32936881 \h </w:instrText>
      </w:r>
      <w:r>
        <w:rPr>
          <w:noProof/>
        </w:rPr>
      </w:r>
      <w:r>
        <w:rPr>
          <w:noProof/>
        </w:rPr>
        <w:fldChar w:fldCharType="separate"/>
      </w:r>
      <w:r>
        <w:rPr>
          <w:noProof/>
        </w:rPr>
        <w:t>47</w:t>
      </w:r>
      <w:r>
        <w:rPr>
          <w:noProof/>
        </w:rPr>
        <w:fldChar w:fldCharType="end"/>
      </w:r>
    </w:p>
    <w:p w14:paraId="0C1BB5FA" w14:textId="04A80AB3" w:rsidR="006C3CDE" w:rsidRDefault="006C3CDE">
      <w:pPr>
        <w:pStyle w:val="TOC1"/>
        <w:tabs>
          <w:tab w:val="left" w:pos="601"/>
        </w:tabs>
        <w:rPr>
          <w:rFonts w:asciiTheme="minorHAnsi" w:hAnsiTheme="minorHAnsi" w:cstheme="minorBidi"/>
          <w:b w:val="0"/>
          <w:noProof/>
          <w:color w:val="auto"/>
          <w:szCs w:val="22"/>
          <w:lang w:val="en-AU" w:eastAsia="en-AU"/>
        </w:rPr>
      </w:pPr>
      <w:r>
        <w:rPr>
          <w:noProof/>
        </w:rPr>
        <w:t>6.</w:t>
      </w:r>
      <w:r>
        <w:rPr>
          <w:rFonts w:asciiTheme="minorHAnsi" w:hAnsiTheme="minorHAnsi" w:cstheme="minorBidi"/>
          <w:b w:val="0"/>
          <w:noProof/>
          <w:color w:val="auto"/>
          <w:szCs w:val="22"/>
          <w:lang w:val="en-AU" w:eastAsia="en-AU"/>
        </w:rPr>
        <w:tab/>
      </w:r>
      <w:r>
        <w:rPr>
          <w:noProof/>
        </w:rPr>
        <w:t>Assessment of Options</w:t>
      </w:r>
      <w:r>
        <w:rPr>
          <w:noProof/>
        </w:rPr>
        <w:tab/>
      </w:r>
      <w:r>
        <w:rPr>
          <w:noProof/>
        </w:rPr>
        <w:fldChar w:fldCharType="begin"/>
      </w:r>
      <w:r>
        <w:rPr>
          <w:noProof/>
        </w:rPr>
        <w:instrText xml:space="preserve"> PAGEREF _Toc32936882 \h </w:instrText>
      </w:r>
      <w:r>
        <w:rPr>
          <w:noProof/>
        </w:rPr>
      </w:r>
      <w:r>
        <w:rPr>
          <w:noProof/>
        </w:rPr>
        <w:fldChar w:fldCharType="separate"/>
      </w:r>
      <w:r>
        <w:rPr>
          <w:noProof/>
        </w:rPr>
        <w:t>49</w:t>
      </w:r>
      <w:r>
        <w:rPr>
          <w:noProof/>
        </w:rPr>
        <w:fldChar w:fldCharType="end"/>
      </w:r>
    </w:p>
    <w:p w14:paraId="1E20FFD4" w14:textId="4AA7CCB0" w:rsidR="006C3CDE" w:rsidRDefault="006C3CDE">
      <w:pPr>
        <w:pStyle w:val="TOC2"/>
        <w:tabs>
          <w:tab w:val="right" w:leader="dot" w:pos="9622"/>
        </w:tabs>
        <w:rPr>
          <w:rFonts w:asciiTheme="minorHAnsi" w:hAnsiTheme="minorHAnsi" w:cstheme="minorBidi"/>
          <w:noProof/>
          <w:color w:val="auto"/>
          <w:szCs w:val="22"/>
          <w:lang w:val="en-AU" w:eastAsia="en-AU"/>
        </w:rPr>
      </w:pPr>
      <w:r>
        <w:rPr>
          <w:noProof/>
        </w:rPr>
        <w:t>6.1 Multi-Criteria Analysis</w:t>
      </w:r>
      <w:r>
        <w:rPr>
          <w:noProof/>
        </w:rPr>
        <w:tab/>
      </w:r>
      <w:r>
        <w:rPr>
          <w:noProof/>
        </w:rPr>
        <w:fldChar w:fldCharType="begin"/>
      </w:r>
      <w:r>
        <w:rPr>
          <w:noProof/>
        </w:rPr>
        <w:instrText xml:space="preserve"> PAGEREF _Toc32936883 \h </w:instrText>
      </w:r>
      <w:r>
        <w:rPr>
          <w:noProof/>
        </w:rPr>
      </w:r>
      <w:r>
        <w:rPr>
          <w:noProof/>
        </w:rPr>
        <w:fldChar w:fldCharType="separate"/>
      </w:r>
      <w:r>
        <w:rPr>
          <w:noProof/>
        </w:rPr>
        <w:t>49</w:t>
      </w:r>
      <w:r>
        <w:rPr>
          <w:noProof/>
        </w:rPr>
        <w:fldChar w:fldCharType="end"/>
      </w:r>
    </w:p>
    <w:p w14:paraId="730330D8" w14:textId="6D5987BD" w:rsidR="006C3CDE" w:rsidRDefault="006C3CDE">
      <w:pPr>
        <w:pStyle w:val="TOC3"/>
        <w:tabs>
          <w:tab w:val="right" w:leader="dot" w:pos="9622"/>
        </w:tabs>
        <w:rPr>
          <w:rFonts w:asciiTheme="minorHAnsi" w:hAnsiTheme="minorHAnsi" w:cstheme="minorBidi"/>
          <w:noProof/>
          <w:szCs w:val="22"/>
          <w:lang w:val="en-AU" w:eastAsia="en-AU"/>
        </w:rPr>
      </w:pPr>
      <w:r>
        <w:rPr>
          <w:noProof/>
        </w:rPr>
        <w:t>6.1.1 Criteria</w:t>
      </w:r>
      <w:r>
        <w:rPr>
          <w:noProof/>
        </w:rPr>
        <w:tab/>
      </w:r>
      <w:r>
        <w:rPr>
          <w:noProof/>
        </w:rPr>
        <w:fldChar w:fldCharType="begin"/>
      </w:r>
      <w:r>
        <w:rPr>
          <w:noProof/>
        </w:rPr>
        <w:instrText xml:space="preserve"> PAGEREF _Toc32936884 \h </w:instrText>
      </w:r>
      <w:r>
        <w:rPr>
          <w:noProof/>
        </w:rPr>
      </w:r>
      <w:r>
        <w:rPr>
          <w:noProof/>
        </w:rPr>
        <w:fldChar w:fldCharType="separate"/>
      </w:r>
      <w:r>
        <w:rPr>
          <w:noProof/>
        </w:rPr>
        <w:t>49</w:t>
      </w:r>
      <w:r>
        <w:rPr>
          <w:noProof/>
        </w:rPr>
        <w:fldChar w:fldCharType="end"/>
      </w:r>
    </w:p>
    <w:p w14:paraId="5C75BD96" w14:textId="63E21056" w:rsidR="006C3CDE" w:rsidRDefault="006C3CDE">
      <w:pPr>
        <w:pStyle w:val="TOC3"/>
        <w:tabs>
          <w:tab w:val="right" w:leader="dot" w:pos="9622"/>
        </w:tabs>
        <w:rPr>
          <w:rFonts w:asciiTheme="minorHAnsi" w:hAnsiTheme="minorHAnsi" w:cstheme="minorBidi"/>
          <w:noProof/>
          <w:szCs w:val="22"/>
          <w:lang w:val="en-AU" w:eastAsia="en-AU"/>
        </w:rPr>
      </w:pPr>
      <w:r>
        <w:rPr>
          <w:noProof/>
        </w:rPr>
        <w:t>6.1.2 Scoring</w:t>
      </w:r>
      <w:r>
        <w:rPr>
          <w:noProof/>
        </w:rPr>
        <w:tab/>
      </w:r>
      <w:r>
        <w:rPr>
          <w:noProof/>
        </w:rPr>
        <w:fldChar w:fldCharType="begin"/>
      </w:r>
      <w:r>
        <w:rPr>
          <w:noProof/>
        </w:rPr>
        <w:instrText xml:space="preserve"> PAGEREF _Toc32936885 \h </w:instrText>
      </w:r>
      <w:r>
        <w:rPr>
          <w:noProof/>
        </w:rPr>
      </w:r>
      <w:r>
        <w:rPr>
          <w:noProof/>
        </w:rPr>
        <w:fldChar w:fldCharType="separate"/>
      </w:r>
      <w:r>
        <w:rPr>
          <w:noProof/>
        </w:rPr>
        <w:t>49</w:t>
      </w:r>
      <w:r>
        <w:rPr>
          <w:noProof/>
        </w:rPr>
        <w:fldChar w:fldCharType="end"/>
      </w:r>
    </w:p>
    <w:p w14:paraId="2BF70BB8" w14:textId="763BA4E5" w:rsidR="006C3CDE" w:rsidRDefault="006C3CDE">
      <w:pPr>
        <w:pStyle w:val="TOC3"/>
        <w:tabs>
          <w:tab w:val="right" w:leader="dot" w:pos="9622"/>
        </w:tabs>
        <w:rPr>
          <w:rFonts w:asciiTheme="minorHAnsi" w:hAnsiTheme="minorHAnsi" w:cstheme="minorBidi"/>
          <w:noProof/>
          <w:szCs w:val="22"/>
          <w:lang w:val="en-AU" w:eastAsia="en-AU"/>
        </w:rPr>
      </w:pPr>
      <w:r>
        <w:rPr>
          <w:noProof/>
        </w:rPr>
        <w:t>6.1.3 Weighting</w:t>
      </w:r>
      <w:r>
        <w:rPr>
          <w:noProof/>
        </w:rPr>
        <w:tab/>
      </w:r>
      <w:r>
        <w:rPr>
          <w:noProof/>
        </w:rPr>
        <w:fldChar w:fldCharType="begin"/>
      </w:r>
      <w:r>
        <w:rPr>
          <w:noProof/>
        </w:rPr>
        <w:instrText xml:space="preserve"> PAGEREF _Toc32936886 \h </w:instrText>
      </w:r>
      <w:r>
        <w:rPr>
          <w:noProof/>
        </w:rPr>
      </w:r>
      <w:r>
        <w:rPr>
          <w:noProof/>
        </w:rPr>
        <w:fldChar w:fldCharType="separate"/>
      </w:r>
      <w:r>
        <w:rPr>
          <w:noProof/>
        </w:rPr>
        <w:t>50</w:t>
      </w:r>
      <w:r>
        <w:rPr>
          <w:noProof/>
        </w:rPr>
        <w:fldChar w:fldCharType="end"/>
      </w:r>
    </w:p>
    <w:p w14:paraId="3F895EB8" w14:textId="28DC8B66" w:rsidR="006C3CDE" w:rsidRDefault="006C3CDE">
      <w:pPr>
        <w:pStyle w:val="TOC3"/>
        <w:tabs>
          <w:tab w:val="right" w:leader="dot" w:pos="9622"/>
        </w:tabs>
        <w:rPr>
          <w:rFonts w:asciiTheme="minorHAnsi" w:hAnsiTheme="minorHAnsi" w:cstheme="minorBidi"/>
          <w:noProof/>
          <w:szCs w:val="22"/>
          <w:lang w:val="en-AU" w:eastAsia="en-AU"/>
        </w:rPr>
      </w:pPr>
      <w:r>
        <w:rPr>
          <w:noProof/>
        </w:rPr>
        <w:t>6.1.4 Rate of compliance</w:t>
      </w:r>
      <w:r>
        <w:rPr>
          <w:noProof/>
        </w:rPr>
        <w:tab/>
      </w:r>
      <w:r>
        <w:rPr>
          <w:noProof/>
        </w:rPr>
        <w:fldChar w:fldCharType="begin"/>
      </w:r>
      <w:r>
        <w:rPr>
          <w:noProof/>
        </w:rPr>
        <w:instrText xml:space="preserve"> PAGEREF _Toc32936887 \h </w:instrText>
      </w:r>
      <w:r>
        <w:rPr>
          <w:noProof/>
        </w:rPr>
      </w:r>
      <w:r>
        <w:rPr>
          <w:noProof/>
        </w:rPr>
        <w:fldChar w:fldCharType="separate"/>
      </w:r>
      <w:r>
        <w:rPr>
          <w:noProof/>
        </w:rPr>
        <w:t>51</w:t>
      </w:r>
      <w:r>
        <w:rPr>
          <w:noProof/>
        </w:rPr>
        <w:fldChar w:fldCharType="end"/>
      </w:r>
    </w:p>
    <w:p w14:paraId="1403A09F" w14:textId="4FF9BD12" w:rsidR="006C3CDE" w:rsidRDefault="006C3CDE">
      <w:pPr>
        <w:pStyle w:val="TOC2"/>
        <w:tabs>
          <w:tab w:val="right" w:leader="dot" w:pos="9622"/>
        </w:tabs>
        <w:rPr>
          <w:rFonts w:asciiTheme="minorHAnsi" w:hAnsiTheme="minorHAnsi" w:cstheme="minorBidi"/>
          <w:noProof/>
          <w:color w:val="auto"/>
          <w:szCs w:val="22"/>
          <w:lang w:val="en-AU" w:eastAsia="en-AU"/>
        </w:rPr>
      </w:pPr>
      <w:r>
        <w:rPr>
          <w:noProof/>
        </w:rPr>
        <w:t>6.2 Cost analysis</w:t>
      </w:r>
      <w:r>
        <w:rPr>
          <w:noProof/>
        </w:rPr>
        <w:tab/>
      </w:r>
      <w:r>
        <w:rPr>
          <w:noProof/>
        </w:rPr>
        <w:fldChar w:fldCharType="begin"/>
      </w:r>
      <w:r>
        <w:rPr>
          <w:noProof/>
        </w:rPr>
        <w:instrText xml:space="preserve"> PAGEREF _Toc32936888 \h </w:instrText>
      </w:r>
      <w:r>
        <w:rPr>
          <w:noProof/>
        </w:rPr>
      </w:r>
      <w:r>
        <w:rPr>
          <w:noProof/>
        </w:rPr>
        <w:fldChar w:fldCharType="separate"/>
      </w:r>
      <w:r>
        <w:rPr>
          <w:noProof/>
        </w:rPr>
        <w:t>51</w:t>
      </w:r>
      <w:r>
        <w:rPr>
          <w:noProof/>
        </w:rPr>
        <w:fldChar w:fldCharType="end"/>
      </w:r>
    </w:p>
    <w:p w14:paraId="6A35BD30" w14:textId="431B5A05" w:rsidR="006C3CDE" w:rsidRDefault="006C3CDE">
      <w:pPr>
        <w:pStyle w:val="TOC3"/>
        <w:tabs>
          <w:tab w:val="right" w:leader="dot" w:pos="9622"/>
        </w:tabs>
        <w:rPr>
          <w:rFonts w:asciiTheme="minorHAnsi" w:hAnsiTheme="minorHAnsi" w:cstheme="minorBidi"/>
          <w:noProof/>
          <w:szCs w:val="22"/>
          <w:lang w:val="en-AU" w:eastAsia="en-AU"/>
        </w:rPr>
      </w:pPr>
      <w:r>
        <w:rPr>
          <w:noProof/>
        </w:rPr>
        <w:lastRenderedPageBreak/>
        <w:t>6.2.1 Cost to industry</w:t>
      </w:r>
      <w:r>
        <w:rPr>
          <w:noProof/>
        </w:rPr>
        <w:tab/>
      </w:r>
      <w:r>
        <w:rPr>
          <w:noProof/>
        </w:rPr>
        <w:fldChar w:fldCharType="begin"/>
      </w:r>
      <w:r>
        <w:rPr>
          <w:noProof/>
        </w:rPr>
        <w:instrText xml:space="preserve"> PAGEREF _Toc32936889 \h </w:instrText>
      </w:r>
      <w:r>
        <w:rPr>
          <w:noProof/>
        </w:rPr>
      </w:r>
      <w:r>
        <w:rPr>
          <w:noProof/>
        </w:rPr>
        <w:fldChar w:fldCharType="separate"/>
      </w:r>
      <w:r>
        <w:rPr>
          <w:noProof/>
        </w:rPr>
        <w:t>53</w:t>
      </w:r>
      <w:r>
        <w:rPr>
          <w:noProof/>
        </w:rPr>
        <w:fldChar w:fldCharType="end"/>
      </w:r>
    </w:p>
    <w:p w14:paraId="2AA7DAF1" w14:textId="3F2141A6" w:rsidR="006C3CDE" w:rsidRDefault="006C3CDE">
      <w:pPr>
        <w:pStyle w:val="TOC3"/>
        <w:tabs>
          <w:tab w:val="right" w:leader="dot" w:pos="9622"/>
        </w:tabs>
        <w:rPr>
          <w:rFonts w:asciiTheme="minorHAnsi" w:hAnsiTheme="minorHAnsi" w:cstheme="minorBidi"/>
          <w:noProof/>
          <w:szCs w:val="22"/>
          <w:lang w:val="en-AU" w:eastAsia="en-AU"/>
        </w:rPr>
      </w:pPr>
      <w:r>
        <w:rPr>
          <w:noProof/>
        </w:rPr>
        <w:t>6.2.2 Costs to regulator</w:t>
      </w:r>
      <w:r>
        <w:rPr>
          <w:noProof/>
        </w:rPr>
        <w:tab/>
      </w:r>
      <w:r>
        <w:rPr>
          <w:noProof/>
        </w:rPr>
        <w:fldChar w:fldCharType="begin"/>
      </w:r>
      <w:r>
        <w:rPr>
          <w:noProof/>
        </w:rPr>
        <w:instrText xml:space="preserve"> PAGEREF _Toc32936890 \h </w:instrText>
      </w:r>
      <w:r>
        <w:rPr>
          <w:noProof/>
        </w:rPr>
      </w:r>
      <w:r>
        <w:rPr>
          <w:noProof/>
        </w:rPr>
        <w:fldChar w:fldCharType="separate"/>
      </w:r>
      <w:r>
        <w:rPr>
          <w:noProof/>
        </w:rPr>
        <w:t>79</w:t>
      </w:r>
      <w:r>
        <w:rPr>
          <w:noProof/>
        </w:rPr>
        <w:fldChar w:fldCharType="end"/>
      </w:r>
    </w:p>
    <w:p w14:paraId="048716BD" w14:textId="65288423" w:rsidR="006C3CDE" w:rsidRDefault="006C3CDE">
      <w:pPr>
        <w:pStyle w:val="TOC2"/>
        <w:tabs>
          <w:tab w:val="right" w:leader="dot" w:pos="9622"/>
        </w:tabs>
        <w:rPr>
          <w:rFonts w:asciiTheme="minorHAnsi" w:hAnsiTheme="minorHAnsi" w:cstheme="minorBidi"/>
          <w:noProof/>
          <w:color w:val="auto"/>
          <w:szCs w:val="22"/>
          <w:lang w:val="en-AU" w:eastAsia="en-AU"/>
        </w:rPr>
      </w:pPr>
      <w:r>
        <w:rPr>
          <w:noProof/>
        </w:rPr>
        <w:t>6.3 Benefits</w:t>
      </w:r>
      <w:r>
        <w:rPr>
          <w:noProof/>
        </w:rPr>
        <w:tab/>
      </w:r>
      <w:r>
        <w:rPr>
          <w:noProof/>
        </w:rPr>
        <w:fldChar w:fldCharType="begin"/>
      </w:r>
      <w:r>
        <w:rPr>
          <w:noProof/>
        </w:rPr>
        <w:instrText xml:space="preserve"> PAGEREF _Toc32936891 \h </w:instrText>
      </w:r>
      <w:r>
        <w:rPr>
          <w:noProof/>
        </w:rPr>
      </w:r>
      <w:r>
        <w:rPr>
          <w:noProof/>
        </w:rPr>
        <w:fldChar w:fldCharType="separate"/>
      </w:r>
      <w:r>
        <w:rPr>
          <w:noProof/>
        </w:rPr>
        <w:t>88</w:t>
      </w:r>
      <w:r>
        <w:rPr>
          <w:noProof/>
        </w:rPr>
        <w:fldChar w:fldCharType="end"/>
      </w:r>
    </w:p>
    <w:p w14:paraId="4D7FF334" w14:textId="4E43D46C" w:rsidR="006C3CDE" w:rsidRDefault="006C3CDE">
      <w:pPr>
        <w:pStyle w:val="TOC3"/>
        <w:tabs>
          <w:tab w:val="right" w:leader="dot" w:pos="9622"/>
        </w:tabs>
        <w:rPr>
          <w:rFonts w:asciiTheme="minorHAnsi" w:hAnsiTheme="minorHAnsi" w:cstheme="minorBidi"/>
          <w:noProof/>
          <w:szCs w:val="22"/>
          <w:lang w:val="en-AU" w:eastAsia="en-AU"/>
        </w:rPr>
      </w:pPr>
      <w:r>
        <w:rPr>
          <w:noProof/>
        </w:rPr>
        <w:t>6.3.1 Health, safety and wellbeing of children</w:t>
      </w:r>
      <w:r>
        <w:rPr>
          <w:noProof/>
        </w:rPr>
        <w:tab/>
      </w:r>
      <w:r>
        <w:rPr>
          <w:noProof/>
        </w:rPr>
        <w:fldChar w:fldCharType="begin"/>
      </w:r>
      <w:r>
        <w:rPr>
          <w:noProof/>
        </w:rPr>
        <w:instrText xml:space="preserve"> PAGEREF _Toc32936892 \h </w:instrText>
      </w:r>
      <w:r>
        <w:rPr>
          <w:noProof/>
        </w:rPr>
      </w:r>
      <w:r>
        <w:rPr>
          <w:noProof/>
        </w:rPr>
        <w:fldChar w:fldCharType="separate"/>
      </w:r>
      <w:r>
        <w:rPr>
          <w:noProof/>
        </w:rPr>
        <w:t>88</w:t>
      </w:r>
      <w:r>
        <w:rPr>
          <w:noProof/>
        </w:rPr>
        <w:fldChar w:fldCharType="end"/>
      </w:r>
    </w:p>
    <w:p w14:paraId="40A1E19D" w14:textId="455918FA" w:rsidR="006C3CDE" w:rsidRDefault="006C3CDE">
      <w:pPr>
        <w:pStyle w:val="TOC3"/>
        <w:tabs>
          <w:tab w:val="right" w:leader="dot" w:pos="9622"/>
        </w:tabs>
        <w:rPr>
          <w:rFonts w:asciiTheme="minorHAnsi" w:hAnsiTheme="minorHAnsi" w:cstheme="minorBidi"/>
          <w:noProof/>
          <w:szCs w:val="22"/>
          <w:lang w:val="en-AU" w:eastAsia="en-AU"/>
        </w:rPr>
      </w:pPr>
      <w:r>
        <w:rPr>
          <w:noProof/>
        </w:rPr>
        <w:t>6.3.2 Quality of service and the broader sector</w:t>
      </w:r>
      <w:r>
        <w:rPr>
          <w:noProof/>
        </w:rPr>
        <w:tab/>
      </w:r>
      <w:r>
        <w:rPr>
          <w:noProof/>
        </w:rPr>
        <w:fldChar w:fldCharType="begin"/>
      </w:r>
      <w:r>
        <w:rPr>
          <w:noProof/>
        </w:rPr>
        <w:instrText xml:space="preserve"> PAGEREF _Toc32936893 \h </w:instrText>
      </w:r>
      <w:r>
        <w:rPr>
          <w:noProof/>
        </w:rPr>
      </w:r>
      <w:r>
        <w:rPr>
          <w:noProof/>
        </w:rPr>
        <w:fldChar w:fldCharType="separate"/>
      </w:r>
      <w:r>
        <w:rPr>
          <w:noProof/>
        </w:rPr>
        <w:t>88</w:t>
      </w:r>
      <w:r>
        <w:rPr>
          <w:noProof/>
        </w:rPr>
        <w:fldChar w:fldCharType="end"/>
      </w:r>
    </w:p>
    <w:p w14:paraId="1D592811" w14:textId="59697958" w:rsidR="006C3CDE" w:rsidRDefault="006C3CDE">
      <w:pPr>
        <w:pStyle w:val="TOC3"/>
        <w:tabs>
          <w:tab w:val="left" w:pos="1100"/>
          <w:tab w:val="right" w:leader="dot" w:pos="9622"/>
        </w:tabs>
        <w:rPr>
          <w:rFonts w:asciiTheme="minorHAnsi" w:hAnsiTheme="minorHAnsi" w:cstheme="minorBidi"/>
          <w:noProof/>
          <w:szCs w:val="22"/>
          <w:lang w:val="en-AU" w:eastAsia="en-AU"/>
        </w:rPr>
      </w:pPr>
      <w:r>
        <w:rPr>
          <w:noProof/>
        </w:rPr>
        <w:t>6.3.3</w:t>
      </w:r>
      <w:r>
        <w:rPr>
          <w:rFonts w:asciiTheme="minorHAnsi" w:hAnsiTheme="minorHAnsi" w:cstheme="minorBidi"/>
          <w:noProof/>
          <w:szCs w:val="22"/>
          <w:lang w:val="en-AU" w:eastAsia="en-AU"/>
        </w:rPr>
        <w:tab/>
      </w:r>
      <w:r>
        <w:rPr>
          <w:noProof/>
        </w:rPr>
        <w:t>Benefits analysis</w:t>
      </w:r>
      <w:r>
        <w:rPr>
          <w:noProof/>
        </w:rPr>
        <w:tab/>
      </w:r>
      <w:r>
        <w:rPr>
          <w:noProof/>
        </w:rPr>
        <w:fldChar w:fldCharType="begin"/>
      </w:r>
      <w:r>
        <w:rPr>
          <w:noProof/>
        </w:rPr>
        <w:instrText xml:space="preserve"> PAGEREF _Toc32936894 \h </w:instrText>
      </w:r>
      <w:r>
        <w:rPr>
          <w:noProof/>
        </w:rPr>
      </w:r>
      <w:r>
        <w:rPr>
          <w:noProof/>
        </w:rPr>
        <w:fldChar w:fldCharType="separate"/>
      </w:r>
      <w:r>
        <w:rPr>
          <w:noProof/>
        </w:rPr>
        <w:t>89</w:t>
      </w:r>
      <w:r>
        <w:rPr>
          <w:noProof/>
        </w:rPr>
        <w:fldChar w:fldCharType="end"/>
      </w:r>
    </w:p>
    <w:p w14:paraId="0062DA76" w14:textId="5279E143" w:rsidR="006C3CDE" w:rsidRDefault="006C3CDE">
      <w:pPr>
        <w:pStyle w:val="TOC1"/>
        <w:tabs>
          <w:tab w:val="left" w:pos="601"/>
        </w:tabs>
        <w:rPr>
          <w:rFonts w:asciiTheme="minorHAnsi" w:hAnsiTheme="minorHAnsi" w:cstheme="minorBidi"/>
          <w:b w:val="0"/>
          <w:noProof/>
          <w:color w:val="auto"/>
          <w:szCs w:val="22"/>
          <w:lang w:val="en-AU" w:eastAsia="en-AU"/>
        </w:rPr>
      </w:pPr>
      <w:r>
        <w:rPr>
          <w:noProof/>
        </w:rPr>
        <w:t>7.</w:t>
      </w:r>
      <w:r>
        <w:rPr>
          <w:rFonts w:asciiTheme="minorHAnsi" w:hAnsiTheme="minorHAnsi" w:cstheme="minorBidi"/>
          <w:b w:val="0"/>
          <w:noProof/>
          <w:color w:val="auto"/>
          <w:szCs w:val="22"/>
          <w:lang w:val="en-AU" w:eastAsia="en-AU"/>
        </w:rPr>
        <w:tab/>
      </w:r>
      <w:r>
        <w:rPr>
          <w:noProof/>
        </w:rPr>
        <w:t>Preferred option</w:t>
      </w:r>
      <w:r>
        <w:rPr>
          <w:noProof/>
        </w:rPr>
        <w:tab/>
      </w:r>
      <w:r>
        <w:rPr>
          <w:noProof/>
        </w:rPr>
        <w:fldChar w:fldCharType="begin"/>
      </w:r>
      <w:r>
        <w:rPr>
          <w:noProof/>
        </w:rPr>
        <w:instrText xml:space="preserve"> PAGEREF _Toc32936895 \h </w:instrText>
      </w:r>
      <w:r>
        <w:rPr>
          <w:noProof/>
        </w:rPr>
      </w:r>
      <w:r>
        <w:rPr>
          <w:noProof/>
        </w:rPr>
        <w:fldChar w:fldCharType="separate"/>
      </w:r>
      <w:r>
        <w:rPr>
          <w:noProof/>
        </w:rPr>
        <w:t>103</w:t>
      </w:r>
      <w:r>
        <w:rPr>
          <w:noProof/>
        </w:rPr>
        <w:fldChar w:fldCharType="end"/>
      </w:r>
    </w:p>
    <w:p w14:paraId="6B63A2E0" w14:textId="62C0273E" w:rsidR="006C3CDE" w:rsidRDefault="006C3CDE">
      <w:pPr>
        <w:pStyle w:val="TOC1"/>
        <w:tabs>
          <w:tab w:val="left" w:pos="601"/>
        </w:tabs>
        <w:rPr>
          <w:rFonts w:asciiTheme="minorHAnsi" w:hAnsiTheme="minorHAnsi" w:cstheme="minorBidi"/>
          <w:b w:val="0"/>
          <w:noProof/>
          <w:color w:val="auto"/>
          <w:szCs w:val="22"/>
          <w:lang w:val="en-AU" w:eastAsia="en-AU"/>
        </w:rPr>
      </w:pPr>
      <w:r>
        <w:rPr>
          <w:noProof/>
        </w:rPr>
        <w:t>8.</w:t>
      </w:r>
      <w:r>
        <w:rPr>
          <w:rFonts w:asciiTheme="minorHAnsi" w:hAnsiTheme="minorHAnsi" w:cstheme="minorBidi"/>
          <w:b w:val="0"/>
          <w:noProof/>
          <w:color w:val="auto"/>
          <w:szCs w:val="22"/>
          <w:lang w:val="en-AU" w:eastAsia="en-AU"/>
        </w:rPr>
        <w:tab/>
      </w:r>
      <w:r>
        <w:rPr>
          <w:noProof/>
        </w:rPr>
        <w:t>Consultation</w:t>
      </w:r>
      <w:r>
        <w:rPr>
          <w:noProof/>
        </w:rPr>
        <w:tab/>
      </w:r>
      <w:r>
        <w:rPr>
          <w:noProof/>
        </w:rPr>
        <w:fldChar w:fldCharType="begin"/>
      </w:r>
      <w:r>
        <w:rPr>
          <w:noProof/>
        </w:rPr>
        <w:instrText xml:space="preserve"> PAGEREF _Toc32936896 \h </w:instrText>
      </w:r>
      <w:r>
        <w:rPr>
          <w:noProof/>
        </w:rPr>
      </w:r>
      <w:r>
        <w:rPr>
          <w:noProof/>
        </w:rPr>
        <w:fldChar w:fldCharType="separate"/>
      </w:r>
      <w:r>
        <w:rPr>
          <w:noProof/>
        </w:rPr>
        <w:t>112</w:t>
      </w:r>
      <w:r>
        <w:rPr>
          <w:noProof/>
        </w:rPr>
        <w:fldChar w:fldCharType="end"/>
      </w:r>
    </w:p>
    <w:p w14:paraId="686C6C8D" w14:textId="0E554700" w:rsidR="006C3CDE" w:rsidRDefault="006C3CDE">
      <w:pPr>
        <w:pStyle w:val="TOC1"/>
        <w:tabs>
          <w:tab w:val="left" w:pos="601"/>
        </w:tabs>
        <w:rPr>
          <w:rFonts w:asciiTheme="minorHAnsi" w:hAnsiTheme="minorHAnsi" w:cstheme="minorBidi"/>
          <w:b w:val="0"/>
          <w:noProof/>
          <w:color w:val="auto"/>
          <w:szCs w:val="22"/>
          <w:lang w:val="en-AU" w:eastAsia="en-AU"/>
        </w:rPr>
      </w:pPr>
      <w:r>
        <w:rPr>
          <w:noProof/>
        </w:rPr>
        <w:t>9.</w:t>
      </w:r>
      <w:r>
        <w:rPr>
          <w:rFonts w:asciiTheme="minorHAnsi" w:hAnsiTheme="minorHAnsi" w:cstheme="minorBidi"/>
          <w:b w:val="0"/>
          <w:noProof/>
          <w:color w:val="auto"/>
          <w:szCs w:val="22"/>
          <w:lang w:val="en-AU" w:eastAsia="en-AU"/>
        </w:rPr>
        <w:tab/>
      </w:r>
      <w:r>
        <w:rPr>
          <w:noProof/>
        </w:rPr>
        <w:t>Implementation, Enforcement and Evaluation</w:t>
      </w:r>
      <w:r>
        <w:rPr>
          <w:noProof/>
        </w:rPr>
        <w:tab/>
      </w:r>
      <w:r>
        <w:rPr>
          <w:noProof/>
        </w:rPr>
        <w:fldChar w:fldCharType="begin"/>
      </w:r>
      <w:r>
        <w:rPr>
          <w:noProof/>
        </w:rPr>
        <w:instrText xml:space="preserve"> PAGEREF _Toc32936897 \h </w:instrText>
      </w:r>
      <w:r>
        <w:rPr>
          <w:noProof/>
        </w:rPr>
      </w:r>
      <w:r>
        <w:rPr>
          <w:noProof/>
        </w:rPr>
        <w:fldChar w:fldCharType="separate"/>
      </w:r>
      <w:r>
        <w:rPr>
          <w:noProof/>
        </w:rPr>
        <w:t>115</w:t>
      </w:r>
      <w:r>
        <w:rPr>
          <w:noProof/>
        </w:rPr>
        <w:fldChar w:fldCharType="end"/>
      </w:r>
    </w:p>
    <w:p w14:paraId="228D4B25" w14:textId="09934E83" w:rsidR="006C3CDE" w:rsidRDefault="006C3CDE">
      <w:pPr>
        <w:pStyle w:val="TOC1"/>
        <w:tabs>
          <w:tab w:val="left" w:pos="601"/>
        </w:tabs>
        <w:rPr>
          <w:rFonts w:asciiTheme="minorHAnsi" w:hAnsiTheme="minorHAnsi" w:cstheme="minorBidi"/>
          <w:b w:val="0"/>
          <w:noProof/>
          <w:color w:val="auto"/>
          <w:szCs w:val="22"/>
          <w:lang w:val="en-AU" w:eastAsia="en-AU"/>
        </w:rPr>
      </w:pPr>
      <w:r>
        <w:rPr>
          <w:noProof/>
        </w:rPr>
        <w:t>10.</w:t>
      </w:r>
      <w:r>
        <w:rPr>
          <w:rFonts w:asciiTheme="minorHAnsi" w:hAnsiTheme="minorHAnsi" w:cstheme="minorBidi"/>
          <w:b w:val="0"/>
          <w:noProof/>
          <w:color w:val="auto"/>
          <w:szCs w:val="22"/>
          <w:lang w:val="en-AU" w:eastAsia="en-AU"/>
        </w:rPr>
        <w:tab/>
      </w:r>
      <w:r>
        <w:rPr>
          <w:noProof/>
        </w:rPr>
        <w:t>Appendices</w:t>
      </w:r>
      <w:r>
        <w:rPr>
          <w:noProof/>
        </w:rPr>
        <w:tab/>
      </w:r>
      <w:r>
        <w:rPr>
          <w:noProof/>
        </w:rPr>
        <w:fldChar w:fldCharType="begin"/>
      </w:r>
      <w:r>
        <w:rPr>
          <w:noProof/>
        </w:rPr>
        <w:instrText xml:space="preserve"> PAGEREF _Toc32936898 \h </w:instrText>
      </w:r>
      <w:r>
        <w:rPr>
          <w:noProof/>
        </w:rPr>
      </w:r>
      <w:r>
        <w:rPr>
          <w:noProof/>
        </w:rPr>
        <w:fldChar w:fldCharType="separate"/>
      </w:r>
      <w:r>
        <w:rPr>
          <w:noProof/>
        </w:rPr>
        <w:t>118</w:t>
      </w:r>
      <w:r>
        <w:rPr>
          <w:noProof/>
        </w:rPr>
        <w:fldChar w:fldCharType="end"/>
      </w:r>
    </w:p>
    <w:p w14:paraId="21888FD4" w14:textId="0163B1B5" w:rsidR="006C3CDE" w:rsidRDefault="006C3CDE">
      <w:pPr>
        <w:pStyle w:val="TOC2"/>
        <w:tabs>
          <w:tab w:val="right" w:leader="dot" w:pos="9622"/>
        </w:tabs>
        <w:rPr>
          <w:rFonts w:asciiTheme="minorHAnsi" w:hAnsiTheme="minorHAnsi" w:cstheme="minorBidi"/>
          <w:noProof/>
          <w:color w:val="auto"/>
          <w:szCs w:val="22"/>
          <w:lang w:val="en-AU" w:eastAsia="en-AU"/>
        </w:rPr>
      </w:pPr>
      <w:r>
        <w:rPr>
          <w:noProof/>
        </w:rPr>
        <w:t>10.1 Comparison table of current and proposed Children’s Services Regulations</w:t>
      </w:r>
      <w:r>
        <w:rPr>
          <w:noProof/>
        </w:rPr>
        <w:tab/>
      </w:r>
      <w:r>
        <w:rPr>
          <w:noProof/>
        </w:rPr>
        <w:fldChar w:fldCharType="begin"/>
      </w:r>
      <w:r>
        <w:rPr>
          <w:noProof/>
        </w:rPr>
        <w:instrText xml:space="preserve"> PAGEREF _Toc32936899 \h </w:instrText>
      </w:r>
      <w:r>
        <w:rPr>
          <w:noProof/>
        </w:rPr>
      </w:r>
      <w:r>
        <w:rPr>
          <w:noProof/>
        </w:rPr>
        <w:fldChar w:fldCharType="separate"/>
      </w:r>
      <w:r>
        <w:rPr>
          <w:noProof/>
        </w:rPr>
        <w:t>119</w:t>
      </w:r>
      <w:r>
        <w:rPr>
          <w:noProof/>
        </w:rPr>
        <w:fldChar w:fldCharType="end"/>
      </w:r>
    </w:p>
    <w:p w14:paraId="0F027323" w14:textId="4A47175F" w:rsidR="006C3CDE" w:rsidRDefault="006C3CDE">
      <w:pPr>
        <w:pStyle w:val="TOC2"/>
        <w:tabs>
          <w:tab w:val="right" w:leader="dot" w:pos="9622"/>
        </w:tabs>
        <w:rPr>
          <w:rFonts w:asciiTheme="minorHAnsi" w:hAnsiTheme="minorHAnsi" w:cstheme="minorBidi"/>
          <w:noProof/>
          <w:color w:val="auto"/>
          <w:szCs w:val="22"/>
          <w:lang w:val="en-AU" w:eastAsia="en-AU"/>
        </w:rPr>
      </w:pPr>
      <w:r>
        <w:rPr>
          <w:noProof/>
        </w:rPr>
        <w:t>10.2 Questions for consultation</w:t>
      </w:r>
      <w:r>
        <w:rPr>
          <w:noProof/>
        </w:rPr>
        <w:tab/>
      </w:r>
      <w:r>
        <w:rPr>
          <w:noProof/>
        </w:rPr>
        <w:fldChar w:fldCharType="begin"/>
      </w:r>
      <w:r>
        <w:rPr>
          <w:noProof/>
        </w:rPr>
        <w:instrText xml:space="preserve"> PAGEREF _Toc32936900 \h </w:instrText>
      </w:r>
      <w:r>
        <w:rPr>
          <w:noProof/>
        </w:rPr>
      </w:r>
      <w:r>
        <w:rPr>
          <w:noProof/>
        </w:rPr>
        <w:fldChar w:fldCharType="separate"/>
      </w:r>
      <w:r>
        <w:rPr>
          <w:noProof/>
        </w:rPr>
        <w:t>128</w:t>
      </w:r>
      <w:r>
        <w:rPr>
          <w:noProof/>
        </w:rPr>
        <w:fldChar w:fldCharType="end"/>
      </w:r>
    </w:p>
    <w:p w14:paraId="6C07C540" w14:textId="0120FFB6" w:rsidR="006C3CDE" w:rsidRDefault="006C3CDE">
      <w:pPr>
        <w:pStyle w:val="TOC2"/>
        <w:tabs>
          <w:tab w:val="right" w:leader="dot" w:pos="9622"/>
        </w:tabs>
        <w:rPr>
          <w:rFonts w:asciiTheme="minorHAnsi" w:hAnsiTheme="minorHAnsi" w:cstheme="minorBidi"/>
          <w:noProof/>
          <w:color w:val="auto"/>
          <w:szCs w:val="22"/>
          <w:lang w:val="en-AU" w:eastAsia="en-AU"/>
        </w:rPr>
      </w:pPr>
      <w:r>
        <w:rPr>
          <w:noProof/>
        </w:rPr>
        <w:t>10.3 Key amendments to the Children’s Services Act</w:t>
      </w:r>
      <w:r>
        <w:rPr>
          <w:noProof/>
        </w:rPr>
        <w:tab/>
      </w:r>
      <w:r>
        <w:rPr>
          <w:noProof/>
        </w:rPr>
        <w:fldChar w:fldCharType="begin"/>
      </w:r>
      <w:r>
        <w:rPr>
          <w:noProof/>
        </w:rPr>
        <w:instrText xml:space="preserve"> PAGEREF _Toc32936901 \h </w:instrText>
      </w:r>
      <w:r>
        <w:rPr>
          <w:noProof/>
        </w:rPr>
      </w:r>
      <w:r>
        <w:rPr>
          <w:noProof/>
        </w:rPr>
        <w:fldChar w:fldCharType="separate"/>
      </w:r>
      <w:r>
        <w:rPr>
          <w:noProof/>
        </w:rPr>
        <w:t>129</w:t>
      </w:r>
      <w:r>
        <w:rPr>
          <w:noProof/>
        </w:rPr>
        <w:fldChar w:fldCharType="end"/>
      </w:r>
    </w:p>
    <w:p w14:paraId="012729A8" w14:textId="28117481" w:rsidR="006C3CDE" w:rsidRDefault="006C3CDE">
      <w:pPr>
        <w:pStyle w:val="TOC2"/>
        <w:tabs>
          <w:tab w:val="right" w:leader="dot" w:pos="9622"/>
        </w:tabs>
        <w:rPr>
          <w:rFonts w:asciiTheme="minorHAnsi" w:hAnsiTheme="minorHAnsi" w:cstheme="minorBidi"/>
          <w:noProof/>
          <w:color w:val="auto"/>
          <w:szCs w:val="22"/>
          <w:lang w:val="en-AU" w:eastAsia="en-AU"/>
        </w:rPr>
      </w:pPr>
      <w:r w:rsidRPr="00B364F6">
        <w:rPr>
          <w:noProof/>
        </w:rPr>
        <w:t>10.4 Methodology and assumptions</w:t>
      </w:r>
      <w:r>
        <w:rPr>
          <w:noProof/>
        </w:rPr>
        <w:tab/>
      </w:r>
      <w:r>
        <w:rPr>
          <w:noProof/>
        </w:rPr>
        <w:fldChar w:fldCharType="begin"/>
      </w:r>
      <w:r>
        <w:rPr>
          <w:noProof/>
        </w:rPr>
        <w:instrText xml:space="preserve"> PAGEREF _Toc32936902 \h </w:instrText>
      </w:r>
      <w:r>
        <w:rPr>
          <w:noProof/>
        </w:rPr>
      </w:r>
      <w:r>
        <w:rPr>
          <w:noProof/>
        </w:rPr>
        <w:fldChar w:fldCharType="separate"/>
      </w:r>
      <w:r>
        <w:rPr>
          <w:noProof/>
        </w:rPr>
        <w:t>134</w:t>
      </w:r>
      <w:r>
        <w:rPr>
          <w:noProof/>
        </w:rPr>
        <w:fldChar w:fldCharType="end"/>
      </w:r>
    </w:p>
    <w:p w14:paraId="5675B9D1" w14:textId="6DADE4E9" w:rsidR="006C3CDE" w:rsidRDefault="006C3CDE">
      <w:pPr>
        <w:pStyle w:val="TOC2"/>
        <w:tabs>
          <w:tab w:val="right" w:leader="dot" w:pos="9622"/>
        </w:tabs>
        <w:rPr>
          <w:rFonts w:asciiTheme="minorHAnsi" w:hAnsiTheme="minorHAnsi" w:cstheme="minorBidi"/>
          <w:noProof/>
          <w:color w:val="auto"/>
          <w:szCs w:val="22"/>
          <w:lang w:val="en-AU" w:eastAsia="en-AU"/>
        </w:rPr>
      </w:pPr>
      <w:r w:rsidRPr="00B364F6">
        <w:rPr>
          <w:noProof/>
        </w:rPr>
        <w:t>10.5a Children’s Services Regulations 2009 – Current Fee Structure</w:t>
      </w:r>
      <w:r>
        <w:rPr>
          <w:noProof/>
        </w:rPr>
        <w:tab/>
      </w:r>
      <w:r>
        <w:rPr>
          <w:noProof/>
        </w:rPr>
        <w:fldChar w:fldCharType="begin"/>
      </w:r>
      <w:r>
        <w:rPr>
          <w:noProof/>
        </w:rPr>
        <w:instrText xml:space="preserve"> PAGEREF _Toc32936903 \h </w:instrText>
      </w:r>
      <w:r>
        <w:rPr>
          <w:noProof/>
        </w:rPr>
      </w:r>
      <w:r>
        <w:rPr>
          <w:noProof/>
        </w:rPr>
        <w:fldChar w:fldCharType="separate"/>
      </w:r>
      <w:r>
        <w:rPr>
          <w:noProof/>
        </w:rPr>
        <w:t>139</w:t>
      </w:r>
      <w:r>
        <w:rPr>
          <w:noProof/>
        </w:rPr>
        <w:fldChar w:fldCharType="end"/>
      </w:r>
    </w:p>
    <w:p w14:paraId="7D667212" w14:textId="007E6489" w:rsidR="006C3CDE" w:rsidRDefault="006C3CDE">
      <w:pPr>
        <w:pStyle w:val="TOC2"/>
        <w:tabs>
          <w:tab w:val="right" w:leader="dot" w:pos="9622"/>
        </w:tabs>
        <w:rPr>
          <w:rFonts w:asciiTheme="minorHAnsi" w:hAnsiTheme="minorHAnsi" w:cstheme="minorBidi"/>
          <w:noProof/>
          <w:color w:val="auto"/>
          <w:szCs w:val="22"/>
          <w:lang w:val="en-AU" w:eastAsia="en-AU"/>
        </w:rPr>
      </w:pPr>
      <w:r w:rsidRPr="00B364F6">
        <w:rPr>
          <w:noProof/>
        </w:rPr>
        <w:t>10.5b Children’s Services Regulations 2020 – Proposed Fee Structure</w:t>
      </w:r>
      <w:r>
        <w:rPr>
          <w:noProof/>
        </w:rPr>
        <w:tab/>
      </w:r>
      <w:r>
        <w:rPr>
          <w:noProof/>
        </w:rPr>
        <w:fldChar w:fldCharType="begin"/>
      </w:r>
      <w:r>
        <w:rPr>
          <w:noProof/>
        </w:rPr>
        <w:instrText xml:space="preserve"> PAGEREF _Toc32936904 \h </w:instrText>
      </w:r>
      <w:r>
        <w:rPr>
          <w:noProof/>
        </w:rPr>
      </w:r>
      <w:r>
        <w:rPr>
          <w:noProof/>
        </w:rPr>
        <w:fldChar w:fldCharType="separate"/>
      </w:r>
      <w:r>
        <w:rPr>
          <w:noProof/>
        </w:rPr>
        <w:t>140</w:t>
      </w:r>
      <w:r>
        <w:rPr>
          <w:noProof/>
        </w:rPr>
        <w:fldChar w:fldCharType="end"/>
      </w:r>
    </w:p>
    <w:p w14:paraId="064F9F36" w14:textId="2E1CF439" w:rsidR="00971B3F" w:rsidRDefault="00DA3218" w:rsidP="00971B3F">
      <w:pPr>
        <w:pStyle w:val="TOC3"/>
        <w:ind w:left="0"/>
      </w:pPr>
      <w:r>
        <w:fldChar w:fldCharType="end"/>
      </w:r>
    </w:p>
    <w:p w14:paraId="491C23A2" w14:textId="77777777" w:rsidR="00971B3F" w:rsidRDefault="00971B3F">
      <w:pPr>
        <w:spacing w:after="0"/>
        <w:rPr>
          <w:rFonts w:ascii="Arial" w:eastAsiaTheme="minorEastAsia" w:hAnsi="Arial" w:cs="Arial"/>
          <w:szCs w:val="18"/>
          <w:lang w:val="en-US"/>
        </w:rPr>
      </w:pPr>
      <w:r>
        <w:br w:type="page"/>
      </w:r>
    </w:p>
    <w:p w14:paraId="73F668DE" w14:textId="0F79712B" w:rsidR="00E65AE3" w:rsidRPr="00E65AE3" w:rsidRDefault="00E65AE3" w:rsidP="00E65AE3">
      <w:pPr>
        <w:spacing w:after="40"/>
        <w:rPr>
          <w:rFonts w:cstheme="minorHAnsi"/>
          <w:b/>
          <w:color w:val="004EA8" w:themeColor="accent1"/>
          <w:sz w:val="44"/>
          <w:szCs w:val="44"/>
        </w:rPr>
      </w:pPr>
      <w:r w:rsidRPr="00E65AE3">
        <w:rPr>
          <w:rFonts w:cstheme="minorHAnsi"/>
          <w:b/>
          <w:color w:val="004EA8" w:themeColor="accent1"/>
          <w:sz w:val="44"/>
          <w:szCs w:val="44"/>
        </w:rPr>
        <w:lastRenderedPageBreak/>
        <w:t>Figures</w:t>
      </w:r>
    </w:p>
    <w:p w14:paraId="2FD437D6" w14:textId="297354D2" w:rsidR="00AF17D0" w:rsidRDefault="00E65AE3">
      <w:pPr>
        <w:pStyle w:val="TableofFigures"/>
        <w:tabs>
          <w:tab w:val="right" w:leader="dot" w:pos="9622"/>
        </w:tabs>
        <w:rPr>
          <w:rFonts w:asciiTheme="minorHAnsi" w:eastAsiaTheme="minorEastAsia" w:hAnsiTheme="minorHAnsi" w:cstheme="minorBidi"/>
          <w:noProof/>
          <w:sz w:val="22"/>
          <w:szCs w:val="22"/>
          <w:lang w:eastAsia="en-AU"/>
        </w:rPr>
      </w:pPr>
      <w:r>
        <w:fldChar w:fldCharType="begin"/>
      </w:r>
      <w:r>
        <w:instrText xml:space="preserve"> TOC \h \z \c "Figure" </w:instrText>
      </w:r>
      <w:r>
        <w:fldChar w:fldCharType="separate"/>
      </w:r>
      <w:hyperlink w:anchor="_Toc32403961" w:history="1">
        <w:r w:rsidR="00AF17D0" w:rsidRPr="008F020A">
          <w:rPr>
            <w:rStyle w:val="Hyperlink"/>
            <w:bCs/>
            <w:noProof/>
          </w:rPr>
          <w:t>Figure 1 Making new regulations</w:t>
        </w:r>
        <w:r w:rsidR="00AF17D0">
          <w:rPr>
            <w:noProof/>
            <w:webHidden/>
          </w:rPr>
          <w:tab/>
        </w:r>
        <w:r w:rsidR="00AF17D0">
          <w:rPr>
            <w:noProof/>
            <w:webHidden/>
          </w:rPr>
          <w:fldChar w:fldCharType="begin"/>
        </w:r>
        <w:r w:rsidR="00AF17D0">
          <w:rPr>
            <w:noProof/>
            <w:webHidden/>
          </w:rPr>
          <w:instrText xml:space="preserve"> PAGEREF _Toc32403961 \h </w:instrText>
        </w:r>
        <w:r w:rsidR="00AF17D0">
          <w:rPr>
            <w:noProof/>
            <w:webHidden/>
          </w:rPr>
        </w:r>
        <w:r w:rsidR="00AF17D0">
          <w:rPr>
            <w:noProof/>
            <w:webHidden/>
          </w:rPr>
          <w:fldChar w:fldCharType="separate"/>
        </w:r>
        <w:r w:rsidR="00493211">
          <w:rPr>
            <w:noProof/>
            <w:webHidden/>
          </w:rPr>
          <w:t>13</w:t>
        </w:r>
        <w:r w:rsidR="00AF17D0">
          <w:rPr>
            <w:noProof/>
            <w:webHidden/>
          </w:rPr>
          <w:fldChar w:fldCharType="end"/>
        </w:r>
      </w:hyperlink>
    </w:p>
    <w:p w14:paraId="7B6EE2AE" w14:textId="68FA17E7" w:rsidR="00AF17D0"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403962" w:history="1">
        <w:r w:rsidR="00AF17D0" w:rsidRPr="008F020A">
          <w:rPr>
            <w:rStyle w:val="Hyperlink"/>
            <w:noProof/>
          </w:rPr>
          <w:t>Figure 2 Children's service by type of care</w:t>
        </w:r>
        <w:r w:rsidR="00AF17D0">
          <w:rPr>
            <w:noProof/>
            <w:webHidden/>
          </w:rPr>
          <w:tab/>
        </w:r>
        <w:r w:rsidR="00AF17D0">
          <w:rPr>
            <w:noProof/>
            <w:webHidden/>
          </w:rPr>
          <w:fldChar w:fldCharType="begin"/>
        </w:r>
        <w:r w:rsidR="00AF17D0">
          <w:rPr>
            <w:noProof/>
            <w:webHidden/>
          </w:rPr>
          <w:instrText xml:space="preserve"> PAGEREF _Toc32403962 \h </w:instrText>
        </w:r>
        <w:r w:rsidR="00AF17D0">
          <w:rPr>
            <w:noProof/>
            <w:webHidden/>
          </w:rPr>
        </w:r>
        <w:r w:rsidR="00AF17D0">
          <w:rPr>
            <w:noProof/>
            <w:webHidden/>
          </w:rPr>
          <w:fldChar w:fldCharType="separate"/>
        </w:r>
        <w:r w:rsidR="00493211">
          <w:rPr>
            <w:noProof/>
            <w:webHidden/>
          </w:rPr>
          <w:t>21</w:t>
        </w:r>
        <w:r w:rsidR="00AF17D0">
          <w:rPr>
            <w:noProof/>
            <w:webHidden/>
          </w:rPr>
          <w:fldChar w:fldCharType="end"/>
        </w:r>
      </w:hyperlink>
    </w:p>
    <w:p w14:paraId="67FB3A86" w14:textId="42154F5E" w:rsidR="00AF17D0"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403963" w:history="1">
        <w:r w:rsidR="00AF17D0" w:rsidRPr="008F020A">
          <w:rPr>
            <w:rStyle w:val="Hyperlink"/>
            <w:noProof/>
          </w:rPr>
          <w:t>Figure 3 Children's services by management organisation type</w:t>
        </w:r>
        <w:r w:rsidR="00AF17D0">
          <w:rPr>
            <w:noProof/>
            <w:webHidden/>
          </w:rPr>
          <w:tab/>
        </w:r>
        <w:r w:rsidR="00AF17D0">
          <w:rPr>
            <w:noProof/>
            <w:webHidden/>
          </w:rPr>
          <w:fldChar w:fldCharType="begin"/>
        </w:r>
        <w:r w:rsidR="00AF17D0">
          <w:rPr>
            <w:noProof/>
            <w:webHidden/>
          </w:rPr>
          <w:instrText xml:space="preserve"> PAGEREF _Toc32403963 \h </w:instrText>
        </w:r>
        <w:r w:rsidR="00AF17D0">
          <w:rPr>
            <w:noProof/>
            <w:webHidden/>
          </w:rPr>
        </w:r>
        <w:r w:rsidR="00AF17D0">
          <w:rPr>
            <w:noProof/>
            <w:webHidden/>
          </w:rPr>
          <w:fldChar w:fldCharType="separate"/>
        </w:r>
        <w:r w:rsidR="00493211">
          <w:rPr>
            <w:noProof/>
            <w:webHidden/>
          </w:rPr>
          <w:t>22</w:t>
        </w:r>
        <w:r w:rsidR="00AF17D0">
          <w:rPr>
            <w:noProof/>
            <w:webHidden/>
          </w:rPr>
          <w:fldChar w:fldCharType="end"/>
        </w:r>
      </w:hyperlink>
    </w:p>
    <w:p w14:paraId="2C0116B3" w14:textId="04F079A7" w:rsidR="00AF17D0"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403964" w:history="1">
        <w:r w:rsidR="00AF17D0" w:rsidRPr="008F020A">
          <w:rPr>
            <w:rStyle w:val="Hyperlink"/>
            <w:noProof/>
          </w:rPr>
          <w:t>Figure 4: Multi-criteria analysis scale used in scoring options</w:t>
        </w:r>
        <w:r w:rsidR="00AF17D0">
          <w:rPr>
            <w:noProof/>
            <w:webHidden/>
          </w:rPr>
          <w:tab/>
        </w:r>
        <w:r w:rsidR="00AF17D0">
          <w:rPr>
            <w:noProof/>
            <w:webHidden/>
          </w:rPr>
          <w:fldChar w:fldCharType="begin"/>
        </w:r>
        <w:r w:rsidR="00AF17D0">
          <w:rPr>
            <w:noProof/>
            <w:webHidden/>
          </w:rPr>
          <w:instrText xml:space="preserve"> PAGEREF _Toc32403964 \h </w:instrText>
        </w:r>
        <w:r w:rsidR="00AF17D0">
          <w:rPr>
            <w:noProof/>
            <w:webHidden/>
          </w:rPr>
        </w:r>
        <w:r w:rsidR="00AF17D0">
          <w:rPr>
            <w:noProof/>
            <w:webHidden/>
          </w:rPr>
          <w:fldChar w:fldCharType="separate"/>
        </w:r>
        <w:r w:rsidR="00493211">
          <w:rPr>
            <w:noProof/>
            <w:webHidden/>
          </w:rPr>
          <w:t>50</w:t>
        </w:r>
        <w:r w:rsidR="00AF17D0">
          <w:rPr>
            <w:noProof/>
            <w:webHidden/>
          </w:rPr>
          <w:fldChar w:fldCharType="end"/>
        </w:r>
      </w:hyperlink>
    </w:p>
    <w:p w14:paraId="45B6868E" w14:textId="1D67BD41" w:rsidR="00E65AE3" w:rsidRDefault="00E65AE3">
      <w:pPr>
        <w:spacing w:after="0"/>
        <w:rPr>
          <w:lang w:val="en-AU"/>
        </w:rPr>
      </w:pPr>
      <w:r>
        <w:rPr>
          <w:lang w:val="en-AU"/>
        </w:rPr>
        <w:fldChar w:fldCharType="end"/>
      </w:r>
    </w:p>
    <w:p w14:paraId="738B636A" w14:textId="71C46F8E" w:rsidR="00E65AE3" w:rsidRPr="00E65AE3" w:rsidRDefault="00E65AE3" w:rsidP="00E65AE3">
      <w:pPr>
        <w:spacing w:after="40"/>
        <w:rPr>
          <w:rFonts w:cstheme="minorHAnsi"/>
          <w:b/>
          <w:color w:val="004EA8" w:themeColor="accent1"/>
          <w:sz w:val="44"/>
          <w:szCs w:val="44"/>
        </w:rPr>
      </w:pPr>
      <w:r w:rsidRPr="00E65AE3">
        <w:rPr>
          <w:rFonts w:cstheme="minorHAnsi"/>
          <w:b/>
          <w:color w:val="004EA8" w:themeColor="accent1"/>
          <w:sz w:val="44"/>
          <w:szCs w:val="44"/>
        </w:rPr>
        <w:t>Tables</w:t>
      </w:r>
    </w:p>
    <w:p w14:paraId="2B103AD4" w14:textId="414ABE57" w:rsidR="008067FE" w:rsidRDefault="00E65AE3">
      <w:pPr>
        <w:pStyle w:val="TableofFigures"/>
        <w:tabs>
          <w:tab w:val="right" w:leader="dot" w:pos="9622"/>
        </w:tabs>
        <w:rPr>
          <w:rFonts w:asciiTheme="minorHAnsi" w:eastAsiaTheme="minorEastAsia" w:hAnsiTheme="minorHAnsi" w:cstheme="minorBidi"/>
          <w:noProof/>
          <w:sz w:val="22"/>
          <w:szCs w:val="22"/>
          <w:lang w:eastAsia="en-AU"/>
        </w:rPr>
      </w:pPr>
      <w:r>
        <w:fldChar w:fldCharType="begin"/>
      </w:r>
      <w:r>
        <w:instrText xml:space="preserve"> TOC \h \z \c "Table" </w:instrText>
      </w:r>
      <w:r>
        <w:fldChar w:fldCharType="separate"/>
      </w:r>
      <w:hyperlink w:anchor="_Toc32592784" w:history="1">
        <w:r w:rsidR="008067FE" w:rsidRPr="005E030E">
          <w:rPr>
            <w:rStyle w:val="Hyperlink"/>
            <w:noProof/>
          </w:rPr>
          <w:t>Table 1 Number and type of children's services licences in Victoria as at December 2019</w:t>
        </w:r>
        <w:r w:rsidR="008067FE">
          <w:rPr>
            <w:noProof/>
            <w:webHidden/>
          </w:rPr>
          <w:tab/>
        </w:r>
        <w:r w:rsidR="008067FE">
          <w:rPr>
            <w:noProof/>
            <w:webHidden/>
          </w:rPr>
          <w:fldChar w:fldCharType="begin"/>
        </w:r>
        <w:r w:rsidR="008067FE">
          <w:rPr>
            <w:noProof/>
            <w:webHidden/>
          </w:rPr>
          <w:instrText xml:space="preserve"> PAGEREF _Toc32592784 \h </w:instrText>
        </w:r>
        <w:r w:rsidR="008067FE">
          <w:rPr>
            <w:noProof/>
            <w:webHidden/>
          </w:rPr>
        </w:r>
        <w:r w:rsidR="008067FE">
          <w:rPr>
            <w:noProof/>
            <w:webHidden/>
          </w:rPr>
          <w:fldChar w:fldCharType="separate"/>
        </w:r>
        <w:r w:rsidR="00493211">
          <w:rPr>
            <w:noProof/>
            <w:webHidden/>
          </w:rPr>
          <w:t>23</w:t>
        </w:r>
        <w:r w:rsidR="008067FE">
          <w:rPr>
            <w:noProof/>
            <w:webHidden/>
          </w:rPr>
          <w:fldChar w:fldCharType="end"/>
        </w:r>
      </w:hyperlink>
    </w:p>
    <w:p w14:paraId="28ADAD8F" w14:textId="7E0D1904"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785" w:history="1">
        <w:r w:rsidR="008067FE" w:rsidRPr="005E030E">
          <w:rPr>
            <w:rStyle w:val="Hyperlink"/>
            <w:noProof/>
          </w:rPr>
          <w:t>Table 2 Base Case: Regulatory position if the Regulations are not remade</w:t>
        </w:r>
        <w:r w:rsidR="008067FE">
          <w:rPr>
            <w:noProof/>
            <w:webHidden/>
          </w:rPr>
          <w:tab/>
        </w:r>
        <w:r w:rsidR="008067FE">
          <w:rPr>
            <w:noProof/>
            <w:webHidden/>
          </w:rPr>
          <w:fldChar w:fldCharType="begin"/>
        </w:r>
        <w:r w:rsidR="008067FE">
          <w:rPr>
            <w:noProof/>
            <w:webHidden/>
          </w:rPr>
          <w:instrText xml:space="preserve"> PAGEREF _Toc32592785 \h </w:instrText>
        </w:r>
        <w:r w:rsidR="008067FE">
          <w:rPr>
            <w:noProof/>
            <w:webHidden/>
          </w:rPr>
        </w:r>
        <w:r w:rsidR="008067FE">
          <w:rPr>
            <w:noProof/>
            <w:webHidden/>
          </w:rPr>
          <w:fldChar w:fldCharType="separate"/>
        </w:r>
        <w:r w:rsidR="00493211">
          <w:rPr>
            <w:noProof/>
            <w:webHidden/>
          </w:rPr>
          <w:t>27</w:t>
        </w:r>
        <w:r w:rsidR="008067FE">
          <w:rPr>
            <w:noProof/>
            <w:webHidden/>
          </w:rPr>
          <w:fldChar w:fldCharType="end"/>
        </w:r>
      </w:hyperlink>
    </w:p>
    <w:p w14:paraId="29E818EC" w14:textId="3D03465E"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786" w:history="1">
        <w:r w:rsidR="008067FE" w:rsidRPr="005E030E">
          <w:rPr>
            <w:rStyle w:val="Hyperlink"/>
            <w:noProof/>
          </w:rPr>
          <w:t>Table 3 Option A.2. Alignment – Approval applications</w:t>
        </w:r>
        <w:r w:rsidR="008067FE">
          <w:rPr>
            <w:noProof/>
            <w:webHidden/>
          </w:rPr>
          <w:tab/>
        </w:r>
        <w:r w:rsidR="008067FE">
          <w:rPr>
            <w:noProof/>
            <w:webHidden/>
          </w:rPr>
          <w:fldChar w:fldCharType="begin"/>
        </w:r>
        <w:r w:rsidR="008067FE">
          <w:rPr>
            <w:noProof/>
            <w:webHidden/>
          </w:rPr>
          <w:instrText xml:space="preserve"> PAGEREF _Toc32592786 \h </w:instrText>
        </w:r>
        <w:r w:rsidR="008067FE">
          <w:rPr>
            <w:noProof/>
            <w:webHidden/>
          </w:rPr>
        </w:r>
        <w:r w:rsidR="008067FE">
          <w:rPr>
            <w:noProof/>
            <w:webHidden/>
          </w:rPr>
          <w:fldChar w:fldCharType="separate"/>
        </w:r>
        <w:r w:rsidR="00493211">
          <w:rPr>
            <w:noProof/>
            <w:webHidden/>
          </w:rPr>
          <w:t>30</w:t>
        </w:r>
        <w:r w:rsidR="008067FE">
          <w:rPr>
            <w:noProof/>
            <w:webHidden/>
          </w:rPr>
          <w:fldChar w:fldCharType="end"/>
        </w:r>
      </w:hyperlink>
    </w:p>
    <w:p w14:paraId="4810E4A2" w14:textId="7E70B331"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787" w:history="1">
        <w:r w:rsidR="008067FE" w:rsidRPr="005E030E">
          <w:rPr>
            <w:rStyle w:val="Hyperlink"/>
            <w:noProof/>
          </w:rPr>
          <w:t>Table 4 Option B.2. Alignment – Service approval type</w:t>
        </w:r>
        <w:r w:rsidR="008067FE">
          <w:rPr>
            <w:noProof/>
            <w:webHidden/>
          </w:rPr>
          <w:tab/>
        </w:r>
        <w:r w:rsidR="008067FE">
          <w:rPr>
            <w:noProof/>
            <w:webHidden/>
          </w:rPr>
          <w:fldChar w:fldCharType="begin"/>
        </w:r>
        <w:r w:rsidR="008067FE">
          <w:rPr>
            <w:noProof/>
            <w:webHidden/>
          </w:rPr>
          <w:instrText xml:space="preserve"> PAGEREF _Toc32592787 \h </w:instrText>
        </w:r>
        <w:r w:rsidR="008067FE">
          <w:rPr>
            <w:noProof/>
            <w:webHidden/>
          </w:rPr>
        </w:r>
        <w:r w:rsidR="008067FE">
          <w:rPr>
            <w:noProof/>
            <w:webHidden/>
          </w:rPr>
          <w:fldChar w:fldCharType="separate"/>
        </w:r>
        <w:r w:rsidR="00493211">
          <w:rPr>
            <w:noProof/>
            <w:webHidden/>
          </w:rPr>
          <w:t>34</w:t>
        </w:r>
        <w:r w:rsidR="008067FE">
          <w:rPr>
            <w:noProof/>
            <w:webHidden/>
          </w:rPr>
          <w:fldChar w:fldCharType="end"/>
        </w:r>
      </w:hyperlink>
    </w:p>
    <w:p w14:paraId="4B1FFEF5" w14:textId="7EDF52A0"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788" w:history="1">
        <w:r w:rsidR="008067FE" w:rsidRPr="005E030E">
          <w:rPr>
            <w:rStyle w:val="Hyperlink"/>
            <w:noProof/>
          </w:rPr>
          <w:t>Table 5 Option C.1. Status Quo – Staffing</w:t>
        </w:r>
        <w:r w:rsidR="008067FE">
          <w:rPr>
            <w:noProof/>
            <w:webHidden/>
          </w:rPr>
          <w:tab/>
        </w:r>
        <w:r w:rsidR="008067FE">
          <w:rPr>
            <w:noProof/>
            <w:webHidden/>
          </w:rPr>
          <w:fldChar w:fldCharType="begin"/>
        </w:r>
        <w:r w:rsidR="008067FE">
          <w:rPr>
            <w:noProof/>
            <w:webHidden/>
          </w:rPr>
          <w:instrText xml:space="preserve"> PAGEREF _Toc32592788 \h </w:instrText>
        </w:r>
        <w:r w:rsidR="008067FE">
          <w:rPr>
            <w:noProof/>
            <w:webHidden/>
          </w:rPr>
        </w:r>
        <w:r w:rsidR="008067FE">
          <w:rPr>
            <w:noProof/>
            <w:webHidden/>
          </w:rPr>
          <w:fldChar w:fldCharType="separate"/>
        </w:r>
        <w:r w:rsidR="00493211">
          <w:rPr>
            <w:noProof/>
            <w:webHidden/>
          </w:rPr>
          <w:t>34</w:t>
        </w:r>
        <w:r w:rsidR="008067FE">
          <w:rPr>
            <w:noProof/>
            <w:webHidden/>
          </w:rPr>
          <w:fldChar w:fldCharType="end"/>
        </w:r>
      </w:hyperlink>
    </w:p>
    <w:p w14:paraId="2584CA42" w14:textId="1F8E3BF4"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789" w:history="1">
        <w:r w:rsidR="008067FE" w:rsidRPr="005E030E">
          <w:rPr>
            <w:rStyle w:val="Hyperlink"/>
            <w:noProof/>
          </w:rPr>
          <w:t>Table 6 Option C.2. Alignment - Staffing</w:t>
        </w:r>
        <w:r w:rsidR="008067FE">
          <w:rPr>
            <w:noProof/>
            <w:webHidden/>
          </w:rPr>
          <w:tab/>
        </w:r>
        <w:r w:rsidR="008067FE">
          <w:rPr>
            <w:noProof/>
            <w:webHidden/>
          </w:rPr>
          <w:fldChar w:fldCharType="begin"/>
        </w:r>
        <w:r w:rsidR="008067FE">
          <w:rPr>
            <w:noProof/>
            <w:webHidden/>
          </w:rPr>
          <w:instrText xml:space="preserve"> PAGEREF _Toc32592789 \h </w:instrText>
        </w:r>
        <w:r w:rsidR="008067FE">
          <w:rPr>
            <w:noProof/>
            <w:webHidden/>
          </w:rPr>
        </w:r>
        <w:r w:rsidR="008067FE">
          <w:rPr>
            <w:noProof/>
            <w:webHidden/>
          </w:rPr>
          <w:fldChar w:fldCharType="separate"/>
        </w:r>
        <w:r w:rsidR="00493211">
          <w:rPr>
            <w:noProof/>
            <w:webHidden/>
          </w:rPr>
          <w:t>35</w:t>
        </w:r>
        <w:r w:rsidR="008067FE">
          <w:rPr>
            <w:noProof/>
            <w:webHidden/>
          </w:rPr>
          <w:fldChar w:fldCharType="end"/>
        </w:r>
      </w:hyperlink>
    </w:p>
    <w:p w14:paraId="725003DD" w14:textId="197575A2"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790" w:history="1">
        <w:r w:rsidR="008067FE" w:rsidRPr="005E030E">
          <w:rPr>
            <w:rStyle w:val="Hyperlink"/>
            <w:noProof/>
          </w:rPr>
          <w:t>Table 7 Option D.1. Status Quo – Safety, Health and Wellbeing of children</w:t>
        </w:r>
        <w:r w:rsidR="008067FE">
          <w:rPr>
            <w:noProof/>
            <w:webHidden/>
          </w:rPr>
          <w:tab/>
        </w:r>
        <w:r w:rsidR="008067FE">
          <w:rPr>
            <w:noProof/>
            <w:webHidden/>
          </w:rPr>
          <w:fldChar w:fldCharType="begin"/>
        </w:r>
        <w:r w:rsidR="008067FE">
          <w:rPr>
            <w:noProof/>
            <w:webHidden/>
          </w:rPr>
          <w:instrText xml:space="preserve"> PAGEREF _Toc32592790 \h </w:instrText>
        </w:r>
        <w:r w:rsidR="008067FE">
          <w:rPr>
            <w:noProof/>
            <w:webHidden/>
          </w:rPr>
        </w:r>
        <w:r w:rsidR="008067FE">
          <w:rPr>
            <w:noProof/>
            <w:webHidden/>
          </w:rPr>
          <w:fldChar w:fldCharType="separate"/>
        </w:r>
        <w:r w:rsidR="00493211">
          <w:rPr>
            <w:noProof/>
            <w:webHidden/>
          </w:rPr>
          <w:t>37</w:t>
        </w:r>
        <w:r w:rsidR="008067FE">
          <w:rPr>
            <w:noProof/>
            <w:webHidden/>
          </w:rPr>
          <w:fldChar w:fldCharType="end"/>
        </w:r>
      </w:hyperlink>
    </w:p>
    <w:p w14:paraId="02B136D7" w14:textId="7668DE39"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791" w:history="1">
        <w:r w:rsidR="008067FE" w:rsidRPr="005E030E">
          <w:rPr>
            <w:rStyle w:val="Hyperlink"/>
            <w:noProof/>
          </w:rPr>
          <w:t>Table 8 Option D.2. Alignment – Safety, health and wellbeing of children</w:t>
        </w:r>
        <w:r w:rsidR="008067FE">
          <w:rPr>
            <w:noProof/>
            <w:webHidden/>
          </w:rPr>
          <w:tab/>
        </w:r>
        <w:r w:rsidR="008067FE">
          <w:rPr>
            <w:noProof/>
            <w:webHidden/>
          </w:rPr>
          <w:fldChar w:fldCharType="begin"/>
        </w:r>
        <w:r w:rsidR="008067FE">
          <w:rPr>
            <w:noProof/>
            <w:webHidden/>
          </w:rPr>
          <w:instrText xml:space="preserve"> PAGEREF _Toc32592791 \h </w:instrText>
        </w:r>
        <w:r w:rsidR="008067FE">
          <w:rPr>
            <w:noProof/>
            <w:webHidden/>
          </w:rPr>
        </w:r>
        <w:r w:rsidR="008067FE">
          <w:rPr>
            <w:noProof/>
            <w:webHidden/>
          </w:rPr>
          <w:fldChar w:fldCharType="separate"/>
        </w:r>
        <w:r w:rsidR="00493211">
          <w:rPr>
            <w:noProof/>
            <w:webHidden/>
          </w:rPr>
          <w:t>38</w:t>
        </w:r>
        <w:r w:rsidR="008067FE">
          <w:rPr>
            <w:noProof/>
            <w:webHidden/>
          </w:rPr>
          <w:fldChar w:fldCharType="end"/>
        </w:r>
      </w:hyperlink>
    </w:p>
    <w:p w14:paraId="63918BD4" w14:textId="2C33BB87"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792" w:history="1">
        <w:r w:rsidR="008067FE" w:rsidRPr="005E030E">
          <w:rPr>
            <w:rStyle w:val="Hyperlink"/>
            <w:noProof/>
          </w:rPr>
          <w:t>Table 9 Option E.1. Status Quo - Equipment and facilities</w:t>
        </w:r>
        <w:r w:rsidR="008067FE">
          <w:rPr>
            <w:noProof/>
            <w:webHidden/>
          </w:rPr>
          <w:tab/>
        </w:r>
        <w:r w:rsidR="008067FE">
          <w:rPr>
            <w:noProof/>
            <w:webHidden/>
          </w:rPr>
          <w:fldChar w:fldCharType="begin"/>
        </w:r>
        <w:r w:rsidR="008067FE">
          <w:rPr>
            <w:noProof/>
            <w:webHidden/>
          </w:rPr>
          <w:instrText xml:space="preserve"> PAGEREF _Toc32592792 \h </w:instrText>
        </w:r>
        <w:r w:rsidR="008067FE">
          <w:rPr>
            <w:noProof/>
            <w:webHidden/>
          </w:rPr>
        </w:r>
        <w:r w:rsidR="008067FE">
          <w:rPr>
            <w:noProof/>
            <w:webHidden/>
          </w:rPr>
          <w:fldChar w:fldCharType="separate"/>
        </w:r>
        <w:r w:rsidR="00493211">
          <w:rPr>
            <w:noProof/>
            <w:webHidden/>
          </w:rPr>
          <w:t>39</w:t>
        </w:r>
        <w:r w:rsidR="008067FE">
          <w:rPr>
            <w:noProof/>
            <w:webHidden/>
          </w:rPr>
          <w:fldChar w:fldCharType="end"/>
        </w:r>
      </w:hyperlink>
    </w:p>
    <w:p w14:paraId="61AE26EC" w14:textId="45B3167F"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793" w:history="1">
        <w:r w:rsidR="008067FE" w:rsidRPr="005E030E">
          <w:rPr>
            <w:rStyle w:val="Hyperlink"/>
            <w:noProof/>
          </w:rPr>
          <w:t>Table 10 Option E.2. Alignment - Equipment and facilities</w:t>
        </w:r>
        <w:r w:rsidR="008067FE">
          <w:rPr>
            <w:noProof/>
            <w:webHidden/>
          </w:rPr>
          <w:tab/>
        </w:r>
        <w:r w:rsidR="008067FE">
          <w:rPr>
            <w:noProof/>
            <w:webHidden/>
          </w:rPr>
          <w:fldChar w:fldCharType="begin"/>
        </w:r>
        <w:r w:rsidR="008067FE">
          <w:rPr>
            <w:noProof/>
            <w:webHidden/>
          </w:rPr>
          <w:instrText xml:space="preserve"> PAGEREF _Toc32592793 \h </w:instrText>
        </w:r>
        <w:r w:rsidR="008067FE">
          <w:rPr>
            <w:noProof/>
            <w:webHidden/>
          </w:rPr>
        </w:r>
        <w:r w:rsidR="008067FE">
          <w:rPr>
            <w:noProof/>
            <w:webHidden/>
          </w:rPr>
          <w:fldChar w:fldCharType="separate"/>
        </w:r>
        <w:r w:rsidR="00493211">
          <w:rPr>
            <w:noProof/>
            <w:webHidden/>
          </w:rPr>
          <w:t>40</w:t>
        </w:r>
        <w:r w:rsidR="008067FE">
          <w:rPr>
            <w:noProof/>
            <w:webHidden/>
          </w:rPr>
          <w:fldChar w:fldCharType="end"/>
        </w:r>
      </w:hyperlink>
    </w:p>
    <w:p w14:paraId="71181395" w14:textId="09E24432"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794" w:history="1">
        <w:r w:rsidR="008067FE" w:rsidRPr="005E030E">
          <w:rPr>
            <w:rStyle w:val="Hyperlink"/>
            <w:noProof/>
          </w:rPr>
          <w:t>Table 11 Option G.1. Status Quo - Registers and record-keeping</w:t>
        </w:r>
        <w:r w:rsidR="008067FE">
          <w:rPr>
            <w:noProof/>
            <w:webHidden/>
          </w:rPr>
          <w:tab/>
        </w:r>
        <w:r w:rsidR="008067FE">
          <w:rPr>
            <w:noProof/>
            <w:webHidden/>
          </w:rPr>
          <w:fldChar w:fldCharType="begin"/>
        </w:r>
        <w:r w:rsidR="008067FE">
          <w:rPr>
            <w:noProof/>
            <w:webHidden/>
          </w:rPr>
          <w:instrText xml:space="preserve"> PAGEREF _Toc32592794 \h </w:instrText>
        </w:r>
        <w:r w:rsidR="008067FE">
          <w:rPr>
            <w:noProof/>
            <w:webHidden/>
          </w:rPr>
        </w:r>
        <w:r w:rsidR="008067FE">
          <w:rPr>
            <w:noProof/>
            <w:webHidden/>
          </w:rPr>
          <w:fldChar w:fldCharType="separate"/>
        </w:r>
        <w:r w:rsidR="00493211">
          <w:rPr>
            <w:noProof/>
            <w:webHidden/>
          </w:rPr>
          <w:t>41</w:t>
        </w:r>
        <w:r w:rsidR="008067FE">
          <w:rPr>
            <w:noProof/>
            <w:webHidden/>
          </w:rPr>
          <w:fldChar w:fldCharType="end"/>
        </w:r>
      </w:hyperlink>
    </w:p>
    <w:p w14:paraId="43B431E4" w14:textId="7E852BBF"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795" w:history="1">
        <w:r w:rsidR="008067FE" w:rsidRPr="005E030E">
          <w:rPr>
            <w:rStyle w:val="Hyperlink"/>
            <w:noProof/>
          </w:rPr>
          <w:t>Table 12 Option G.2. Alignment - Registers and record-keeping</w:t>
        </w:r>
        <w:r w:rsidR="008067FE">
          <w:rPr>
            <w:noProof/>
            <w:webHidden/>
          </w:rPr>
          <w:tab/>
        </w:r>
        <w:r w:rsidR="008067FE">
          <w:rPr>
            <w:noProof/>
            <w:webHidden/>
          </w:rPr>
          <w:fldChar w:fldCharType="begin"/>
        </w:r>
        <w:r w:rsidR="008067FE">
          <w:rPr>
            <w:noProof/>
            <w:webHidden/>
          </w:rPr>
          <w:instrText xml:space="preserve"> PAGEREF _Toc32592795 \h </w:instrText>
        </w:r>
        <w:r w:rsidR="008067FE">
          <w:rPr>
            <w:noProof/>
            <w:webHidden/>
          </w:rPr>
        </w:r>
        <w:r w:rsidR="008067FE">
          <w:rPr>
            <w:noProof/>
            <w:webHidden/>
          </w:rPr>
          <w:fldChar w:fldCharType="separate"/>
        </w:r>
        <w:r w:rsidR="00493211">
          <w:rPr>
            <w:noProof/>
            <w:webHidden/>
          </w:rPr>
          <w:t>42</w:t>
        </w:r>
        <w:r w:rsidR="008067FE">
          <w:rPr>
            <w:noProof/>
            <w:webHidden/>
          </w:rPr>
          <w:fldChar w:fldCharType="end"/>
        </w:r>
      </w:hyperlink>
    </w:p>
    <w:p w14:paraId="72EACDEB" w14:textId="607817A4"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796" w:history="1">
        <w:r w:rsidR="008067FE" w:rsidRPr="005E030E">
          <w:rPr>
            <w:rStyle w:val="Hyperlink"/>
            <w:noProof/>
          </w:rPr>
          <w:t>Table 13 Option I.2. Alignment – Exemptions or waivers</w:t>
        </w:r>
        <w:r w:rsidR="008067FE">
          <w:rPr>
            <w:noProof/>
            <w:webHidden/>
          </w:rPr>
          <w:tab/>
        </w:r>
        <w:r w:rsidR="008067FE">
          <w:rPr>
            <w:noProof/>
            <w:webHidden/>
          </w:rPr>
          <w:fldChar w:fldCharType="begin"/>
        </w:r>
        <w:r w:rsidR="008067FE">
          <w:rPr>
            <w:noProof/>
            <w:webHidden/>
          </w:rPr>
          <w:instrText xml:space="preserve"> PAGEREF _Toc32592796 \h </w:instrText>
        </w:r>
        <w:r w:rsidR="008067FE">
          <w:rPr>
            <w:noProof/>
            <w:webHidden/>
          </w:rPr>
        </w:r>
        <w:r w:rsidR="008067FE">
          <w:rPr>
            <w:noProof/>
            <w:webHidden/>
          </w:rPr>
          <w:fldChar w:fldCharType="separate"/>
        </w:r>
        <w:r w:rsidR="00493211">
          <w:rPr>
            <w:noProof/>
            <w:webHidden/>
          </w:rPr>
          <w:t>46</w:t>
        </w:r>
        <w:r w:rsidR="008067FE">
          <w:rPr>
            <w:noProof/>
            <w:webHidden/>
          </w:rPr>
          <w:fldChar w:fldCharType="end"/>
        </w:r>
      </w:hyperlink>
    </w:p>
    <w:p w14:paraId="34EAA543" w14:textId="15E0A5C7"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797" w:history="1">
        <w:r w:rsidR="008067FE" w:rsidRPr="005E030E">
          <w:rPr>
            <w:rStyle w:val="Hyperlink"/>
            <w:noProof/>
          </w:rPr>
          <w:t>Table 14: Criteria weightings</w:t>
        </w:r>
        <w:r w:rsidR="008067FE">
          <w:rPr>
            <w:noProof/>
            <w:webHidden/>
          </w:rPr>
          <w:tab/>
        </w:r>
        <w:r w:rsidR="008067FE">
          <w:rPr>
            <w:noProof/>
            <w:webHidden/>
          </w:rPr>
          <w:fldChar w:fldCharType="begin"/>
        </w:r>
        <w:r w:rsidR="008067FE">
          <w:rPr>
            <w:noProof/>
            <w:webHidden/>
          </w:rPr>
          <w:instrText xml:space="preserve"> PAGEREF _Toc32592797 \h </w:instrText>
        </w:r>
        <w:r w:rsidR="008067FE">
          <w:rPr>
            <w:noProof/>
            <w:webHidden/>
          </w:rPr>
        </w:r>
        <w:r w:rsidR="008067FE">
          <w:rPr>
            <w:noProof/>
            <w:webHidden/>
          </w:rPr>
          <w:fldChar w:fldCharType="separate"/>
        </w:r>
        <w:r w:rsidR="00493211">
          <w:rPr>
            <w:noProof/>
            <w:webHidden/>
          </w:rPr>
          <w:t>51</w:t>
        </w:r>
        <w:r w:rsidR="008067FE">
          <w:rPr>
            <w:noProof/>
            <w:webHidden/>
          </w:rPr>
          <w:fldChar w:fldCharType="end"/>
        </w:r>
      </w:hyperlink>
    </w:p>
    <w:p w14:paraId="28D2BC9B" w14:textId="6F6FC87D"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798" w:history="1">
        <w:r w:rsidR="008067FE" w:rsidRPr="005E030E">
          <w:rPr>
            <w:rStyle w:val="Hyperlink"/>
            <w:noProof/>
          </w:rPr>
          <w:t>Table 15 Approval application costs to industry - small services</w:t>
        </w:r>
        <w:r w:rsidR="008067FE">
          <w:rPr>
            <w:noProof/>
            <w:webHidden/>
          </w:rPr>
          <w:tab/>
        </w:r>
        <w:r w:rsidR="008067FE">
          <w:rPr>
            <w:noProof/>
            <w:webHidden/>
          </w:rPr>
          <w:fldChar w:fldCharType="begin"/>
        </w:r>
        <w:r w:rsidR="008067FE">
          <w:rPr>
            <w:noProof/>
            <w:webHidden/>
          </w:rPr>
          <w:instrText xml:space="preserve"> PAGEREF _Toc32592798 \h </w:instrText>
        </w:r>
        <w:r w:rsidR="008067FE">
          <w:rPr>
            <w:noProof/>
            <w:webHidden/>
          </w:rPr>
        </w:r>
        <w:r w:rsidR="008067FE">
          <w:rPr>
            <w:noProof/>
            <w:webHidden/>
          </w:rPr>
          <w:fldChar w:fldCharType="separate"/>
        </w:r>
        <w:r w:rsidR="00493211">
          <w:rPr>
            <w:noProof/>
            <w:webHidden/>
          </w:rPr>
          <w:t>54</w:t>
        </w:r>
        <w:r w:rsidR="008067FE">
          <w:rPr>
            <w:noProof/>
            <w:webHidden/>
          </w:rPr>
          <w:fldChar w:fldCharType="end"/>
        </w:r>
      </w:hyperlink>
    </w:p>
    <w:p w14:paraId="379A41CD" w14:textId="67D0DBAE"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799" w:history="1">
        <w:r w:rsidR="008067FE" w:rsidRPr="005E030E">
          <w:rPr>
            <w:rStyle w:val="Hyperlink"/>
            <w:noProof/>
          </w:rPr>
          <w:t>Table 16 Approval application costs to industry - medium services</w:t>
        </w:r>
        <w:r w:rsidR="008067FE">
          <w:rPr>
            <w:noProof/>
            <w:webHidden/>
          </w:rPr>
          <w:tab/>
        </w:r>
        <w:r w:rsidR="008067FE">
          <w:rPr>
            <w:noProof/>
            <w:webHidden/>
          </w:rPr>
          <w:fldChar w:fldCharType="begin"/>
        </w:r>
        <w:r w:rsidR="008067FE">
          <w:rPr>
            <w:noProof/>
            <w:webHidden/>
          </w:rPr>
          <w:instrText xml:space="preserve"> PAGEREF _Toc32592799 \h </w:instrText>
        </w:r>
        <w:r w:rsidR="008067FE">
          <w:rPr>
            <w:noProof/>
            <w:webHidden/>
          </w:rPr>
        </w:r>
        <w:r w:rsidR="008067FE">
          <w:rPr>
            <w:noProof/>
            <w:webHidden/>
          </w:rPr>
          <w:fldChar w:fldCharType="separate"/>
        </w:r>
        <w:r w:rsidR="00493211">
          <w:rPr>
            <w:noProof/>
            <w:webHidden/>
          </w:rPr>
          <w:t>55</w:t>
        </w:r>
        <w:r w:rsidR="008067FE">
          <w:rPr>
            <w:noProof/>
            <w:webHidden/>
          </w:rPr>
          <w:fldChar w:fldCharType="end"/>
        </w:r>
      </w:hyperlink>
    </w:p>
    <w:p w14:paraId="33DB37DB" w14:textId="59596CE7"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00" w:history="1">
        <w:r w:rsidR="008067FE" w:rsidRPr="005E030E">
          <w:rPr>
            <w:rStyle w:val="Hyperlink"/>
            <w:noProof/>
          </w:rPr>
          <w:t>Table 17 Vary or suspend approval application - costs to industry</w:t>
        </w:r>
        <w:r w:rsidR="008067FE">
          <w:rPr>
            <w:noProof/>
            <w:webHidden/>
          </w:rPr>
          <w:tab/>
        </w:r>
        <w:r w:rsidR="008067FE">
          <w:rPr>
            <w:noProof/>
            <w:webHidden/>
          </w:rPr>
          <w:fldChar w:fldCharType="begin"/>
        </w:r>
        <w:r w:rsidR="008067FE">
          <w:rPr>
            <w:noProof/>
            <w:webHidden/>
          </w:rPr>
          <w:instrText xml:space="preserve"> PAGEREF _Toc32592800 \h </w:instrText>
        </w:r>
        <w:r w:rsidR="008067FE">
          <w:rPr>
            <w:noProof/>
            <w:webHidden/>
          </w:rPr>
        </w:r>
        <w:r w:rsidR="008067FE">
          <w:rPr>
            <w:noProof/>
            <w:webHidden/>
          </w:rPr>
          <w:fldChar w:fldCharType="separate"/>
        </w:r>
        <w:r w:rsidR="00493211">
          <w:rPr>
            <w:noProof/>
            <w:webHidden/>
          </w:rPr>
          <w:t>55</w:t>
        </w:r>
        <w:r w:rsidR="008067FE">
          <w:rPr>
            <w:noProof/>
            <w:webHidden/>
          </w:rPr>
          <w:fldChar w:fldCharType="end"/>
        </w:r>
      </w:hyperlink>
    </w:p>
    <w:p w14:paraId="7BFA92FD" w14:textId="47854554"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01" w:history="1">
        <w:r w:rsidR="008067FE" w:rsidRPr="005E030E">
          <w:rPr>
            <w:rStyle w:val="Hyperlink"/>
            <w:noProof/>
          </w:rPr>
          <w:t>Table 18 Approval applications – costs to industry</w:t>
        </w:r>
        <w:r w:rsidR="008067FE">
          <w:rPr>
            <w:noProof/>
            <w:webHidden/>
          </w:rPr>
          <w:tab/>
        </w:r>
        <w:r w:rsidR="008067FE">
          <w:rPr>
            <w:noProof/>
            <w:webHidden/>
          </w:rPr>
          <w:fldChar w:fldCharType="begin"/>
        </w:r>
        <w:r w:rsidR="008067FE">
          <w:rPr>
            <w:noProof/>
            <w:webHidden/>
          </w:rPr>
          <w:instrText xml:space="preserve"> PAGEREF _Toc32592801 \h </w:instrText>
        </w:r>
        <w:r w:rsidR="008067FE">
          <w:rPr>
            <w:noProof/>
            <w:webHidden/>
          </w:rPr>
        </w:r>
        <w:r w:rsidR="008067FE">
          <w:rPr>
            <w:noProof/>
            <w:webHidden/>
          </w:rPr>
          <w:fldChar w:fldCharType="separate"/>
        </w:r>
        <w:r w:rsidR="00493211">
          <w:rPr>
            <w:noProof/>
            <w:webHidden/>
          </w:rPr>
          <w:t>56</w:t>
        </w:r>
        <w:r w:rsidR="008067FE">
          <w:rPr>
            <w:noProof/>
            <w:webHidden/>
          </w:rPr>
          <w:fldChar w:fldCharType="end"/>
        </w:r>
      </w:hyperlink>
    </w:p>
    <w:p w14:paraId="56E5EA39" w14:textId="416F6784"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02" w:history="1">
        <w:r w:rsidR="008067FE" w:rsidRPr="005E030E">
          <w:rPr>
            <w:rStyle w:val="Hyperlink"/>
            <w:noProof/>
          </w:rPr>
          <w:t>Table 19 Service approval types - costs to industry</w:t>
        </w:r>
        <w:r w:rsidR="008067FE">
          <w:rPr>
            <w:noProof/>
            <w:webHidden/>
          </w:rPr>
          <w:tab/>
        </w:r>
        <w:r w:rsidR="008067FE">
          <w:rPr>
            <w:noProof/>
            <w:webHidden/>
          </w:rPr>
          <w:fldChar w:fldCharType="begin"/>
        </w:r>
        <w:r w:rsidR="008067FE">
          <w:rPr>
            <w:noProof/>
            <w:webHidden/>
          </w:rPr>
          <w:instrText xml:space="preserve"> PAGEREF _Toc32592802 \h </w:instrText>
        </w:r>
        <w:r w:rsidR="008067FE">
          <w:rPr>
            <w:noProof/>
            <w:webHidden/>
          </w:rPr>
        </w:r>
        <w:r w:rsidR="008067FE">
          <w:rPr>
            <w:noProof/>
            <w:webHidden/>
          </w:rPr>
          <w:fldChar w:fldCharType="separate"/>
        </w:r>
        <w:r w:rsidR="00493211">
          <w:rPr>
            <w:noProof/>
            <w:webHidden/>
          </w:rPr>
          <w:t>57</w:t>
        </w:r>
        <w:r w:rsidR="008067FE">
          <w:rPr>
            <w:noProof/>
            <w:webHidden/>
          </w:rPr>
          <w:fldChar w:fldCharType="end"/>
        </w:r>
      </w:hyperlink>
    </w:p>
    <w:p w14:paraId="4D575F5A" w14:textId="43919A65"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03" w:history="1">
        <w:r w:rsidR="008067FE" w:rsidRPr="005E030E">
          <w:rPr>
            <w:rStyle w:val="Hyperlink"/>
            <w:noProof/>
          </w:rPr>
          <w:t>Table 20 Staffing - total costs to industry</w:t>
        </w:r>
        <w:r w:rsidR="008067FE">
          <w:rPr>
            <w:noProof/>
            <w:webHidden/>
          </w:rPr>
          <w:tab/>
        </w:r>
        <w:r w:rsidR="008067FE">
          <w:rPr>
            <w:noProof/>
            <w:webHidden/>
          </w:rPr>
          <w:fldChar w:fldCharType="begin"/>
        </w:r>
        <w:r w:rsidR="008067FE">
          <w:rPr>
            <w:noProof/>
            <w:webHidden/>
          </w:rPr>
          <w:instrText xml:space="preserve"> PAGEREF _Toc32592803 \h </w:instrText>
        </w:r>
        <w:r w:rsidR="008067FE">
          <w:rPr>
            <w:noProof/>
            <w:webHidden/>
          </w:rPr>
        </w:r>
        <w:r w:rsidR="008067FE">
          <w:rPr>
            <w:noProof/>
            <w:webHidden/>
          </w:rPr>
          <w:fldChar w:fldCharType="separate"/>
        </w:r>
        <w:r w:rsidR="00493211">
          <w:rPr>
            <w:noProof/>
            <w:webHidden/>
          </w:rPr>
          <w:t>61</w:t>
        </w:r>
        <w:r w:rsidR="008067FE">
          <w:rPr>
            <w:noProof/>
            <w:webHidden/>
          </w:rPr>
          <w:fldChar w:fldCharType="end"/>
        </w:r>
      </w:hyperlink>
    </w:p>
    <w:p w14:paraId="2BF1E6F3" w14:textId="0FE82FDD"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04" w:history="1">
        <w:r w:rsidR="008067FE" w:rsidRPr="005E030E">
          <w:rPr>
            <w:rStyle w:val="Hyperlink"/>
            <w:noProof/>
          </w:rPr>
          <w:t>Table 21 Staffing - costs to industry</w:t>
        </w:r>
        <w:r w:rsidR="008067FE">
          <w:rPr>
            <w:noProof/>
            <w:webHidden/>
          </w:rPr>
          <w:tab/>
        </w:r>
        <w:r w:rsidR="008067FE">
          <w:rPr>
            <w:noProof/>
            <w:webHidden/>
          </w:rPr>
          <w:fldChar w:fldCharType="begin"/>
        </w:r>
        <w:r w:rsidR="008067FE">
          <w:rPr>
            <w:noProof/>
            <w:webHidden/>
          </w:rPr>
          <w:instrText xml:space="preserve"> PAGEREF _Toc32592804 \h </w:instrText>
        </w:r>
        <w:r w:rsidR="008067FE">
          <w:rPr>
            <w:noProof/>
            <w:webHidden/>
          </w:rPr>
        </w:r>
        <w:r w:rsidR="008067FE">
          <w:rPr>
            <w:noProof/>
            <w:webHidden/>
          </w:rPr>
          <w:fldChar w:fldCharType="separate"/>
        </w:r>
        <w:r w:rsidR="00493211">
          <w:rPr>
            <w:noProof/>
            <w:webHidden/>
          </w:rPr>
          <w:t>61</w:t>
        </w:r>
        <w:r w:rsidR="008067FE">
          <w:rPr>
            <w:noProof/>
            <w:webHidden/>
          </w:rPr>
          <w:fldChar w:fldCharType="end"/>
        </w:r>
      </w:hyperlink>
    </w:p>
    <w:p w14:paraId="7A35B74A" w14:textId="41113BCC"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05" w:history="1">
        <w:r w:rsidR="008067FE" w:rsidRPr="005E030E">
          <w:rPr>
            <w:rStyle w:val="Hyperlink"/>
            <w:noProof/>
          </w:rPr>
          <w:t>Table 22 Safety, health and wellbeing for children - costs to industry</w:t>
        </w:r>
        <w:r w:rsidR="008067FE">
          <w:rPr>
            <w:noProof/>
            <w:webHidden/>
          </w:rPr>
          <w:tab/>
        </w:r>
        <w:r w:rsidR="008067FE">
          <w:rPr>
            <w:noProof/>
            <w:webHidden/>
          </w:rPr>
          <w:fldChar w:fldCharType="begin"/>
        </w:r>
        <w:r w:rsidR="008067FE">
          <w:rPr>
            <w:noProof/>
            <w:webHidden/>
          </w:rPr>
          <w:instrText xml:space="preserve"> PAGEREF _Toc32592805 \h </w:instrText>
        </w:r>
        <w:r w:rsidR="008067FE">
          <w:rPr>
            <w:noProof/>
            <w:webHidden/>
          </w:rPr>
        </w:r>
        <w:r w:rsidR="008067FE">
          <w:rPr>
            <w:noProof/>
            <w:webHidden/>
          </w:rPr>
          <w:fldChar w:fldCharType="separate"/>
        </w:r>
        <w:r w:rsidR="00493211">
          <w:rPr>
            <w:noProof/>
            <w:webHidden/>
          </w:rPr>
          <w:t>63</w:t>
        </w:r>
        <w:r w:rsidR="008067FE">
          <w:rPr>
            <w:noProof/>
            <w:webHidden/>
          </w:rPr>
          <w:fldChar w:fldCharType="end"/>
        </w:r>
      </w:hyperlink>
    </w:p>
    <w:p w14:paraId="79C588DE" w14:textId="3E659FAB"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06" w:history="1">
        <w:r w:rsidR="008067FE" w:rsidRPr="005E030E">
          <w:rPr>
            <w:rStyle w:val="Hyperlink"/>
            <w:noProof/>
          </w:rPr>
          <w:t>Table 23 First-aid training - costs to industry</w:t>
        </w:r>
        <w:r w:rsidR="008067FE">
          <w:rPr>
            <w:noProof/>
            <w:webHidden/>
          </w:rPr>
          <w:tab/>
        </w:r>
        <w:r w:rsidR="008067FE">
          <w:rPr>
            <w:noProof/>
            <w:webHidden/>
          </w:rPr>
          <w:fldChar w:fldCharType="begin"/>
        </w:r>
        <w:r w:rsidR="008067FE">
          <w:rPr>
            <w:noProof/>
            <w:webHidden/>
          </w:rPr>
          <w:instrText xml:space="preserve"> PAGEREF _Toc32592806 \h </w:instrText>
        </w:r>
        <w:r w:rsidR="008067FE">
          <w:rPr>
            <w:noProof/>
            <w:webHidden/>
          </w:rPr>
        </w:r>
        <w:r w:rsidR="008067FE">
          <w:rPr>
            <w:noProof/>
            <w:webHidden/>
          </w:rPr>
          <w:fldChar w:fldCharType="separate"/>
        </w:r>
        <w:r w:rsidR="00493211">
          <w:rPr>
            <w:noProof/>
            <w:webHidden/>
          </w:rPr>
          <w:t>63</w:t>
        </w:r>
        <w:r w:rsidR="008067FE">
          <w:rPr>
            <w:noProof/>
            <w:webHidden/>
          </w:rPr>
          <w:fldChar w:fldCharType="end"/>
        </w:r>
      </w:hyperlink>
    </w:p>
    <w:p w14:paraId="2A209793" w14:textId="519C6E91"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07" w:history="1">
        <w:r w:rsidR="008067FE" w:rsidRPr="005E030E">
          <w:rPr>
            <w:rStyle w:val="Hyperlink"/>
            <w:noProof/>
          </w:rPr>
          <w:t>Table 24 Staffing - costs to industry</w:t>
        </w:r>
        <w:r w:rsidR="008067FE">
          <w:rPr>
            <w:noProof/>
            <w:webHidden/>
          </w:rPr>
          <w:tab/>
        </w:r>
        <w:r w:rsidR="008067FE">
          <w:rPr>
            <w:noProof/>
            <w:webHidden/>
          </w:rPr>
          <w:fldChar w:fldCharType="begin"/>
        </w:r>
        <w:r w:rsidR="008067FE">
          <w:rPr>
            <w:noProof/>
            <w:webHidden/>
          </w:rPr>
          <w:instrText xml:space="preserve"> PAGEREF _Toc32592807 \h </w:instrText>
        </w:r>
        <w:r w:rsidR="008067FE">
          <w:rPr>
            <w:noProof/>
            <w:webHidden/>
          </w:rPr>
        </w:r>
        <w:r w:rsidR="008067FE">
          <w:rPr>
            <w:noProof/>
            <w:webHidden/>
          </w:rPr>
          <w:fldChar w:fldCharType="separate"/>
        </w:r>
        <w:r w:rsidR="00493211">
          <w:rPr>
            <w:noProof/>
            <w:webHidden/>
          </w:rPr>
          <w:t>64</w:t>
        </w:r>
        <w:r w:rsidR="008067FE">
          <w:rPr>
            <w:noProof/>
            <w:webHidden/>
          </w:rPr>
          <w:fldChar w:fldCharType="end"/>
        </w:r>
      </w:hyperlink>
    </w:p>
    <w:p w14:paraId="3F639DAC" w14:textId="3CE44DCA"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08" w:history="1">
        <w:r w:rsidR="008067FE" w:rsidRPr="005E030E">
          <w:rPr>
            <w:rStyle w:val="Hyperlink"/>
            <w:noProof/>
          </w:rPr>
          <w:t>Table 25 Equipment and facilities costs</w:t>
        </w:r>
        <w:r w:rsidR="008067FE">
          <w:rPr>
            <w:noProof/>
            <w:webHidden/>
          </w:rPr>
          <w:tab/>
        </w:r>
        <w:r w:rsidR="008067FE">
          <w:rPr>
            <w:noProof/>
            <w:webHidden/>
          </w:rPr>
          <w:fldChar w:fldCharType="begin"/>
        </w:r>
        <w:r w:rsidR="008067FE">
          <w:rPr>
            <w:noProof/>
            <w:webHidden/>
          </w:rPr>
          <w:instrText xml:space="preserve"> PAGEREF _Toc32592808 \h </w:instrText>
        </w:r>
        <w:r w:rsidR="008067FE">
          <w:rPr>
            <w:noProof/>
            <w:webHidden/>
          </w:rPr>
        </w:r>
        <w:r w:rsidR="008067FE">
          <w:rPr>
            <w:noProof/>
            <w:webHidden/>
          </w:rPr>
          <w:fldChar w:fldCharType="separate"/>
        </w:r>
        <w:r w:rsidR="00493211">
          <w:rPr>
            <w:noProof/>
            <w:webHidden/>
          </w:rPr>
          <w:t>65</w:t>
        </w:r>
        <w:r w:rsidR="008067FE">
          <w:rPr>
            <w:noProof/>
            <w:webHidden/>
          </w:rPr>
          <w:fldChar w:fldCharType="end"/>
        </w:r>
      </w:hyperlink>
    </w:p>
    <w:p w14:paraId="6BA49CF5" w14:textId="2C8D75BF"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09" w:history="1">
        <w:r w:rsidR="008067FE" w:rsidRPr="005E030E">
          <w:rPr>
            <w:rStyle w:val="Hyperlink"/>
            <w:noProof/>
          </w:rPr>
          <w:t>Table 26 Equipment and facilities - costs to industry</w:t>
        </w:r>
        <w:r w:rsidR="008067FE">
          <w:rPr>
            <w:noProof/>
            <w:webHidden/>
          </w:rPr>
          <w:tab/>
        </w:r>
        <w:r w:rsidR="008067FE">
          <w:rPr>
            <w:noProof/>
            <w:webHidden/>
          </w:rPr>
          <w:fldChar w:fldCharType="begin"/>
        </w:r>
        <w:r w:rsidR="008067FE">
          <w:rPr>
            <w:noProof/>
            <w:webHidden/>
          </w:rPr>
          <w:instrText xml:space="preserve"> PAGEREF _Toc32592809 \h </w:instrText>
        </w:r>
        <w:r w:rsidR="008067FE">
          <w:rPr>
            <w:noProof/>
            <w:webHidden/>
          </w:rPr>
        </w:r>
        <w:r w:rsidR="008067FE">
          <w:rPr>
            <w:noProof/>
            <w:webHidden/>
          </w:rPr>
          <w:fldChar w:fldCharType="separate"/>
        </w:r>
        <w:r w:rsidR="00493211">
          <w:rPr>
            <w:noProof/>
            <w:webHidden/>
          </w:rPr>
          <w:t>66</w:t>
        </w:r>
        <w:r w:rsidR="008067FE">
          <w:rPr>
            <w:noProof/>
            <w:webHidden/>
          </w:rPr>
          <w:fldChar w:fldCharType="end"/>
        </w:r>
      </w:hyperlink>
    </w:p>
    <w:p w14:paraId="25265C2A" w14:textId="54D96866"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10" w:history="1">
        <w:r w:rsidR="008067FE" w:rsidRPr="005E030E">
          <w:rPr>
            <w:rStyle w:val="Hyperlink"/>
            <w:noProof/>
          </w:rPr>
          <w:t>Table 27 Number and type of complaints received by the Department</w:t>
        </w:r>
        <w:r w:rsidR="008067FE">
          <w:rPr>
            <w:noProof/>
            <w:webHidden/>
          </w:rPr>
          <w:tab/>
        </w:r>
        <w:r w:rsidR="008067FE">
          <w:rPr>
            <w:noProof/>
            <w:webHidden/>
          </w:rPr>
          <w:fldChar w:fldCharType="begin"/>
        </w:r>
        <w:r w:rsidR="008067FE">
          <w:rPr>
            <w:noProof/>
            <w:webHidden/>
          </w:rPr>
          <w:instrText xml:space="preserve"> PAGEREF _Toc32592810 \h </w:instrText>
        </w:r>
        <w:r w:rsidR="008067FE">
          <w:rPr>
            <w:noProof/>
            <w:webHidden/>
          </w:rPr>
        </w:r>
        <w:r w:rsidR="008067FE">
          <w:rPr>
            <w:noProof/>
            <w:webHidden/>
          </w:rPr>
          <w:fldChar w:fldCharType="separate"/>
        </w:r>
        <w:r w:rsidR="00493211">
          <w:rPr>
            <w:noProof/>
            <w:webHidden/>
          </w:rPr>
          <w:t>66</w:t>
        </w:r>
        <w:r w:rsidR="008067FE">
          <w:rPr>
            <w:noProof/>
            <w:webHidden/>
          </w:rPr>
          <w:fldChar w:fldCharType="end"/>
        </w:r>
      </w:hyperlink>
    </w:p>
    <w:p w14:paraId="4BAA8628" w14:textId="5BBFCFE9"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11" w:history="1">
        <w:r w:rsidR="008067FE" w:rsidRPr="005E030E">
          <w:rPr>
            <w:rStyle w:val="Hyperlink"/>
            <w:noProof/>
          </w:rPr>
          <w:t>Table 28 Number and type of incidents occurring at children's services</w:t>
        </w:r>
        <w:r w:rsidR="008067FE">
          <w:rPr>
            <w:noProof/>
            <w:webHidden/>
          </w:rPr>
          <w:tab/>
        </w:r>
        <w:r w:rsidR="008067FE">
          <w:rPr>
            <w:noProof/>
            <w:webHidden/>
          </w:rPr>
          <w:fldChar w:fldCharType="begin"/>
        </w:r>
        <w:r w:rsidR="008067FE">
          <w:rPr>
            <w:noProof/>
            <w:webHidden/>
          </w:rPr>
          <w:instrText xml:space="preserve"> PAGEREF _Toc32592811 \h </w:instrText>
        </w:r>
        <w:r w:rsidR="008067FE">
          <w:rPr>
            <w:noProof/>
            <w:webHidden/>
          </w:rPr>
        </w:r>
        <w:r w:rsidR="008067FE">
          <w:rPr>
            <w:noProof/>
            <w:webHidden/>
          </w:rPr>
          <w:fldChar w:fldCharType="separate"/>
        </w:r>
        <w:r w:rsidR="00493211">
          <w:rPr>
            <w:noProof/>
            <w:webHidden/>
          </w:rPr>
          <w:t>67</w:t>
        </w:r>
        <w:r w:rsidR="008067FE">
          <w:rPr>
            <w:noProof/>
            <w:webHidden/>
          </w:rPr>
          <w:fldChar w:fldCharType="end"/>
        </w:r>
      </w:hyperlink>
    </w:p>
    <w:p w14:paraId="67E990A2" w14:textId="2C5C7AEC"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12" w:history="1">
        <w:r w:rsidR="008067FE" w:rsidRPr="005E030E">
          <w:rPr>
            <w:rStyle w:val="Hyperlink"/>
            <w:noProof/>
          </w:rPr>
          <w:t>Table 29 Complaints and serious incidents - costs to industry</w:t>
        </w:r>
        <w:r w:rsidR="008067FE">
          <w:rPr>
            <w:noProof/>
            <w:webHidden/>
          </w:rPr>
          <w:tab/>
        </w:r>
        <w:r w:rsidR="008067FE">
          <w:rPr>
            <w:noProof/>
            <w:webHidden/>
          </w:rPr>
          <w:fldChar w:fldCharType="begin"/>
        </w:r>
        <w:r w:rsidR="008067FE">
          <w:rPr>
            <w:noProof/>
            <w:webHidden/>
          </w:rPr>
          <w:instrText xml:space="preserve"> PAGEREF _Toc32592812 \h </w:instrText>
        </w:r>
        <w:r w:rsidR="008067FE">
          <w:rPr>
            <w:noProof/>
            <w:webHidden/>
          </w:rPr>
        </w:r>
        <w:r w:rsidR="008067FE">
          <w:rPr>
            <w:noProof/>
            <w:webHidden/>
          </w:rPr>
          <w:fldChar w:fldCharType="separate"/>
        </w:r>
        <w:r w:rsidR="00493211">
          <w:rPr>
            <w:noProof/>
            <w:webHidden/>
          </w:rPr>
          <w:t>67</w:t>
        </w:r>
        <w:r w:rsidR="008067FE">
          <w:rPr>
            <w:noProof/>
            <w:webHidden/>
          </w:rPr>
          <w:fldChar w:fldCharType="end"/>
        </w:r>
      </w:hyperlink>
    </w:p>
    <w:p w14:paraId="065E8A78" w14:textId="431FEDDA"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13" w:history="1">
        <w:r w:rsidR="008067FE" w:rsidRPr="005E030E">
          <w:rPr>
            <w:rStyle w:val="Hyperlink"/>
            <w:noProof/>
          </w:rPr>
          <w:t>Table 30 Initial establishment of policies and procedures costs</w:t>
        </w:r>
        <w:r w:rsidR="008067FE">
          <w:rPr>
            <w:noProof/>
            <w:webHidden/>
          </w:rPr>
          <w:tab/>
        </w:r>
        <w:r w:rsidR="008067FE">
          <w:rPr>
            <w:noProof/>
            <w:webHidden/>
          </w:rPr>
          <w:fldChar w:fldCharType="begin"/>
        </w:r>
        <w:r w:rsidR="008067FE">
          <w:rPr>
            <w:noProof/>
            <w:webHidden/>
          </w:rPr>
          <w:instrText xml:space="preserve"> PAGEREF _Toc32592813 \h </w:instrText>
        </w:r>
        <w:r w:rsidR="008067FE">
          <w:rPr>
            <w:noProof/>
            <w:webHidden/>
          </w:rPr>
        </w:r>
        <w:r w:rsidR="008067FE">
          <w:rPr>
            <w:noProof/>
            <w:webHidden/>
          </w:rPr>
          <w:fldChar w:fldCharType="separate"/>
        </w:r>
        <w:r w:rsidR="00493211">
          <w:rPr>
            <w:noProof/>
            <w:webHidden/>
          </w:rPr>
          <w:t>68</w:t>
        </w:r>
        <w:r w:rsidR="008067FE">
          <w:rPr>
            <w:noProof/>
            <w:webHidden/>
          </w:rPr>
          <w:fldChar w:fldCharType="end"/>
        </w:r>
      </w:hyperlink>
    </w:p>
    <w:p w14:paraId="73F2DB7B" w14:textId="55E98ABC"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14" w:history="1">
        <w:r w:rsidR="008067FE" w:rsidRPr="005E030E">
          <w:rPr>
            <w:rStyle w:val="Hyperlink"/>
            <w:noProof/>
          </w:rPr>
          <w:t>Table 31 Annual review and update of policies and procedures – Alignment</w:t>
        </w:r>
        <w:r w:rsidR="008067FE">
          <w:rPr>
            <w:noProof/>
            <w:webHidden/>
          </w:rPr>
          <w:tab/>
        </w:r>
        <w:r w:rsidR="008067FE">
          <w:rPr>
            <w:noProof/>
            <w:webHidden/>
          </w:rPr>
          <w:fldChar w:fldCharType="begin"/>
        </w:r>
        <w:r w:rsidR="008067FE">
          <w:rPr>
            <w:noProof/>
            <w:webHidden/>
          </w:rPr>
          <w:instrText xml:space="preserve"> PAGEREF _Toc32592814 \h </w:instrText>
        </w:r>
        <w:r w:rsidR="008067FE">
          <w:rPr>
            <w:noProof/>
            <w:webHidden/>
          </w:rPr>
        </w:r>
        <w:r w:rsidR="008067FE">
          <w:rPr>
            <w:noProof/>
            <w:webHidden/>
          </w:rPr>
          <w:fldChar w:fldCharType="separate"/>
        </w:r>
        <w:r w:rsidR="00493211">
          <w:rPr>
            <w:noProof/>
            <w:webHidden/>
          </w:rPr>
          <w:t>68</w:t>
        </w:r>
        <w:r w:rsidR="008067FE">
          <w:rPr>
            <w:noProof/>
            <w:webHidden/>
          </w:rPr>
          <w:fldChar w:fldCharType="end"/>
        </w:r>
      </w:hyperlink>
    </w:p>
    <w:p w14:paraId="46DAFF3C" w14:textId="64256382"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15" w:history="1">
        <w:r w:rsidR="008067FE" w:rsidRPr="005E030E">
          <w:rPr>
            <w:rStyle w:val="Hyperlink"/>
            <w:noProof/>
          </w:rPr>
          <w:t>Table 32 Record-keeping costs</w:t>
        </w:r>
        <w:r w:rsidR="008067FE">
          <w:rPr>
            <w:noProof/>
            <w:webHidden/>
          </w:rPr>
          <w:tab/>
        </w:r>
        <w:r w:rsidR="008067FE">
          <w:rPr>
            <w:noProof/>
            <w:webHidden/>
          </w:rPr>
          <w:fldChar w:fldCharType="begin"/>
        </w:r>
        <w:r w:rsidR="008067FE">
          <w:rPr>
            <w:noProof/>
            <w:webHidden/>
          </w:rPr>
          <w:instrText xml:space="preserve"> PAGEREF _Toc32592815 \h </w:instrText>
        </w:r>
        <w:r w:rsidR="008067FE">
          <w:rPr>
            <w:noProof/>
            <w:webHidden/>
          </w:rPr>
        </w:r>
        <w:r w:rsidR="008067FE">
          <w:rPr>
            <w:noProof/>
            <w:webHidden/>
          </w:rPr>
          <w:fldChar w:fldCharType="separate"/>
        </w:r>
        <w:r w:rsidR="00493211">
          <w:rPr>
            <w:noProof/>
            <w:webHidden/>
          </w:rPr>
          <w:t>69</w:t>
        </w:r>
        <w:r w:rsidR="008067FE">
          <w:rPr>
            <w:noProof/>
            <w:webHidden/>
          </w:rPr>
          <w:fldChar w:fldCharType="end"/>
        </w:r>
      </w:hyperlink>
    </w:p>
    <w:p w14:paraId="5A7E7CE2" w14:textId="5C2B6AD8"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16" w:history="1">
        <w:r w:rsidR="008067FE" w:rsidRPr="005E030E">
          <w:rPr>
            <w:rStyle w:val="Hyperlink"/>
            <w:noProof/>
          </w:rPr>
          <w:t>Table 33 Registers and record-keeping - costs to industry</w:t>
        </w:r>
        <w:r w:rsidR="008067FE">
          <w:rPr>
            <w:noProof/>
            <w:webHidden/>
          </w:rPr>
          <w:tab/>
        </w:r>
        <w:r w:rsidR="008067FE">
          <w:rPr>
            <w:noProof/>
            <w:webHidden/>
          </w:rPr>
          <w:fldChar w:fldCharType="begin"/>
        </w:r>
        <w:r w:rsidR="008067FE">
          <w:rPr>
            <w:noProof/>
            <w:webHidden/>
          </w:rPr>
          <w:instrText xml:space="preserve"> PAGEREF _Toc32592816 \h </w:instrText>
        </w:r>
        <w:r w:rsidR="008067FE">
          <w:rPr>
            <w:noProof/>
            <w:webHidden/>
          </w:rPr>
        </w:r>
        <w:r w:rsidR="008067FE">
          <w:rPr>
            <w:noProof/>
            <w:webHidden/>
          </w:rPr>
          <w:fldChar w:fldCharType="separate"/>
        </w:r>
        <w:r w:rsidR="00493211">
          <w:rPr>
            <w:noProof/>
            <w:webHidden/>
          </w:rPr>
          <w:t>69</w:t>
        </w:r>
        <w:r w:rsidR="008067FE">
          <w:rPr>
            <w:noProof/>
            <w:webHidden/>
          </w:rPr>
          <w:fldChar w:fldCharType="end"/>
        </w:r>
      </w:hyperlink>
    </w:p>
    <w:p w14:paraId="4189CD02" w14:textId="35365774"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17" w:history="1">
        <w:r w:rsidR="008067FE" w:rsidRPr="005E030E">
          <w:rPr>
            <w:rStyle w:val="Hyperlink"/>
            <w:noProof/>
          </w:rPr>
          <w:t>Table 34 Fees - costs to industry</w:t>
        </w:r>
        <w:r w:rsidR="008067FE">
          <w:rPr>
            <w:noProof/>
            <w:webHidden/>
          </w:rPr>
          <w:tab/>
        </w:r>
        <w:r w:rsidR="008067FE">
          <w:rPr>
            <w:noProof/>
            <w:webHidden/>
          </w:rPr>
          <w:fldChar w:fldCharType="begin"/>
        </w:r>
        <w:r w:rsidR="008067FE">
          <w:rPr>
            <w:noProof/>
            <w:webHidden/>
          </w:rPr>
          <w:instrText xml:space="preserve"> PAGEREF _Toc32592817 \h </w:instrText>
        </w:r>
        <w:r w:rsidR="008067FE">
          <w:rPr>
            <w:noProof/>
            <w:webHidden/>
          </w:rPr>
        </w:r>
        <w:r w:rsidR="008067FE">
          <w:rPr>
            <w:noProof/>
            <w:webHidden/>
          </w:rPr>
          <w:fldChar w:fldCharType="separate"/>
        </w:r>
        <w:r w:rsidR="00493211">
          <w:rPr>
            <w:noProof/>
            <w:webHidden/>
          </w:rPr>
          <w:t>77</w:t>
        </w:r>
        <w:r w:rsidR="008067FE">
          <w:rPr>
            <w:noProof/>
            <w:webHidden/>
          </w:rPr>
          <w:fldChar w:fldCharType="end"/>
        </w:r>
      </w:hyperlink>
    </w:p>
    <w:p w14:paraId="5E8A9693" w14:textId="40BE2DE4"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18" w:history="1">
        <w:r w:rsidR="008067FE" w:rsidRPr="005E030E">
          <w:rPr>
            <w:rStyle w:val="Hyperlink"/>
            <w:noProof/>
          </w:rPr>
          <w:t>Table 35 Exemptions or Waivers - costs to industry</w:t>
        </w:r>
        <w:r w:rsidR="008067FE">
          <w:rPr>
            <w:noProof/>
            <w:webHidden/>
          </w:rPr>
          <w:tab/>
        </w:r>
        <w:r w:rsidR="008067FE">
          <w:rPr>
            <w:noProof/>
            <w:webHidden/>
          </w:rPr>
          <w:fldChar w:fldCharType="begin"/>
        </w:r>
        <w:r w:rsidR="008067FE">
          <w:rPr>
            <w:noProof/>
            <w:webHidden/>
          </w:rPr>
          <w:instrText xml:space="preserve"> PAGEREF _Toc32592818 \h </w:instrText>
        </w:r>
        <w:r w:rsidR="008067FE">
          <w:rPr>
            <w:noProof/>
            <w:webHidden/>
          </w:rPr>
        </w:r>
        <w:r w:rsidR="008067FE">
          <w:rPr>
            <w:noProof/>
            <w:webHidden/>
          </w:rPr>
          <w:fldChar w:fldCharType="separate"/>
        </w:r>
        <w:r w:rsidR="00493211">
          <w:rPr>
            <w:noProof/>
            <w:webHidden/>
          </w:rPr>
          <w:t>78</w:t>
        </w:r>
        <w:r w:rsidR="008067FE">
          <w:rPr>
            <w:noProof/>
            <w:webHidden/>
          </w:rPr>
          <w:fldChar w:fldCharType="end"/>
        </w:r>
      </w:hyperlink>
    </w:p>
    <w:p w14:paraId="05BF5EDF" w14:textId="447D1058"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19" w:history="1">
        <w:r w:rsidR="008067FE" w:rsidRPr="005E030E">
          <w:rPr>
            <w:rStyle w:val="Hyperlink"/>
            <w:noProof/>
          </w:rPr>
          <w:t>Table 36 Total costs to industry: initial set-up</w:t>
        </w:r>
        <w:r w:rsidR="008067FE">
          <w:rPr>
            <w:noProof/>
            <w:webHidden/>
          </w:rPr>
          <w:tab/>
        </w:r>
        <w:r w:rsidR="008067FE">
          <w:rPr>
            <w:noProof/>
            <w:webHidden/>
          </w:rPr>
          <w:fldChar w:fldCharType="begin"/>
        </w:r>
        <w:r w:rsidR="008067FE">
          <w:rPr>
            <w:noProof/>
            <w:webHidden/>
          </w:rPr>
          <w:instrText xml:space="preserve"> PAGEREF _Toc32592819 \h </w:instrText>
        </w:r>
        <w:r w:rsidR="008067FE">
          <w:rPr>
            <w:noProof/>
            <w:webHidden/>
          </w:rPr>
        </w:r>
        <w:r w:rsidR="008067FE">
          <w:rPr>
            <w:noProof/>
            <w:webHidden/>
          </w:rPr>
          <w:fldChar w:fldCharType="separate"/>
        </w:r>
        <w:r w:rsidR="00493211">
          <w:rPr>
            <w:noProof/>
            <w:webHidden/>
          </w:rPr>
          <w:t>79</w:t>
        </w:r>
        <w:r w:rsidR="008067FE">
          <w:rPr>
            <w:noProof/>
            <w:webHidden/>
          </w:rPr>
          <w:fldChar w:fldCharType="end"/>
        </w:r>
      </w:hyperlink>
    </w:p>
    <w:p w14:paraId="19A73FD8" w14:textId="5CE18165"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20" w:history="1">
        <w:r w:rsidR="008067FE" w:rsidRPr="005E030E">
          <w:rPr>
            <w:rStyle w:val="Hyperlink"/>
            <w:noProof/>
          </w:rPr>
          <w:t>Table 37 Total costs to industry: ongoing costs</w:t>
        </w:r>
        <w:r w:rsidR="008067FE">
          <w:rPr>
            <w:noProof/>
            <w:webHidden/>
          </w:rPr>
          <w:tab/>
        </w:r>
        <w:r w:rsidR="008067FE">
          <w:rPr>
            <w:noProof/>
            <w:webHidden/>
          </w:rPr>
          <w:fldChar w:fldCharType="begin"/>
        </w:r>
        <w:r w:rsidR="008067FE">
          <w:rPr>
            <w:noProof/>
            <w:webHidden/>
          </w:rPr>
          <w:instrText xml:space="preserve"> PAGEREF _Toc32592820 \h </w:instrText>
        </w:r>
        <w:r w:rsidR="008067FE">
          <w:rPr>
            <w:noProof/>
            <w:webHidden/>
          </w:rPr>
        </w:r>
        <w:r w:rsidR="008067FE">
          <w:rPr>
            <w:noProof/>
            <w:webHidden/>
          </w:rPr>
          <w:fldChar w:fldCharType="separate"/>
        </w:r>
        <w:r w:rsidR="00493211">
          <w:rPr>
            <w:noProof/>
            <w:webHidden/>
          </w:rPr>
          <w:t>79</w:t>
        </w:r>
        <w:r w:rsidR="008067FE">
          <w:rPr>
            <w:noProof/>
            <w:webHidden/>
          </w:rPr>
          <w:fldChar w:fldCharType="end"/>
        </w:r>
      </w:hyperlink>
    </w:p>
    <w:p w14:paraId="4049091A" w14:textId="45A59511"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21" w:history="1">
        <w:r w:rsidR="008067FE" w:rsidRPr="005E030E">
          <w:rPr>
            <w:rStyle w:val="Hyperlink"/>
            <w:noProof/>
          </w:rPr>
          <w:t>Table 38 Approval applications - costs to regulator</w:t>
        </w:r>
        <w:r w:rsidR="008067FE">
          <w:rPr>
            <w:noProof/>
            <w:webHidden/>
          </w:rPr>
          <w:tab/>
        </w:r>
        <w:r w:rsidR="008067FE">
          <w:rPr>
            <w:noProof/>
            <w:webHidden/>
          </w:rPr>
          <w:fldChar w:fldCharType="begin"/>
        </w:r>
        <w:r w:rsidR="008067FE">
          <w:rPr>
            <w:noProof/>
            <w:webHidden/>
          </w:rPr>
          <w:instrText xml:space="preserve"> PAGEREF _Toc32592821 \h </w:instrText>
        </w:r>
        <w:r w:rsidR="008067FE">
          <w:rPr>
            <w:noProof/>
            <w:webHidden/>
          </w:rPr>
        </w:r>
        <w:r w:rsidR="008067FE">
          <w:rPr>
            <w:noProof/>
            <w:webHidden/>
          </w:rPr>
          <w:fldChar w:fldCharType="separate"/>
        </w:r>
        <w:r w:rsidR="00493211">
          <w:rPr>
            <w:noProof/>
            <w:webHidden/>
          </w:rPr>
          <w:t>81</w:t>
        </w:r>
        <w:r w:rsidR="008067FE">
          <w:rPr>
            <w:noProof/>
            <w:webHidden/>
          </w:rPr>
          <w:fldChar w:fldCharType="end"/>
        </w:r>
      </w:hyperlink>
    </w:p>
    <w:p w14:paraId="4CEEF6CC" w14:textId="52EEC910"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22" w:history="1">
        <w:r w:rsidR="008067FE" w:rsidRPr="005E030E">
          <w:rPr>
            <w:rStyle w:val="Hyperlink"/>
            <w:noProof/>
          </w:rPr>
          <w:t>Table 39 Service approval types - costs to regulator</w:t>
        </w:r>
        <w:r w:rsidR="008067FE">
          <w:rPr>
            <w:noProof/>
            <w:webHidden/>
          </w:rPr>
          <w:tab/>
        </w:r>
        <w:r w:rsidR="008067FE">
          <w:rPr>
            <w:noProof/>
            <w:webHidden/>
          </w:rPr>
          <w:fldChar w:fldCharType="begin"/>
        </w:r>
        <w:r w:rsidR="008067FE">
          <w:rPr>
            <w:noProof/>
            <w:webHidden/>
          </w:rPr>
          <w:instrText xml:space="preserve"> PAGEREF _Toc32592822 \h </w:instrText>
        </w:r>
        <w:r w:rsidR="008067FE">
          <w:rPr>
            <w:noProof/>
            <w:webHidden/>
          </w:rPr>
        </w:r>
        <w:r w:rsidR="008067FE">
          <w:rPr>
            <w:noProof/>
            <w:webHidden/>
          </w:rPr>
          <w:fldChar w:fldCharType="separate"/>
        </w:r>
        <w:r w:rsidR="00493211">
          <w:rPr>
            <w:noProof/>
            <w:webHidden/>
          </w:rPr>
          <w:t>82</w:t>
        </w:r>
        <w:r w:rsidR="008067FE">
          <w:rPr>
            <w:noProof/>
            <w:webHidden/>
          </w:rPr>
          <w:fldChar w:fldCharType="end"/>
        </w:r>
      </w:hyperlink>
    </w:p>
    <w:p w14:paraId="067ECD79" w14:textId="12B98308"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23" w:history="1">
        <w:r w:rsidR="008067FE" w:rsidRPr="005E030E">
          <w:rPr>
            <w:rStyle w:val="Hyperlink"/>
            <w:noProof/>
          </w:rPr>
          <w:t>Table 40 Staffing - costs to regulator</w:t>
        </w:r>
        <w:r w:rsidR="008067FE">
          <w:rPr>
            <w:noProof/>
            <w:webHidden/>
          </w:rPr>
          <w:tab/>
        </w:r>
        <w:r w:rsidR="008067FE">
          <w:rPr>
            <w:noProof/>
            <w:webHidden/>
          </w:rPr>
          <w:fldChar w:fldCharType="begin"/>
        </w:r>
        <w:r w:rsidR="008067FE">
          <w:rPr>
            <w:noProof/>
            <w:webHidden/>
          </w:rPr>
          <w:instrText xml:space="preserve"> PAGEREF _Toc32592823 \h </w:instrText>
        </w:r>
        <w:r w:rsidR="008067FE">
          <w:rPr>
            <w:noProof/>
            <w:webHidden/>
          </w:rPr>
        </w:r>
        <w:r w:rsidR="008067FE">
          <w:rPr>
            <w:noProof/>
            <w:webHidden/>
          </w:rPr>
          <w:fldChar w:fldCharType="separate"/>
        </w:r>
        <w:r w:rsidR="00493211">
          <w:rPr>
            <w:noProof/>
            <w:webHidden/>
          </w:rPr>
          <w:t>84</w:t>
        </w:r>
        <w:r w:rsidR="008067FE">
          <w:rPr>
            <w:noProof/>
            <w:webHidden/>
          </w:rPr>
          <w:fldChar w:fldCharType="end"/>
        </w:r>
      </w:hyperlink>
    </w:p>
    <w:p w14:paraId="499D5ADF" w14:textId="67209975"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24" w:history="1">
        <w:r w:rsidR="008067FE" w:rsidRPr="005E030E">
          <w:rPr>
            <w:rStyle w:val="Hyperlink"/>
            <w:noProof/>
          </w:rPr>
          <w:t>Table 41 Safety, health and wellbeing of children - costs to regulator</w:t>
        </w:r>
        <w:r w:rsidR="008067FE">
          <w:rPr>
            <w:noProof/>
            <w:webHidden/>
          </w:rPr>
          <w:tab/>
        </w:r>
        <w:r w:rsidR="008067FE">
          <w:rPr>
            <w:noProof/>
            <w:webHidden/>
          </w:rPr>
          <w:fldChar w:fldCharType="begin"/>
        </w:r>
        <w:r w:rsidR="008067FE">
          <w:rPr>
            <w:noProof/>
            <w:webHidden/>
          </w:rPr>
          <w:instrText xml:space="preserve"> PAGEREF _Toc32592824 \h </w:instrText>
        </w:r>
        <w:r w:rsidR="008067FE">
          <w:rPr>
            <w:noProof/>
            <w:webHidden/>
          </w:rPr>
        </w:r>
        <w:r w:rsidR="008067FE">
          <w:rPr>
            <w:noProof/>
            <w:webHidden/>
          </w:rPr>
          <w:fldChar w:fldCharType="separate"/>
        </w:r>
        <w:r w:rsidR="00493211">
          <w:rPr>
            <w:noProof/>
            <w:webHidden/>
          </w:rPr>
          <w:t>84</w:t>
        </w:r>
        <w:r w:rsidR="008067FE">
          <w:rPr>
            <w:noProof/>
            <w:webHidden/>
          </w:rPr>
          <w:fldChar w:fldCharType="end"/>
        </w:r>
      </w:hyperlink>
    </w:p>
    <w:p w14:paraId="34B3F487" w14:textId="2E1EF8E0"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25" w:history="1">
        <w:r w:rsidR="008067FE" w:rsidRPr="005E030E">
          <w:rPr>
            <w:rStyle w:val="Hyperlink"/>
            <w:noProof/>
          </w:rPr>
          <w:t>Table 42 Equipment and facilities - costs to regulator</w:t>
        </w:r>
        <w:r w:rsidR="008067FE">
          <w:rPr>
            <w:noProof/>
            <w:webHidden/>
          </w:rPr>
          <w:tab/>
        </w:r>
        <w:r w:rsidR="008067FE">
          <w:rPr>
            <w:noProof/>
            <w:webHidden/>
          </w:rPr>
          <w:fldChar w:fldCharType="begin"/>
        </w:r>
        <w:r w:rsidR="008067FE">
          <w:rPr>
            <w:noProof/>
            <w:webHidden/>
          </w:rPr>
          <w:instrText xml:space="preserve"> PAGEREF _Toc32592825 \h </w:instrText>
        </w:r>
        <w:r w:rsidR="008067FE">
          <w:rPr>
            <w:noProof/>
            <w:webHidden/>
          </w:rPr>
        </w:r>
        <w:r w:rsidR="008067FE">
          <w:rPr>
            <w:noProof/>
            <w:webHidden/>
          </w:rPr>
          <w:fldChar w:fldCharType="separate"/>
        </w:r>
        <w:r w:rsidR="00493211">
          <w:rPr>
            <w:noProof/>
            <w:webHidden/>
          </w:rPr>
          <w:t>85</w:t>
        </w:r>
        <w:r w:rsidR="008067FE">
          <w:rPr>
            <w:noProof/>
            <w:webHidden/>
          </w:rPr>
          <w:fldChar w:fldCharType="end"/>
        </w:r>
      </w:hyperlink>
    </w:p>
    <w:p w14:paraId="76B8BEE0" w14:textId="7881FA91"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26" w:history="1">
        <w:r w:rsidR="008067FE" w:rsidRPr="005E030E">
          <w:rPr>
            <w:rStyle w:val="Hyperlink"/>
            <w:noProof/>
          </w:rPr>
          <w:t>Table 43 Complaints and serious incidents - costs to regulator</w:t>
        </w:r>
        <w:r w:rsidR="008067FE">
          <w:rPr>
            <w:noProof/>
            <w:webHidden/>
          </w:rPr>
          <w:tab/>
        </w:r>
        <w:r w:rsidR="008067FE">
          <w:rPr>
            <w:noProof/>
            <w:webHidden/>
          </w:rPr>
          <w:fldChar w:fldCharType="begin"/>
        </w:r>
        <w:r w:rsidR="008067FE">
          <w:rPr>
            <w:noProof/>
            <w:webHidden/>
          </w:rPr>
          <w:instrText xml:space="preserve"> PAGEREF _Toc32592826 \h </w:instrText>
        </w:r>
        <w:r w:rsidR="008067FE">
          <w:rPr>
            <w:noProof/>
            <w:webHidden/>
          </w:rPr>
        </w:r>
        <w:r w:rsidR="008067FE">
          <w:rPr>
            <w:noProof/>
            <w:webHidden/>
          </w:rPr>
          <w:fldChar w:fldCharType="separate"/>
        </w:r>
        <w:r w:rsidR="00493211">
          <w:rPr>
            <w:noProof/>
            <w:webHidden/>
          </w:rPr>
          <w:t>85</w:t>
        </w:r>
        <w:r w:rsidR="008067FE">
          <w:rPr>
            <w:noProof/>
            <w:webHidden/>
          </w:rPr>
          <w:fldChar w:fldCharType="end"/>
        </w:r>
      </w:hyperlink>
    </w:p>
    <w:p w14:paraId="287F7D6E" w14:textId="35558486"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27" w:history="1">
        <w:r w:rsidR="008067FE" w:rsidRPr="005E030E">
          <w:rPr>
            <w:rStyle w:val="Hyperlink"/>
            <w:noProof/>
          </w:rPr>
          <w:t>Table 44 Registers and record-keeping - costs to regulator</w:t>
        </w:r>
        <w:r w:rsidR="008067FE">
          <w:rPr>
            <w:noProof/>
            <w:webHidden/>
          </w:rPr>
          <w:tab/>
        </w:r>
        <w:r w:rsidR="008067FE">
          <w:rPr>
            <w:noProof/>
            <w:webHidden/>
          </w:rPr>
          <w:fldChar w:fldCharType="begin"/>
        </w:r>
        <w:r w:rsidR="008067FE">
          <w:rPr>
            <w:noProof/>
            <w:webHidden/>
          </w:rPr>
          <w:instrText xml:space="preserve"> PAGEREF _Toc32592827 \h </w:instrText>
        </w:r>
        <w:r w:rsidR="008067FE">
          <w:rPr>
            <w:noProof/>
            <w:webHidden/>
          </w:rPr>
        </w:r>
        <w:r w:rsidR="008067FE">
          <w:rPr>
            <w:noProof/>
            <w:webHidden/>
          </w:rPr>
          <w:fldChar w:fldCharType="separate"/>
        </w:r>
        <w:r w:rsidR="00493211">
          <w:rPr>
            <w:noProof/>
            <w:webHidden/>
          </w:rPr>
          <w:t>87</w:t>
        </w:r>
        <w:r w:rsidR="008067FE">
          <w:rPr>
            <w:noProof/>
            <w:webHidden/>
          </w:rPr>
          <w:fldChar w:fldCharType="end"/>
        </w:r>
      </w:hyperlink>
    </w:p>
    <w:p w14:paraId="3DFBA7B9" w14:textId="57BBFD38"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28" w:history="1">
        <w:r w:rsidR="008067FE" w:rsidRPr="005E030E">
          <w:rPr>
            <w:rStyle w:val="Hyperlink"/>
            <w:noProof/>
          </w:rPr>
          <w:t>Table 45 Fees - costs to regulator</w:t>
        </w:r>
        <w:r w:rsidR="008067FE">
          <w:rPr>
            <w:noProof/>
            <w:webHidden/>
          </w:rPr>
          <w:tab/>
        </w:r>
        <w:r w:rsidR="008067FE">
          <w:rPr>
            <w:noProof/>
            <w:webHidden/>
          </w:rPr>
          <w:fldChar w:fldCharType="begin"/>
        </w:r>
        <w:r w:rsidR="008067FE">
          <w:rPr>
            <w:noProof/>
            <w:webHidden/>
          </w:rPr>
          <w:instrText xml:space="preserve"> PAGEREF _Toc32592828 \h </w:instrText>
        </w:r>
        <w:r w:rsidR="008067FE">
          <w:rPr>
            <w:noProof/>
            <w:webHidden/>
          </w:rPr>
        </w:r>
        <w:r w:rsidR="008067FE">
          <w:rPr>
            <w:noProof/>
            <w:webHidden/>
          </w:rPr>
          <w:fldChar w:fldCharType="separate"/>
        </w:r>
        <w:r w:rsidR="00493211">
          <w:rPr>
            <w:noProof/>
            <w:webHidden/>
          </w:rPr>
          <w:t>87</w:t>
        </w:r>
        <w:r w:rsidR="008067FE">
          <w:rPr>
            <w:noProof/>
            <w:webHidden/>
          </w:rPr>
          <w:fldChar w:fldCharType="end"/>
        </w:r>
      </w:hyperlink>
    </w:p>
    <w:p w14:paraId="7A5E37F9" w14:textId="0C41BB22"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29" w:history="1">
        <w:r w:rsidR="008067FE" w:rsidRPr="005E030E">
          <w:rPr>
            <w:rStyle w:val="Hyperlink"/>
            <w:noProof/>
          </w:rPr>
          <w:t>Table 46 Exemptions or waivers - costs to regulator</w:t>
        </w:r>
        <w:r w:rsidR="008067FE">
          <w:rPr>
            <w:noProof/>
            <w:webHidden/>
          </w:rPr>
          <w:tab/>
        </w:r>
        <w:r w:rsidR="008067FE">
          <w:rPr>
            <w:noProof/>
            <w:webHidden/>
          </w:rPr>
          <w:fldChar w:fldCharType="begin"/>
        </w:r>
        <w:r w:rsidR="008067FE">
          <w:rPr>
            <w:noProof/>
            <w:webHidden/>
          </w:rPr>
          <w:instrText xml:space="preserve"> PAGEREF _Toc32592829 \h </w:instrText>
        </w:r>
        <w:r w:rsidR="008067FE">
          <w:rPr>
            <w:noProof/>
            <w:webHidden/>
          </w:rPr>
        </w:r>
        <w:r w:rsidR="008067FE">
          <w:rPr>
            <w:noProof/>
            <w:webHidden/>
          </w:rPr>
          <w:fldChar w:fldCharType="separate"/>
        </w:r>
        <w:r w:rsidR="00493211">
          <w:rPr>
            <w:noProof/>
            <w:webHidden/>
          </w:rPr>
          <w:t>88</w:t>
        </w:r>
        <w:r w:rsidR="008067FE">
          <w:rPr>
            <w:noProof/>
            <w:webHidden/>
          </w:rPr>
          <w:fldChar w:fldCharType="end"/>
        </w:r>
      </w:hyperlink>
    </w:p>
    <w:p w14:paraId="0B964E83" w14:textId="4005CD79"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30" w:history="1">
        <w:r w:rsidR="008067FE" w:rsidRPr="005E030E">
          <w:rPr>
            <w:rStyle w:val="Hyperlink"/>
            <w:noProof/>
          </w:rPr>
          <w:t>Table 47 Approval application - benefits score</w:t>
        </w:r>
        <w:r w:rsidR="008067FE">
          <w:rPr>
            <w:noProof/>
            <w:webHidden/>
          </w:rPr>
          <w:tab/>
        </w:r>
        <w:r w:rsidR="008067FE">
          <w:rPr>
            <w:noProof/>
            <w:webHidden/>
          </w:rPr>
          <w:fldChar w:fldCharType="begin"/>
        </w:r>
        <w:r w:rsidR="008067FE">
          <w:rPr>
            <w:noProof/>
            <w:webHidden/>
          </w:rPr>
          <w:instrText xml:space="preserve"> PAGEREF _Toc32592830 \h </w:instrText>
        </w:r>
        <w:r w:rsidR="008067FE">
          <w:rPr>
            <w:noProof/>
            <w:webHidden/>
          </w:rPr>
        </w:r>
        <w:r w:rsidR="008067FE">
          <w:rPr>
            <w:noProof/>
            <w:webHidden/>
          </w:rPr>
          <w:fldChar w:fldCharType="separate"/>
        </w:r>
        <w:r w:rsidR="00493211">
          <w:rPr>
            <w:noProof/>
            <w:webHidden/>
          </w:rPr>
          <w:t>91</w:t>
        </w:r>
        <w:r w:rsidR="008067FE">
          <w:rPr>
            <w:noProof/>
            <w:webHidden/>
          </w:rPr>
          <w:fldChar w:fldCharType="end"/>
        </w:r>
      </w:hyperlink>
    </w:p>
    <w:p w14:paraId="204E9F3B" w14:textId="0E5EEA3E"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31" w:history="1">
        <w:r w:rsidR="008067FE" w:rsidRPr="005E030E">
          <w:rPr>
            <w:rStyle w:val="Hyperlink"/>
            <w:noProof/>
          </w:rPr>
          <w:t>Table 48 Service approval types– benefits scores</w:t>
        </w:r>
        <w:r w:rsidR="008067FE">
          <w:rPr>
            <w:noProof/>
            <w:webHidden/>
          </w:rPr>
          <w:tab/>
        </w:r>
        <w:r w:rsidR="008067FE">
          <w:rPr>
            <w:noProof/>
            <w:webHidden/>
          </w:rPr>
          <w:fldChar w:fldCharType="begin"/>
        </w:r>
        <w:r w:rsidR="008067FE">
          <w:rPr>
            <w:noProof/>
            <w:webHidden/>
          </w:rPr>
          <w:instrText xml:space="preserve"> PAGEREF _Toc32592831 \h </w:instrText>
        </w:r>
        <w:r w:rsidR="008067FE">
          <w:rPr>
            <w:noProof/>
            <w:webHidden/>
          </w:rPr>
        </w:r>
        <w:r w:rsidR="008067FE">
          <w:rPr>
            <w:noProof/>
            <w:webHidden/>
          </w:rPr>
          <w:fldChar w:fldCharType="separate"/>
        </w:r>
        <w:r w:rsidR="00493211">
          <w:rPr>
            <w:noProof/>
            <w:webHidden/>
          </w:rPr>
          <w:t>93</w:t>
        </w:r>
        <w:r w:rsidR="008067FE">
          <w:rPr>
            <w:noProof/>
            <w:webHidden/>
          </w:rPr>
          <w:fldChar w:fldCharType="end"/>
        </w:r>
      </w:hyperlink>
    </w:p>
    <w:p w14:paraId="033F5149" w14:textId="2730EFBC"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32" w:history="1">
        <w:r w:rsidR="008067FE" w:rsidRPr="005E030E">
          <w:rPr>
            <w:rStyle w:val="Hyperlink"/>
            <w:noProof/>
          </w:rPr>
          <w:t>Table 49 Staffing - benefits scores</w:t>
        </w:r>
        <w:r w:rsidR="008067FE">
          <w:rPr>
            <w:noProof/>
            <w:webHidden/>
          </w:rPr>
          <w:tab/>
        </w:r>
        <w:r w:rsidR="008067FE">
          <w:rPr>
            <w:noProof/>
            <w:webHidden/>
          </w:rPr>
          <w:fldChar w:fldCharType="begin"/>
        </w:r>
        <w:r w:rsidR="008067FE">
          <w:rPr>
            <w:noProof/>
            <w:webHidden/>
          </w:rPr>
          <w:instrText xml:space="preserve"> PAGEREF _Toc32592832 \h </w:instrText>
        </w:r>
        <w:r w:rsidR="008067FE">
          <w:rPr>
            <w:noProof/>
            <w:webHidden/>
          </w:rPr>
        </w:r>
        <w:r w:rsidR="008067FE">
          <w:rPr>
            <w:noProof/>
            <w:webHidden/>
          </w:rPr>
          <w:fldChar w:fldCharType="separate"/>
        </w:r>
        <w:r w:rsidR="00493211">
          <w:rPr>
            <w:noProof/>
            <w:webHidden/>
          </w:rPr>
          <w:t>95</w:t>
        </w:r>
        <w:r w:rsidR="008067FE">
          <w:rPr>
            <w:noProof/>
            <w:webHidden/>
          </w:rPr>
          <w:fldChar w:fldCharType="end"/>
        </w:r>
      </w:hyperlink>
    </w:p>
    <w:p w14:paraId="2F1E0F80" w14:textId="4326EEA4"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33" w:history="1">
        <w:r w:rsidR="008067FE" w:rsidRPr="005E030E">
          <w:rPr>
            <w:rStyle w:val="Hyperlink"/>
            <w:noProof/>
          </w:rPr>
          <w:t>Table 50 Safety, health and wellbeing - benefits scores</w:t>
        </w:r>
        <w:r w:rsidR="008067FE">
          <w:rPr>
            <w:noProof/>
            <w:webHidden/>
          </w:rPr>
          <w:tab/>
        </w:r>
        <w:r w:rsidR="008067FE">
          <w:rPr>
            <w:noProof/>
            <w:webHidden/>
          </w:rPr>
          <w:fldChar w:fldCharType="begin"/>
        </w:r>
        <w:r w:rsidR="008067FE">
          <w:rPr>
            <w:noProof/>
            <w:webHidden/>
          </w:rPr>
          <w:instrText xml:space="preserve"> PAGEREF _Toc32592833 \h </w:instrText>
        </w:r>
        <w:r w:rsidR="008067FE">
          <w:rPr>
            <w:noProof/>
            <w:webHidden/>
          </w:rPr>
        </w:r>
        <w:r w:rsidR="008067FE">
          <w:rPr>
            <w:noProof/>
            <w:webHidden/>
          </w:rPr>
          <w:fldChar w:fldCharType="separate"/>
        </w:r>
        <w:r w:rsidR="00493211">
          <w:rPr>
            <w:noProof/>
            <w:webHidden/>
          </w:rPr>
          <w:t>96</w:t>
        </w:r>
        <w:r w:rsidR="008067FE">
          <w:rPr>
            <w:noProof/>
            <w:webHidden/>
          </w:rPr>
          <w:fldChar w:fldCharType="end"/>
        </w:r>
      </w:hyperlink>
    </w:p>
    <w:p w14:paraId="2F455AE6" w14:textId="10A2E09B"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34" w:history="1">
        <w:r w:rsidR="008067FE" w:rsidRPr="005E030E">
          <w:rPr>
            <w:rStyle w:val="Hyperlink"/>
            <w:noProof/>
          </w:rPr>
          <w:t>Table 51 Equipment and facilities - benefits score</w:t>
        </w:r>
        <w:r w:rsidR="008067FE">
          <w:rPr>
            <w:noProof/>
            <w:webHidden/>
          </w:rPr>
          <w:tab/>
        </w:r>
        <w:r w:rsidR="008067FE">
          <w:rPr>
            <w:noProof/>
            <w:webHidden/>
          </w:rPr>
          <w:fldChar w:fldCharType="begin"/>
        </w:r>
        <w:r w:rsidR="008067FE">
          <w:rPr>
            <w:noProof/>
            <w:webHidden/>
          </w:rPr>
          <w:instrText xml:space="preserve"> PAGEREF _Toc32592834 \h </w:instrText>
        </w:r>
        <w:r w:rsidR="008067FE">
          <w:rPr>
            <w:noProof/>
            <w:webHidden/>
          </w:rPr>
        </w:r>
        <w:r w:rsidR="008067FE">
          <w:rPr>
            <w:noProof/>
            <w:webHidden/>
          </w:rPr>
          <w:fldChar w:fldCharType="separate"/>
        </w:r>
        <w:r w:rsidR="00493211">
          <w:rPr>
            <w:noProof/>
            <w:webHidden/>
          </w:rPr>
          <w:t>98</w:t>
        </w:r>
        <w:r w:rsidR="008067FE">
          <w:rPr>
            <w:noProof/>
            <w:webHidden/>
          </w:rPr>
          <w:fldChar w:fldCharType="end"/>
        </w:r>
      </w:hyperlink>
    </w:p>
    <w:p w14:paraId="12BCF948" w14:textId="3B2C4F41"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35" w:history="1">
        <w:r w:rsidR="008067FE" w:rsidRPr="005E030E">
          <w:rPr>
            <w:rStyle w:val="Hyperlink"/>
            <w:noProof/>
          </w:rPr>
          <w:t>Table 52 Complaints and serious incidents - benefits scores</w:t>
        </w:r>
        <w:r w:rsidR="008067FE">
          <w:rPr>
            <w:noProof/>
            <w:webHidden/>
          </w:rPr>
          <w:tab/>
        </w:r>
        <w:r w:rsidR="008067FE">
          <w:rPr>
            <w:noProof/>
            <w:webHidden/>
          </w:rPr>
          <w:fldChar w:fldCharType="begin"/>
        </w:r>
        <w:r w:rsidR="008067FE">
          <w:rPr>
            <w:noProof/>
            <w:webHidden/>
          </w:rPr>
          <w:instrText xml:space="preserve"> PAGEREF _Toc32592835 \h </w:instrText>
        </w:r>
        <w:r w:rsidR="008067FE">
          <w:rPr>
            <w:noProof/>
            <w:webHidden/>
          </w:rPr>
        </w:r>
        <w:r w:rsidR="008067FE">
          <w:rPr>
            <w:noProof/>
            <w:webHidden/>
          </w:rPr>
          <w:fldChar w:fldCharType="separate"/>
        </w:r>
        <w:r w:rsidR="00493211">
          <w:rPr>
            <w:noProof/>
            <w:webHidden/>
          </w:rPr>
          <w:t>99</w:t>
        </w:r>
        <w:r w:rsidR="008067FE">
          <w:rPr>
            <w:noProof/>
            <w:webHidden/>
          </w:rPr>
          <w:fldChar w:fldCharType="end"/>
        </w:r>
      </w:hyperlink>
    </w:p>
    <w:p w14:paraId="76B3FCD2" w14:textId="67984FCE"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36" w:history="1">
        <w:r w:rsidR="008067FE" w:rsidRPr="005E030E">
          <w:rPr>
            <w:rStyle w:val="Hyperlink"/>
            <w:noProof/>
          </w:rPr>
          <w:t>Table 53 Registers and record-keeping - benefits score</w:t>
        </w:r>
        <w:r w:rsidR="008067FE">
          <w:rPr>
            <w:noProof/>
            <w:webHidden/>
          </w:rPr>
          <w:tab/>
        </w:r>
        <w:r w:rsidR="008067FE">
          <w:rPr>
            <w:noProof/>
            <w:webHidden/>
          </w:rPr>
          <w:fldChar w:fldCharType="begin"/>
        </w:r>
        <w:r w:rsidR="008067FE">
          <w:rPr>
            <w:noProof/>
            <w:webHidden/>
          </w:rPr>
          <w:instrText xml:space="preserve"> PAGEREF _Toc32592836 \h </w:instrText>
        </w:r>
        <w:r w:rsidR="008067FE">
          <w:rPr>
            <w:noProof/>
            <w:webHidden/>
          </w:rPr>
        </w:r>
        <w:r w:rsidR="008067FE">
          <w:rPr>
            <w:noProof/>
            <w:webHidden/>
          </w:rPr>
          <w:fldChar w:fldCharType="separate"/>
        </w:r>
        <w:r w:rsidR="00493211">
          <w:rPr>
            <w:noProof/>
            <w:webHidden/>
          </w:rPr>
          <w:t>100</w:t>
        </w:r>
        <w:r w:rsidR="008067FE">
          <w:rPr>
            <w:noProof/>
            <w:webHidden/>
          </w:rPr>
          <w:fldChar w:fldCharType="end"/>
        </w:r>
      </w:hyperlink>
    </w:p>
    <w:p w14:paraId="71F6F0EF" w14:textId="3497571C"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37" w:history="1">
        <w:r w:rsidR="008067FE" w:rsidRPr="005E030E">
          <w:rPr>
            <w:rStyle w:val="Hyperlink"/>
            <w:noProof/>
          </w:rPr>
          <w:t>Table 54 Fees - benefits score</w:t>
        </w:r>
        <w:r w:rsidR="008067FE">
          <w:rPr>
            <w:noProof/>
            <w:webHidden/>
          </w:rPr>
          <w:tab/>
        </w:r>
        <w:r w:rsidR="008067FE">
          <w:rPr>
            <w:noProof/>
            <w:webHidden/>
          </w:rPr>
          <w:fldChar w:fldCharType="begin"/>
        </w:r>
        <w:r w:rsidR="008067FE">
          <w:rPr>
            <w:noProof/>
            <w:webHidden/>
          </w:rPr>
          <w:instrText xml:space="preserve"> PAGEREF _Toc32592837 \h </w:instrText>
        </w:r>
        <w:r w:rsidR="008067FE">
          <w:rPr>
            <w:noProof/>
            <w:webHidden/>
          </w:rPr>
        </w:r>
        <w:r w:rsidR="008067FE">
          <w:rPr>
            <w:noProof/>
            <w:webHidden/>
          </w:rPr>
          <w:fldChar w:fldCharType="separate"/>
        </w:r>
        <w:r w:rsidR="00493211">
          <w:rPr>
            <w:noProof/>
            <w:webHidden/>
          </w:rPr>
          <w:t>101</w:t>
        </w:r>
        <w:r w:rsidR="008067FE">
          <w:rPr>
            <w:noProof/>
            <w:webHidden/>
          </w:rPr>
          <w:fldChar w:fldCharType="end"/>
        </w:r>
      </w:hyperlink>
    </w:p>
    <w:p w14:paraId="2985E95A" w14:textId="67908A33"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38" w:history="1">
        <w:r w:rsidR="008067FE" w:rsidRPr="005E030E">
          <w:rPr>
            <w:rStyle w:val="Hyperlink"/>
            <w:noProof/>
          </w:rPr>
          <w:t>Table 55 Exemptions or waivers - benefits scores</w:t>
        </w:r>
        <w:r w:rsidR="008067FE">
          <w:rPr>
            <w:noProof/>
            <w:webHidden/>
          </w:rPr>
          <w:tab/>
        </w:r>
        <w:r w:rsidR="008067FE">
          <w:rPr>
            <w:noProof/>
            <w:webHidden/>
          </w:rPr>
          <w:fldChar w:fldCharType="begin"/>
        </w:r>
        <w:r w:rsidR="008067FE">
          <w:rPr>
            <w:noProof/>
            <w:webHidden/>
          </w:rPr>
          <w:instrText xml:space="preserve"> PAGEREF _Toc32592838 \h </w:instrText>
        </w:r>
        <w:r w:rsidR="008067FE">
          <w:rPr>
            <w:noProof/>
            <w:webHidden/>
          </w:rPr>
        </w:r>
        <w:r w:rsidR="008067FE">
          <w:rPr>
            <w:noProof/>
            <w:webHidden/>
          </w:rPr>
          <w:fldChar w:fldCharType="separate"/>
        </w:r>
        <w:r w:rsidR="00493211">
          <w:rPr>
            <w:noProof/>
            <w:webHidden/>
          </w:rPr>
          <w:t>102</w:t>
        </w:r>
        <w:r w:rsidR="008067FE">
          <w:rPr>
            <w:noProof/>
            <w:webHidden/>
          </w:rPr>
          <w:fldChar w:fldCharType="end"/>
        </w:r>
      </w:hyperlink>
    </w:p>
    <w:p w14:paraId="1155E429" w14:textId="7ABE4F60"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39" w:history="1">
        <w:r w:rsidR="008067FE" w:rsidRPr="005E030E">
          <w:rPr>
            <w:rStyle w:val="Hyperlink"/>
            <w:noProof/>
          </w:rPr>
          <w:t>Table 56 Total weighted scores by area of regulation</w:t>
        </w:r>
        <w:r w:rsidR="008067FE">
          <w:rPr>
            <w:noProof/>
            <w:webHidden/>
          </w:rPr>
          <w:tab/>
        </w:r>
        <w:r w:rsidR="008067FE">
          <w:rPr>
            <w:noProof/>
            <w:webHidden/>
          </w:rPr>
          <w:fldChar w:fldCharType="begin"/>
        </w:r>
        <w:r w:rsidR="008067FE">
          <w:rPr>
            <w:noProof/>
            <w:webHidden/>
          </w:rPr>
          <w:instrText xml:space="preserve"> PAGEREF _Toc32592839 \h </w:instrText>
        </w:r>
        <w:r w:rsidR="008067FE">
          <w:rPr>
            <w:noProof/>
            <w:webHidden/>
          </w:rPr>
        </w:r>
        <w:r w:rsidR="008067FE">
          <w:rPr>
            <w:noProof/>
            <w:webHidden/>
          </w:rPr>
          <w:fldChar w:fldCharType="separate"/>
        </w:r>
        <w:r w:rsidR="00493211">
          <w:rPr>
            <w:noProof/>
            <w:webHidden/>
          </w:rPr>
          <w:t>104</w:t>
        </w:r>
        <w:r w:rsidR="008067FE">
          <w:rPr>
            <w:noProof/>
            <w:webHidden/>
          </w:rPr>
          <w:fldChar w:fldCharType="end"/>
        </w:r>
      </w:hyperlink>
    </w:p>
    <w:p w14:paraId="271EB0CB" w14:textId="53A503E8"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40" w:history="1">
        <w:r w:rsidR="008067FE" w:rsidRPr="005E030E">
          <w:rPr>
            <w:rStyle w:val="Hyperlink"/>
            <w:noProof/>
          </w:rPr>
          <w:t>Table 57 Total weighted scores by option and area of regulation</w:t>
        </w:r>
        <w:r w:rsidR="008067FE">
          <w:rPr>
            <w:noProof/>
            <w:webHidden/>
          </w:rPr>
          <w:tab/>
        </w:r>
        <w:r w:rsidR="008067FE">
          <w:rPr>
            <w:noProof/>
            <w:webHidden/>
          </w:rPr>
          <w:fldChar w:fldCharType="begin"/>
        </w:r>
        <w:r w:rsidR="008067FE">
          <w:rPr>
            <w:noProof/>
            <w:webHidden/>
          </w:rPr>
          <w:instrText xml:space="preserve"> PAGEREF _Toc32592840 \h </w:instrText>
        </w:r>
        <w:r w:rsidR="008067FE">
          <w:rPr>
            <w:noProof/>
            <w:webHidden/>
          </w:rPr>
        </w:r>
        <w:r w:rsidR="008067FE">
          <w:rPr>
            <w:noProof/>
            <w:webHidden/>
          </w:rPr>
          <w:fldChar w:fldCharType="separate"/>
        </w:r>
        <w:r w:rsidR="00493211">
          <w:rPr>
            <w:noProof/>
            <w:webHidden/>
          </w:rPr>
          <w:t>105</w:t>
        </w:r>
        <w:r w:rsidR="008067FE">
          <w:rPr>
            <w:noProof/>
            <w:webHidden/>
          </w:rPr>
          <w:fldChar w:fldCharType="end"/>
        </w:r>
      </w:hyperlink>
    </w:p>
    <w:p w14:paraId="5F71228D" w14:textId="4D528CFF"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41" w:history="1">
        <w:r w:rsidR="008067FE" w:rsidRPr="005E030E">
          <w:rPr>
            <w:rStyle w:val="Hyperlink"/>
            <w:noProof/>
          </w:rPr>
          <w:t>Table 58 Overall total weighted scores by option</w:t>
        </w:r>
        <w:r w:rsidR="008067FE">
          <w:rPr>
            <w:noProof/>
            <w:webHidden/>
          </w:rPr>
          <w:tab/>
        </w:r>
        <w:r w:rsidR="008067FE">
          <w:rPr>
            <w:noProof/>
            <w:webHidden/>
          </w:rPr>
          <w:fldChar w:fldCharType="begin"/>
        </w:r>
        <w:r w:rsidR="008067FE">
          <w:rPr>
            <w:noProof/>
            <w:webHidden/>
          </w:rPr>
          <w:instrText xml:space="preserve"> PAGEREF _Toc32592841 \h </w:instrText>
        </w:r>
        <w:r w:rsidR="008067FE">
          <w:rPr>
            <w:noProof/>
            <w:webHidden/>
          </w:rPr>
        </w:r>
        <w:r w:rsidR="008067FE">
          <w:rPr>
            <w:noProof/>
            <w:webHidden/>
          </w:rPr>
          <w:fldChar w:fldCharType="separate"/>
        </w:r>
        <w:r w:rsidR="00493211">
          <w:rPr>
            <w:noProof/>
            <w:webHidden/>
          </w:rPr>
          <w:t>105</w:t>
        </w:r>
        <w:r w:rsidR="008067FE">
          <w:rPr>
            <w:noProof/>
            <w:webHidden/>
          </w:rPr>
          <w:fldChar w:fldCharType="end"/>
        </w:r>
      </w:hyperlink>
    </w:p>
    <w:p w14:paraId="12476E04" w14:textId="2E1AC044"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42" w:history="1">
        <w:r w:rsidR="008067FE" w:rsidRPr="005E030E">
          <w:rPr>
            <w:rStyle w:val="Hyperlink"/>
            <w:noProof/>
          </w:rPr>
          <w:t>Table 59 Overall cost per service</w:t>
        </w:r>
        <w:r w:rsidR="008067FE">
          <w:rPr>
            <w:noProof/>
            <w:webHidden/>
          </w:rPr>
          <w:tab/>
        </w:r>
        <w:r w:rsidR="008067FE">
          <w:rPr>
            <w:noProof/>
            <w:webHidden/>
          </w:rPr>
          <w:fldChar w:fldCharType="begin"/>
        </w:r>
        <w:r w:rsidR="008067FE">
          <w:rPr>
            <w:noProof/>
            <w:webHidden/>
          </w:rPr>
          <w:instrText xml:space="preserve"> PAGEREF _Toc32592842 \h </w:instrText>
        </w:r>
        <w:r w:rsidR="008067FE">
          <w:rPr>
            <w:noProof/>
            <w:webHidden/>
          </w:rPr>
        </w:r>
        <w:r w:rsidR="008067FE">
          <w:rPr>
            <w:noProof/>
            <w:webHidden/>
          </w:rPr>
          <w:fldChar w:fldCharType="separate"/>
        </w:r>
        <w:r w:rsidR="00493211">
          <w:rPr>
            <w:noProof/>
            <w:webHidden/>
          </w:rPr>
          <w:t>106</w:t>
        </w:r>
        <w:r w:rsidR="008067FE">
          <w:rPr>
            <w:noProof/>
            <w:webHidden/>
          </w:rPr>
          <w:fldChar w:fldCharType="end"/>
        </w:r>
      </w:hyperlink>
    </w:p>
    <w:p w14:paraId="59544D6B" w14:textId="106C8BCB"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43" w:history="1">
        <w:r w:rsidR="008067FE" w:rsidRPr="005E030E">
          <w:rPr>
            <w:rStyle w:val="Hyperlink"/>
            <w:noProof/>
          </w:rPr>
          <w:t>Table 60 Projected cost to industry over 10 years – NPV*</w:t>
        </w:r>
        <w:r w:rsidR="008067FE">
          <w:rPr>
            <w:noProof/>
            <w:webHidden/>
          </w:rPr>
          <w:tab/>
        </w:r>
        <w:r w:rsidR="008067FE">
          <w:rPr>
            <w:noProof/>
            <w:webHidden/>
          </w:rPr>
          <w:fldChar w:fldCharType="begin"/>
        </w:r>
        <w:r w:rsidR="008067FE">
          <w:rPr>
            <w:noProof/>
            <w:webHidden/>
          </w:rPr>
          <w:instrText xml:space="preserve"> PAGEREF _Toc32592843 \h </w:instrText>
        </w:r>
        <w:r w:rsidR="008067FE">
          <w:rPr>
            <w:noProof/>
            <w:webHidden/>
          </w:rPr>
        </w:r>
        <w:r w:rsidR="008067FE">
          <w:rPr>
            <w:noProof/>
            <w:webHidden/>
          </w:rPr>
          <w:fldChar w:fldCharType="separate"/>
        </w:r>
        <w:r w:rsidR="00493211">
          <w:rPr>
            <w:noProof/>
            <w:webHidden/>
          </w:rPr>
          <w:t>106</w:t>
        </w:r>
        <w:r w:rsidR="008067FE">
          <w:rPr>
            <w:noProof/>
            <w:webHidden/>
          </w:rPr>
          <w:fldChar w:fldCharType="end"/>
        </w:r>
      </w:hyperlink>
    </w:p>
    <w:p w14:paraId="122AE408" w14:textId="1D2C02A4" w:rsidR="008067FE" w:rsidRDefault="008A603E">
      <w:pPr>
        <w:pStyle w:val="TableofFigures"/>
        <w:tabs>
          <w:tab w:val="right" w:leader="dot" w:pos="9622"/>
        </w:tabs>
        <w:rPr>
          <w:rFonts w:asciiTheme="minorHAnsi" w:eastAsiaTheme="minorEastAsia" w:hAnsiTheme="minorHAnsi" w:cstheme="minorBidi"/>
          <w:noProof/>
          <w:sz w:val="22"/>
          <w:szCs w:val="22"/>
          <w:lang w:eastAsia="en-AU"/>
        </w:rPr>
      </w:pPr>
      <w:hyperlink w:anchor="_Toc32592844" w:history="1">
        <w:r w:rsidR="008067FE" w:rsidRPr="005E030E">
          <w:rPr>
            <w:rStyle w:val="Hyperlink"/>
            <w:noProof/>
          </w:rPr>
          <w:t>Table 61 Proposed Regulations implementation milestones</w:t>
        </w:r>
        <w:r w:rsidR="008067FE">
          <w:rPr>
            <w:noProof/>
            <w:webHidden/>
          </w:rPr>
          <w:tab/>
        </w:r>
        <w:r w:rsidR="008067FE">
          <w:rPr>
            <w:noProof/>
            <w:webHidden/>
          </w:rPr>
          <w:fldChar w:fldCharType="begin"/>
        </w:r>
        <w:r w:rsidR="008067FE">
          <w:rPr>
            <w:noProof/>
            <w:webHidden/>
          </w:rPr>
          <w:instrText xml:space="preserve"> PAGEREF _Toc32592844 \h </w:instrText>
        </w:r>
        <w:r w:rsidR="008067FE">
          <w:rPr>
            <w:noProof/>
            <w:webHidden/>
          </w:rPr>
        </w:r>
        <w:r w:rsidR="008067FE">
          <w:rPr>
            <w:noProof/>
            <w:webHidden/>
          </w:rPr>
          <w:fldChar w:fldCharType="separate"/>
        </w:r>
        <w:r w:rsidR="00493211">
          <w:rPr>
            <w:noProof/>
            <w:webHidden/>
          </w:rPr>
          <w:t>116</w:t>
        </w:r>
        <w:r w:rsidR="008067FE">
          <w:rPr>
            <w:noProof/>
            <w:webHidden/>
          </w:rPr>
          <w:fldChar w:fldCharType="end"/>
        </w:r>
      </w:hyperlink>
    </w:p>
    <w:p w14:paraId="65BC2BD0" w14:textId="1062CAA8" w:rsidR="00E65AE3" w:rsidRDefault="00E65AE3">
      <w:pPr>
        <w:spacing w:after="0"/>
        <w:rPr>
          <w:lang w:val="en-AU"/>
        </w:rPr>
      </w:pPr>
      <w:r>
        <w:rPr>
          <w:lang w:val="en-AU"/>
        </w:rPr>
        <w:fldChar w:fldCharType="end"/>
      </w:r>
    </w:p>
    <w:p w14:paraId="4D907341" w14:textId="49F14944" w:rsidR="00E65AE3" w:rsidRDefault="00E65AE3">
      <w:pPr>
        <w:spacing w:after="0"/>
        <w:rPr>
          <w:rFonts w:asciiTheme="majorHAnsi" w:eastAsiaTheme="majorEastAsia" w:hAnsiTheme="majorHAnsi" w:cstheme="majorBidi"/>
          <w:b/>
          <w:caps/>
          <w:color w:val="004EA8" w:themeColor="accent1"/>
          <w:sz w:val="44"/>
          <w:szCs w:val="32"/>
          <w:lang w:val="en-AU"/>
        </w:rPr>
      </w:pPr>
      <w:r>
        <w:rPr>
          <w:lang w:val="en-AU"/>
        </w:rPr>
        <w:br w:type="page"/>
      </w:r>
    </w:p>
    <w:p w14:paraId="6EC44C93" w14:textId="77777777" w:rsidR="00DA3218" w:rsidRDefault="00DA3218" w:rsidP="003E0DF9">
      <w:pPr>
        <w:pStyle w:val="Heading1"/>
        <w:rPr>
          <w:lang w:val="en-AU"/>
        </w:rPr>
        <w:sectPr w:rsidR="00DA3218" w:rsidSect="00DA3218">
          <w:footerReference w:type="default" r:id="rId16"/>
          <w:pgSz w:w="11900" w:h="16840"/>
          <w:pgMar w:top="1985" w:right="1134" w:bottom="1701" w:left="1134" w:header="709" w:footer="709" w:gutter="0"/>
          <w:cols w:space="708"/>
          <w:docGrid w:linePitch="360"/>
        </w:sectPr>
      </w:pPr>
    </w:p>
    <w:p w14:paraId="3E7080F5" w14:textId="6312387F" w:rsidR="00624A55" w:rsidRPr="00B1683A" w:rsidRDefault="006D34E8" w:rsidP="00B1683A">
      <w:pPr>
        <w:pStyle w:val="Heading1"/>
        <w:numPr>
          <w:ilvl w:val="0"/>
          <w:numId w:val="0"/>
        </w:numPr>
        <w:ind w:left="360" w:hanging="360"/>
      </w:pPr>
      <w:bookmarkStart w:id="1" w:name="_Toc30669591"/>
      <w:bookmarkStart w:id="2" w:name="_Toc32936855"/>
      <w:r w:rsidRPr="00A9443B">
        <w:lastRenderedPageBreak/>
        <w:t>Executive summary</w:t>
      </w:r>
      <w:bookmarkEnd w:id="1"/>
      <w:bookmarkEnd w:id="2"/>
    </w:p>
    <w:p w14:paraId="7D101E54" w14:textId="05926E04" w:rsidR="00624A55" w:rsidRPr="00624A55" w:rsidRDefault="00624A55" w:rsidP="00971B3F">
      <w:pPr>
        <w:pStyle w:val="Intro"/>
        <w:spacing w:after="0"/>
      </w:pPr>
    </w:p>
    <w:p w14:paraId="6E6868DC" w14:textId="32B9CF95" w:rsidR="00624A55" w:rsidRPr="00DD4A32" w:rsidRDefault="006D34E8" w:rsidP="00DD4A32">
      <w:pPr>
        <w:rPr>
          <w:b/>
          <w:lang w:val="en-AU"/>
        </w:rPr>
      </w:pPr>
      <w:r w:rsidRPr="00DD4A32">
        <w:rPr>
          <w:b/>
        </w:rPr>
        <w:t>Background</w:t>
      </w:r>
    </w:p>
    <w:p w14:paraId="1FFB88A0" w14:textId="22A82F36" w:rsidR="006D34E8" w:rsidRPr="006D34E8" w:rsidRDefault="006D34E8" w:rsidP="006D34E8">
      <w:pPr>
        <w:rPr>
          <w:lang w:val="en-AU"/>
        </w:rPr>
      </w:pPr>
      <w:r w:rsidRPr="006D34E8">
        <w:rPr>
          <w:lang w:val="en-AU"/>
        </w:rPr>
        <w:t xml:space="preserve">Children’s services are provided for the benefit of parents and children, are accessed by </w:t>
      </w:r>
      <w:r w:rsidR="00144F68">
        <w:rPr>
          <w:lang w:val="en-AU"/>
        </w:rPr>
        <w:t>many</w:t>
      </w:r>
      <w:r w:rsidRPr="006D34E8">
        <w:rPr>
          <w:lang w:val="en-AU"/>
        </w:rPr>
        <w:t xml:space="preserve"> Victorian families, and are offered in various services and facilities. The distinguishing feature of most children’s services in Victoria is the short-term, irregular nature of care. </w:t>
      </w:r>
    </w:p>
    <w:p w14:paraId="0FB51C33" w14:textId="4A9E9F87" w:rsidR="006D34E8" w:rsidRPr="006D34E8" w:rsidRDefault="00144F68" w:rsidP="006D34E8">
      <w:pPr>
        <w:rPr>
          <w:lang w:val="en-AU"/>
        </w:rPr>
      </w:pPr>
      <w:r>
        <w:rPr>
          <w:lang w:val="en-AU"/>
        </w:rPr>
        <w:t>C</w:t>
      </w:r>
      <w:r w:rsidR="006D34E8" w:rsidRPr="006D34E8">
        <w:rPr>
          <w:lang w:val="en-AU"/>
        </w:rPr>
        <w:t>hildren’s services include occasional care services providing care for limited hours on an ad hoc or casual basis (such as services provided by Neighbourhood Houses), activity groups for three-year-old children, services providing (adjunct) care at sports and leisure facilities, school holidays care services designed to care for children for short periods over the school holidays, short term services such as those provided seasonally by ski resorts, and ‘wrap-around’ care offered in conjunction with sessional kindergarten.</w:t>
      </w:r>
    </w:p>
    <w:p w14:paraId="32077B3D" w14:textId="5E2F2D74" w:rsidR="006D34E8" w:rsidRPr="006D34E8" w:rsidRDefault="00144F68" w:rsidP="006D34E8">
      <w:pPr>
        <w:rPr>
          <w:lang w:val="en-AU"/>
        </w:rPr>
      </w:pPr>
      <w:r>
        <w:rPr>
          <w:lang w:val="en-AU"/>
        </w:rPr>
        <w:t>As at</w:t>
      </w:r>
      <w:r w:rsidR="006D34E8" w:rsidRPr="006D34E8">
        <w:rPr>
          <w:lang w:val="en-AU"/>
        </w:rPr>
        <w:t xml:space="preserve"> December 2019, there were approximately 320 children’s services licensed to provide up to approximately 8,120 approved places </w:t>
      </w:r>
      <w:r w:rsidR="00D651D3">
        <w:rPr>
          <w:lang w:val="en-AU"/>
        </w:rPr>
        <w:t>of education and care</w:t>
      </w:r>
      <w:r w:rsidR="006D34E8" w:rsidRPr="006D34E8">
        <w:rPr>
          <w:lang w:val="en-AU"/>
        </w:rPr>
        <w:t xml:space="preserve">, equating to </w:t>
      </w:r>
      <w:r>
        <w:rPr>
          <w:lang w:val="en-AU"/>
        </w:rPr>
        <w:t>eight per cent</w:t>
      </w:r>
      <w:r w:rsidR="006D34E8" w:rsidRPr="006D34E8">
        <w:rPr>
          <w:lang w:val="en-AU"/>
        </w:rPr>
        <w:t xml:space="preserve"> of early childhood education and care services in Victoria (all other services operate under the National Quality Framework (NQF)). Legislative and regulatory requirements for these services are currently contained in the provisions of the </w:t>
      </w:r>
      <w:r w:rsidR="006D34E8" w:rsidRPr="006D34E8">
        <w:rPr>
          <w:i/>
          <w:lang w:val="en-AU"/>
        </w:rPr>
        <w:t>Children’s Services Act 1996</w:t>
      </w:r>
      <w:r w:rsidR="006D34E8" w:rsidRPr="006D34E8">
        <w:rPr>
          <w:lang w:val="en-AU"/>
        </w:rPr>
        <w:t xml:space="preserve"> </w:t>
      </w:r>
      <w:r>
        <w:rPr>
          <w:lang w:val="en-AU"/>
        </w:rPr>
        <w:t xml:space="preserve">(CS Act) </w:t>
      </w:r>
      <w:r w:rsidR="006D34E8" w:rsidRPr="006D34E8">
        <w:rPr>
          <w:lang w:val="en-AU"/>
        </w:rPr>
        <w:t xml:space="preserve">and the </w:t>
      </w:r>
      <w:r w:rsidR="006D34E8" w:rsidRPr="00D238FF">
        <w:rPr>
          <w:lang w:val="en-AU"/>
        </w:rPr>
        <w:t>Children’s Services Regulations 2009</w:t>
      </w:r>
      <w:r>
        <w:rPr>
          <w:i/>
          <w:lang w:val="en-AU"/>
        </w:rPr>
        <w:t xml:space="preserve"> </w:t>
      </w:r>
      <w:r w:rsidRPr="00144F68">
        <w:rPr>
          <w:lang w:val="en-AU"/>
        </w:rPr>
        <w:t>(made under the CS Act)</w:t>
      </w:r>
      <w:r w:rsidR="006D34E8" w:rsidRPr="006D34E8">
        <w:rPr>
          <w:lang w:val="en-AU"/>
        </w:rPr>
        <w:t xml:space="preserve">, and are regulated by the Victorian </w:t>
      </w:r>
      <w:r w:rsidR="00D651D3">
        <w:rPr>
          <w:lang w:val="en-AU"/>
        </w:rPr>
        <w:t>Government, Department of Education and Training.</w:t>
      </w:r>
    </w:p>
    <w:p w14:paraId="640F9B2A" w14:textId="77777777" w:rsidR="006D34E8" w:rsidRPr="006D34E8" w:rsidRDefault="006D34E8" w:rsidP="006D34E8">
      <w:pPr>
        <w:rPr>
          <w:lang w:val="en-AU"/>
        </w:rPr>
      </w:pPr>
      <w:r w:rsidRPr="006D34E8">
        <w:rPr>
          <w:lang w:val="en-AU"/>
        </w:rPr>
        <w:t>The first major review of the NQF was completed in 2017. The review considered bringing children’s services within the scope of the NQF, but decided against it due to the complexity of transitioning a diverse range of services (nationally) to the NQF.</w:t>
      </w:r>
    </w:p>
    <w:p w14:paraId="45C08974" w14:textId="667A60C8" w:rsidR="006D34E8" w:rsidRPr="006D34E8" w:rsidRDefault="006D34E8" w:rsidP="006D34E8">
      <w:pPr>
        <w:rPr>
          <w:lang w:val="en-AU"/>
        </w:rPr>
      </w:pPr>
      <w:r w:rsidRPr="006D34E8">
        <w:rPr>
          <w:lang w:val="en-AU"/>
        </w:rPr>
        <w:t xml:space="preserve">After this decision, the Victorian Government undertook a reform of the regulatory framework for children’s services to better align it with the NQF (where appropriate) resulting in the </w:t>
      </w:r>
      <w:r w:rsidRPr="006D34E8">
        <w:rPr>
          <w:i/>
          <w:lang w:val="en-AU"/>
        </w:rPr>
        <w:t>Children’s Services Amendment Act 2019</w:t>
      </w:r>
      <w:r w:rsidRPr="006D34E8">
        <w:rPr>
          <w:lang w:val="en-AU"/>
        </w:rPr>
        <w:t xml:space="preserve"> (Amendment Act). </w:t>
      </w:r>
      <w:r w:rsidR="00144F68">
        <w:rPr>
          <w:lang w:val="en-AU"/>
        </w:rPr>
        <w:t>The</w:t>
      </w:r>
      <w:r w:rsidRPr="006D34E8">
        <w:rPr>
          <w:lang w:val="en-AU"/>
        </w:rPr>
        <w:t xml:space="preserve"> key </w:t>
      </w:r>
      <w:r w:rsidR="00144F68">
        <w:rPr>
          <w:lang w:val="en-AU"/>
        </w:rPr>
        <w:t xml:space="preserve">alignment changes made to CS Act by </w:t>
      </w:r>
      <w:r w:rsidRPr="006D34E8">
        <w:rPr>
          <w:lang w:val="en-AU"/>
        </w:rPr>
        <w:t xml:space="preserve">the Amendment Act </w:t>
      </w:r>
      <w:r w:rsidR="00144F68">
        <w:rPr>
          <w:lang w:val="en-AU"/>
        </w:rPr>
        <w:t>are in the areas of</w:t>
      </w:r>
      <w:r w:rsidRPr="006D34E8">
        <w:rPr>
          <w:lang w:val="en-AU"/>
        </w:rPr>
        <w:t>: objectives and guiding principles; terminology and roles of key personnel; provider and service approval processes; compliance, monitoring and enforcement approaches; and educational program requirements. In addition, the current Children’s Services Regulations expire on 18 May 2020 and must be replaced with new regulations by that date.</w:t>
      </w:r>
    </w:p>
    <w:p w14:paraId="1930426E" w14:textId="1E177CF7" w:rsidR="00624A55" w:rsidRPr="00624A55" w:rsidRDefault="006D34E8" w:rsidP="006D34E8">
      <w:pPr>
        <w:rPr>
          <w:lang w:val="en-AU"/>
        </w:rPr>
      </w:pPr>
      <w:r w:rsidRPr="006D34E8">
        <w:rPr>
          <w:lang w:val="en-AU"/>
        </w:rPr>
        <w:t xml:space="preserve">The regulations proposed to be made under the Children’s Service Regulations 2020 provide the operational detail to support the Amendment Act and are now presented for public comment and submission through this Regulatory Impact Statement (RIS). It is intended that the Amendment Act and the new Children’s Services Regulations 2020 will come into effect together </w:t>
      </w:r>
      <w:r w:rsidR="00144F68">
        <w:rPr>
          <w:lang w:val="en-AU"/>
        </w:rPr>
        <w:t>on 17</w:t>
      </w:r>
      <w:r w:rsidR="00144F68" w:rsidRPr="006D34E8">
        <w:rPr>
          <w:lang w:val="en-AU"/>
        </w:rPr>
        <w:t xml:space="preserve"> </w:t>
      </w:r>
      <w:r w:rsidRPr="006D34E8">
        <w:rPr>
          <w:lang w:val="en-AU"/>
        </w:rPr>
        <w:t>May 2020.</w:t>
      </w:r>
    </w:p>
    <w:p w14:paraId="6B714828" w14:textId="6C87A220" w:rsidR="00624A55" w:rsidRPr="00DD4A32" w:rsidRDefault="006D34E8" w:rsidP="0099136F">
      <w:pPr>
        <w:spacing w:before="120"/>
        <w:rPr>
          <w:b/>
        </w:rPr>
      </w:pPr>
      <w:r w:rsidRPr="00DD4A32">
        <w:rPr>
          <w:b/>
        </w:rPr>
        <w:t>Proposed regulations</w:t>
      </w:r>
    </w:p>
    <w:p w14:paraId="76FB9F44" w14:textId="77777777" w:rsidR="006D34E8" w:rsidRPr="006D34E8" w:rsidRDefault="006D34E8" w:rsidP="006D34E8">
      <w:pPr>
        <w:rPr>
          <w:lang w:val="en-AU"/>
        </w:rPr>
      </w:pPr>
      <w:r w:rsidRPr="006D34E8">
        <w:rPr>
          <w:lang w:val="en-AU"/>
        </w:rPr>
        <w:t>Remaking sunsetting regulations safeguards the key benefits of regulating children’s services and assures families utilising children’s services that services are meeting acceptable minimum standards.</w:t>
      </w:r>
    </w:p>
    <w:p w14:paraId="2E19D988" w14:textId="77777777" w:rsidR="006D34E8" w:rsidRPr="006D34E8" w:rsidRDefault="006D34E8" w:rsidP="006D34E8">
      <w:pPr>
        <w:rPr>
          <w:lang w:val="en-AU"/>
        </w:rPr>
      </w:pPr>
      <w:r w:rsidRPr="006D34E8">
        <w:rPr>
          <w:lang w:val="en-AU"/>
        </w:rPr>
        <w:t xml:space="preserve">The </w:t>
      </w:r>
      <w:r w:rsidRPr="00460DFD">
        <w:rPr>
          <w:b/>
          <w:lang w:val="en-AU"/>
        </w:rPr>
        <w:t>objectives</w:t>
      </w:r>
      <w:r w:rsidRPr="006D34E8">
        <w:rPr>
          <w:lang w:val="en-AU"/>
        </w:rPr>
        <w:t xml:space="preserve"> of the proposed regulations are to:</w:t>
      </w:r>
    </w:p>
    <w:p w14:paraId="30BB0A8D" w14:textId="3ED7ABD6" w:rsidR="006D34E8" w:rsidRPr="006D34E8" w:rsidRDefault="006D34E8" w:rsidP="00C01E92">
      <w:pPr>
        <w:pStyle w:val="ListParagraph"/>
        <w:numPr>
          <w:ilvl w:val="0"/>
          <w:numId w:val="5"/>
        </w:numPr>
        <w:rPr>
          <w:lang w:val="en-AU"/>
        </w:rPr>
      </w:pPr>
      <w:r w:rsidRPr="00144F68">
        <w:rPr>
          <w:lang w:val="en-AU"/>
        </w:rPr>
        <w:t>Minimise</w:t>
      </w:r>
      <w:r w:rsidRPr="006D34E8">
        <w:rPr>
          <w:lang w:val="en-AU"/>
        </w:rPr>
        <w:t xml:space="preserve"> the risk of physical, developmental, social or emotional harm to children while they are not in the care of their parents, guardians or families.</w:t>
      </w:r>
    </w:p>
    <w:p w14:paraId="12909C64" w14:textId="0771728A" w:rsidR="006D34E8" w:rsidRPr="006D34E8" w:rsidRDefault="006D34E8" w:rsidP="00C01E92">
      <w:pPr>
        <w:pStyle w:val="ListParagraph"/>
        <w:numPr>
          <w:ilvl w:val="0"/>
          <w:numId w:val="5"/>
        </w:numPr>
        <w:rPr>
          <w:lang w:val="en-AU"/>
        </w:rPr>
      </w:pPr>
      <w:r w:rsidRPr="006D34E8">
        <w:rPr>
          <w:lang w:val="en-AU"/>
        </w:rPr>
        <w:t>Drive improvement in the quality of education and care provided to maximise the development of the child through the provision of appropriate programs and opportunities in the children’s services context.</w:t>
      </w:r>
    </w:p>
    <w:p w14:paraId="50CC61A6" w14:textId="39B46758" w:rsidR="006D34E8" w:rsidRPr="006D34E8" w:rsidRDefault="006D34E8" w:rsidP="00C01E92">
      <w:pPr>
        <w:pStyle w:val="ListParagraph"/>
        <w:numPr>
          <w:ilvl w:val="0"/>
          <w:numId w:val="5"/>
        </w:numPr>
        <w:rPr>
          <w:lang w:val="en-AU"/>
        </w:rPr>
      </w:pPr>
      <w:r w:rsidRPr="006D34E8">
        <w:rPr>
          <w:lang w:val="en-AU"/>
        </w:rPr>
        <w:t>Align (where appropriate) and simplify regulatory arrangements for service providers to ensure more consistent minimum standards and reduce administrative burden.</w:t>
      </w:r>
    </w:p>
    <w:p w14:paraId="4BCAF56C" w14:textId="19FE05AA" w:rsidR="006D34E8" w:rsidRPr="006D34E8" w:rsidRDefault="006D34E8" w:rsidP="006D34E8">
      <w:pPr>
        <w:rPr>
          <w:lang w:val="en-AU"/>
        </w:rPr>
      </w:pPr>
      <w:r w:rsidRPr="006D34E8">
        <w:rPr>
          <w:lang w:val="en-AU"/>
        </w:rPr>
        <w:lastRenderedPageBreak/>
        <w:t>The Secretary of the Department of Education and Training (Department) is the regulator for education and care services and children's services operating in Victoria across both National and Victorian regimes. The functions and powers of the regulatory authority are largely delegated to the Quality Assessment and Regulation Division (QARD) of the Department to enable the administration and enforcement of the regulatory regime.</w:t>
      </w:r>
    </w:p>
    <w:p w14:paraId="4435FB16" w14:textId="77777777" w:rsidR="006D34E8" w:rsidRPr="006D34E8" w:rsidRDefault="006D34E8" w:rsidP="006D34E8">
      <w:pPr>
        <w:rPr>
          <w:lang w:val="en-AU"/>
        </w:rPr>
      </w:pPr>
      <w:r w:rsidRPr="006D34E8">
        <w:rPr>
          <w:lang w:val="en-AU"/>
        </w:rPr>
        <w:t>The proposed regulations will impact on existing and future users and providers of children’s services, and on a range of groups in the community. The RIS presents regulatory options, quantifies the cost of proposed regulations to industry and government, includes economic analysis of costs and benefits, and invites public comment about the proposed regulatory options.</w:t>
      </w:r>
    </w:p>
    <w:p w14:paraId="65EE6670" w14:textId="1680CAB9" w:rsidR="006D34E8" w:rsidRPr="006D34E8" w:rsidRDefault="006D34E8" w:rsidP="006D34E8">
      <w:pPr>
        <w:rPr>
          <w:lang w:val="en-AU"/>
        </w:rPr>
      </w:pPr>
      <w:r w:rsidRPr="006D34E8">
        <w:rPr>
          <w:lang w:val="en-AU"/>
        </w:rPr>
        <w:t xml:space="preserve">The main regulatory proposals fall within the following areas: provider and service approval processes; service types; staffing ratios and qualifications; safety, health and wellbeing of children; </w:t>
      </w:r>
      <w:r w:rsidR="00D238FF">
        <w:rPr>
          <w:lang w:val="en-AU"/>
        </w:rPr>
        <w:t xml:space="preserve">programs for children; </w:t>
      </w:r>
      <w:r w:rsidRPr="006D34E8">
        <w:rPr>
          <w:lang w:val="en-AU"/>
        </w:rPr>
        <w:t>equipment and facilities; policies, procedures and practices; record-keeping; fees; and waivers.</w:t>
      </w:r>
    </w:p>
    <w:p w14:paraId="05DCC2AA" w14:textId="77777777" w:rsidR="006D34E8" w:rsidRPr="006D34E8" w:rsidRDefault="006D34E8" w:rsidP="006D34E8">
      <w:pPr>
        <w:rPr>
          <w:lang w:val="en-AU"/>
        </w:rPr>
      </w:pPr>
      <w:r w:rsidRPr="006D34E8">
        <w:rPr>
          <w:lang w:val="en-AU"/>
        </w:rPr>
        <w:t xml:space="preserve">The proposed regulations will make the following </w:t>
      </w:r>
      <w:r w:rsidRPr="00460DFD">
        <w:rPr>
          <w:b/>
          <w:lang w:val="en-AU"/>
        </w:rPr>
        <w:t>key changes</w:t>
      </w:r>
      <w:r w:rsidRPr="006D34E8">
        <w:rPr>
          <w:lang w:val="en-AU"/>
        </w:rPr>
        <w:t xml:space="preserve"> to the current regulatory system:</w:t>
      </w:r>
    </w:p>
    <w:p w14:paraId="01249D6C" w14:textId="34081735" w:rsidR="006D34E8" w:rsidRPr="006D34E8" w:rsidRDefault="006D34E8" w:rsidP="00EB4514">
      <w:pPr>
        <w:pStyle w:val="ListParagraph"/>
        <w:numPr>
          <w:ilvl w:val="0"/>
          <w:numId w:val="6"/>
        </w:numPr>
        <w:spacing w:before="60" w:after="60"/>
        <w:ind w:left="714" w:hanging="357"/>
        <w:contextualSpacing w:val="0"/>
        <w:rPr>
          <w:lang w:val="en-AU"/>
        </w:rPr>
      </w:pPr>
      <w:r w:rsidRPr="006D34E8">
        <w:rPr>
          <w:lang w:val="en-AU"/>
        </w:rPr>
        <w:t xml:space="preserve">Streamlining the current </w:t>
      </w:r>
      <w:r w:rsidR="00144F68">
        <w:rPr>
          <w:lang w:val="en-AU"/>
        </w:rPr>
        <w:t>seven</w:t>
      </w:r>
      <w:r w:rsidR="00144F68" w:rsidRPr="006D34E8">
        <w:rPr>
          <w:lang w:val="en-AU"/>
        </w:rPr>
        <w:t xml:space="preserve"> </w:t>
      </w:r>
      <w:r w:rsidRPr="006D34E8">
        <w:rPr>
          <w:lang w:val="en-AU"/>
        </w:rPr>
        <w:t xml:space="preserve">licence types into </w:t>
      </w:r>
      <w:r w:rsidR="00144F68">
        <w:rPr>
          <w:lang w:val="en-AU"/>
        </w:rPr>
        <w:t>two</w:t>
      </w:r>
      <w:r w:rsidR="00144F68" w:rsidRPr="006D34E8">
        <w:rPr>
          <w:lang w:val="en-AU"/>
        </w:rPr>
        <w:t xml:space="preserve"> </w:t>
      </w:r>
      <w:r w:rsidRPr="006D34E8">
        <w:rPr>
          <w:lang w:val="en-AU"/>
        </w:rPr>
        <w:t>service types—Occasional Care and Limited Hours.</w:t>
      </w:r>
    </w:p>
    <w:p w14:paraId="74B7EB68" w14:textId="7A0C60DC" w:rsidR="006D34E8" w:rsidRPr="006D34E8" w:rsidRDefault="006D34E8" w:rsidP="00EB4514">
      <w:pPr>
        <w:pStyle w:val="ListParagraph"/>
        <w:numPr>
          <w:ilvl w:val="0"/>
          <w:numId w:val="6"/>
        </w:numPr>
        <w:spacing w:before="60" w:after="60"/>
        <w:ind w:left="714" w:hanging="357"/>
        <w:contextualSpacing w:val="0"/>
        <w:rPr>
          <w:lang w:val="en-AU"/>
        </w:rPr>
      </w:pPr>
      <w:r w:rsidRPr="006D34E8">
        <w:rPr>
          <w:lang w:val="en-AU"/>
        </w:rPr>
        <w:t>Aligning the process for provider and service approval with the NQF (replacing premises approvals and licences) to be more straightforward for new providers entering the market and for existing providers operating under the NQF.</w:t>
      </w:r>
    </w:p>
    <w:p w14:paraId="4ECEF74F" w14:textId="19FFCF77" w:rsidR="006D34E8" w:rsidRPr="006D34E8" w:rsidRDefault="006D34E8" w:rsidP="00EB4514">
      <w:pPr>
        <w:pStyle w:val="ListParagraph"/>
        <w:numPr>
          <w:ilvl w:val="0"/>
          <w:numId w:val="6"/>
        </w:numPr>
        <w:spacing w:before="60" w:after="60"/>
        <w:ind w:left="714" w:hanging="357"/>
        <w:contextualSpacing w:val="0"/>
        <w:rPr>
          <w:lang w:val="en-AU"/>
        </w:rPr>
      </w:pPr>
      <w:r w:rsidRPr="006D34E8">
        <w:rPr>
          <w:lang w:val="en-AU"/>
        </w:rPr>
        <w:t xml:space="preserve">Shifting from periodic licence applications and renewals to perpetual service approvals </w:t>
      </w:r>
      <w:r w:rsidR="00D238FF">
        <w:rPr>
          <w:lang w:val="en-AU"/>
        </w:rPr>
        <w:t xml:space="preserve">(removal of the renewal process) </w:t>
      </w:r>
      <w:r w:rsidRPr="006D34E8">
        <w:rPr>
          <w:lang w:val="en-AU"/>
        </w:rPr>
        <w:t>with an annual service fee to reduce the administrative burden for most providers (providers previously not required to pay some fees, will be required to pay a nominal annual service fee from 1 July 2021).</w:t>
      </w:r>
    </w:p>
    <w:p w14:paraId="74F260BF" w14:textId="428F8DB1" w:rsidR="006D34E8" w:rsidRDefault="006D34E8" w:rsidP="00EB4514">
      <w:pPr>
        <w:pStyle w:val="ListParagraph"/>
        <w:numPr>
          <w:ilvl w:val="0"/>
          <w:numId w:val="6"/>
        </w:numPr>
        <w:spacing w:before="60" w:after="60"/>
        <w:ind w:left="714" w:hanging="357"/>
        <w:contextualSpacing w:val="0"/>
        <w:rPr>
          <w:lang w:val="en-AU"/>
        </w:rPr>
      </w:pPr>
      <w:r w:rsidRPr="006D34E8">
        <w:rPr>
          <w:lang w:val="en-AU"/>
        </w:rPr>
        <w:t>Limited Hours service</w:t>
      </w:r>
      <w:r w:rsidR="00A20B35">
        <w:rPr>
          <w:lang w:val="en-AU"/>
        </w:rPr>
        <w:t xml:space="preserve"> approval</w:t>
      </w:r>
      <w:r w:rsidRPr="006D34E8">
        <w:rPr>
          <w:lang w:val="en-AU"/>
        </w:rPr>
        <w:t xml:space="preserve"> types will benefit from slightly longer hours (</w:t>
      </w:r>
      <w:r w:rsidR="00A20B35">
        <w:rPr>
          <w:lang w:val="en-AU"/>
        </w:rPr>
        <w:t xml:space="preserve">i.e. services that care </w:t>
      </w:r>
      <w:r w:rsidR="00A20B35" w:rsidRPr="003311A9">
        <w:rPr>
          <w:rFonts w:cstheme="minorHAnsi"/>
        </w:rPr>
        <w:t>for each child for not more than 3 hours per day, for up to 6 hours per week</w:t>
      </w:r>
      <w:r w:rsidRPr="006D34E8">
        <w:rPr>
          <w:lang w:val="en-AU"/>
        </w:rPr>
        <w:t>) and may do so without Diploma qualified staff members.</w:t>
      </w:r>
    </w:p>
    <w:p w14:paraId="1176716E" w14:textId="5033B582" w:rsidR="006D34E8" w:rsidRPr="006D34E8" w:rsidRDefault="006D34E8" w:rsidP="00EB4514">
      <w:pPr>
        <w:pStyle w:val="ListParagraph"/>
        <w:numPr>
          <w:ilvl w:val="0"/>
          <w:numId w:val="6"/>
        </w:numPr>
        <w:spacing w:before="60" w:after="60"/>
        <w:ind w:left="714" w:hanging="357"/>
        <w:contextualSpacing w:val="0"/>
        <w:rPr>
          <w:lang w:val="en-AU"/>
        </w:rPr>
      </w:pPr>
      <w:r w:rsidRPr="006D34E8">
        <w:rPr>
          <w:lang w:val="en-AU"/>
        </w:rPr>
        <w:t>Outdoor space for children will be required for Occasional Care service types, and not for Limited Hours service types. Where the increased outdoor space requirement cannot be met</w:t>
      </w:r>
      <w:r w:rsidR="00D238FF" w:rsidRPr="00D238FF">
        <w:rPr>
          <w:lang w:val="en-AU"/>
        </w:rPr>
        <w:t xml:space="preserve"> </w:t>
      </w:r>
      <w:r w:rsidR="00D238FF">
        <w:rPr>
          <w:lang w:val="en-AU"/>
        </w:rPr>
        <w:t>by existing services</w:t>
      </w:r>
      <w:r w:rsidRPr="006D34E8">
        <w:rPr>
          <w:lang w:val="en-AU"/>
        </w:rPr>
        <w:t>, savings provisions allow services to continue to operate.</w:t>
      </w:r>
    </w:p>
    <w:p w14:paraId="07EA4E20" w14:textId="234CFEDB" w:rsidR="006D34E8" w:rsidRPr="006D34E8" w:rsidRDefault="006D34E8" w:rsidP="00EB4514">
      <w:pPr>
        <w:pStyle w:val="ListParagraph"/>
        <w:numPr>
          <w:ilvl w:val="0"/>
          <w:numId w:val="6"/>
        </w:numPr>
        <w:spacing w:before="60" w:after="60"/>
        <w:ind w:left="714" w:hanging="357"/>
        <w:contextualSpacing w:val="0"/>
        <w:rPr>
          <w:lang w:val="en-AU"/>
        </w:rPr>
      </w:pPr>
      <w:r w:rsidRPr="006D34E8">
        <w:rPr>
          <w:lang w:val="en-AU"/>
        </w:rPr>
        <w:t>Staff-to-child ratios will be strengthened to align with the NQF. This will have a cost impact on some services</w:t>
      </w:r>
      <w:r w:rsidR="00144F68">
        <w:rPr>
          <w:lang w:val="en-AU"/>
        </w:rPr>
        <w:t>. H</w:t>
      </w:r>
      <w:r w:rsidRPr="006D34E8">
        <w:rPr>
          <w:lang w:val="en-AU"/>
        </w:rPr>
        <w:t>owever, the introduction of ‘actively working towards’ and ‘</w:t>
      </w:r>
      <w:r w:rsidR="00144F68">
        <w:rPr>
          <w:lang w:val="en-AU"/>
        </w:rPr>
        <w:t>three</w:t>
      </w:r>
      <w:r w:rsidRPr="006D34E8">
        <w:rPr>
          <w:lang w:val="en-AU"/>
        </w:rPr>
        <w:t>-month probationary period’ allowances for staff has the potential to reduce costs to providers and support meeting ratios and qualification requirements</w:t>
      </w:r>
      <w:r w:rsidR="00D238FF">
        <w:rPr>
          <w:lang w:val="en-AU"/>
        </w:rPr>
        <w:t xml:space="preserve"> by allowing students to be counted in ratios</w:t>
      </w:r>
      <w:r w:rsidRPr="006D34E8">
        <w:rPr>
          <w:lang w:val="en-AU"/>
        </w:rPr>
        <w:t>.</w:t>
      </w:r>
    </w:p>
    <w:p w14:paraId="42C3C7D7" w14:textId="78959A63" w:rsidR="006D34E8" w:rsidRPr="006D34E8" w:rsidRDefault="006D34E8" w:rsidP="00EB4514">
      <w:pPr>
        <w:pStyle w:val="ListParagraph"/>
        <w:numPr>
          <w:ilvl w:val="0"/>
          <w:numId w:val="6"/>
        </w:numPr>
        <w:spacing w:before="60" w:after="60"/>
        <w:ind w:left="714" w:hanging="357"/>
        <w:contextualSpacing w:val="0"/>
        <w:rPr>
          <w:lang w:val="en-AU"/>
        </w:rPr>
      </w:pPr>
      <w:r w:rsidRPr="006D34E8">
        <w:rPr>
          <w:lang w:val="en-AU"/>
        </w:rPr>
        <w:t xml:space="preserve">Reducing the </w:t>
      </w:r>
      <w:r w:rsidR="00144F68">
        <w:rPr>
          <w:lang w:val="en-AU"/>
        </w:rPr>
        <w:t>two</w:t>
      </w:r>
      <w:r w:rsidRPr="006D34E8">
        <w:rPr>
          <w:lang w:val="en-AU"/>
        </w:rPr>
        <w:t xml:space="preserve"> staff member minimum requirement (for most services) to </w:t>
      </w:r>
      <w:r w:rsidR="00144F68">
        <w:rPr>
          <w:lang w:val="en-AU"/>
        </w:rPr>
        <w:t>one</w:t>
      </w:r>
      <w:r w:rsidRPr="006D34E8">
        <w:rPr>
          <w:lang w:val="en-AU"/>
        </w:rPr>
        <w:t xml:space="preserve"> staff member, and requiring only </w:t>
      </w:r>
      <w:r w:rsidR="00144F68">
        <w:rPr>
          <w:lang w:val="en-AU"/>
        </w:rPr>
        <w:t>one</w:t>
      </w:r>
      <w:r w:rsidRPr="006D34E8">
        <w:rPr>
          <w:lang w:val="en-AU"/>
        </w:rPr>
        <w:t xml:space="preserve"> staff member on duty to hold first aid and other relevant training (as opposed to all staff) provides for clearer responsibility and less onerous minimum requirements.</w:t>
      </w:r>
    </w:p>
    <w:p w14:paraId="6BD64F01" w14:textId="1CEFB459" w:rsidR="006D34E8" w:rsidRPr="006D34E8" w:rsidRDefault="006D34E8" w:rsidP="00EB4514">
      <w:pPr>
        <w:pStyle w:val="ListParagraph"/>
        <w:numPr>
          <w:ilvl w:val="0"/>
          <w:numId w:val="6"/>
        </w:numPr>
        <w:spacing w:before="60" w:after="60"/>
        <w:ind w:left="714" w:hanging="357"/>
        <w:contextualSpacing w:val="0"/>
        <w:rPr>
          <w:lang w:val="en-AU"/>
        </w:rPr>
      </w:pPr>
      <w:r w:rsidRPr="006D34E8">
        <w:rPr>
          <w:lang w:val="en-AU"/>
        </w:rPr>
        <w:t>Changing the number and structure of fees paid to align with the NQF will see costs rise for some services and remain much the same or less for others. This proposed change will have the greatest impact on new services entering the market, with the annual service fee payable on invoice, for all services.</w:t>
      </w:r>
    </w:p>
    <w:p w14:paraId="17A1D9A5" w14:textId="6112013E" w:rsidR="006D34E8" w:rsidRPr="006D34E8" w:rsidRDefault="006D34E8" w:rsidP="00EB4514">
      <w:pPr>
        <w:pStyle w:val="ListParagraph"/>
        <w:numPr>
          <w:ilvl w:val="0"/>
          <w:numId w:val="6"/>
        </w:numPr>
        <w:spacing w:before="60" w:after="60"/>
        <w:ind w:left="714" w:hanging="357"/>
        <w:contextualSpacing w:val="0"/>
        <w:rPr>
          <w:lang w:val="en-AU"/>
        </w:rPr>
      </w:pPr>
      <w:r w:rsidRPr="006D34E8">
        <w:rPr>
          <w:lang w:val="en-AU"/>
        </w:rPr>
        <w:t>Introducing the application for service waivers provides flexibility for existing services that may not be able to meet requirements.</w:t>
      </w:r>
    </w:p>
    <w:p w14:paraId="37274138" w14:textId="473B8D2A" w:rsidR="006D34E8" w:rsidRPr="006D34E8" w:rsidRDefault="006D34E8" w:rsidP="00EB4514">
      <w:pPr>
        <w:pStyle w:val="ListParagraph"/>
        <w:numPr>
          <w:ilvl w:val="0"/>
          <w:numId w:val="6"/>
        </w:numPr>
        <w:spacing w:before="60" w:after="60"/>
        <w:ind w:left="714" w:hanging="357"/>
        <w:contextualSpacing w:val="0"/>
        <w:rPr>
          <w:lang w:val="en-AU"/>
        </w:rPr>
      </w:pPr>
      <w:r w:rsidRPr="006D34E8">
        <w:rPr>
          <w:lang w:val="en-AU"/>
        </w:rPr>
        <w:t>Additional policies, procedures and practices to align to the NQF and reflect contemporary early childhood practice, the child safe standards and approved learning frameworks. Services will have until 1 January 2021 to develop new policies and procedures.</w:t>
      </w:r>
    </w:p>
    <w:p w14:paraId="77FDD69C" w14:textId="37DB03A8" w:rsidR="006D34E8" w:rsidRPr="006D34E8" w:rsidRDefault="006D34E8" w:rsidP="00EB4514">
      <w:pPr>
        <w:pStyle w:val="ListParagraph"/>
        <w:numPr>
          <w:ilvl w:val="0"/>
          <w:numId w:val="6"/>
        </w:numPr>
        <w:spacing w:before="60" w:after="60"/>
        <w:ind w:left="714" w:hanging="357"/>
        <w:contextualSpacing w:val="0"/>
        <w:rPr>
          <w:lang w:val="en-AU"/>
        </w:rPr>
      </w:pPr>
      <w:r w:rsidRPr="006D34E8">
        <w:rPr>
          <w:lang w:val="en-AU"/>
        </w:rPr>
        <w:lastRenderedPageBreak/>
        <w:t>For existing services, savings provisions for the period of the new regulations will apply, and transitional arrangements will give services time to adjust</w:t>
      </w:r>
      <w:r w:rsidR="00D238FF">
        <w:rPr>
          <w:lang w:val="en-AU"/>
        </w:rPr>
        <w:t xml:space="preserve"> to new requirements, and must be</w:t>
      </w:r>
      <w:r w:rsidR="00D238FF" w:rsidRPr="006D34E8">
        <w:rPr>
          <w:lang w:val="en-AU"/>
        </w:rPr>
        <w:t xml:space="preserve"> </w:t>
      </w:r>
      <w:r w:rsidRPr="006D34E8">
        <w:rPr>
          <w:lang w:val="en-AU"/>
        </w:rPr>
        <w:t>met by 1 January 2022.</w:t>
      </w:r>
    </w:p>
    <w:p w14:paraId="601F13A2" w14:textId="4DD7C0B9" w:rsidR="006D34E8" w:rsidRPr="006D34E8" w:rsidRDefault="006D34E8" w:rsidP="006D34E8">
      <w:pPr>
        <w:rPr>
          <w:lang w:val="en-AU"/>
        </w:rPr>
      </w:pPr>
      <w:r w:rsidRPr="006D34E8">
        <w:rPr>
          <w:lang w:val="en-AU"/>
        </w:rPr>
        <w:t>Overall, under the proposal, regulatory arrangements for service providers would be simplified, ensuring a more consistent minimum standard across both regulatory regimes. Many operational requirements for children’s services would remain broadly the same, while some would increase. Simultaneously, greater flexibility is offered for services in meeting the requirements.</w:t>
      </w:r>
    </w:p>
    <w:p w14:paraId="48708ADA" w14:textId="48B36729" w:rsidR="006D34E8" w:rsidRDefault="006D34E8" w:rsidP="006D34E8">
      <w:pPr>
        <w:rPr>
          <w:lang w:val="en-AU"/>
        </w:rPr>
      </w:pPr>
      <w:r w:rsidRPr="00A30B4D">
        <w:rPr>
          <w:lang w:val="en-AU"/>
        </w:rPr>
        <w:t>A summary table comparing the current and proposed regulations (with associated transition</w:t>
      </w:r>
      <w:r w:rsidR="00D238FF">
        <w:rPr>
          <w:lang w:val="en-AU"/>
        </w:rPr>
        <w:t xml:space="preserve">al, </w:t>
      </w:r>
      <w:r w:rsidRPr="00A30B4D">
        <w:rPr>
          <w:lang w:val="en-AU"/>
        </w:rPr>
        <w:t xml:space="preserve">savings </w:t>
      </w:r>
      <w:r w:rsidR="00D238FF">
        <w:rPr>
          <w:lang w:val="en-AU"/>
        </w:rPr>
        <w:t xml:space="preserve">provisions </w:t>
      </w:r>
      <w:r w:rsidRPr="00A30B4D">
        <w:rPr>
          <w:lang w:val="en-AU"/>
        </w:rPr>
        <w:t xml:space="preserve">and benefits) is shown in Appendix </w:t>
      </w:r>
      <w:r w:rsidR="00460DFD" w:rsidRPr="00A30B4D">
        <w:rPr>
          <w:lang w:val="en-AU"/>
        </w:rPr>
        <w:t>10.1</w:t>
      </w:r>
      <w:r w:rsidRPr="00A30B4D">
        <w:rPr>
          <w:lang w:val="en-AU"/>
        </w:rPr>
        <w:t xml:space="preserve"> of this RIS and should be viewed in conjunction with the Children’s Services Regulations 2020 Exposure Draft.</w:t>
      </w:r>
    </w:p>
    <w:p w14:paraId="50E35C68" w14:textId="77777777" w:rsidR="006D34E8" w:rsidRPr="00DD4A32" w:rsidRDefault="006D34E8" w:rsidP="0099136F">
      <w:pPr>
        <w:spacing w:before="120"/>
        <w:rPr>
          <w:b/>
        </w:rPr>
      </w:pPr>
      <w:r w:rsidRPr="00DD4A32">
        <w:rPr>
          <w:b/>
        </w:rPr>
        <w:t>Alternatives to the proposal</w:t>
      </w:r>
    </w:p>
    <w:p w14:paraId="5A1B796E" w14:textId="4B426DE3" w:rsidR="00D238FF" w:rsidRDefault="006D34E8" w:rsidP="006D34E8">
      <w:pPr>
        <w:rPr>
          <w:lang w:val="en-AU"/>
        </w:rPr>
      </w:pPr>
      <w:r w:rsidRPr="006D34E8">
        <w:rPr>
          <w:lang w:val="en-AU"/>
        </w:rPr>
        <w:t>The RIS discusses a number of options</w:t>
      </w:r>
      <w:r w:rsidR="00D238FF" w:rsidRPr="00D238FF">
        <w:rPr>
          <w:lang w:val="en-AU"/>
        </w:rPr>
        <w:t xml:space="preserve"> for each area of the regulations (e.g. provider and service approval process; service types; staffing ratios and qualifications; safety, health and wellbeing of children; </w:t>
      </w:r>
      <w:r w:rsidR="00E4782D">
        <w:rPr>
          <w:lang w:val="en-AU"/>
        </w:rPr>
        <w:t xml:space="preserve">programs for children; </w:t>
      </w:r>
      <w:r w:rsidR="00D238FF" w:rsidRPr="00D238FF">
        <w:rPr>
          <w:lang w:val="en-AU"/>
        </w:rPr>
        <w:t>equipment and facilities; policies, procedures and practices; record-keeping; fees; and waivers)</w:t>
      </w:r>
      <w:r w:rsidR="00D238FF">
        <w:rPr>
          <w:lang w:val="en-AU"/>
        </w:rPr>
        <w:t xml:space="preserve"> as follows</w:t>
      </w:r>
      <w:r w:rsidRPr="006D34E8">
        <w:rPr>
          <w:lang w:val="en-AU"/>
        </w:rPr>
        <w:t xml:space="preserve">: </w:t>
      </w:r>
    </w:p>
    <w:p w14:paraId="644B5ECC" w14:textId="77777777" w:rsidR="00D238FF" w:rsidRDefault="006D34E8" w:rsidP="002806C5">
      <w:pPr>
        <w:pStyle w:val="ListParagraph"/>
        <w:numPr>
          <w:ilvl w:val="0"/>
          <w:numId w:val="101"/>
        </w:numPr>
        <w:rPr>
          <w:lang w:val="en-AU"/>
        </w:rPr>
      </w:pPr>
      <w:r w:rsidRPr="00D238FF">
        <w:rPr>
          <w:lang w:val="en-AU"/>
        </w:rPr>
        <w:t>consideration of no regulations (</w:t>
      </w:r>
      <w:r w:rsidRPr="00E4782D">
        <w:rPr>
          <w:b/>
          <w:lang w:val="en-AU"/>
        </w:rPr>
        <w:t>Base Case</w:t>
      </w:r>
      <w:r w:rsidRPr="00D238FF">
        <w:rPr>
          <w:lang w:val="en-AU"/>
        </w:rPr>
        <w:t xml:space="preserve">); </w:t>
      </w:r>
    </w:p>
    <w:p w14:paraId="62113251" w14:textId="77777777" w:rsidR="00D238FF" w:rsidRDefault="006D34E8" w:rsidP="002806C5">
      <w:pPr>
        <w:pStyle w:val="ListParagraph"/>
        <w:numPr>
          <w:ilvl w:val="0"/>
          <w:numId w:val="101"/>
        </w:numPr>
        <w:rPr>
          <w:lang w:val="en-AU"/>
        </w:rPr>
      </w:pPr>
      <w:r w:rsidRPr="00D238FF">
        <w:rPr>
          <w:lang w:val="en-AU"/>
        </w:rPr>
        <w:t>retaining the existing regulations (</w:t>
      </w:r>
      <w:r w:rsidRPr="00E4782D">
        <w:rPr>
          <w:b/>
          <w:lang w:val="en-AU"/>
        </w:rPr>
        <w:t>Status Quo</w:t>
      </w:r>
      <w:r w:rsidRPr="00D238FF">
        <w:rPr>
          <w:lang w:val="en-AU"/>
        </w:rPr>
        <w:t xml:space="preserve">); and </w:t>
      </w:r>
    </w:p>
    <w:p w14:paraId="347397CD" w14:textId="5EA72057" w:rsidR="00D238FF" w:rsidRPr="00D238FF" w:rsidRDefault="006D34E8" w:rsidP="002806C5">
      <w:pPr>
        <w:pStyle w:val="ListParagraph"/>
        <w:numPr>
          <w:ilvl w:val="0"/>
          <w:numId w:val="101"/>
        </w:numPr>
        <w:rPr>
          <w:lang w:val="en-AU"/>
        </w:rPr>
      </w:pPr>
      <w:proofErr w:type="gramStart"/>
      <w:r w:rsidRPr="00D238FF">
        <w:rPr>
          <w:lang w:val="en-AU"/>
        </w:rPr>
        <w:t>alignment</w:t>
      </w:r>
      <w:proofErr w:type="gramEnd"/>
      <w:r w:rsidRPr="00D238FF">
        <w:rPr>
          <w:lang w:val="en-AU"/>
        </w:rPr>
        <w:t xml:space="preserve"> to the NQF, where appropriate (</w:t>
      </w:r>
      <w:r w:rsidRPr="00E4782D">
        <w:rPr>
          <w:b/>
          <w:lang w:val="en-AU"/>
        </w:rPr>
        <w:t>Alignment</w:t>
      </w:r>
      <w:r w:rsidR="00E548CB">
        <w:rPr>
          <w:lang w:val="en-AU"/>
        </w:rPr>
        <w:t>).</w:t>
      </w:r>
    </w:p>
    <w:p w14:paraId="3D5CD09B" w14:textId="0BAA6A60" w:rsidR="006D34E8" w:rsidRPr="00D238FF" w:rsidRDefault="006D34E8" w:rsidP="00D238FF">
      <w:pPr>
        <w:rPr>
          <w:lang w:val="en-AU"/>
        </w:rPr>
      </w:pPr>
      <w:r w:rsidRPr="00D238FF">
        <w:rPr>
          <w:lang w:val="en-AU"/>
        </w:rPr>
        <w:t xml:space="preserve">In addition, non-regulatory alternatives such as public information and education campaigns </w:t>
      </w:r>
      <w:r w:rsidR="006843E3">
        <w:rPr>
          <w:lang w:val="en-AU"/>
        </w:rPr>
        <w:t xml:space="preserve">or </w:t>
      </w:r>
      <w:r w:rsidRPr="00D238FF">
        <w:rPr>
          <w:lang w:val="en-AU"/>
        </w:rPr>
        <w:t>sector adoption of a voluntary code of practice are presented.</w:t>
      </w:r>
    </w:p>
    <w:p w14:paraId="64767FA2" w14:textId="2CBBA772" w:rsidR="006D34E8" w:rsidRDefault="006D34E8" w:rsidP="006D34E8">
      <w:pPr>
        <w:rPr>
          <w:lang w:val="en-AU"/>
        </w:rPr>
      </w:pPr>
      <w:r w:rsidRPr="006D34E8">
        <w:rPr>
          <w:lang w:val="en-AU"/>
        </w:rPr>
        <w:t>While these alternatives could be considered, there are significant barriers to the feasibility of their practical implementation and they are unlikely to achieve legislative objectives. To that end, they are utilised in this RIS as a point of comparison to the preferred option or applied as tools to support implementation of proposed changes.</w:t>
      </w:r>
    </w:p>
    <w:p w14:paraId="52B6BE92" w14:textId="77777777" w:rsidR="006D34E8" w:rsidRPr="00460DFD" w:rsidRDefault="006D34E8" w:rsidP="0099136F">
      <w:pPr>
        <w:spacing w:before="120"/>
        <w:rPr>
          <w:b/>
        </w:rPr>
      </w:pPr>
      <w:r w:rsidRPr="00460DFD">
        <w:rPr>
          <w:b/>
        </w:rPr>
        <w:t>Comparison of benefits and costs</w:t>
      </w:r>
    </w:p>
    <w:p w14:paraId="2B386925" w14:textId="1D10FF30" w:rsidR="00676EF7" w:rsidRDefault="006D34E8" w:rsidP="006D34E8">
      <w:pPr>
        <w:pStyle w:val="EYBodytextwithparaspace"/>
        <w:spacing w:before="120" w:after="120"/>
        <w:rPr>
          <w:rFonts w:asciiTheme="minorHAnsi" w:eastAsiaTheme="minorHAnsi" w:hAnsiTheme="minorHAnsi" w:cstheme="minorBidi"/>
          <w:sz w:val="22"/>
          <w:szCs w:val="24"/>
        </w:rPr>
      </w:pPr>
      <w:r w:rsidRPr="006D34E8">
        <w:rPr>
          <w:rFonts w:asciiTheme="minorHAnsi" w:eastAsiaTheme="minorHAnsi" w:hAnsiTheme="minorHAnsi" w:cstheme="minorBidi"/>
          <w:sz w:val="22"/>
          <w:szCs w:val="24"/>
        </w:rPr>
        <w:t xml:space="preserve">The proposed regulations are expected to slightly decrease the cost of provision of children’s services by approximately $10 million in net present value terms over 10 years, representing a decrease of 4.19% on the expected cost of service provision; based on the assumption of continued current regulatory standards (Status Quo) as </w:t>
      </w:r>
      <w:r w:rsidR="00AA6603">
        <w:rPr>
          <w:rFonts w:asciiTheme="minorHAnsi" w:eastAsiaTheme="minorHAnsi" w:hAnsiTheme="minorHAnsi" w:cstheme="minorBidi"/>
          <w:sz w:val="22"/>
          <w:szCs w:val="24"/>
        </w:rPr>
        <w:t>summarised</w:t>
      </w:r>
      <w:r w:rsidRPr="006D34E8">
        <w:rPr>
          <w:rFonts w:asciiTheme="minorHAnsi" w:eastAsiaTheme="minorHAnsi" w:hAnsiTheme="minorHAnsi" w:cstheme="minorBidi"/>
          <w:sz w:val="22"/>
          <w:szCs w:val="24"/>
        </w:rPr>
        <w:t xml:space="preserve"> in the tables below.</w:t>
      </w:r>
    </w:p>
    <w:tbl>
      <w:tblPr>
        <w:tblStyle w:val="TableGrid"/>
        <w:tblW w:w="9209" w:type="dxa"/>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ayout w:type="fixed"/>
        <w:tblLook w:val="04A0" w:firstRow="1" w:lastRow="0" w:firstColumn="1" w:lastColumn="0" w:noHBand="0" w:noVBand="1"/>
      </w:tblPr>
      <w:tblGrid>
        <w:gridCol w:w="2828"/>
        <w:gridCol w:w="1595"/>
        <w:gridCol w:w="1595"/>
        <w:gridCol w:w="1595"/>
        <w:gridCol w:w="1596"/>
      </w:tblGrid>
      <w:tr w:rsidR="00676EF7" w:rsidRPr="001A7375" w14:paraId="672737A4" w14:textId="77777777" w:rsidTr="00AA6603">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828" w:type="dxa"/>
            <w:tcBorders>
              <w:right w:val="none" w:sz="0" w:space="0" w:color="auto"/>
            </w:tcBorders>
            <w:noWrap/>
            <w:hideMark/>
          </w:tcPr>
          <w:p w14:paraId="1DBDD911" w14:textId="5F24DB75" w:rsidR="00676EF7" w:rsidRPr="001A7375" w:rsidRDefault="00A30B4D" w:rsidP="00A30B4D">
            <w:pPr>
              <w:spacing w:after="60"/>
              <w:rPr>
                <w:rFonts w:cs="Calibri"/>
                <w:szCs w:val="22"/>
                <w:lang w:eastAsia="en-AU"/>
              </w:rPr>
            </w:pPr>
            <w:r w:rsidRPr="001A7375">
              <w:rPr>
                <w:rFonts w:cs="Arial"/>
                <w:szCs w:val="22"/>
              </w:rPr>
              <w:t>Overall cost per service</w:t>
            </w:r>
          </w:p>
        </w:tc>
        <w:tc>
          <w:tcPr>
            <w:tcW w:w="1595" w:type="dxa"/>
            <w:tcBorders>
              <w:left w:val="none" w:sz="0" w:space="0" w:color="auto"/>
              <w:right w:val="none" w:sz="0" w:space="0" w:color="auto"/>
            </w:tcBorders>
            <w:noWrap/>
            <w:hideMark/>
          </w:tcPr>
          <w:p w14:paraId="173D1807" w14:textId="77777777" w:rsidR="00676EF7" w:rsidRPr="001A7375" w:rsidRDefault="00676EF7" w:rsidP="00D82D23">
            <w:pPr>
              <w:spacing w:after="60"/>
              <w:jc w:val="right"/>
              <w:cnfStyle w:val="100000000000" w:firstRow="1" w:lastRow="0" w:firstColumn="0" w:lastColumn="0" w:oddVBand="0" w:evenVBand="0" w:oddHBand="0" w:evenHBand="0" w:firstRowFirstColumn="0" w:firstRowLastColumn="0" w:lastRowFirstColumn="0" w:lastRowLastColumn="0"/>
              <w:rPr>
                <w:rFonts w:cs="Calibri"/>
                <w:szCs w:val="22"/>
                <w:lang w:eastAsia="en-AU"/>
              </w:rPr>
            </w:pPr>
            <w:r w:rsidRPr="001A7375">
              <w:rPr>
                <w:rFonts w:cs="Calibri"/>
                <w:szCs w:val="22"/>
                <w:lang w:eastAsia="en-AU"/>
              </w:rPr>
              <w:t>Current</w:t>
            </w:r>
          </w:p>
        </w:tc>
        <w:tc>
          <w:tcPr>
            <w:tcW w:w="1595" w:type="dxa"/>
            <w:tcBorders>
              <w:left w:val="none" w:sz="0" w:space="0" w:color="auto"/>
              <w:right w:val="none" w:sz="0" w:space="0" w:color="auto"/>
            </w:tcBorders>
            <w:noWrap/>
            <w:hideMark/>
          </w:tcPr>
          <w:p w14:paraId="1DCF7686" w14:textId="77777777" w:rsidR="00676EF7" w:rsidRPr="001A7375" w:rsidRDefault="00676EF7" w:rsidP="00D82D23">
            <w:pPr>
              <w:spacing w:after="60"/>
              <w:jc w:val="right"/>
              <w:cnfStyle w:val="100000000000" w:firstRow="1" w:lastRow="0" w:firstColumn="0" w:lastColumn="0" w:oddVBand="0" w:evenVBand="0" w:oddHBand="0" w:evenHBand="0" w:firstRowFirstColumn="0" w:firstRowLastColumn="0" w:lastRowFirstColumn="0" w:lastRowLastColumn="0"/>
              <w:rPr>
                <w:rFonts w:cs="Calibri"/>
                <w:szCs w:val="22"/>
                <w:lang w:eastAsia="en-AU"/>
              </w:rPr>
            </w:pPr>
            <w:r w:rsidRPr="001A7375">
              <w:rPr>
                <w:rFonts w:cs="Calibri"/>
                <w:szCs w:val="22"/>
                <w:lang w:eastAsia="en-AU"/>
              </w:rPr>
              <w:t>Proposed</w:t>
            </w:r>
          </w:p>
        </w:tc>
        <w:tc>
          <w:tcPr>
            <w:tcW w:w="1595" w:type="dxa"/>
            <w:tcBorders>
              <w:left w:val="none" w:sz="0" w:space="0" w:color="auto"/>
              <w:right w:val="none" w:sz="0" w:space="0" w:color="auto"/>
            </w:tcBorders>
            <w:noWrap/>
            <w:hideMark/>
          </w:tcPr>
          <w:p w14:paraId="3B02AC13" w14:textId="77777777" w:rsidR="00676EF7" w:rsidRPr="001A7375" w:rsidRDefault="00676EF7" w:rsidP="00D82D23">
            <w:pPr>
              <w:spacing w:after="60"/>
              <w:jc w:val="right"/>
              <w:cnfStyle w:val="100000000000" w:firstRow="1" w:lastRow="0" w:firstColumn="0" w:lastColumn="0" w:oddVBand="0" w:evenVBand="0" w:oddHBand="0" w:evenHBand="0" w:firstRowFirstColumn="0" w:firstRowLastColumn="0" w:lastRowFirstColumn="0" w:lastRowLastColumn="0"/>
              <w:rPr>
                <w:rFonts w:cs="Calibri"/>
                <w:szCs w:val="22"/>
                <w:lang w:eastAsia="en-AU"/>
              </w:rPr>
            </w:pPr>
            <w:r w:rsidRPr="001A7375">
              <w:rPr>
                <w:rFonts w:cs="Calibri"/>
                <w:szCs w:val="22"/>
                <w:lang w:eastAsia="en-AU"/>
              </w:rPr>
              <w:t>$ Difference</w:t>
            </w:r>
          </w:p>
        </w:tc>
        <w:tc>
          <w:tcPr>
            <w:tcW w:w="1596" w:type="dxa"/>
            <w:tcBorders>
              <w:left w:val="none" w:sz="0" w:space="0" w:color="auto"/>
            </w:tcBorders>
            <w:noWrap/>
            <w:hideMark/>
          </w:tcPr>
          <w:p w14:paraId="709033FC" w14:textId="77777777" w:rsidR="00676EF7" w:rsidRPr="001A7375" w:rsidRDefault="00676EF7" w:rsidP="00D82D23">
            <w:pPr>
              <w:spacing w:after="60"/>
              <w:jc w:val="right"/>
              <w:cnfStyle w:val="100000000000" w:firstRow="1" w:lastRow="0" w:firstColumn="0" w:lastColumn="0" w:oddVBand="0" w:evenVBand="0" w:oddHBand="0" w:evenHBand="0" w:firstRowFirstColumn="0" w:firstRowLastColumn="0" w:lastRowFirstColumn="0" w:lastRowLastColumn="0"/>
              <w:rPr>
                <w:rFonts w:cs="Calibri"/>
                <w:szCs w:val="22"/>
                <w:lang w:eastAsia="en-AU"/>
              </w:rPr>
            </w:pPr>
            <w:r w:rsidRPr="001A7375">
              <w:rPr>
                <w:rFonts w:cs="Calibri"/>
                <w:szCs w:val="22"/>
                <w:lang w:eastAsia="en-AU"/>
              </w:rPr>
              <w:t>% Difference</w:t>
            </w:r>
          </w:p>
        </w:tc>
      </w:tr>
      <w:tr w:rsidR="00676EF7" w:rsidRPr="001A7375" w14:paraId="6AEC65E7" w14:textId="77777777" w:rsidTr="00AA6603">
        <w:trPr>
          <w:trHeight w:val="281"/>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68E7A66" w14:textId="2EB9B3F6" w:rsidR="00676EF7" w:rsidRPr="001A7375" w:rsidRDefault="00676EF7" w:rsidP="00DD369C">
            <w:pPr>
              <w:pStyle w:val="EYBodytextwithparaspace"/>
              <w:spacing w:after="60"/>
              <w:rPr>
                <w:rFonts w:ascii="Arial Narrow" w:eastAsiaTheme="minorHAnsi" w:hAnsi="Arial Narrow" w:cstheme="minorBidi"/>
                <w:bCs/>
                <w:sz w:val="22"/>
                <w:szCs w:val="22"/>
              </w:rPr>
            </w:pPr>
            <w:r w:rsidRPr="001A7375">
              <w:rPr>
                <w:rFonts w:ascii="Arial Narrow" w:eastAsiaTheme="minorHAnsi" w:hAnsi="Arial Narrow" w:cstheme="minorBidi"/>
                <w:bCs/>
                <w:sz w:val="22"/>
                <w:szCs w:val="22"/>
              </w:rPr>
              <w:t xml:space="preserve">Initial </w:t>
            </w:r>
            <w:r w:rsidR="00DD369C">
              <w:rPr>
                <w:rFonts w:ascii="Arial Narrow" w:eastAsiaTheme="minorHAnsi" w:hAnsi="Arial Narrow" w:cstheme="minorBidi"/>
                <w:bCs/>
                <w:sz w:val="22"/>
                <w:szCs w:val="22"/>
              </w:rPr>
              <w:t>approvals</w:t>
            </w:r>
            <w:r w:rsidRPr="001A7375">
              <w:rPr>
                <w:rFonts w:ascii="Arial Narrow" w:eastAsiaTheme="minorHAnsi" w:hAnsi="Arial Narrow" w:cstheme="minorBidi"/>
                <w:bCs/>
                <w:sz w:val="22"/>
                <w:szCs w:val="22"/>
              </w:rPr>
              <w:t xml:space="preserve"> for new services</w:t>
            </w:r>
          </w:p>
        </w:tc>
        <w:tc>
          <w:tcPr>
            <w:tcW w:w="1595" w:type="dxa"/>
            <w:noWrap/>
            <w:hideMark/>
          </w:tcPr>
          <w:p w14:paraId="02FA8382" w14:textId="5ADCFC49" w:rsidR="00676EF7" w:rsidRPr="001A7375" w:rsidRDefault="00676EF7" w:rsidP="00D82D23">
            <w:pPr>
              <w:spacing w:after="60"/>
              <w:jc w:val="right"/>
              <w:cnfStyle w:val="000000000000" w:firstRow="0" w:lastRow="0" w:firstColumn="0" w:lastColumn="0" w:oddVBand="0" w:evenVBand="0" w:oddHBand="0" w:evenHBand="0" w:firstRowFirstColumn="0" w:firstRowLastColumn="0" w:lastRowFirstColumn="0" w:lastRowLastColumn="0"/>
              <w:rPr>
                <w:rFonts w:cs="Calibri"/>
                <w:color w:val="000000"/>
                <w:szCs w:val="22"/>
                <w:lang w:eastAsia="en-AU"/>
              </w:rPr>
            </w:pPr>
            <w:r w:rsidRPr="001A7375">
              <w:rPr>
                <w:rFonts w:cs="Calibri"/>
                <w:color w:val="000000"/>
                <w:szCs w:val="22"/>
                <w:lang w:eastAsia="en-AU"/>
              </w:rPr>
              <w:t>$9,694</w:t>
            </w:r>
          </w:p>
        </w:tc>
        <w:tc>
          <w:tcPr>
            <w:tcW w:w="1595" w:type="dxa"/>
            <w:noWrap/>
            <w:hideMark/>
          </w:tcPr>
          <w:p w14:paraId="5F93CDA5" w14:textId="3AEA46E3" w:rsidR="00676EF7" w:rsidRPr="001A7375" w:rsidRDefault="00676EF7" w:rsidP="00D82D23">
            <w:pPr>
              <w:spacing w:after="60"/>
              <w:jc w:val="right"/>
              <w:cnfStyle w:val="000000000000" w:firstRow="0" w:lastRow="0" w:firstColumn="0" w:lastColumn="0" w:oddVBand="0" w:evenVBand="0" w:oddHBand="0" w:evenHBand="0" w:firstRowFirstColumn="0" w:firstRowLastColumn="0" w:lastRowFirstColumn="0" w:lastRowLastColumn="0"/>
              <w:rPr>
                <w:rFonts w:cs="Calibri"/>
                <w:color w:val="000000"/>
                <w:szCs w:val="22"/>
                <w:lang w:eastAsia="en-AU"/>
              </w:rPr>
            </w:pPr>
            <w:r w:rsidRPr="001A7375">
              <w:rPr>
                <w:rFonts w:cs="Calibri"/>
                <w:color w:val="000000"/>
                <w:szCs w:val="22"/>
                <w:lang w:eastAsia="en-AU"/>
              </w:rPr>
              <w:t>$9,694</w:t>
            </w:r>
          </w:p>
        </w:tc>
        <w:tc>
          <w:tcPr>
            <w:tcW w:w="1595" w:type="dxa"/>
            <w:noWrap/>
            <w:hideMark/>
          </w:tcPr>
          <w:p w14:paraId="44450E5B" w14:textId="77777777" w:rsidR="00676EF7" w:rsidRPr="001A7375" w:rsidRDefault="00676EF7" w:rsidP="00D82D23">
            <w:pPr>
              <w:spacing w:after="60"/>
              <w:jc w:val="right"/>
              <w:cnfStyle w:val="000000000000" w:firstRow="0" w:lastRow="0" w:firstColumn="0" w:lastColumn="0" w:oddVBand="0" w:evenVBand="0" w:oddHBand="0" w:evenHBand="0" w:firstRowFirstColumn="0" w:firstRowLastColumn="0" w:lastRowFirstColumn="0" w:lastRowLastColumn="0"/>
              <w:rPr>
                <w:rFonts w:cs="Calibri"/>
                <w:color w:val="000000"/>
                <w:szCs w:val="22"/>
                <w:lang w:eastAsia="en-AU"/>
              </w:rPr>
            </w:pPr>
            <w:r w:rsidRPr="001A7375">
              <w:rPr>
                <w:rFonts w:cs="Calibri"/>
                <w:color w:val="000000"/>
                <w:szCs w:val="22"/>
                <w:lang w:eastAsia="en-AU"/>
              </w:rPr>
              <w:t>$0.00</w:t>
            </w:r>
          </w:p>
        </w:tc>
        <w:tc>
          <w:tcPr>
            <w:tcW w:w="1596" w:type="dxa"/>
            <w:noWrap/>
            <w:hideMark/>
          </w:tcPr>
          <w:p w14:paraId="28449A9E" w14:textId="77777777" w:rsidR="00676EF7" w:rsidRPr="001A7375" w:rsidRDefault="00676EF7" w:rsidP="00D82D23">
            <w:pPr>
              <w:spacing w:after="60"/>
              <w:jc w:val="right"/>
              <w:cnfStyle w:val="000000000000" w:firstRow="0" w:lastRow="0" w:firstColumn="0" w:lastColumn="0" w:oddVBand="0" w:evenVBand="0" w:oddHBand="0" w:evenHBand="0" w:firstRowFirstColumn="0" w:firstRowLastColumn="0" w:lastRowFirstColumn="0" w:lastRowLastColumn="0"/>
              <w:rPr>
                <w:rFonts w:cs="Calibri"/>
                <w:color w:val="000000"/>
                <w:szCs w:val="22"/>
                <w:lang w:eastAsia="en-AU"/>
              </w:rPr>
            </w:pPr>
            <w:r w:rsidRPr="001A7375">
              <w:rPr>
                <w:rFonts w:cs="Calibri"/>
                <w:color w:val="000000"/>
                <w:szCs w:val="22"/>
                <w:lang w:eastAsia="en-AU"/>
              </w:rPr>
              <w:t>0.00%</w:t>
            </w:r>
          </w:p>
        </w:tc>
      </w:tr>
      <w:tr w:rsidR="00676EF7" w:rsidRPr="001A7375" w14:paraId="4D33C75A" w14:textId="77777777" w:rsidTr="00AA6603">
        <w:trPr>
          <w:trHeight w:val="271"/>
        </w:trPr>
        <w:tc>
          <w:tcPr>
            <w:cnfStyle w:val="001000000000" w:firstRow="0" w:lastRow="0" w:firstColumn="1" w:lastColumn="0" w:oddVBand="0" w:evenVBand="0" w:oddHBand="0" w:evenHBand="0" w:firstRowFirstColumn="0" w:firstRowLastColumn="0" w:lastRowFirstColumn="0" w:lastRowLastColumn="0"/>
            <w:tcW w:w="2828" w:type="dxa"/>
            <w:noWrap/>
            <w:hideMark/>
          </w:tcPr>
          <w:p w14:paraId="0A0E4C34" w14:textId="77777777" w:rsidR="00676EF7" w:rsidRPr="001A7375" w:rsidRDefault="00676EF7" w:rsidP="00D82D23">
            <w:pPr>
              <w:pStyle w:val="EYBodytextwithparaspace"/>
              <w:spacing w:after="60"/>
              <w:rPr>
                <w:rFonts w:ascii="Arial Narrow" w:eastAsiaTheme="minorHAnsi" w:hAnsi="Arial Narrow" w:cstheme="minorBidi"/>
                <w:bCs/>
                <w:sz w:val="22"/>
                <w:szCs w:val="22"/>
              </w:rPr>
            </w:pPr>
            <w:r w:rsidRPr="001A7375">
              <w:rPr>
                <w:rFonts w:ascii="Arial Narrow" w:eastAsiaTheme="minorHAnsi" w:hAnsi="Arial Narrow" w:cstheme="minorBidi"/>
                <w:bCs/>
                <w:sz w:val="22"/>
                <w:szCs w:val="22"/>
              </w:rPr>
              <w:t>Ongoing costs</w:t>
            </w:r>
          </w:p>
        </w:tc>
        <w:tc>
          <w:tcPr>
            <w:tcW w:w="1595" w:type="dxa"/>
            <w:noWrap/>
            <w:hideMark/>
          </w:tcPr>
          <w:p w14:paraId="618E0EFA" w14:textId="7FB397CB" w:rsidR="00676EF7" w:rsidRPr="001A7375" w:rsidRDefault="00676EF7" w:rsidP="00D82D23">
            <w:pPr>
              <w:spacing w:after="60"/>
              <w:jc w:val="right"/>
              <w:cnfStyle w:val="000000000000" w:firstRow="0" w:lastRow="0" w:firstColumn="0" w:lastColumn="0" w:oddVBand="0" w:evenVBand="0" w:oddHBand="0" w:evenHBand="0" w:firstRowFirstColumn="0" w:firstRowLastColumn="0" w:lastRowFirstColumn="0" w:lastRowLastColumn="0"/>
              <w:rPr>
                <w:rFonts w:cs="Calibri"/>
                <w:color w:val="000000"/>
                <w:szCs w:val="22"/>
                <w:lang w:eastAsia="en-AU"/>
              </w:rPr>
            </w:pPr>
            <w:r w:rsidRPr="001A7375">
              <w:rPr>
                <w:rFonts w:cs="Calibri"/>
                <w:color w:val="000000"/>
                <w:szCs w:val="22"/>
                <w:lang w:eastAsia="en-AU"/>
              </w:rPr>
              <w:t>$75,202</w:t>
            </w:r>
          </w:p>
        </w:tc>
        <w:tc>
          <w:tcPr>
            <w:tcW w:w="1595" w:type="dxa"/>
            <w:noWrap/>
            <w:hideMark/>
          </w:tcPr>
          <w:p w14:paraId="21E16D7B" w14:textId="69DED60E" w:rsidR="00676EF7" w:rsidRPr="001A7375" w:rsidRDefault="00676EF7" w:rsidP="00D82D23">
            <w:pPr>
              <w:spacing w:after="60"/>
              <w:jc w:val="right"/>
              <w:cnfStyle w:val="000000000000" w:firstRow="0" w:lastRow="0" w:firstColumn="0" w:lastColumn="0" w:oddVBand="0" w:evenVBand="0" w:oddHBand="0" w:evenHBand="0" w:firstRowFirstColumn="0" w:firstRowLastColumn="0" w:lastRowFirstColumn="0" w:lastRowLastColumn="0"/>
              <w:rPr>
                <w:rFonts w:cs="Calibri"/>
                <w:color w:val="000000"/>
                <w:szCs w:val="22"/>
                <w:lang w:eastAsia="en-AU"/>
              </w:rPr>
            </w:pPr>
            <w:r w:rsidRPr="001A7375">
              <w:rPr>
                <w:rFonts w:cs="Calibri"/>
                <w:color w:val="000000"/>
                <w:szCs w:val="22"/>
                <w:lang w:eastAsia="en-AU"/>
              </w:rPr>
              <w:t>$74,984</w:t>
            </w:r>
          </w:p>
        </w:tc>
        <w:tc>
          <w:tcPr>
            <w:tcW w:w="1595" w:type="dxa"/>
            <w:noWrap/>
            <w:hideMark/>
          </w:tcPr>
          <w:p w14:paraId="6031C74C" w14:textId="77777777" w:rsidR="00676EF7" w:rsidRPr="001A7375" w:rsidRDefault="00676EF7" w:rsidP="00D82D23">
            <w:pPr>
              <w:spacing w:after="60"/>
              <w:jc w:val="right"/>
              <w:cnfStyle w:val="000000000000" w:firstRow="0" w:lastRow="0" w:firstColumn="0" w:lastColumn="0" w:oddVBand="0" w:evenVBand="0" w:oddHBand="0" w:evenHBand="0" w:firstRowFirstColumn="0" w:firstRowLastColumn="0" w:lastRowFirstColumn="0" w:lastRowLastColumn="0"/>
              <w:rPr>
                <w:rFonts w:cs="Calibri"/>
                <w:b/>
                <w:color w:val="000000"/>
                <w:szCs w:val="22"/>
                <w:lang w:eastAsia="en-AU"/>
              </w:rPr>
            </w:pPr>
            <w:r w:rsidRPr="001A7375">
              <w:rPr>
                <w:rFonts w:cs="Calibri"/>
                <w:b/>
                <w:color w:val="000000"/>
                <w:szCs w:val="22"/>
                <w:lang w:eastAsia="en-AU"/>
              </w:rPr>
              <w:t>$218.90</w:t>
            </w:r>
          </w:p>
        </w:tc>
        <w:tc>
          <w:tcPr>
            <w:tcW w:w="1596" w:type="dxa"/>
            <w:noWrap/>
            <w:hideMark/>
          </w:tcPr>
          <w:p w14:paraId="70B7909D" w14:textId="77777777" w:rsidR="00676EF7" w:rsidRPr="001A7375" w:rsidRDefault="00676EF7" w:rsidP="00D82D23">
            <w:pPr>
              <w:spacing w:after="60"/>
              <w:jc w:val="right"/>
              <w:cnfStyle w:val="000000000000" w:firstRow="0" w:lastRow="0" w:firstColumn="0" w:lastColumn="0" w:oddVBand="0" w:evenVBand="0" w:oddHBand="0" w:evenHBand="0" w:firstRowFirstColumn="0" w:firstRowLastColumn="0" w:lastRowFirstColumn="0" w:lastRowLastColumn="0"/>
              <w:rPr>
                <w:rFonts w:cs="Calibri"/>
                <w:b/>
                <w:color w:val="000000"/>
                <w:szCs w:val="22"/>
                <w:lang w:eastAsia="en-AU"/>
              </w:rPr>
            </w:pPr>
            <w:r w:rsidRPr="001A7375">
              <w:rPr>
                <w:rFonts w:cs="Calibri"/>
                <w:b/>
                <w:color w:val="000000"/>
                <w:szCs w:val="22"/>
                <w:lang w:eastAsia="en-AU"/>
              </w:rPr>
              <w:t>0.29%</w:t>
            </w:r>
          </w:p>
        </w:tc>
      </w:tr>
    </w:tbl>
    <w:p w14:paraId="5673AC53" w14:textId="0434F5BD" w:rsidR="00E4782D" w:rsidRDefault="00E4782D" w:rsidP="00A30B4D">
      <w:pPr>
        <w:pStyle w:val="EYBodytextwithparaspace"/>
        <w:spacing w:before="120" w:after="120"/>
        <w:rPr>
          <w:rFonts w:asciiTheme="minorHAnsi" w:eastAsiaTheme="minorHAnsi" w:hAnsiTheme="minorHAnsi" w:cstheme="minorBidi"/>
          <w:i/>
          <w:sz w:val="16"/>
          <w:szCs w:val="16"/>
        </w:rPr>
      </w:pPr>
    </w:p>
    <w:tbl>
      <w:tblPr>
        <w:tblStyle w:val="TableGrid"/>
        <w:tblW w:w="9209" w:type="dxa"/>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ayout w:type="fixed"/>
        <w:tblLook w:val="04A0" w:firstRow="1" w:lastRow="0" w:firstColumn="1" w:lastColumn="0" w:noHBand="0" w:noVBand="1"/>
      </w:tblPr>
      <w:tblGrid>
        <w:gridCol w:w="2828"/>
        <w:gridCol w:w="1595"/>
        <w:gridCol w:w="1595"/>
        <w:gridCol w:w="1595"/>
        <w:gridCol w:w="1596"/>
      </w:tblGrid>
      <w:tr w:rsidR="00676EF7" w:rsidRPr="001A7375" w14:paraId="643634DD" w14:textId="77777777" w:rsidTr="00AA660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8" w:type="dxa"/>
            <w:tcBorders>
              <w:right w:val="none" w:sz="0" w:space="0" w:color="auto"/>
            </w:tcBorders>
            <w:noWrap/>
            <w:hideMark/>
          </w:tcPr>
          <w:p w14:paraId="2EA6C3D2" w14:textId="38AD6538" w:rsidR="00676EF7" w:rsidRPr="001A7375" w:rsidRDefault="00A30B4D" w:rsidP="00E4782D">
            <w:pPr>
              <w:spacing w:after="60"/>
              <w:rPr>
                <w:rFonts w:cs="Calibri"/>
                <w:szCs w:val="22"/>
                <w:lang w:eastAsia="en-AU"/>
              </w:rPr>
            </w:pPr>
            <w:r w:rsidRPr="001A7375">
              <w:rPr>
                <w:rFonts w:cs="Arial"/>
                <w:szCs w:val="22"/>
              </w:rPr>
              <w:t>Projected cost to industry over 10 years – NPV*</w:t>
            </w:r>
          </w:p>
        </w:tc>
        <w:tc>
          <w:tcPr>
            <w:tcW w:w="1595" w:type="dxa"/>
            <w:tcBorders>
              <w:left w:val="none" w:sz="0" w:space="0" w:color="auto"/>
              <w:right w:val="none" w:sz="0" w:space="0" w:color="auto"/>
            </w:tcBorders>
            <w:noWrap/>
            <w:hideMark/>
          </w:tcPr>
          <w:p w14:paraId="4EB316B2" w14:textId="77777777" w:rsidR="00676EF7" w:rsidRPr="001A7375" w:rsidRDefault="00676EF7" w:rsidP="00C2475B">
            <w:pPr>
              <w:spacing w:after="60"/>
              <w:jc w:val="right"/>
              <w:cnfStyle w:val="100000000000" w:firstRow="1" w:lastRow="0" w:firstColumn="0" w:lastColumn="0" w:oddVBand="0" w:evenVBand="0" w:oddHBand="0" w:evenHBand="0" w:firstRowFirstColumn="0" w:firstRowLastColumn="0" w:lastRowFirstColumn="0" w:lastRowLastColumn="0"/>
              <w:rPr>
                <w:rFonts w:cs="Calibri"/>
                <w:szCs w:val="22"/>
                <w:lang w:eastAsia="en-AU"/>
              </w:rPr>
            </w:pPr>
            <w:r w:rsidRPr="001A7375">
              <w:rPr>
                <w:rFonts w:cs="Calibri"/>
                <w:szCs w:val="22"/>
                <w:lang w:eastAsia="en-AU"/>
              </w:rPr>
              <w:t>Current</w:t>
            </w:r>
          </w:p>
        </w:tc>
        <w:tc>
          <w:tcPr>
            <w:tcW w:w="1595" w:type="dxa"/>
            <w:tcBorders>
              <w:left w:val="none" w:sz="0" w:space="0" w:color="auto"/>
              <w:right w:val="none" w:sz="0" w:space="0" w:color="auto"/>
            </w:tcBorders>
            <w:noWrap/>
            <w:hideMark/>
          </w:tcPr>
          <w:p w14:paraId="477A8879" w14:textId="77777777" w:rsidR="00676EF7" w:rsidRPr="001A7375" w:rsidRDefault="00676EF7" w:rsidP="00EB4514">
            <w:pPr>
              <w:spacing w:after="60"/>
              <w:jc w:val="right"/>
              <w:cnfStyle w:val="100000000000" w:firstRow="1" w:lastRow="0" w:firstColumn="0" w:lastColumn="0" w:oddVBand="0" w:evenVBand="0" w:oddHBand="0" w:evenHBand="0" w:firstRowFirstColumn="0" w:firstRowLastColumn="0" w:lastRowFirstColumn="0" w:lastRowLastColumn="0"/>
              <w:rPr>
                <w:rFonts w:cs="Calibri"/>
                <w:szCs w:val="22"/>
                <w:lang w:eastAsia="en-AU"/>
              </w:rPr>
            </w:pPr>
            <w:r w:rsidRPr="001A7375">
              <w:rPr>
                <w:rFonts w:cs="Calibri"/>
                <w:szCs w:val="22"/>
                <w:lang w:eastAsia="en-AU"/>
              </w:rPr>
              <w:t>Proposed</w:t>
            </w:r>
          </w:p>
        </w:tc>
        <w:tc>
          <w:tcPr>
            <w:tcW w:w="1595" w:type="dxa"/>
            <w:tcBorders>
              <w:left w:val="none" w:sz="0" w:space="0" w:color="auto"/>
              <w:right w:val="none" w:sz="0" w:space="0" w:color="auto"/>
            </w:tcBorders>
            <w:noWrap/>
            <w:hideMark/>
          </w:tcPr>
          <w:p w14:paraId="42D273AE" w14:textId="77777777" w:rsidR="00676EF7" w:rsidRPr="001A7375" w:rsidRDefault="00676EF7" w:rsidP="00EB4514">
            <w:pPr>
              <w:spacing w:after="60"/>
              <w:jc w:val="right"/>
              <w:cnfStyle w:val="100000000000" w:firstRow="1" w:lastRow="0" w:firstColumn="0" w:lastColumn="0" w:oddVBand="0" w:evenVBand="0" w:oddHBand="0" w:evenHBand="0" w:firstRowFirstColumn="0" w:firstRowLastColumn="0" w:lastRowFirstColumn="0" w:lastRowLastColumn="0"/>
              <w:rPr>
                <w:rFonts w:cs="Calibri"/>
                <w:szCs w:val="22"/>
                <w:lang w:eastAsia="en-AU"/>
              </w:rPr>
            </w:pPr>
            <w:r w:rsidRPr="001A7375">
              <w:rPr>
                <w:rFonts w:cs="Calibri"/>
                <w:szCs w:val="22"/>
                <w:lang w:eastAsia="en-AU"/>
              </w:rPr>
              <w:t>$ Difference</w:t>
            </w:r>
          </w:p>
        </w:tc>
        <w:tc>
          <w:tcPr>
            <w:tcW w:w="1596" w:type="dxa"/>
            <w:tcBorders>
              <w:left w:val="none" w:sz="0" w:space="0" w:color="auto"/>
            </w:tcBorders>
            <w:noWrap/>
            <w:hideMark/>
          </w:tcPr>
          <w:p w14:paraId="1EACBF5E" w14:textId="77777777" w:rsidR="00676EF7" w:rsidRPr="001A7375" w:rsidRDefault="00676EF7" w:rsidP="00EB4514">
            <w:pPr>
              <w:spacing w:after="60"/>
              <w:jc w:val="right"/>
              <w:cnfStyle w:val="100000000000" w:firstRow="1" w:lastRow="0" w:firstColumn="0" w:lastColumn="0" w:oddVBand="0" w:evenVBand="0" w:oddHBand="0" w:evenHBand="0" w:firstRowFirstColumn="0" w:firstRowLastColumn="0" w:lastRowFirstColumn="0" w:lastRowLastColumn="0"/>
              <w:rPr>
                <w:rFonts w:cs="Calibri"/>
                <w:szCs w:val="22"/>
                <w:lang w:eastAsia="en-AU"/>
              </w:rPr>
            </w:pPr>
            <w:r w:rsidRPr="001A7375">
              <w:rPr>
                <w:rFonts w:cs="Calibri"/>
                <w:szCs w:val="22"/>
                <w:lang w:eastAsia="en-AU"/>
              </w:rPr>
              <w:t>% Difference</w:t>
            </w:r>
          </w:p>
        </w:tc>
      </w:tr>
      <w:tr w:rsidR="00676EF7" w:rsidRPr="001A7375" w14:paraId="0B69F4DD" w14:textId="77777777" w:rsidTr="00AA6603">
        <w:trPr>
          <w:trHeight w:val="300"/>
        </w:trPr>
        <w:tc>
          <w:tcPr>
            <w:cnfStyle w:val="001000000000" w:firstRow="0" w:lastRow="0" w:firstColumn="1" w:lastColumn="0" w:oddVBand="0" w:evenVBand="0" w:oddHBand="0" w:evenHBand="0" w:firstRowFirstColumn="0" w:firstRowLastColumn="0" w:lastRowFirstColumn="0" w:lastRowLastColumn="0"/>
            <w:tcW w:w="2828" w:type="dxa"/>
            <w:noWrap/>
            <w:hideMark/>
          </w:tcPr>
          <w:p w14:paraId="0E96F993" w14:textId="3C0D8120" w:rsidR="00676EF7" w:rsidRPr="001A7375" w:rsidRDefault="00676EF7" w:rsidP="00DD369C">
            <w:pPr>
              <w:pStyle w:val="EYBodytextwithparaspace"/>
              <w:spacing w:after="60"/>
              <w:rPr>
                <w:rFonts w:ascii="Arial Narrow" w:eastAsiaTheme="minorHAnsi" w:hAnsi="Arial Narrow" w:cstheme="minorBidi"/>
                <w:bCs/>
                <w:sz w:val="22"/>
                <w:szCs w:val="22"/>
              </w:rPr>
            </w:pPr>
            <w:r w:rsidRPr="001A7375">
              <w:rPr>
                <w:rFonts w:ascii="Arial Narrow" w:eastAsiaTheme="minorHAnsi" w:hAnsi="Arial Narrow" w:cstheme="minorBidi"/>
                <w:bCs/>
                <w:sz w:val="22"/>
                <w:szCs w:val="22"/>
              </w:rPr>
              <w:t xml:space="preserve">Initial </w:t>
            </w:r>
            <w:r w:rsidR="00DD369C">
              <w:rPr>
                <w:rFonts w:ascii="Arial Narrow" w:eastAsiaTheme="minorHAnsi" w:hAnsi="Arial Narrow" w:cstheme="minorBidi"/>
                <w:bCs/>
                <w:sz w:val="22"/>
                <w:szCs w:val="22"/>
              </w:rPr>
              <w:t>approvals</w:t>
            </w:r>
            <w:r w:rsidRPr="001A7375">
              <w:rPr>
                <w:rFonts w:ascii="Arial Narrow" w:eastAsiaTheme="minorHAnsi" w:hAnsi="Arial Narrow" w:cstheme="minorBidi"/>
                <w:bCs/>
                <w:sz w:val="22"/>
                <w:szCs w:val="22"/>
              </w:rPr>
              <w:t xml:space="preserve"> for new services</w:t>
            </w:r>
          </w:p>
        </w:tc>
        <w:tc>
          <w:tcPr>
            <w:tcW w:w="1595" w:type="dxa"/>
            <w:noWrap/>
            <w:hideMark/>
          </w:tcPr>
          <w:p w14:paraId="50F13679" w14:textId="6863D1A6" w:rsidR="00676EF7" w:rsidRPr="001A7375" w:rsidRDefault="00676EF7" w:rsidP="00C2475B">
            <w:pPr>
              <w:spacing w:after="60"/>
              <w:jc w:val="right"/>
              <w:cnfStyle w:val="000000000000" w:firstRow="0" w:lastRow="0" w:firstColumn="0" w:lastColumn="0" w:oddVBand="0" w:evenVBand="0" w:oddHBand="0" w:evenHBand="0" w:firstRowFirstColumn="0" w:firstRowLastColumn="0" w:lastRowFirstColumn="0" w:lastRowLastColumn="0"/>
              <w:rPr>
                <w:rFonts w:cs="Calibri"/>
                <w:color w:val="000000"/>
                <w:szCs w:val="22"/>
                <w:lang w:eastAsia="en-AU"/>
              </w:rPr>
            </w:pPr>
            <w:r w:rsidRPr="001A7375">
              <w:rPr>
                <w:rFonts w:cs="Calibri"/>
                <w:color w:val="000000"/>
                <w:szCs w:val="22"/>
                <w:lang w:eastAsia="en-AU"/>
              </w:rPr>
              <w:t>$1,938,888</w:t>
            </w:r>
          </w:p>
        </w:tc>
        <w:tc>
          <w:tcPr>
            <w:tcW w:w="1595" w:type="dxa"/>
            <w:noWrap/>
            <w:hideMark/>
          </w:tcPr>
          <w:p w14:paraId="50C39107" w14:textId="1C1A6324" w:rsidR="00676EF7" w:rsidRPr="001A7375" w:rsidRDefault="00676EF7" w:rsidP="00EB4514">
            <w:pPr>
              <w:spacing w:after="60"/>
              <w:jc w:val="right"/>
              <w:cnfStyle w:val="000000000000" w:firstRow="0" w:lastRow="0" w:firstColumn="0" w:lastColumn="0" w:oddVBand="0" w:evenVBand="0" w:oddHBand="0" w:evenHBand="0" w:firstRowFirstColumn="0" w:firstRowLastColumn="0" w:lastRowFirstColumn="0" w:lastRowLastColumn="0"/>
              <w:rPr>
                <w:rFonts w:cs="Calibri"/>
                <w:color w:val="000000"/>
                <w:szCs w:val="22"/>
                <w:lang w:eastAsia="en-AU"/>
              </w:rPr>
            </w:pPr>
            <w:r w:rsidRPr="001A7375">
              <w:rPr>
                <w:rFonts w:cs="Calibri"/>
                <w:color w:val="000000"/>
                <w:szCs w:val="22"/>
                <w:lang w:eastAsia="en-AU"/>
              </w:rPr>
              <w:t>$1,938,888</w:t>
            </w:r>
          </w:p>
        </w:tc>
        <w:tc>
          <w:tcPr>
            <w:tcW w:w="1595" w:type="dxa"/>
            <w:noWrap/>
            <w:hideMark/>
          </w:tcPr>
          <w:p w14:paraId="799FA7E9" w14:textId="77777777" w:rsidR="00676EF7" w:rsidRPr="001A7375" w:rsidRDefault="00676EF7" w:rsidP="00EB4514">
            <w:pPr>
              <w:spacing w:after="60"/>
              <w:jc w:val="right"/>
              <w:cnfStyle w:val="000000000000" w:firstRow="0" w:lastRow="0" w:firstColumn="0" w:lastColumn="0" w:oddVBand="0" w:evenVBand="0" w:oddHBand="0" w:evenHBand="0" w:firstRowFirstColumn="0" w:firstRowLastColumn="0" w:lastRowFirstColumn="0" w:lastRowLastColumn="0"/>
              <w:rPr>
                <w:rFonts w:cs="Calibri"/>
                <w:color w:val="000000"/>
                <w:szCs w:val="22"/>
                <w:lang w:eastAsia="en-AU"/>
              </w:rPr>
            </w:pPr>
            <w:r w:rsidRPr="001A7375">
              <w:rPr>
                <w:rFonts w:cs="Calibri"/>
                <w:color w:val="000000"/>
                <w:szCs w:val="22"/>
                <w:lang w:eastAsia="en-AU"/>
              </w:rPr>
              <w:t>$0.00</w:t>
            </w:r>
          </w:p>
        </w:tc>
        <w:tc>
          <w:tcPr>
            <w:tcW w:w="1596" w:type="dxa"/>
            <w:noWrap/>
            <w:hideMark/>
          </w:tcPr>
          <w:p w14:paraId="7CF984D6" w14:textId="77777777" w:rsidR="00676EF7" w:rsidRPr="001A7375" w:rsidRDefault="00676EF7" w:rsidP="00EB4514">
            <w:pPr>
              <w:spacing w:after="60"/>
              <w:jc w:val="right"/>
              <w:cnfStyle w:val="000000000000" w:firstRow="0" w:lastRow="0" w:firstColumn="0" w:lastColumn="0" w:oddVBand="0" w:evenVBand="0" w:oddHBand="0" w:evenHBand="0" w:firstRowFirstColumn="0" w:firstRowLastColumn="0" w:lastRowFirstColumn="0" w:lastRowLastColumn="0"/>
              <w:rPr>
                <w:rFonts w:cs="Calibri"/>
                <w:color w:val="000000"/>
                <w:szCs w:val="22"/>
                <w:lang w:eastAsia="en-AU"/>
              </w:rPr>
            </w:pPr>
            <w:r w:rsidRPr="001A7375">
              <w:rPr>
                <w:rFonts w:cs="Calibri"/>
                <w:color w:val="000000"/>
                <w:szCs w:val="22"/>
                <w:lang w:eastAsia="en-AU"/>
              </w:rPr>
              <w:t>0.00%</w:t>
            </w:r>
          </w:p>
        </w:tc>
      </w:tr>
      <w:tr w:rsidR="00676EF7" w:rsidRPr="001A7375" w14:paraId="0D3FFCFA" w14:textId="77777777" w:rsidTr="00AA6603">
        <w:trPr>
          <w:trHeight w:val="300"/>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AE38425" w14:textId="77777777" w:rsidR="00676EF7" w:rsidRPr="001A7375" w:rsidRDefault="00676EF7" w:rsidP="00E4782D">
            <w:pPr>
              <w:pStyle w:val="EYBodytextwithparaspace"/>
              <w:spacing w:after="60"/>
              <w:rPr>
                <w:rFonts w:ascii="Arial Narrow" w:eastAsiaTheme="minorHAnsi" w:hAnsi="Arial Narrow" w:cstheme="minorBidi"/>
                <w:bCs/>
                <w:sz w:val="22"/>
                <w:szCs w:val="22"/>
              </w:rPr>
            </w:pPr>
            <w:r w:rsidRPr="001A7375">
              <w:rPr>
                <w:rFonts w:ascii="Arial Narrow" w:eastAsiaTheme="minorHAnsi" w:hAnsi="Arial Narrow" w:cstheme="minorBidi"/>
                <w:bCs/>
                <w:sz w:val="22"/>
                <w:szCs w:val="22"/>
              </w:rPr>
              <w:t>Ongoing costs</w:t>
            </w:r>
          </w:p>
        </w:tc>
        <w:tc>
          <w:tcPr>
            <w:tcW w:w="1595" w:type="dxa"/>
            <w:noWrap/>
            <w:hideMark/>
          </w:tcPr>
          <w:p w14:paraId="055172AF" w14:textId="61158738" w:rsidR="00676EF7" w:rsidRPr="001A7375" w:rsidRDefault="00676EF7" w:rsidP="00C2475B">
            <w:pPr>
              <w:spacing w:after="60"/>
              <w:jc w:val="right"/>
              <w:cnfStyle w:val="000000000000" w:firstRow="0" w:lastRow="0" w:firstColumn="0" w:lastColumn="0" w:oddVBand="0" w:evenVBand="0" w:oddHBand="0" w:evenHBand="0" w:firstRowFirstColumn="0" w:firstRowLastColumn="0" w:lastRowFirstColumn="0" w:lastRowLastColumn="0"/>
              <w:rPr>
                <w:rFonts w:cs="Calibri"/>
                <w:color w:val="000000"/>
                <w:szCs w:val="22"/>
                <w:lang w:eastAsia="en-AU"/>
              </w:rPr>
            </w:pPr>
            <w:r w:rsidRPr="001A7375">
              <w:rPr>
                <w:rFonts w:cs="Calibri"/>
                <w:color w:val="000000"/>
                <w:szCs w:val="22"/>
                <w:lang w:eastAsia="en-AU"/>
              </w:rPr>
              <w:t>$244,387,699</w:t>
            </w:r>
          </w:p>
        </w:tc>
        <w:tc>
          <w:tcPr>
            <w:tcW w:w="1595" w:type="dxa"/>
            <w:noWrap/>
            <w:hideMark/>
          </w:tcPr>
          <w:p w14:paraId="20A96524" w14:textId="2FFBDF20" w:rsidR="00676EF7" w:rsidRPr="001A7375" w:rsidRDefault="00676EF7" w:rsidP="00EB4514">
            <w:pPr>
              <w:spacing w:after="60"/>
              <w:jc w:val="right"/>
              <w:cnfStyle w:val="000000000000" w:firstRow="0" w:lastRow="0" w:firstColumn="0" w:lastColumn="0" w:oddVBand="0" w:evenVBand="0" w:oddHBand="0" w:evenHBand="0" w:firstRowFirstColumn="0" w:firstRowLastColumn="0" w:lastRowFirstColumn="0" w:lastRowLastColumn="0"/>
              <w:rPr>
                <w:rFonts w:cs="Calibri"/>
                <w:color w:val="000000"/>
                <w:szCs w:val="22"/>
                <w:lang w:eastAsia="en-AU"/>
              </w:rPr>
            </w:pPr>
            <w:r w:rsidRPr="001A7375">
              <w:rPr>
                <w:rFonts w:cs="Calibri"/>
                <w:color w:val="000000"/>
                <w:szCs w:val="22"/>
                <w:lang w:eastAsia="en-AU"/>
              </w:rPr>
              <w:t>$234,363,856</w:t>
            </w:r>
          </w:p>
        </w:tc>
        <w:tc>
          <w:tcPr>
            <w:tcW w:w="1595" w:type="dxa"/>
            <w:noWrap/>
            <w:hideMark/>
          </w:tcPr>
          <w:p w14:paraId="1D99C715" w14:textId="738B5D15" w:rsidR="00676EF7" w:rsidRPr="001A7375" w:rsidRDefault="00676EF7" w:rsidP="00EB4514">
            <w:pPr>
              <w:spacing w:after="60"/>
              <w:jc w:val="right"/>
              <w:cnfStyle w:val="000000000000" w:firstRow="0" w:lastRow="0" w:firstColumn="0" w:lastColumn="0" w:oddVBand="0" w:evenVBand="0" w:oddHBand="0" w:evenHBand="0" w:firstRowFirstColumn="0" w:firstRowLastColumn="0" w:lastRowFirstColumn="0" w:lastRowLastColumn="0"/>
              <w:rPr>
                <w:rFonts w:cs="Calibri"/>
                <w:b/>
                <w:color w:val="000000"/>
                <w:szCs w:val="22"/>
                <w:lang w:eastAsia="en-AU"/>
              </w:rPr>
            </w:pPr>
            <w:r w:rsidRPr="001A7375">
              <w:rPr>
                <w:rFonts w:cs="Calibri"/>
                <w:b/>
                <w:color w:val="000000"/>
                <w:szCs w:val="22"/>
                <w:lang w:eastAsia="en-AU"/>
              </w:rPr>
              <w:t>$10,023,843</w:t>
            </w:r>
          </w:p>
        </w:tc>
        <w:tc>
          <w:tcPr>
            <w:tcW w:w="1596" w:type="dxa"/>
            <w:noWrap/>
            <w:hideMark/>
          </w:tcPr>
          <w:p w14:paraId="2F774287" w14:textId="77777777" w:rsidR="00676EF7" w:rsidRPr="001A7375" w:rsidRDefault="00676EF7" w:rsidP="00EB4514">
            <w:pPr>
              <w:spacing w:after="60"/>
              <w:jc w:val="right"/>
              <w:cnfStyle w:val="000000000000" w:firstRow="0" w:lastRow="0" w:firstColumn="0" w:lastColumn="0" w:oddVBand="0" w:evenVBand="0" w:oddHBand="0" w:evenHBand="0" w:firstRowFirstColumn="0" w:firstRowLastColumn="0" w:lastRowFirstColumn="0" w:lastRowLastColumn="0"/>
              <w:rPr>
                <w:rFonts w:cs="Calibri"/>
                <w:b/>
                <w:color w:val="000000"/>
                <w:szCs w:val="22"/>
                <w:lang w:eastAsia="en-AU"/>
              </w:rPr>
            </w:pPr>
            <w:r w:rsidRPr="001A7375">
              <w:rPr>
                <w:rFonts w:cs="Calibri"/>
                <w:b/>
                <w:color w:val="000000"/>
                <w:szCs w:val="22"/>
                <w:lang w:eastAsia="en-AU"/>
              </w:rPr>
              <w:t>4.19%</w:t>
            </w:r>
          </w:p>
        </w:tc>
      </w:tr>
    </w:tbl>
    <w:p w14:paraId="4DB6447F" w14:textId="759173A1" w:rsidR="006D34E8" w:rsidRPr="00C01E92" w:rsidRDefault="006D34E8" w:rsidP="006D34E8">
      <w:pPr>
        <w:pStyle w:val="EYBodytextwithparaspace"/>
        <w:spacing w:before="120" w:after="120"/>
        <w:rPr>
          <w:rFonts w:asciiTheme="minorHAnsi" w:eastAsiaTheme="minorHAnsi" w:hAnsiTheme="minorHAnsi" w:cstheme="minorBidi"/>
          <w:i/>
          <w:sz w:val="16"/>
          <w:szCs w:val="16"/>
        </w:rPr>
      </w:pPr>
      <w:r w:rsidRPr="00C01E92">
        <w:rPr>
          <w:rFonts w:asciiTheme="minorHAnsi" w:eastAsiaTheme="minorHAnsi" w:hAnsiTheme="minorHAnsi" w:cstheme="minorBidi"/>
          <w:i/>
          <w:sz w:val="16"/>
          <w:szCs w:val="16"/>
        </w:rPr>
        <w:t>*Net Present Value costs calculated at a 4% real discount rate.</w:t>
      </w:r>
    </w:p>
    <w:p w14:paraId="646EA27D" w14:textId="21309771" w:rsidR="006D34E8" w:rsidRPr="006D34E8" w:rsidRDefault="006D34E8" w:rsidP="006D34E8">
      <w:pPr>
        <w:pStyle w:val="EYBodytextwithparaspace"/>
        <w:spacing w:before="120" w:after="120"/>
        <w:rPr>
          <w:rFonts w:asciiTheme="minorHAnsi" w:eastAsiaTheme="minorHAnsi" w:hAnsiTheme="minorHAnsi" w:cstheme="minorBidi"/>
          <w:sz w:val="22"/>
          <w:szCs w:val="24"/>
        </w:rPr>
      </w:pPr>
      <w:r w:rsidRPr="006D34E8">
        <w:rPr>
          <w:rFonts w:asciiTheme="minorHAnsi" w:eastAsiaTheme="minorHAnsi" w:hAnsiTheme="minorHAnsi" w:cstheme="minorBidi"/>
          <w:sz w:val="22"/>
          <w:szCs w:val="24"/>
        </w:rPr>
        <w:lastRenderedPageBreak/>
        <w:t xml:space="preserve">Information gathered from compliance and monitoring visits to children’s services in the last 12 months, indicates that many of the services sampled would already comply with proposed requirements where ratios, qualifications </w:t>
      </w:r>
      <w:r w:rsidR="00D651D3">
        <w:rPr>
          <w:rFonts w:asciiTheme="minorHAnsi" w:eastAsiaTheme="minorHAnsi" w:hAnsiTheme="minorHAnsi" w:cstheme="minorBidi"/>
          <w:sz w:val="22"/>
          <w:szCs w:val="24"/>
        </w:rPr>
        <w:t>and outdoor space is concerned.</w:t>
      </w:r>
    </w:p>
    <w:p w14:paraId="035C73E6" w14:textId="77777777" w:rsidR="006D34E8" w:rsidRPr="006D34E8" w:rsidRDefault="006D34E8" w:rsidP="006D34E8">
      <w:pPr>
        <w:pStyle w:val="EYBodytextwithparaspace"/>
        <w:spacing w:before="120" w:after="120"/>
        <w:rPr>
          <w:rFonts w:asciiTheme="minorHAnsi" w:eastAsiaTheme="minorHAnsi" w:hAnsiTheme="minorHAnsi" w:cstheme="minorBidi"/>
          <w:sz w:val="22"/>
          <w:szCs w:val="24"/>
        </w:rPr>
      </w:pPr>
      <w:r w:rsidRPr="006D34E8">
        <w:rPr>
          <w:rFonts w:asciiTheme="minorHAnsi" w:eastAsiaTheme="minorHAnsi" w:hAnsiTheme="minorHAnsi" w:cstheme="minorBidi"/>
          <w:sz w:val="22"/>
          <w:szCs w:val="24"/>
        </w:rPr>
        <w:t>It is expected that impacts of the proposal will vary depending on the particular circumstances of individual services. For example, changed staff-to-child ratios could necessitate the employment of additional staff for larger services, which may have a flow on effect to parents utilising children’s services in the form of increased fees.</w:t>
      </w:r>
    </w:p>
    <w:p w14:paraId="13BD6004" w14:textId="4C93BDB0" w:rsidR="00D83853" w:rsidRPr="006D34E8" w:rsidRDefault="006D34E8" w:rsidP="006D34E8">
      <w:pPr>
        <w:pStyle w:val="EYBodytextwithparaspace"/>
        <w:spacing w:before="120" w:after="120"/>
        <w:rPr>
          <w:rFonts w:asciiTheme="minorHAnsi" w:eastAsiaTheme="minorHAnsi" w:hAnsiTheme="minorHAnsi" w:cstheme="minorBidi"/>
          <w:sz w:val="22"/>
          <w:szCs w:val="24"/>
        </w:rPr>
      </w:pPr>
      <w:r w:rsidRPr="006D34E8">
        <w:rPr>
          <w:rFonts w:asciiTheme="minorHAnsi" w:eastAsiaTheme="minorHAnsi" w:hAnsiTheme="minorHAnsi" w:cstheme="minorBidi"/>
          <w:sz w:val="22"/>
          <w:szCs w:val="24"/>
        </w:rPr>
        <w:t>Due to the diverse nature of the children’s services sector, it has not been possible to conduct a fully quantified analysis of expected benefits and alternatives, therefore the proposed regulations have been assessed using a Multi-Criteria Analysis (MCA). The criteria, weight and score used is shown in the table below and is relative to the unregulated Base Case represented by a zero score.</w:t>
      </w:r>
    </w:p>
    <w:tbl>
      <w:tblPr>
        <w:tblStyle w:val="TableGrid"/>
        <w:tblW w:w="9209" w:type="dxa"/>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Caption w:val="Table heading"/>
      </w:tblPr>
      <w:tblGrid>
        <w:gridCol w:w="1488"/>
        <w:gridCol w:w="1601"/>
        <w:gridCol w:w="1512"/>
        <w:gridCol w:w="1525"/>
        <w:gridCol w:w="1540"/>
        <w:gridCol w:w="1543"/>
      </w:tblGrid>
      <w:tr w:rsidR="006D34E8" w:rsidRPr="00AA6603" w14:paraId="32820AD4" w14:textId="77777777" w:rsidTr="00AA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1" w:type="dxa"/>
            <w:gridSpan w:val="3"/>
            <w:tcBorders>
              <w:right w:val="none" w:sz="0" w:space="0" w:color="auto"/>
            </w:tcBorders>
          </w:tcPr>
          <w:p w14:paraId="2D57CB59" w14:textId="77777777" w:rsidR="006D34E8" w:rsidRPr="00AA6603" w:rsidRDefault="006D34E8" w:rsidP="00AA6603">
            <w:pPr>
              <w:pStyle w:val="EYBodytextwithparaspace"/>
              <w:spacing w:after="60"/>
              <w:rPr>
                <w:rFonts w:ascii="Arial Narrow" w:eastAsiaTheme="minorHAnsi" w:hAnsi="Arial Narrow" w:cstheme="minorBidi"/>
                <w:sz w:val="22"/>
                <w:szCs w:val="24"/>
              </w:rPr>
            </w:pPr>
            <w:r w:rsidRPr="00AA6603">
              <w:rPr>
                <w:rFonts w:ascii="Arial Narrow" w:eastAsiaTheme="minorHAnsi" w:hAnsi="Arial Narrow" w:cstheme="minorBidi"/>
                <w:sz w:val="22"/>
                <w:szCs w:val="24"/>
              </w:rPr>
              <w:t>Benefits of…</w:t>
            </w:r>
          </w:p>
        </w:tc>
        <w:tc>
          <w:tcPr>
            <w:tcW w:w="4608" w:type="dxa"/>
            <w:gridSpan w:val="3"/>
            <w:tcBorders>
              <w:left w:val="none" w:sz="0" w:space="0" w:color="auto"/>
            </w:tcBorders>
          </w:tcPr>
          <w:p w14:paraId="1C20D46D" w14:textId="77777777" w:rsidR="006D34E8" w:rsidRPr="00AA6603" w:rsidRDefault="006D34E8" w:rsidP="00AA6603">
            <w:pPr>
              <w:pStyle w:val="EYBodytextwithparaspace"/>
              <w:spacing w:after="60"/>
              <w:cnfStyle w:val="100000000000" w:firstRow="1"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sidRPr="00AA6603">
              <w:rPr>
                <w:rFonts w:ascii="Arial Narrow" w:eastAsiaTheme="minorHAnsi" w:hAnsi="Arial Narrow" w:cstheme="minorBidi"/>
                <w:sz w:val="22"/>
                <w:szCs w:val="24"/>
              </w:rPr>
              <w:t>Costs to…</w:t>
            </w:r>
          </w:p>
        </w:tc>
      </w:tr>
      <w:tr w:rsidR="00D82D23" w:rsidRPr="00AA6603" w14:paraId="694DD945" w14:textId="77777777" w:rsidTr="00AA6603">
        <w:tc>
          <w:tcPr>
            <w:cnfStyle w:val="001000000000" w:firstRow="0" w:lastRow="0" w:firstColumn="1" w:lastColumn="0" w:oddVBand="0" w:evenVBand="0" w:oddHBand="0" w:evenHBand="0" w:firstRowFirstColumn="0" w:firstRowLastColumn="0" w:lastRowFirstColumn="0" w:lastRowLastColumn="0"/>
            <w:tcW w:w="1488" w:type="dxa"/>
          </w:tcPr>
          <w:p w14:paraId="41E62774" w14:textId="77777777" w:rsidR="006D34E8" w:rsidRPr="00AA6603" w:rsidRDefault="006D34E8" w:rsidP="00AA6603">
            <w:pPr>
              <w:pStyle w:val="EYBodytextwithparaspace"/>
              <w:spacing w:after="60"/>
              <w:rPr>
                <w:rFonts w:ascii="Arial Narrow" w:eastAsiaTheme="minorHAnsi" w:hAnsi="Arial Narrow" w:cstheme="minorBidi"/>
                <w:b/>
                <w:color w:val="auto"/>
                <w:sz w:val="22"/>
                <w:szCs w:val="24"/>
              </w:rPr>
            </w:pPr>
            <w:r w:rsidRPr="00AA6603">
              <w:rPr>
                <w:rFonts w:ascii="Arial Narrow" w:eastAsiaTheme="minorHAnsi" w:hAnsi="Arial Narrow" w:cstheme="minorBidi"/>
                <w:b/>
                <w:color w:val="auto"/>
                <w:sz w:val="22"/>
                <w:szCs w:val="24"/>
              </w:rPr>
              <w:t>Criteria</w:t>
            </w:r>
          </w:p>
        </w:tc>
        <w:tc>
          <w:tcPr>
            <w:tcW w:w="1601" w:type="dxa"/>
          </w:tcPr>
          <w:p w14:paraId="35846F13" w14:textId="77777777" w:rsidR="006D34E8" w:rsidRPr="00AA6603" w:rsidRDefault="006D34E8" w:rsidP="005432F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b/>
                <w:sz w:val="22"/>
                <w:szCs w:val="24"/>
              </w:rPr>
            </w:pPr>
            <w:r w:rsidRPr="00AA6603">
              <w:rPr>
                <w:rFonts w:ascii="Arial Narrow" w:eastAsiaTheme="minorHAnsi" w:hAnsi="Arial Narrow" w:cstheme="minorBidi"/>
                <w:b/>
                <w:sz w:val="22"/>
                <w:szCs w:val="24"/>
              </w:rPr>
              <w:t>Weight</w:t>
            </w:r>
          </w:p>
        </w:tc>
        <w:tc>
          <w:tcPr>
            <w:tcW w:w="1512" w:type="dxa"/>
          </w:tcPr>
          <w:p w14:paraId="34A5EEE4" w14:textId="77777777" w:rsidR="006D34E8" w:rsidRPr="00AA6603" w:rsidRDefault="006D34E8" w:rsidP="005432F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b/>
                <w:sz w:val="22"/>
                <w:szCs w:val="24"/>
              </w:rPr>
            </w:pPr>
            <w:r w:rsidRPr="00AA6603">
              <w:rPr>
                <w:rFonts w:ascii="Arial Narrow" w:eastAsiaTheme="minorHAnsi" w:hAnsi="Arial Narrow" w:cstheme="minorBidi"/>
                <w:b/>
                <w:sz w:val="22"/>
                <w:szCs w:val="24"/>
              </w:rPr>
              <w:t>Score</w:t>
            </w:r>
          </w:p>
        </w:tc>
        <w:tc>
          <w:tcPr>
            <w:tcW w:w="1525" w:type="dxa"/>
          </w:tcPr>
          <w:p w14:paraId="5CCA6323" w14:textId="77777777" w:rsidR="006D34E8" w:rsidRPr="00AA6603" w:rsidRDefault="006D34E8" w:rsidP="00AA6603">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b/>
                <w:sz w:val="22"/>
                <w:szCs w:val="24"/>
              </w:rPr>
            </w:pPr>
            <w:r w:rsidRPr="00AA6603">
              <w:rPr>
                <w:rFonts w:ascii="Arial Narrow" w:eastAsiaTheme="minorHAnsi" w:hAnsi="Arial Narrow" w:cstheme="minorBidi"/>
                <w:b/>
                <w:sz w:val="22"/>
                <w:szCs w:val="24"/>
              </w:rPr>
              <w:t>Criteria</w:t>
            </w:r>
          </w:p>
        </w:tc>
        <w:tc>
          <w:tcPr>
            <w:tcW w:w="1540" w:type="dxa"/>
          </w:tcPr>
          <w:p w14:paraId="5B4A2C66" w14:textId="77777777" w:rsidR="006D34E8" w:rsidRPr="00AA6603" w:rsidRDefault="006D34E8" w:rsidP="005432F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b/>
                <w:sz w:val="22"/>
                <w:szCs w:val="24"/>
              </w:rPr>
            </w:pPr>
            <w:r w:rsidRPr="00AA6603">
              <w:rPr>
                <w:rFonts w:ascii="Arial Narrow" w:eastAsiaTheme="minorHAnsi" w:hAnsi="Arial Narrow" w:cstheme="minorBidi"/>
                <w:b/>
                <w:sz w:val="22"/>
                <w:szCs w:val="24"/>
              </w:rPr>
              <w:t>Weight</w:t>
            </w:r>
          </w:p>
        </w:tc>
        <w:tc>
          <w:tcPr>
            <w:tcW w:w="1543" w:type="dxa"/>
          </w:tcPr>
          <w:p w14:paraId="47963A78" w14:textId="77777777" w:rsidR="006D34E8" w:rsidRPr="00AA6603" w:rsidRDefault="006D34E8" w:rsidP="005432F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b/>
                <w:sz w:val="22"/>
                <w:szCs w:val="24"/>
              </w:rPr>
            </w:pPr>
            <w:r w:rsidRPr="00AA6603">
              <w:rPr>
                <w:rFonts w:ascii="Arial Narrow" w:eastAsiaTheme="minorHAnsi" w:hAnsi="Arial Narrow" w:cstheme="minorBidi"/>
                <w:b/>
                <w:sz w:val="22"/>
                <w:szCs w:val="24"/>
              </w:rPr>
              <w:t>Score</w:t>
            </w:r>
          </w:p>
        </w:tc>
      </w:tr>
      <w:tr w:rsidR="006D34E8" w:rsidRPr="00AA6603" w14:paraId="1EF91040" w14:textId="77777777" w:rsidTr="00AA6603">
        <w:tc>
          <w:tcPr>
            <w:cnfStyle w:val="001000000000" w:firstRow="0" w:lastRow="0" w:firstColumn="1" w:lastColumn="0" w:oddVBand="0" w:evenVBand="0" w:oddHBand="0" w:evenHBand="0" w:firstRowFirstColumn="0" w:firstRowLastColumn="0" w:lastRowFirstColumn="0" w:lastRowLastColumn="0"/>
            <w:tcW w:w="1488" w:type="dxa"/>
          </w:tcPr>
          <w:p w14:paraId="6A951770" w14:textId="77777777" w:rsidR="006D34E8" w:rsidRPr="00AA6603" w:rsidRDefault="006D34E8" w:rsidP="00AA6603">
            <w:pPr>
              <w:pStyle w:val="EYBodytextwithparaspace"/>
              <w:spacing w:after="60"/>
              <w:rPr>
                <w:rFonts w:ascii="Arial Narrow" w:eastAsiaTheme="minorHAnsi" w:hAnsi="Arial Narrow" w:cstheme="minorBidi"/>
                <w:sz w:val="22"/>
                <w:szCs w:val="24"/>
              </w:rPr>
            </w:pPr>
            <w:r w:rsidRPr="00AA6603">
              <w:rPr>
                <w:rFonts w:ascii="Arial Narrow" w:eastAsiaTheme="minorHAnsi" w:hAnsi="Arial Narrow" w:cstheme="minorBidi"/>
                <w:sz w:val="22"/>
                <w:szCs w:val="24"/>
              </w:rPr>
              <w:t>Safety</w:t>
            </w:r>
          </w:p>
        </w:tc>
        <w:tc>
          <w:tcPr>
            <w:tcW w:w="1601" w:type="dxa"/>
          </w:tcPr>
          <w:p w14:paraId="74B108B0" w14:textId="77777777" w:rsidR="006D34E8" w:rsidRPr="00AA6603" w:rsidRDefault="006D34E8" w:rsidP="005432F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sidRPr="00AA6603">
              <w:rPr>
                <w:rFonts w:ascii="Arial Narrow" w:eastAsiaTheme="minorHAnsi" w:hAnsi="Arial Narrow" w:cstheme="minorBidi"/>
                <w:sz w:val="22"/>
                <w:szCs w:val="24"/>
              </w:rPr>
              <w:t>30%</w:t>
            </w:r>
          </w:p>
        </w:tc>
        <w:tc>
          <w:tcPr>
            <w:tcW w:w="1512" w:type="dxa"/>
            <w:vMerge w:val="restart"/>
          </w:tcPr>
          <w:p w14:paraId="46A74272" w14:textId="77777777" w:rsidR="006D34E8" w:rsidRPr="00AA6603" w:rsidRDefault="006D34E8" w:rsidP="005432F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sidRPr="00AA6603">
              <w:rPr>
                <w:rFonts w:ascii="Arial Narrow" w:eastAsiaTheme="minorHAnsi" w:hAnsi="Arial Narrow" w:cstheme="minorBidi"/>
                <w:sz w:val="22"/>
                <w:szCs w:val="24"/>
              </w:rPr>
              <w:t xml:space="preserve">Between </w:t>
            </w:r>
            <w:r w:rsidRPr="00AA6603">
              <w:rPr>
                <w:rFonts w:ascii="Arial Narrow" w:eastAsiaTheme="minorHAnsi" w:hAnsi="Arial Narrow" w:cstheme="minorBidi"/>
                <w:sz w:val="22"/>
                <w:szCs w:val="24"/>
              </w:rPr>
              <w:br/>
              <w:t>0 and +10</w:t>
            </w:r>
          </w:p>
        </w:tc>
        <w:tc>
          <w:tcPr>
            <w:tcW w:w="1525" w:type="dxa"/>
          </w:tcPr>
          <w:p w14:paraId="19ACE8A8" w14:textId="77777777" w:rsidR="006D34E8" w:rsidRPr="00AA6603" w:rsidRDefault="006D34E8" w:rsidP="00AA6603">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color w:val="004EA8" w:themeColor="accent1"/>
                <w:sz w:val="22"/>
                <w:szCs w:val="24"/>
              </w:rPr>
            </w:pPr>
            <w:r w:rsidRPr="00AA6603">
              <w:rPr>
                <w:rFonts w:ascii="Arial Narrow" w:eastAsiaTheme="minorHAnsi" w:hAnsi="Arial Narrow" w:cstheme="minorBidi"/>
                <w:color w:val="004EA8" w:themeColor="accent1"/>
                <w:sz w:val="22"/>
                <w:szCs w:val="24"/>
              </w:rPr>
              <w:t>Industry</w:t>
            </w:r>
          </w:p>
        </w:tc>
        <w:tc>
          <w:tcPr>
            <w:tcW w:w="1540" w:type="dxa"/>
          </w:tcPr>
          <w:p w14:paraId="19663553" w14:textId="77777777" w:rsidR="006D34E8" w:rsidRPr="00AA6603" w:rsidRDefault="006D34E8" w:rsidP="005432F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sidRPr="00AA6603">
              <w:rPr>
                <w:rFonts w:ascii="Arial Narrow" w:eastAsiaTheme="minorHAnsi" w:hAnsi="Arial Narrow" w:cstheme="minorBidi"/>
                <w:sz w:val="22"/>
                <w:szCs w:val="24"/>
              </w:rPr>
              <w:t>35%</w:t>
            </w:r>
          </w:p>
        </w:tc>
        <w:tc>
          <w:tcPr>
            <w:tcW w:w="1543" w:type="dxa"/>
            <w:vMerge w:val="restart"/>
          </w:tcPr>
          <w:p w14:paraId="01185ECA" w14:textId="77777777" w:rsidR="006D34E8" w:rsidRPr="00AA6603" w:rsidRDefault="006D34E8" w:rsidP="005432F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sidRPr="00AA6603">
              <w:rPr>
                <w:rFonts w:ascii="Arial Narrow" w:eastAsiaTheme="minorHAnsi" w:hAnsi="Arial Narrow" w:cstheme="minorBidi"/>
                <w:sz w:val="22"/>
                <w:szCs w:val="24"/>
              </w:rPr>
              <w:t xml:space="preserve">Between </w:t>
            </w:r>
            <w:r w:rsidRPr="00AA6603">
              <w:rPr>
                <w:rFonts w:ascii="Arial Narrow" w:eastAsiaTheme="minorHAnsi" w:hAnsi="Arial Narrow" w:cstheme="minorBidi"/>
                <w:sz w:val="22"/>
                <w:szCs w:val="24"/>
              </w:rPr>
              <w:br/>
              <w:t>-10 and +10</w:t>
            </w:r>
          </w:p>
        </w:tc>
      </w:tr>
      <w:tr w:rsidR="006D34E8" w:rsidRPr="00AA6603" w14:paraId="27F593E7" w14:textId="77777777" w:rsidTr="00AA6603">
        <w:tc>
          <w:tcPr>
            <w:cnfStyle w:val="001000000000" w:firstRow="0" w:lastRow="0" w:firstColumn="1" w:lastColumn="0" w:oddVBand="0" w:evenVBand="0" w:oddHBand="0" w:evenHBand="0" w:firstRowFirstColumn="0" w:firstRowLastColumn="0" w:lastRowFirstColumn="0" w:lastRowLastColumn="0"/>
            <w:tcW w:w="1488" w:type="dxa"/>
            <w:tcBorders>
              <w:bottom w:val="single" w:sz="4" w:space="0" w:color="004EA8" w:themeColor="accent1"/>
            </w:tcBorders>
          </w:tcPr>
          <w:p w14:paraId="53F128D0" w14:textId="77777777" w:rsidR="006D34E8" w:rsidRPr="00AA6603" w:rsidRDefault="006D34E8" w:rsidP="00AA6603">
            <w:pPr>
              <w:pStyle w:val="EYBodytextwithparaspace"/>
              <w:spacing w:after="60"/>
              <w:rPr>
                <w:rFonts w:ascii="Arial Narrow" w:eastAsiaTheme="minorHAnsi" w:hAnsi="Arial Narrow" w:cstheme="minorBidi"/>
                <w:sz w:val="22"/>
                <w:szCs w:val="24"/>
              </w:rPr>
            </w:pPr>
            <w:r w:rsidRPr="00AA6603">
              <w:rPr>
                <w:rFonts w:ascii="Arial Narrow" w:eastAsiaTheme="minorHAnsi" w:hAnsi="Arial Narrow" w:cstheme="minorBidi"/>
                <w:sz w:val="22"/>
                <w:szCs w:val="24"/>
              </w:rPr>
              <w:t>Quality</w:t>
            </w:r>
          </w:p>
        </w:tc>
        <w:tc>
          <w:tcPr>
            <w:tcW w:w="1601" w:type="dxa"/>
            <w:tcBorders>
              <w:bottom w:val="single" w:sz="4" w:space="0" w:color="004EA8" w:themeColor="accent1"/>
            </w:tcBorders>
          </w:tcPr>
          <w:p w14:paraId="65B7966E" w14:textId="77777777" w:rsidR="006D34E8" w:rsidRPr="00AA6603" w:rsidRDefault="006D34E8" w:rsidP="005432F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sidRPr="00AA6603">
              <w:rPr>
                <w:rFonts w:ascii="Arial Narrow" w:eastAsiaTheme="minorHAnsi" w:hAnsi="Arial Narrow" w:cstheme="minorBidi"/>
                <w:sz w:val="22"/>
                <w:szCs w:val="24"/>
              </w:rPr>
              <w:t>20%</w:t>
            </w:r>
          </w:p>
        </w:tc>
        <w:tc>
          <w:tcPr>
            <w:tcW w:w="1512" w:type="dxa"/>
            <w:vMerge/>
            <w:tcBorders>
              <w:bottom w:val="single" w:sz="4" w:space="0" w:color="004EA8" w:themeColor="accent1"/>
            </w:tcBorders>
          </w:tcPr>
          <w:p w14:paraId="4F12DA78" w14:textId="77777777" w:rsidR="006D34E8" w:rsidRPr="00AA6603" w:rsidRDefault="006D34E8" w:rsidP="005432F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p>
        </w:tc>
        <w:tc>
          <w:tcPr>
            <w:tcW w:w="1525" w:type="dxa"/>
            <w:tcBorders>
              <w:bottom w:val="single" w:sz="4" w:space="0" w:color="004EA8" w:themeColor="accent1"/>
            </w:tcBorders>
          </w:tcPr>
          <w:p w14:paraId="215405A3" w14:textId="77777777" w:rsidR="006D34E8" w:rsidRPr="00AA6603" w:rsidRDefault="006D34E8" w:rsidP="00AA6603">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color w:val="004EA8" w:themeColor="accent1"/>
                <w:sz w:val="22"/>
                <w:szCs w:val="24"/>
              </w:rPr>
            </w:pPr>
            <w:r w:rsidRPr="00AA6603">
              <w:rPr>
                <w:rFonts w:ascii="Arial Narrow" w:eastAsiaTheme="minorHAnsi" w:hAnsi="Arial Narrow" w:cstheme="minorBidi"/>
                <w:color w:val="004EA8" w:themeColor="accent1"/>
                <w:sz w:val="22"/>
                <w:szCs w:val="24"/>
              </w:rPr>
              <w:t>Regulator</w:t>
            </w:r>
          </w:p>
        </w:tc>
        <w:tc>
          <w:tcPr>
            <w:tcW w:w="1540" w:type="dxa"/>
            <w:tcBorders>
              <w:bottom w:val="single" w:sz="4" w:space="0" w:color="004EA8" w:themeColor="accent1"/>
            </w:tcBorders>
          </w:tcPr>
          <w:p w14:paraId="2F69021A" w14:textId="77777777" w:rsidR="006D34E8" w:rsidRPr="00AA6603" w:rsidRDefault="006D34E8" w:rsidP="005432F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sidRPr="00AA6603">
              <w:rPr>
                <w:rFonts w:ascii="Arial Narrow" w:eastAsiaTheme="minorHAnsi" w:hAnsi="Arial Narrow" w:cstheme="minorBidi"/>
                <w:sz w:val="22"/>
                <w:szCs w:val="24"/>
              </w:rPr>
              <w:t>15%</w:t>
            </w:r>
          </w:p>
        </w:tc>
        <w:tc>
          <w:tcPr>
            <w:tcW w:w="1543" w:type="dxa"/>
            <w:vMerge/>
            <w:tcBorders>
              <w:bottom w:val="single" w:sz="4" w:space="0" w:color="004EA8" w:themeColor="accent1"/>
            </w:tcBorders>
          </w:tcPr>
          <w:p w14:paraId="6A8268A6" w14:textId="77777777" w:rsidR="006D34E8" w:rsidRPr="00AA6603" w:rsidRDefault="006D34E8" w:rsidP="005432F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p>
        </w:tc>
      </w:tr>
      <w:tr w:rsidR="006D34E8" w:rsidRPr="00AA6603" w14:paraId="61433C16" w14:textId="77777777" w:rsidTr="00AA6603">
        <w:tc>
          <w:tcPr>
            <w:cnfStyle w:val="001000000000" w:firstRow="0" w:lastRow="0" w:firstColumn="1" w:lastColumn="0" w:oddVBand="0" w:evenVBand="0" w:oddHBand="0" w:evenHBand="0" w:firstRowFirstColumn="0" w:firstRowLastColumn="0" w:lastRowFirstColumn="0" w:lastRowLastColumn="0"/>
            <w:tcW w:w="1488" w:type="dxa"/>
            <w:tcBorders>
              <w:right w:val="nil"/>
            </w:tcBorders>
          </w:tcPr>
          <w:p w14:paraId="1337D877" w14:textId="77777777" w:rsidR="006D34E8" w:rsidRPr="00AA6603" w:rsidRDefault="006D34E8" w:rsidP="00AA6603">
            <w:pPr>
              <w:pStyle w:val="EYBodytextwithparaspace"/>
              <w:spacing w:after="60"/>
              <w:rPr>
                <w:rFonts w:ascii="Arial Narrow" w:eastAsiaTheme="minorHAnsi" w:hAnsi="Arial Narrow" w:cstheme="minorBidi"/>
                <w:b/>
                <w:sz w:val="22"/>
                <w:szCs w:val="24"/>
              </w:rPr>
            </w:pPr>
          </w:p>
        </w:tc>
        <w:tc>
          <w:tcPr>
            <w:tcW w:w="1601" w:type="dxa"/>
            <w:tcBorders>
              <w:left w:val="nil"/>
              <w:right w:val="nil"/>
            </w:tcBorders>
          </w:tcPr>
          <w:p w14:paraId="60781503" w14:textId="77777777" w:rsidR="006D34E8" w:rsidRPr="00AA6603" w:rsidRDefault="006D34E8" w:rsidP="005432F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b/>
                <w:sz w:val="22"/>
                <w:szCs w:val="24"/>
              </w:rPr>
            </w:pPr>
            <w:r w:rsidRPr="00AA6603">
              <w:rPr>
                <w:rFonts w:ascii="Arial Narrow" w:eastAsiaTheme="minorHAnsi" w:hAnsi="Arial Narrow" w:cstheme="minorBidi"/>
                <w:b/>
                <w:sz w:val="22"/>
                <w:szCs w:val="24"/>
              </w:rPr>
              <w:t>50%</w:t>
            </w:r>
          </w:p>
        </w:tc>
        <w:tc>
          <w:tcPr>
            <w:tcW w:w="1512" w:type="dxa"/>
            <w:tcBorders>
              <w:left w:val="nil"/>
            </w:tcBorders>
          </w:tcPr>
          <w:p w14:paraId="79CAEE60" w14:textId="77777777" w:rsidR="006D34E8" w:rsidRPr="00AA6603" w:rsidRDefault="006D34E8" w:rsidP="005432F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b/>
                <w:sz w:val="22"/>
                <w:szCs w:val="24"/>
              </w:rPr>
            </w:pPr>
          </w:p>
        </w:tc>
        <w:tc>
          <w:tcPr>
            <w:tcW w:w="1525" w:type="dxa"/>
            <w:tcBorders>
              <w:right w:val="nil"/>
            </w:tcBorders>
          </w:tcPr>
          <w:p w14:paraId="7927D45B" w14:textId="77777777" w:rsidR="006D34E8" w:rsidRPr="00AA6603" w:rsidRDefault="006D34E8" w:rsidP="00AA6603">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b/>
                <w:sz w:val="22"/>
                <w:szCs w:val="24"/>
              </w:rPr>
            </w:pPr>
          </w:p>
        </w:tc>
        <w:tc>
          <w:tcPr>
            <w:tcW w:w="1540" w:type="dxa"/>
            <w:tcBorders>
              <w:left w:val="nil"/>
              <w:right w:val="nil"/>
            </w:tcBorders>
          </w:tcPr>
          <w:p w14:paraId="080A8E17" w14:textId="77777777" w:rsidR="006D34E8" w:rsidRPr="00AA6603" w:rsidRDefault="006D34E8" w:rsidP="005432F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b/>
                <w:sz w:val="22"/>
                <w:szCs w:val="24"/>
              </w:rPr>
            </w:pPr>
            <w:r w:rsidRPr="00AA6603">
              <w:rPr>
                <w:rFonts w:ascii="Arial Narrow" w:eastAsiaTheme="minorHAnsi" w:hAnsi="Arial Narrow" w:cstheme="minorBidi"/>
                <w:b/>
                <w:sz w:val="22"/>
                <w:szCs w:val="24"/>
              </w:rPr>
              <w:t>50%</w:t>
            </w:r>
          </w:p>
        </w:tc>
        <w:tc>
          <w:tcPr>
            <w:tcW w:w="1543" w:type="dxa"/>
            <w:tcBorders>
              <w:left w:val="nil"/>
            </w:tcBorders>
          </w:tcPr>
          <w:p w14:paraId="17F9B28B" w14:textId="77777777" w:rsidR="006D34E8" w:rsidRPr="00AA6603" w:rsidRDefault="006D34E8" w:rsidP="005432F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b/>
                <w:sz w:val="22"/>
                <w:szCs w:val="24"/>
              </w:rPr>
            </w:pPr>
          </w:p>
        </w:tc>
      </w:tr>
    </w:tbl>
    <w:p w14:paraId="6B64FDAB" w14:textId="77777777" w:rsidR="006D34E8" w:rsidRPr="006D34E8" w:rsidRDefault="006D34E8" w:rsidP="006D34E8">
      <w:pPr>
        <w:pStyle w:val="EYBodytextwithparaspace"/>
        <w:spacing w:before="120" w:after="120"/>
        <w:rPr>
          <w:rFonts w:asciiTheme="minorHAnsi" w:eastAsiaTheme="minorHAnsi" w:hAnsiTheme="minorHAnsi" w:cstheme="minorBidi"/>
          <w:sz w:val="22"/>
          <w:szCs w:val="24"/>
        </w:rPr>
      </w:pPr>
      <w:r w:rsidRPr="005432F7">
        <w:rPr>
          <w:rFonts w:asciiTheme="minorHAnsi" w:eastAsiaTheme="minorHAnsi" w:hAnsiTheme="minorHAnsi" w:cstheme="minorBidi"/>
          <w:sz w:val="22"/>
          <w:szCs w:val="24"/>
        </w:rPr>
        <w:t>The results of this analysis are summarised in table below.</w:t>
      </w:r>
    </w:p>
    <w:tbl>
      <w:tblPr>
        <w:tblStyle w:val="TableGrid"/>
        <w:tblW w:w="0" w:type="auto"/>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ayout w:type="fixed"/>
        <w:tblLook w:val="04A0" w:firstRow="1" w:lastRow="0" w:firstColumn="1" w:lastColumn="0" w:noHBand="0" w:noVBand="1"/>
      </w:tblPr>
      <w:tblGrid>
        <w:gridCol w:w="2122"/>
        <w:gridCol w:w="1388"/>
        <w:gridCol w:w="1388"/>
        <w:gridCol w:w="1388"/>
        <w:gridCol w:w="1388"/>
        <w:gridCol w:w="1535"/>
      </w:tblGrid>
      <w:tr w:rsidR="006D34E8" w:rsidRPr="00AA6603" w14:paraId="2B0578BB" w14:textId="77777777" w:rsidTr="00AA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right w:val="none" w:sz="0" w:space="0" w:color="auto"/>
            </w:tcBorders>
            <w:noWrap/>
            <w:hideMark/>
          </w:tcPr>
          <w:p w14:paraId="1C64759F" w14:textId="153D8F19" w:rsidR="006D34E8" w:rsidRPr="00AA6603" w:rsidRDefault="00AC73EC" w:rsidP="00AA6603">
            <w:pPr>
              <w:pStyle w:val="EYBodytextwithparaspace"/>
              <w:spacing w:after="60"/>
              <w:rPr>
                <w:rFonts w:ascii="Arial Narrow" w:eastAsiaTheme="minorHAnsi" w:hAnsi="Arial Narrow" w:cstheme="minorBidi"/>
                <w:sz w:val="22"/>
                <w:szCs w:val="24"/>
              </w:rPr>
            </w:pPr>
            <w:r w:rsidRPr="00AA6603">
              <w:rPr>
                <w:rFonts w:ascii="Arial Narrow" w:eastAsiaTheme="minorHAnsi" w:hAnsi="Arial Narrow" w:cstheme="minorBidi"/>
                <w:sz w:val="22"/>
                <w:szCs w:val="24"/>
              </w:rPr>
              <w:t>Option</w:t>
            </w:r>
          </w:p>
        </w:tc>
        <w:tc>
          <w:tcPr>
            <w:tcW w:w="1388" w:type="dxa"/>
            <w:tcBorders>
              <w:left w:val="none" w:sz="0" w:space="0" w:color="auto"/>
              <w:right w:val="none" w:sz="0" w:space="0" w:color="auto"/>
            </w:tcBorders>
            <w:hideMark/>
          </w:tcPr>
          <w:p w14:paraId="550108D6" w14:textId="77777777" w:rsidR="006D34E8" w:rsidRPr="00AA6603" w:rsidRDefault="006D34E8" w:rsidP="005432F7">
            <w:pPr>
              <w:pStyle w:val="EYBodytextwithparaspace"/>
              <w:spacing w:after="60"/>
              <w:jc w:val="center"/>
              <w:cnfStyle w:val="100000000000" w:firstRow="1"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sidRPr="00AA6603">
              <w:rPr>
                <w:rFonts w:ascii="Arial Narrow" w:eastAsiaTheme="minorHAnsi" w:hAnsi="Arial Narrow" w:cstheme="minorBidi"/>
                <w:sz w:val="22"/>
                <w:szCs w:val="24"/>
              </w:rPr>
              <w:t>Cost to industry</w:t>
            </w:r>
          </w:p>
        </w:tc>
        <w:tc>
          <w:tcPr>
            <w:tcW w:w="1388" w:type="dxa"/>
            <w:tcBorders>
              <w:left w:val="none" w:sz="0" w:space="0" w:color="auto"/>
              <w:right w:val="none" w:sz="0" w:space="0" w:color="auto"/>
            </w:tcBorders>
            <w:hideMark/>
          </w:tcPr>
          <w:p w14:paraId="23BCDCCD" w14:textId="77777777" w:rsidR="006D34E8" w:rsidRPr="00AA6603" w:rsidRDefault="006D34E8" w:rsidP="005432F7">
            <w:pPr>
              <w:pStyle w:val="EYBodytextwithparaspace"/>
              <w:spacing w:after="60"/>
              <w:jc w:val="center"/>
              <w:cnfStyle w:val="100000000000" w:firstRow="1"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sidRPr="00AA6603">
              <w:rPr>
                <w:rFonts w:ascii="Arial Narrow" w:eastAsiaTheme="minorHAnsi" w:hAnsi="Arial Narrow" w:cstheme="minorBidi"/>
                <w:sz w:val="22"/>
                <w:szCs w:val="24"/>
              </w:rPr>
              <w:t>Cost to regulator</w:t>
            </w:r>
          </w:p>
        </w:tc>
        <w:tc>
          <w:tcPr>
            <w:tcW w:w="1388" w:type="dxa"/>
            <w:tcBorders>
              <w:left w:val="none" w:sz="0" w:space="0" w:color="auto"/>
              <w:right w:val="none" w:sz="0" w:space="0" w:color="auto"/>
            </w:tcBorders>
            <w:noWrap/>
            <w:hideMark/>
          </w:tcPr>
          <w:p w14:paraId="1F6F5CE5" w14:textId="77777777" w:rsidR="006D34E8" w:rsidRPr="00AA6603" w:rsidRDefault="006D34E8" w:rsidP="005432F7">
            <w:pPr>
              <w:pStyle w:val="EYBodytextwithparaspace"/>
              <w:spacing w:after="60"/>
              <w:jc w:val="center"/>
              <w:cnfStyle w:val="100000000000" w:firstRow="1"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sidRPr="00AA6603">
              <w:rPr>
                <w:rFonts w:ascii="Arial Narrow" w:eastAsiaTheme="minorHAnsi" w:hAnsi="Arial Narrow" w:cstheme="minorBidi"/>
                <w:sz w:val="22"/>
                <w:szCs w:val="24"/>
              </w:rPr>
              <w:t>Safety</w:t>
            </w:r>
          </w:p>
        </w:tc>
        <w:tc>
          <w:tcPr>
            <w:tcW w:w="1388" w:type="dxa"/>
            <w:tcBorders>
              <w:left w:val="none" w:sz="0" w:space="0" w:color="auto"/>
              <w:right w:val="none" w:sz="0" w:space="0" w:color="auto"/>
            </w:tcBorders>
            <w:noWrap/>
            <w:hideMark/>
          </w:tcPr>
          <w:p w14:paraId="0E4B8E6B" w14:textId="77777777" w:rsidR="006D34E8" w:rsidRPr="005432F7" w:rsidRDefault="006D34E8" w:rsidP="005432F7">
            <w:pPr>
              <w:pStyle w:val="EYBodytextwithparaspace"/>
              <w:spacing w:after="60"/>
              <w:jc w:val="center"/>
              <w:cnfStyle w:val="100000000000" w:firstRow="1"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sidRPr="005432F7">
              <w:rPr>
                <w:rFonts w:ascii="Arial Narrow" w:eastAsiaTheme="minorHAnsi" w:hAnsi="Arial Narrow" w:cstheme="minorBidi"/>
                <w:sz w:val="22"/>
                <w:szCs w:val="24"/>
              </w:rPr>
              <w:t>Quality</w:t>
            </w:r>
          </w:p>
        </w:tc>
        <w:tc>
          <w:tcPr>
            <w:tcW w:w="1535" w:type="dxa"/>
            <w:tcBorders>
              <w:left w:val="none" w:sz="0" w:space="0" w:color="auto"/>
            </w:tcBorders>
            <w:noWrap/>
            <w:hideMark/>
          </w:tcPr>
          <w:p w14:paraId="03A34E74" w14:textId="77777777" w:rsidR="006D34E8" w:rsidRPr="00AA6603" w:rsidRDefault="006D34E8" w:rsidP="005432F7">
            <w:pPr>
              <w:pStyle w:val="EYBodytextwithparaspace"/>
              <w:spacing w:after="60"/>
              <w:jc w:val="center"/>
              <w:cnfStyle w:val="100000000000" w:firstRow="1"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sidRPr="00AA6603">
              <w:rPr>
                <w:rFonts w:ascii="Arial Narrow" w:eastAsiaTheme="minorHAnsi" w:hAnsi="Arial Narrow" w:cstheme="minorBidi"/>
                <w:sz w:val="22"/>
                <w:szCs w:val="24"/>
              </w:rPr>
              <w:t>Total Score</w:t>
            </w:r>
          </w:p>
        </w:tc>
      </w:tr>
      <w:tr w:rsidR="006D34E8" w:rsidRPr="00AA6603" w14:paraId="7A4EF8E8" w14:textId="77777777" w:rsidTr="005432F7">
        <w:tc>
          <w:tcPr>
            <w:cnfStyle w:val="001000000000" w:firstRow="0" w:lastRow="0" w:firstColumn="1" w:lastColumn="0" w:oddVBand="0" w:evenVBand="0" w:oddHBand="0" w:evenHBand="0" w:firstRowFirstColumn="0" w:firstRowLastColumn="0" w:lastRowFirstColumn="0" w:lastRowLastColumn="0"/>
            <w:tcW w:w="2122" w:type="dxa"/>
            <w:noWrap/>
            <w:hideMark/>
          </w:tcPr>
          <w:p w14:paraId="0BF56771" w14:textId="77777777" w:rsidR="006D34E8" w:rsidRPr="00AA6603" w:rsidRDefault="006D34E8" w:rsidP="00AA6603">
            <w:pPr>
              <w:pStyle w:val="EYBodytextwithparaspace"/>
              <w:spacing w:after="60"/>
              <w:rPr>
                <w:rFonts w:ascii="Arial Narrow" w:eastAsiaTheme="minorHAnsi" w:hAnsi="Arial Narrow" w:cstheme="minorBidi"/>
                <w:sz w:val="22"/>
                <w:szCs w:val="24"/>
              </w:rPr>
            </w:pPr>
            <w:r w:rsidRPr="00AA6603">
              <w:rPr>
                <w:rFonts w:ascii="Arial Narrow" w:eastAsiaTheme="minorHAnsi" w:hAnsi="Arial Narrow" w:cstheme="minorBidi"/>
                <w:sz w:val="22"/>
                <w:szCs w:val="24"/>
              </w:rPr>
              <w:t>Status Quo</w:t>
            </w:r>
          </w:p>
        </w:tc>
        <w:tc>
          <w:tcPr>
            <w:tcW w:w="1388" w:type="dxa"/>
            <w:noWrap/>
          </w:tcPr>
          <w:p w14:paraId="608E14CB" w14:textId="45B54252" w:rsidR="006D34E8" w:rsidRPr="00AA6603" w:rsidRDefault="005432F7" w:rsidP="005432F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Pr>
                <w:rFonts w:ascii="Arial Narrow" w:eastAsiaTheme="minorHAnsi" w:hAnsi="Arial Narrow" w:cstheme="minorBidi"/>
                <w:sz w:val="22"/>
                <w:szCs w:val="24"/>
              </w:rPr>
              <w:t>-7.35</w:t>
            </w:r>
          </w:p>
        </w:tc>
        <w:tc>
          <w:tcPr>
            <w:tcW w:w="1388" w:type="dxa"/>
            <w:noWrap/>
          </w:tcPr>
          <w:p w14:paraId="45C0992C" w14:textId="17A61E98" w:rsidR="006D34E8" w:rsidRPr="00AA6603" w:rsidRDefault="005432F7" w:rsidP="005432F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Pr>
                <w:rFonts w:ascii="Arial Narrow" w:eastAsiaTheme="minorHAnsi" w:hAnsi="Arial Narrow" w:cstheme="minorBidi"/>
                <w:sz w:val="22"/>
                <w:szCs w:val="24"/>
              </w:rPr>
              <w:t>1.5</w:t>
            </w:r>
          </w:p>
        </w:tc>
        <w:tc>
          <w:tcPr>
            <w:tcW w:w="1388" w:type="dxa"/>
            <w:noWrap/>
          </w:tcPr>
          <w:p w14:paraId="08C0F645" w14:textId="182ED80F" w:rsidR="006D34E8" w:rsidRPr="00AA6603" w:rsidRDefault="005432F7" w:rsidP="005432F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Pr>
                <w:rFonts w:ascii="Arial Narrow" w:eastAsiaTheme="minorHAnsi" w:hAnsi="Arial Narrow" w:cstheme="minorBidi"/>
                <w:sz w:val="22"/>
                <w:szCs w:val="24"/>
              </w:rPr>
              <w:t>8.25</w:t>
            </w:r>
          </w:p>
        </w:tc>
        <w:tc>
          <w:tcPr>
            <w:tcW w:w="1388" w:type="dxa"/>
            <w:noWrap/>
          </w:tcPr>
          <w:p w14:paraId="6DB45AE7" w14:textId="452B99B8" w:rsidR="006D34E8" w:rsidRPr="005432F7" w:rsidRDefault="005432F7" w:rsidP="005432F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sidRPr="005432F7">
              <w:rPr>
                <w:rFonts w:ascii="Arial Narrow" w:eastAsiaTheme="minorHAnsi" w:hAnsi="Arial Narrow" w:cstheme="minorBidi"/>
                <w:sz w:val="22"/>
                <w:szCs w:val="24"/>
              </w:rPr>
              <w:t>3.6</w:t>
            </w:r>
          </w:p>
        </w:tc>
        <w:tc>
          <w:tcPr>
            <w:tcW w:w="1535" w:type="dxa"/>
            <w:noWrap/>
          </w:tcPr>
          <w:p w14:paraId="3B1045B5" w14:textId="16E67AF8" w:rsidR="006D34E8" w:rsidRPr="00AA6603" w:rsidRDefault="005432F7" w:rsidP="005432F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b/>
                <w:sz w:val="22"/>
                <w:szCs w:val="24"/>
              </w:rPr>
            </w:pPr>
            <w:r>
              <w:rPr>
                <w:rFonts w:ascii="Arial Narrow" w:eastAsiaTheme="minorHAnsi" w:hAnsi="Arial Narrow" w:cstheme="minorBidi"/>
                <w:b/>
                <w:sz w:val="22"/>
                <w:szCs w:val="24"/>
              </w:rPr>
              <w:t>6.0</w:t>
            </w:r>
          </w:p>
        </w:tc>
      </w:tr>
      <w:tr w:rsidR="006D34E8" w:rsidRPr="00AA6603" w14:paraId="4FA2B03D" w14:textId="77777777" w:rsidTr="005432F7">
        <w:tc>
          <w:tcPr>
            <w:cnfStyle w:val="001000000000" w:firstRow="0" w:lastRow="0" w:firstColumn="1" w:lastColumn="0" w:oddVBand="0" w:evenVBand="0" w:oddHBand="0" w:evenHBand="0" w:firstRowFirstColumn="0" w:firstRowLastColumn="0" w:lastRowFirstColumn="0" w:lastRowLastColumn="0"/>
            <w:tcW w:w="2122" w:type="dxa"/>
            <w:noWrap/>
            <w:hideMark/>
          </w:tcPr>
          <w:p w14:paraId="42AFD969" w14:textId="77777777" w:rsidR="006D34E8" w:rsidRPr="00AA6603" w:rsidRDefault="006D34E8" w:rsidP="00AA6603">
            <w:pPr>
              <w:pStyle w:val="EYBodytextwithparaspace"/>
              <w:spacing w:after="60"/>
              <w:rPr>
                <w:rFonts w:ascii="Arial Narrow" w:eastAsiaTheme="minorHAnsi" w:hAnsi="Arial Narrow" w:cstheme="minorBidi"/>
                <w:sz w:val="22"/>
                <w:szCs w:val="24"/>
              </w:rPr>
            </w:pPr>
            <w:r w:rsidRPr="00AA6603">
              <w:rPr>
                <w:rFonts w:ascii="Arial Narrow" w:eastAsiaTheme="minorHAnsi" w:hAnsi="Arial Narrow" w:cstheme="minorBidi"/>
                <w:sz w:val="22"/>
                <w:szCs w:val="24"/>
              </w:rPr>
              <w:t>Alignment</w:t>
            </w:r>
          </w:p>
        </w:tc>
        <w:tc>
          <w:tcPr>
            <w:tcW w:w="1388" w:type="dxa"/>
            <w:noWrap/>
          </w:tcPr>
          <w:p w14:paraId="6F34782B" w14:textId="1C5299D2" w:rsidR="006D34E8" w:rsidRPr="00AA6603" w:rsidRDefault="005432F7" w:rsidP="005432F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Pr>
                <w:rFonts w:ascii="Arial Narrow" w:eastAsiaTheme="minorHAnsi" w:hAnsi="Arial Narrow" w:cstheme="minorBidi"/>
                <w:sz w:val="22"/>
                <w:szCs w:val="24"/>
              </w:rPr>
              <w:t>-4.38</w:t>
            </w:r>
          </w:p>
        </w:tc>
        <w:tc>
          <w:tcPr>
            <w:tcW w:w="1388" w:type="dxa"/>
            <w:noWrap/>
          </w:tcPr>
          <w:p w14:paraId="4AF30075" w14:textId="257D5197" w:rsidR="006D34E8" w:rsidRPr="00AA6603" w:rsidRDefault="005432F7" w:rsidP="005432F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Pr>
                <w:rFonts w:ascii="Arial Narrow" w:eastAsiaTheme="minorHAnsi" w:hAnsi="Arial Narrow" w:cstheme="minorBidi"/>
                <w:sz w:val="22"/>
                <w:szCs w:val="24"/>
              </w:rPr>
              <w:t>2.7</w:t>
            </w:r>
          </w:p>
        </w:tc>
        <w:tc>
          <w:tcPr>
            <w:tcW w:w="1388" w:type="dxa"/>
            <w:noWrap/>
          </w:tcPr>
          <w:p w14:paraId="676565A3" w14:textId="0AA6B8AA" w:rsidR="006D34E8" w:rsidRPr="00AA6603" w:rsidRDefault="005432F7" w:rsidP="005432F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Pr>
                <w:rFonts w:ascii="Arial Narrow" w:eastAsiaTheme="minorHAnsi" w:hAnsi="Arial Narrow" w:cstheme="minorBidi"/>
                <w:sz w:val="22"/>
                <w:szCs w:val="24"/>
              </w:rPr>
              <w:t>14.1</w:t>
            </w:r>
          </w:p>
        </w:tc>
        <w:tc>
          <w:tcPr>
            <w:tcW w:w="1388" w:type="dxa"/>
            <w:noWrap/>
          </w:tcPr>
          <w:p w14:paraId="37F915F3" w14:textId="6D363368" w:rsidR="006D34E8" w:rsidRPr="005432F7" w:rsidRDefault="005432F7" w:rsidP="005432F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sidRPr="005432F7">
              <w:rPr>
                <w:rFonts w:ascii="Arial Narrow" w:eastAsiaTheme="minorHAnsi" w:hAnsi="Arial Narrow" w:cstheme="minorBidi"/>
                <w:sz w:val="22"/>
                <w:szCs w:val="24"/>
              </w:rPr>
              <w:t>7.0</w:t>
            </w:r>
          </w:p>
        </w:tc>
        <w:tc>
          <w:tcPr>
            <w:tcW w:w="1535" w:type="dxa"/>
            <w:noWrap/>
          </w:tcPr>
          <w:p w14:paraId="69CBEF28" w14:textId="7F181EF1" w:rsidR="006D34E8" w:rsidRPr="00AA6603" w:rsidRDefault="005432F7" w:rsidP="005432F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b/>
                <w:sz w:val="22"/>
                <w:szCs w:val="24"/>
              </w:rPr>
            </w:pPr>
            <w:r>
              <w:rPr>
                <w:rFonts w:ascii="Arial Narrow" w:eastAsiaTheme="minorHAnsi" w:hAnsi="Arial Narrow" w:cstheme="minorBidi"/>
                <w:b/>
                <w:sz w:val="22"/>
                <w:szCs w:val="24"/>
              </w:rPr>
              <w:t>19.42</w:t>
            </w:r>
          </w:p>
        </w:tc>
      </w:tr>
    </w:tbl>
    <w:p w14:paraId="2F5004C7" w14:textId="055FBFA3" w:rsidR="006D34E8" w:rsidRPr="006D34E8" w:rsidRDefault="006D34E8" w:rsidP="00823A54">
      <w:pPr>
        <w:pStyle w:val="EYBodytextwithparaspace"/>
        <w:spacing w:before="120" w:after="120"/>
        <w:rPr>
          <w:rFonts w:asciiTheme="minorHAnsi" w:eastAsiaTheme="minorHAnsi" w:hAnsiTheme="minorHAnsi" w:cstheme="minorBidi"/>
          <w:sz w:val="22"/>
          <w:szCs w:val="24"/>
        </w:rPr>
      </w:pPr>
      <w:r w:rsidRPr="006D34E8">
        <w:rPr>
          <w:rFonts w:asciiTheme="minorHAnsi" w:eastAsiaTheme="minorHAnsi" w:hAnsiTheme="minorHAnsi" w:cstheme="minorBidi"/>
          <w:sz w:val="22"/>
          <w:szCs w:val="24"/>
        </w:rPr>
        <w:t xml:space="preserve">Given the results of the analysis, the RIS concludes that the overall benefits of the proposal </w:t>
      </w:r>
      <w:r w:rsidR="00486F1A">
        <w:rPr>
          <w:rFonts w:asciiTheme="minorHAnsi" w:eastAsiaTheme="minorHAnsi" w:hAnsiTheme="minorHAnsi" w:cstheme="minorBidi"/>
          <w:sz w:val="22"/>
          <w:szCs w:val="24"/>
        </w:rPr>
        <w:t xml:space="preserve">to the sector </w:t>
      </w:r>
      <w:r w:rsidRPr="006D34E8">
        <w:rPr>
          <w:rFonts w:asciiTheme="minorHAnsi" w:eastAsiaTheme="minorHAnsi" w:hAnsiTheme="minorHAnsi" w:cstheme="minorBidi"/>
          <w:sz w:val="22"/>
          <w:szCs w:val="24"/>
        </w:rPr>
        <w:t>outweigh the costs</w:t>
      </w:r>
      <w:r w:rsidR="00486F1A">
        <w:rPr>
          <w:rFonts w:asciiTheme="minorHAnsi" w:eastAsiaTheme="minorHAnsi" w:hAnsiTheme="minorHAnsi" w:cstheme="minorBidi"/>
          <w:sz w:val="22"/>
          <w:szCs w:val="24"/>
        </w:rPr>
        <w:t>,</w:t>
      </w:r>
      <w:r w:rsidRPr="006D34E8">
        <w:rPr>
          <w:rFonts w:asciiTheme="minorHAnsi" w:eastAsiaTheme="minorHAnsi" w:hAnsiTheme="minorHAnsi" w:cstheme="minorBidi"/>
          <w:sz w:val="22"/>
          <w:szCs w:val="24"/>
        </w:rPr>
        <w:t xml:space="preserve"> and implementation of the proposal is necessary to achieve the legislative objective.</w:t>
      </w:r>
    </w:p>
    <w:p w14:paraId="2BD4205C" w14:textId="0F84C148" w:rsidR="006D34E8" w:rsidRDefault="00A30B4D" w:rsidP="0099136F">
      <w:pPr>
        <w:spacing w:before="240"/>
        <w:rPr>
          <w:b/>
        </w:rPr>
      </w:pPr>
      <w:r>
        <w:rPr>
          <w:b/>
        </w:rPr>
        <w:t>Public c</w:t>
      </w:r>
      <w:r w:rsidR="006D34E8" w:rsidRPr="00460DFD">
        <w:rPr>
          <w:b/>
        </w:rPr>
        <w:t>onsultation</w:t>
      </w:r>
    </w:p>
    <w:p w14:paraId="401B462B" w14:textId="41FA4884" w:rsidR="008272CE" w:rsidRDefault="008272CE" w:rsidP="008272CE">
      <w:pPr>
        <w:pStyle w:val="EYBodytextwithparaspace"/>
        <w:spacing w:before="120" w:after="120"/>
        <w:rPr>
          <w:rFonts w:asciiTheme="minorHAnsi" w:eastAsiaTheme="minorHAnsi" w:hAnsiTheme="minorHAnsi" w:cstheme="minorBidi"/>
          <w:sz w:val="22"/>
          <w:szCs w:val="24"/>
        </w:rPr>
      </w:pPr>
      <w:r w:rsidRPr="006D34E8">
        <w:rPr>
          <w:rFonts w:asciiTheme="minorHAnsi" w:eastAsiaTheme="minorHAnsi" w:hAnsiTheme="minorHAnsi" w:cstheme="minorBidi"/>
          <w:sz w:val="22"/>
          <w:szCs w:val="24"/>
        </w:rPr>
        <w:t xml:space="preserve">Public comment is invited on the RIS overall, and the main </w:t>
      </w:r>
      <w:r>
        <w:rPr>
          <w:rFonts w:asciiTheme="minorHAnsi" w:eastAsiaTheme="minorHAnsi" w:hAnsiTheme="minorHAnsi" w:cstheme="minorBidi"/>
          <w:sz w:val="22"/>
          <w:szCs w:val="24"/>
        </w:rPr>
        <w:t>regulatory proposals presented.</w:t>
      </w:r>
    </w:p>
    <w:p w14:paraId="73D02A26" w14:textId="43F0D65E" w:rsidR="008272CE" w:rsidRPr="009E1A97" w:rsidRDefault="008272CE" w:rsidP="008272CE">
      <w:pPr>
        <w:pStyle w:val="EYBodytextwithparaspace"/>
        <w:spacing w:before="120" w:after="120"/>
        <w:rPr>
          <w:rFonts w:asciiTheme="minorHAnsi" w:eastAsiaTheme="minorHAnsi" w:hAnsiTheme="minorHAnsi" w:cstheme="minorBidi"/>
          <w:sz w:val="22"/>
          <w:szCs w:val="24"/>
        </w:rPr>
      </w:pPr>
      <w:r w:rsidRPr="009E1A97">
        <w:rPr>
          <w:rFonts w:asciiTheme="minorHAnsi" w:eastAsiaTheme="minorHAnsi" w:hAnsiTheme="minorHAnsi" w:cstheme="minorBidi"/>
          <w:sz w:val="22"/>
          <w:szCs w:val="24"/>
        </w:rPr>
        <w:t xml:space="preserve">A copy of the RIS and proposed Regulations is available to view, download or print by visiting the Engage Victoria website </w:t>
      </w:r>
      <w:hyperlink r:id="rId17" w:history="1">
        <w:r w:rsidRPr="009E1A97">
          <w:rPr>
            <w:rStyle w:val="Hyperlink"/>
            <w:rFonts w:asciiTheme="minorHAnsi" w:eastAsiaTheme="minorHAnsi" w:hAnsiTheme="minorHAnsi" w:cstheme="minorBidi"/>
            <w:szCs w:val="24"/>
          </w:rPr>
          <w:t>www.engage.vic.gov.au/childrens-services-regulations-2020</w:t>
        </w:r>
      </w:hyperlink>
      <w:r w:rsidRPr="009E1A97">
        <w:rPr>
          <w:rFonts w:asciiTheme="minorHAnsi" w:eastAsiaTheme="minorHAnsi" w:hAnsiTheme="minorHAnsi" w:cstheme="minorBidi"/>
          <w:sz w:val="22"/>
          <w:szCs w:val="24"/>
        </w:rPr>
        <w:t xml:space="preserve"> at or emailing </w:t>
      </w:r>
      <w:hyperlink r:id="rId18" w:history="1">
        <w:r w:rsidRPr="009E1A97">
          <w:rPr>
            <w:rStyle w:val="Hyperlink"/>
            <w:rFonts w:asciiTheme="minorHAnsi" w:eastAsiaTheme="minorHAnsi" w:hAnsiTheme="minorHAnsi" w:cstheme="minorBidi"/>
            <w:szCs w:val="24"/>
          </w:rPr>
          <w:t>cs.law.reform@edumail.vic.gov.au</w:t>
        </w:r>
      </w:hyperlink>
      <w:r w:rsidRPr="009E1A97">
        <w:rPr>
          <w:rFonts w:asciiTheme="minorHAnsi" w:eastAsiaTheme="minorHAnsi" w:hAnsiTheme="minorHAnsi" w:cstheme="minorBidi"/>
          <w:sz w:val="22"/>
          <w:szCs w:val="24"/>
        </w:rPr>
        <w:t xml:space="preserve"> </w:t>
      </w:r>
    </w:p>
    <w:p w14:paraId="13EDF2F6" w14:textId="77777777" w:rsidR="008272CE" w:rsidRPr="009E1A97" w:rsidRDefault="008272CE" w:rsidP="008272CE">
      <w:pPr>
        <w:pStyle w:val="EYBodytextwithparaspace"/>
        <w:spacing w:before="120" w:after="120"/>
        <w:rPr>
          <w:rFonts w:asciiTheme="minorHAnsi" w:eastAsiaTheme="minorHAnsi" w:hAnsiTheme="minorHAnsi" w:cstheme="minorBidi"/>
          <w:sz w:val="22"/>
          <w:szCs w:val="24"/>
        </w:rPr>
      </w:pPr>
      <w:r w:rsidRPr="009E1A97">
        <w:rPr>
          <w:rFonts w:asciiTheme="minorHAnsi" w:eastAsiaTheme="minorHAnsi" w:hAnsiTheme="minorHAnsi" w:cstheme="minorBidi"/>
          <w:sz w:val="22"/>
          <w:szCs w:val="24"/>
        </w:rPr>
        <w:t>A hardcopy of the RIS is also available to view from the Department of Education and Training, Level 20, 80 Collins Street, Melbourne, Victoria 3000. Please telephone (03) 7022 0673 to arrange access to the hardcopy.</w:t>
      </w:r>
    </w:p>
    <w:p w14:paraId="3A3C8E37" w14:textId="607AAA64" w:rsidR="008272CE" w:rsidRDefault="008272CE" w:rsidP="008272CE">
      <w:pPr>
        <w:pStyle w:val="EYBodytextwithparaspace"/>
        <w:spacing w:before="120" w:after="120"/>
        <w:rPr>
          <w:rFonts w:asciiTheme="minorHAnsi" w:eastAsiaTheme="minorHAnsi" w:hAnsiTheme="minorHAnsi" w:cstheme="minorBidi"/>
          <w:sz w:val="22"/>
          <w:szCs w:val="24"/>
        </w:rPr>
      </w:pPr>
      <w:r>
        <w:rPr>
          <w:rFonts w:asciiTheme="minorHAnsi" w:eastAsiaTheme="minorHAnsi" w:hAnsiTheme="minorHAnsi" w:cstheme="minorBidi"/>
          <w:sz w:val="22"/>
          <w:szCs w:val="24"/>
        </w:rPr>
        <w:t xml:space="preserve">Submitting comments and/or engaging in the consultation process can be undertaken </w:t>
      </w:r>
      <w:r w:rsidR="0099136F">
        <w:rPr>
          <w:rFonts w:asciiTheme="minorHAnsi" w:eastAsiaTheme="minorHAnsi" w:hAnsiTheme="minorHAnsi" w:cstheme="minorBidi"/>
          <w:sz w:val="22"/>
          <w:szCs w:val="24"/>
        </w:rPr>
        <w:t>in the following ways</w:t>
      </w:r>
      <w:r>
        <w:rPr>
          <w:rFonts w:asciiTheme="minorHAnsi" w:eastAsiaTheme="minorHAnsi" w:hAnsiTheme="minorHAnsi" w:cstheme="minorBidi"/>
          <w:sz w:val="22"/>
          <w:szCs w:val="24"/>
        </w:rPr>
        <w:t>.</w:t>
      </w:r>
    </w:p>
    <w:p w14:paraId="27A00F3A" w14:textId="2C6AEFEC" w:rsidR="008272CE" w:rsidRPr="006D34E8" w:rsidRDefault="009E1A97" w:rsidP="002806C5">
      <w:pPr>
        <w:pStyle w:val="EYBodytextwithparaspace"/>
        <w:numPr>
          <w:ilvl w:val="0"/>
          <w:numId w:val="106"/>
        </w:numPr>
        <w:spacing w:before="120" w:after="120"/>
        <w:rPr>
          <w:rFonts w:asciiTheme="minorHAnsi" w:eastAsiaTheme="minorHAnsi" w:hAnsiTheme="minorHAnsi" w:cstheme="minorBidi"/>
          <w:sz w:val="22"/>
          <w:szCs w:val="24"/>
        </w:rPr>
      </w:pPr>
      <w:r>
        <w:rPr>
          <w:rFonts w:asciiTheme="minorHAnsi" w:eastAsiaTheme="minorHAnsi" w:hAnsiTheme="minorHAnsi" w:cstheme="minorBidi"/>
          <w:sz w:val="22"/>
          <w:szCs w:val="24"/>
        </w:rPr>
        <w:t>Complete</w:t>
      </w:r>
      <w:r w:rsidR="008272CE">
        <w:rPr>
          <w:rFonts w:asciiTheme="minorHAnsi" w:eastAsiaTheme="minorHAnsi" w:hAnsiTheme="minorHAnsi" w:cstheme="minorBidi"/>
          <w:sz w:val="22"/>
          <w:szCs w:val="24"/>
        </w:rPr>
        <w:t xml:space="preserve"> a</w:t>
      </w:r>
      <w:r w:rsidR="008272CE" w:rsidRPr="006D34E8">
        <w:rPr>
          <w:rFonts w:asciiTheme="minorHAnsi" w:eastAsiaTheme="minorHAnsi" w:hAnsiTheme="minorHAnsi" w:cstheme="minorBidi"/>
          <w:sz w:val="22"/>
          <w:szCs w:val="24"/>
        </w:rPr>
        <w:t xml:space="preserve"> </w:t>
      </w:r>
      <w:r w:rsidR="008272CE" w:rsidRPr="00971B3F">
        <w:rPr>
          <w:rFonts w:asciiTheme="minorHAnsi" w:eastAsiaTheme="minorHAnsi" w:hAnsiTheme="minorHAnsi" w:cstheme="minorBidi"/>
          <w:b/>
          <w:sz w:val="22"/>
          <w:szCs w:val="24"/>
        </w:rPr>
        <w:t>short survey</w:t>
      </w:r>
      <w:r w:rsidR="008272CE" w:rsidRPr="006D34E8">
        <w:rPr>
          <w:rFonts w:asciiTheme="minorHAnsi" w:eastAsiaTheme="minorHAnsi" w:hAnsiTheme="minorHAnsi" w:cstheme="minorBidi"/>
          <w:sz w:val="22"/>
          <w:szCs w:val="24"/>
        </w:rPr>
        <w:t xml:space="preserve"> of questions for your consideration and comment</w:t>
      </w:r>
      <w:r w:rsidR="008272CE">
        <w:rPr>
          <w:rFonts w:asciiTheme="minorHAnsi" w:eastAsiaTheme="minorHAnsi" w:hAnsiTheme="minorHAnsi" w:cstheme="minorBidi"/>
          <w:sz w:val="22"/>
          <w:szCs w:val="24"/>
        </w:rPr>
        <w:t>, including the following</w:t>
      </w:r>
      <w:r w:rsidR="008272CE" w:rsidRPr="006D34E8">
        <w:rPr>
          <w:rFonts w:asciiTheme="minorHAnsi" w:eastAsiaTheme="minorHAnsi" w:hAnsiTheme="minorHAnsi" w:cstheme="minorBidi"/>
          <w:sz w:val="22"/>
          <w:szCs w:val="24"/>
        </w:rPr>
        <w:t>:</w:t>
      </w:r>
    </w:p>
    <w:p w14:paraId="689665DD" w14:textId="17DA35DC" w:rsidR="00D651D3" w:rsidRDefault="00D651D3" w:rsidP="008272CE">
      <w:pPr>
        <w:pStyle w:val="EYBodytextwithparaspace"/>
        <w:numPr>
          <w:ilvl w:val="0"/>
          <w:numId w:val="7"/>
        </w:numPr>
        <w:spacing w:before="120" w:after="120"/>
        <w:rPr>
          <w:rFonts w:asciiTheme="minorHAnsi" w:eastAsiaTheme="minorHAnsi" w:hAnsiTheme="minorHAnsi" w:cstheme="minorBidi"/>
          <w:sz w:val="22"/>
          <w:szCs w:val="24"/>
        </w:rPr>
      </w:pPr>
      <w:r>
        <w:rPr>
          <w:rFonts w:asciiTheme="minorHAnsi" w:eastAsiaTheme="minorHAnsi" w:hAnsiTheme="minorHAnsi" w:cstheme="minorBidi"/>
          <w:sz w:val="22"/>
          <w:szCs w:val="24"/>
        </w:rPr>
        <w:lastRenderedPageBreak/>
        <w:t>Do you support the reduction of seven (7) licence types to two (2) service</w:t>
      </w:r>
      <w:r w:rsidR="006843E3">
        <w:rPr>
          <w:rFonts w:asciiTheme="minorHAnsi" w:eastAsiaTheme="minorHAnsi" w:hAnsiTheme="minorHAnsi" w:cstheme="minorBidi"/>
          <w:sz w:val="22"/>
          <w:szCs w:val="24"/>
        </w:rPr>
        <w:t xml:space="preserve"> approval</w:t>
      </w:r>
      <w:r>
        <w:rPr>
          <w:rFonts w:asciiTheme="minorHAnsi" w:eastAsiaTheme="minorHAnsi" w:hAnsiTheme="minorHAnsi" w:cstheme="minorBidi"/>
          <w:sz w:val="22"/>
          <w:szCs w:val="24"/>
        </w:rPr>
        <w:t xml:space="preserve"> types?</w:t>
      </w:r>
    </w:p>
    <w:p w14:paraId="4274FA76" w14:textId="79AC7877" w:rsidR="008272CE" w:rsidRPr="006D34E8" w:rsidRDefault="008272CE" w:rsidP="008272CE">
      <w:pPr>
        <w:pStyle w:val="EYBodytextwithparaspace"/>
        <w:numPr>
          <w:ilvl w:val="0"/>
          <w:numId w:val="7"/>
        </w:numPr>
        <w:spacing w:before="120" w:after="120"/>
        <w:rPr>
          <w:rFonts w:asciiTheme="minorHAnsi" w:eastAsiaTheme="minorHAnsi" w:hAnsiTheme="minorHAnsi" w:cstheme="minorBidi"/>
          <w:sz w:val="22"/>
          <w:szCs w:val="24"/>
        </w:rPr>
      </w:pPr>
      <w:r w:rsidRPr="006D34E8">
        <w:rPr>
          <w:rFonts w:asciiTheme="minorHAnsi" w:eastAsiaTheme="minorHAnsi" w:hAnsiTheme="minorHAnsi" w:cstheme="minorBidi"/>
          <w:sz w:val="22"/>
          <w:szCs w:val="24"/>
        </w:rPr>
        <w:t xml:space="preserve">Do you support the requirement for outdoor space for new </w:t>
      </w:r>
      <w:r w:rsidR="00D651D3">
        <w:rPr>
          <w:rFonts w:asciiTheme="minorHAnsi" w:eastAsiaTheme="minorHAnsi" w:hAnsiTheme="minorHAnsi" w:cstheme="minorBidi"/>
          <w:sz w:val="22"/>
          <w:szCs w:val="24"/>
        </w:rPr>
        <w:t xml:space="preserve">occasional care </w:t>
      </w:r>
      <w:r w:rsidRPr="006D34E8">
        <w:rPr>
          <w:rFonts w:asciiTheme="minorHAnsi" w:eastAsiaTheme="minorHAnsi" w:hAnsiTheme="minorHAnsi" w:cstheme="minorBidi"/>
          <w:sz w:val="22"/>
          <w:szCs w:val="24"/>
        </w:rPr>
        <w:t>services?</w:t>
      </w:r>
    </w:p>
    <w:p w14:paraId="1CB96B45" w14:textId="77777777" w:rsidR="008272CE" w:rsidRPr="006D34E8" w:rsidRDefault="008272CE" w:rsidP="008272CE">
      <w:pPr>
        <w:pStyle w:val="EYBodytextwithparaspace"/>
        <w:numPr>
          <w:ilvl w:val="0"/>
          <w:numId w:val="7"/>
        </w:numPr>
        <w:spacing w:before="120" w:after="120"/>
        <w:rPr>
          <w:rFonts w:asciiTheme="minorHAnsi" w:eastAsiaTheme="minorHAnsi" w:hAnsiTheme="minorHAnsi" w:cstheme="minorBidi"/>
          <w:sz w:val="22"/>
          <w:szCs w:val="24"/>
        </w:rPr>
      </w:pPr>
      <w:r w:rsidRPr="006D34E8">
        <w:rPr>
          <w:rFonts w:asciiTheme="minorHAnsi" w:eastAsiaTheme="minorHAnsi" w:hAnsiTheme="minorHAnsi" w:cstheme="minorBidi"/>
          <w:sz w:val="22"/>
          <w:szCs w:val="24"/>
        </w:rPr>
        <w:t>Do you support the alignment of staffing requirements with the NQF?</w:t>
      </w:r>
    </w:p>
    <w:p w14:paraId="1054E6D9" w14:textId="77777777" w:rsidR="008272CE" w:rsidRPr="006D34E8" w:rsidRDefault="008272CE" w:rsidP="008272CE">
      <w:pPr>
        <w:pStyle w:val="EYBodytextwithparaspace"/>
        <w:numPr>
          <w:ilvl w:val="0"/>
          <w:numId w:val="7"/>
        </w:numPr>
        <w:spacing w:before="120" w:after="120"/>
        <w:rPr>
          <w:rFonts w:asciiTheme="minorHAnsi" w:eastAsiaTheme="minorHAnsi" w:hAnsiTheme="minorHAnsi" w:cstheme="minorBidi"/>
          <w:sz w:val="22"/>
          <w:szCs w:val="24"/>
        </w:rPr>
      </w:pPr>
      <w:r w:rsidRPr="006D34E8">
        <w:rPr>
          <w:rFonts w:asciiTheme="minorHAnsi" w:eastAsiaTheme="minorHAnsi" w:hAnsiTheme="minorHAnsi" w:cstheme="minorBidi"/>
          <w:sz w:val="22"/>
          <w:szCs w:val="24"/>
        </w:rPr>
        <w:t>Are estimated time assumptions for tasks such as record-keeping and the development of additional policies and procedures, reasonable or accurate?</w:t>
      </w:r>
    </w:p>
    <w:p w14:paraId="5AA96E2D" w14:textId="77777777" w:rsidR="008272CE" w:rsidRDefault="008272CE" w:rsidP="008272CE">
      <w:pPr>
        <w:pStyle w:val="EYBodytextwithparaspace"/>
        <w:numPr>
          <w:ilvl w:val="0"/>
          <w:numId w:val="7"/>
        </w:numPr>
        <w:spacing w:before="120" w:after="120"/>
        <w:rPr>
          <w:rFonts w:asciiTheme="minorHAnsi" w:eastAsiaTheme="minorHAnsi" w:hAnsiTheme="minorHAnsi" w:cstheme="minorBidi"/>
          <w:sz w:val="22"/>
          <w:szCs w:val="24"/>
        </w:rPr>
      </w:pPr>
      <w:r w:rsidRPr="006D34E8">
        <w:rPr>
          <w:rFonts w:asciiTheme="minorHAnsi" w:eastAsiaTheme="minorHAnsi" w:hAnsiTheme="minorHAnsi" w:cstheme="minorBidi"/>
          <w:sz w:val="22"/>
          <w:szCs w:val="24"/>
        </w:rPr>
        <w:t>Do you support the proposed fee structure?</w:t>
      </w:r>
    </w:p>
    <w:p w14:paraId="4CB9A5F2" w14:textId="3BF5AAE2" w:rsidR="008272CE" w:rsidRPr="008272CE" w:rsidRDefault="008272CE" w:rsidP="008272CE">
      <w:pPr>
        <w:pStyle w:val="EYBodytextwithparaspace"/>
        <w:numPr>
          <w:ilvl w:val="0"/>
          <w:numId w:val="7"/>
        </w:numPr>
        <w:spacing w:before="120" w:after="120"/>
        <w:rPr>
          <w:rFonts w:asciiTheme="minorHAnsi" w:eastAsiaTheme="minorHAnsi" w:hAnsiTheme="minorHAnsi" w:cstheme="minorBidi"/>
          <w:sz w:val="22"/>
          <w:szCs w:val="24"/>
        </w:rPr>
      </w:pPr>
      <w:r w:rsidRPr="008272CE">
        <w:rPr>
          <w:rFonts w:asciiTheme="minorHAnsi" w:eastAsiaTheme="minorHAnsi" w:hAnsiTheme="minorHAnsi" w:cstheme="minorBidi"/>
          <w:sz w:val="22"/>
          <w:szCs w:val="24"/>
        </w:rPr>
        <w:t>Do you support the saving provisions for existing services?</w:t>
      </w:r>
    </w:p>
    <w:p w14:paraId="09201C05" w14:textId="77777777" w:rsidR="008272CE" w:rsidRPr="006D34E8" w:rsidRDefault="008272CE" w:rsidP="008272CE">
      <w:pPr>
        <w:pStyle w:val="EYBodytextwithparaspace"/>
        <w:numPr>
          <w:ilvl w:val="0"/>
          <w:numId w:val="7"/>
        </w:numPr>
        <w:spacing w:before="120" w:after="120"/>
        <w:rPr>
          <w:rFonts w:asciiTheme="minorHAnsi" w:eastAsiaTheme="minorHAnsi" w:hAnsiTheme="minorHAnsi" w:cstheme="minorBidi"/>
          <w:sz w:val="22"/>
          <w:szCs w:val="24"/>
        </w:rPr>
      </w:pPr>
      <w:r w:rsidRPr="006D34E8">
        <w:rPr>
          <w:rFonts w:asciiTheme="minorHAnsi" w:eastAsiaTheme="minorHAnsi" w:hAnsiTheme="minorHAnsi" w:cstheme="minorBidi"/>
          <w:sz w:val="22"/>
          <w:szCs w:val="24"/>
        </w:rPr>
        <w:t>Do you think the transitional arrangements are reasonable?</w:t>
      </w:r>
    </w:p>
    <w:p w14:paraId="2FDF9CE5" w14:textId="77777777" w:rsidR="008272CE" w:rsidRDefault="008272CE" w:rsidP="008272CE">
      <w:pPr>
        <w:pStyle w:val="EYBodytextwithparaspace"/>
        <w:numPr>
          <w:ilvl w:val="0"/>
          <w:numId w:val="7"/>
        </w:numPr>
        <w:spacing w:before="120" w:after="120"/>
        <w:rPr>
          <w:rFonts w:asciiTheme="minorHAnsi" w:eastAsiaTheme="minorHAnsi" w:hAnsiTheme="minorHAnsi" w:cstheme="minorBidi"/>
          <w:sz w:val="22"/>
          <w:szCs w:val="24"/>
        </w:rPr>
      </w:pPr>
      <w:r w:rsidRPr="006D34E8">
        <w:rPr>
          <w:rFonts w:asciiTheme="minorHAnsi" w:eastAsiaTheme="minorHAnsi" w:hAnsiTheme="minorHAnsi" w:cstheme="minorBidi"/>
          <w:sz w:val="22"/>
          <w:szCs w:val="24"/>
        </w:rPr>
        <w:t>Should the preferred option be adopted, what support would your workforce or organisation need to meet the proposed requirements?</w:t>
      </w:r>
    </w:p>
    <w:p w14:paraId="16A4CA6B" w14:textId="6E064F87" w:rsidR="008272CE" w:rsidRDefault="009E1A97" w:rsidP="002806C5">
      <w:pPr>
        <w:pStyle w:val="EYBodytextwithparaspace"/>
        <w:numPr>
          <w:ilvl w:val="0"/>
          <w:numId w:val="106"/>
        </w:numPr>
        <w:spacing w:before="120" w:after="120"/>
        <w:rPr>
          <w:rFonts w:asciiTheme="minorHAnsi" w:eastAsiaTheme="minorHAnsi" w:hAnsiTheme="minorHAnsi" w:cstheme="minorBidi"/>
          <w:sz w:val="22"/>
          <w:szCs w:val="24"/>
        </w:rPr>
      </w:pPr>
      <w:r>
        <w:rPr>
          <w:rFonts w:asciiTheme="minorHAnsi" w:eastAsiaTheme="minorHAnsi" w:hAnsiTheme="minorHAnsi" w:cstheme="minorBidi"/>
          <w:sz w:val="22"/>
          <w:szCs w:val="24"/>
        </w:rPr>
        <w:t>Register to a</w:t>
      </w:r>
      <w:r w:rsidR="008272CE">
        <w:rPr>
          <w:rFonts w:asciiTheme="minorHAnsi" w:eastAsiaTheme="minorHAnsi" w:hAnsiTheme="minorHAnsi" w:cstheme="minorBidi"/>
          <w:sz w:val="22"/>
          <w:szCs w:val="24"/>
        </w:rPr>
        <w:t xml:space="preserve">ttend a </w:t>
      </w:r>
      <w:r w:rsidR="008272CE" w:rsidRPr="008272CE">
        <w:rPr>
          <w:rFonts w:asciiTheme="minorHAnsi" w:eastAsiaTheme="minorHAnsi" w:hAnsiTheme="minorHAnsi" w:cstheme="minorBidi"/>
          <w:b/>
          <w:sz w:val="22"/>
          <w:szCs w:val="24"/>
        </w:rPr>
        <w:t>public consultation session</w:t>
      </w:r>
      <w:r w:rsidR="008272CE">
        <w:rPr>
          <w:rFonts w:asciiTheme="minorHAnsi" w:eastAsiaTheme="minorHAnsi" w:hAnsiTheme="minorHAnsi" w:cstheme="minorBidi"/>
          <w:sz w:val="22"/>
          <w:szCs w:val="24"/>
        </w:rPr>
        <w:t xml:space="preserve"> –</w:t>
      </w:r>
      <w:r>
        <w:rPr>
          <w:rFonts w:asciiTheme="minorHAnsi" w:eastAsiaTheme="minorHAnsi" w:hAnsiTheme="minorHAnsi" w:cstheme="minorBidi"/>
          <w:sz w:val="22"/>
          <w:szCs w:val="24"/>
        </w:rPr>
        <w:t xml:space="preserve"> </w:t>
      </w:r>
      <w:r w:rsidR="008272CE">
        <w:rPr>
          <w:rFonts w:asciiTheme="minorHAnsi" w:eastAsiaTheme="minorHAnsi" w:hAnsiTheme="minorHAnsi" w:cstheme="minorBidi"/>
          <w:sz w:val="22"/>
          <w:szCs w:val="24"/>
        </w:rPr>
        <w:t xml:space="preserve">visit the Engage Victoria website at </w:t>
      </w:r>
      <w:hyperlink r:id="rId19" w:history="1">
        <w:r w:rsidR="008272CE" w:rsidRPr="00AD68FB">
          <w:rPr>
            <w:rStyle w:val="Hyperlink"/>
            <w:rFonts w:asciiTheme="minorHAnsi" w:eastAsiaTheme="minorHAnsi" w:hAnsiTheme="minorHAnsi" w:cstheme="minorBidi"/>
            <w:szCs w:val="24"/>
          </w:rPr>
          <w:t>www.engage.vic.gov.au/childrens-services-regulations-2020</w:t>
        </w:r>
      </w:hyperlink>
    </w:p>
    <w:p w14:paraId="64A8F04F" w14:textId="5EB2D408" w:rsidR="008272CE" w:rsidRPr="0099136F" w:rsidRDefault="008272CE" w:rsidP="002806C5">
      <w:pPr>
        <w:pStyle w:val="EYBodytextwithparaspace"/>
        <w:numPr>
          <w:ilvl w:val="0"/>
          <w:numId w:val="106"/>
        </w:numPr>
        <w:spacing w:before="120" w:after="120"/>
        <w:rPr>
          <w:rFonts w:asciiTheme="minorHAnsi" w:eastAsiaTheme="minorHAnsi" w:hAnsiTheme="minorHAnsi" w:cstheme="minorBidi"/>
          <w:sz w:val="22"/>
          <w:szCs w:val="24"/>
        </w:rPr>
      </w:pPr>
      <w:r w:rsidRPr="0099136F">
        <w:rPr>
          <w:rFonts w:asciiTheme="minorHAnsi" w:eastAsiaTheme="minorHAnsi" w:hAnsiTheme="minorHAnsi" w:cstheme="minorBidi"/>
          <w:sz w:val="22"/>
          <w:szCs w:val="24"/>
        </w:rPr>
        <w:t xml:space="preserve">Submit a </w:t>
      </w:r>
      <w:r w:rsidRPr="0099136F">
        <w:rPr>
          <w:rFonts w:asciiTheme="minorHAnsi" w:eastAsiaTheme="minorHAnsi" w:hAnsiTheme="minorHAnsi" w:cstheme="minorBidi"/>
          <w:b/>
          <w:sz w:val="22"/>
          <w:szCs w:val="24"/>
        </w:rPr>
        <w:t>written response</w:t>
      </w:r>
      <w:r w:rsidR="0099136F" w:rsidRPr="0099136F">
        <w:rPr>
          <w:rFonts w:asciiTheme="minorHAnsi" w:eastAsiaTheme="minorHAnsi" w:hAnsiTheme="minorHAnsi" w:cstheme="minorBidi"/>
          <w:sz w:val="22"/>
          <w:szCs w:val="24"/>
        </w:rPr>
        <w:t xml:space="preserve"> that must be </w:t>
      </w:r>
      <w:r w:rsidRPr="0099136F">
        <w:rPr>
          <w:rFonts w:asciiTheme="minorHAnsi" w:eastAsiaTheme="minorHAnsi" w:hAnsiTheme="minorHAnsi" w:cstheme="minorBidi"/>
          <w:sz w:val="22"/>
          <w:szCs w:val="24"/>
        </w:rPr>
        <w:t xml:space="preserve">marked ‘Children’s Services Regulations 2020’ </w:t>
      </w:r>
      <w:r w:rsidR="0099136F" w:rsidRPr="00215708">
        <w:rPr>
          <w:rFonts w:asciiTheme="minorHAnsi" w:eastAsiaTheme="minorHAnsi" w:hAnsiTheme="minorHAnsi" w:cstheme="minorBidi"/>
          <w:sz w:val="22"/>
          <w:szCs w:val="24"/>
        </w:rPr>
        <w:t xml:space="preserve">and </w:t>
      </w:r>
      <w:r w:rsidRPr="00215708">
        <w:rPr>
          <w:rFonts w:asciiTheme="minorHAnsi" w:eastAsiaTheme="minorHAnsi" w:hAnsiTheme="minorHAnsi" w:cstheme="minorBidi"/>
          <w:sz w:val="22"/>
          <w:szCs w:val="24"/>
        </w:rPr>
        <w:t xml:space="preserve">received by no later than midnight, </w:t>
      </w:r>
      <w:r w:rsidR="00E81795">
        <w:rPr>
          <w:rFonts w:asciiTheme="minorHAnsi" w:eastAsiaTheme="minorHAnsi" w:hAnsiTheme="minorHAnsi" w:cstheme="minorBidi"/>
          <w:sz w:val="22"/>
          <w:szCs w:val="24"/>
        </w:rPr>
        <w:t>Tuesday</w:t>
      </w:r>
      <w:r w:rsidRPr="00215708">
        <w:rPr>
          <w:rFonts w:asciiTheme="minorHAnsi" w:eastAsiaTheme="minorHAnsi" w:hAnsiTheme="minorHAnsi" w:cstheme="minorBidi"/>
          <w:sz w:val="22"/>
          <w:szCs w:val="24"/>
        </w:rPr>
        <w:t xml:space="preserve"> </w:t>
      </w:r>
      <w:r w:rsidR="00E81795">
        <w:rPr>
          <w:rFonts w:asciiTheme="minorHAnsi" w:eastAsiaTheme="minorHAnsi" w:hAnsiTheme="minorHAnsi" w:cstheme="minorBidi"/>
          <w:sz w:val="22"/>
          <w:szCs w:val="24"/>
        </w:rPr>
        <w:t>17 March</w:t>
      </w:r>
      <w:r w:rsidRPr="00215708">
        <w:rPr>
          <w:rFonts w:asciiTheme="minorHAnsi" w:eastAsiaTheme="minorHAnsi" w:hAnsiTheme="minorHAnsi" w:cstheme="minorBidi"/>
          <w:sz w:val="22"/>
          <w:szCs w:val="24"/>
        </w:rPr>
        <w:t xml:space="preserve"> 2020</w:t>
      </w:r>
      <w:r w:rsidR="0099136F" w:rsidRPr="00215708">
        <w:rPr>
          <w:rFonts w:asciiTheme="minorHAnsi" w:eastAsiaTheme="minorHAnsi" w:hAnsiTheme="minorHAnsi" w:cstheme="minorBidi"/>
          <w:sz w:val="22"/>
          <w:szCs w:val="24"/>
        </w:rPr>
        <w:t xml:space="preserve"> (</w:t>
      </w:r>
      <w:r w:rsidRPr="00215708">
        <w:rPr>
          <w:rFonts w:asciiTheme="minorHAnsi" w:eastAsiaTheme="minorHAnsi" w:hAnsiTheme="minorHAnsi" w:cstheme="minorBidi"/>
          <w:sz w:val="22"/>
          <w:szCs w:val="24"/>
        </w:rPr>
        <w:t>Note: if the comments do</w:t>
      </w:r>
      <w:r w:rsidRPr="0099136F">
        <w:rPr>
          <w:rFonts w:asciiTheme="minorHAnsi" w:eastAsiaTheme="minorHAnsi" w:hAnsiTheme="minorHAnsi" w:cstheme="minorBidi"/>
          <w:sz w:val="22"/>
          <w:szCs w:val="24"/>
        </w:rPr>
        <w:t xml:space="preserve"> not meet the above requirements</w:t>
      </w:r>
      <w:r w:rsidR="0099136F">
        <w:rPr>
          <w:rFonts w:asciiTheme="minorHAnsi" w:eastAsiaTheme="minorHAnsi" w:hAnsiTheme="minorHAnsi" w:cstheme="minorBidi"/>
          <w:sz w:val="22"/>
          <w:szCs w:val="24"/>
        </w:rPr>
        <w:t>, they may not be considered).</w:t>
      </w:r>
    </w:p>
    <w:p w14:paraId="75503368" w14:textId="182E65A0" w:rsidR="00823A54" w:rsidRPr="00823A54" w:rsidRDefault="00823A54" w:rsidP="00823A54">
      <w:pPr>
        <w:pStyle w:val="EYBodytextwithparaspace"/>
        <w:spacing w:before="120" w:after="120"/>
        <w:rPr>
          <w:rFonts w:asciiTheme="minorHAnsi" w:eastAsiaTheme="minorHAnsi" w:hAnsiTheme="minorHAnsi" w:cstheme="minorBidi"/>
          <w:sz w:val="22"/>
          <w:szCs w:val="24"/>
        </w:rPr>
      </w:pPr>
      <w:r>
        <w:rPr>
          <w:rFonts w:asciiTheme="minorHAnsi" w:eastAsiaTheme="minorHAnsi" w:hAnsiTheme="minorHAnsi" w:cstheme="minorBidi"/>
          <w:sz w:val="22"/>
          <w:szCs w:val="24"/>
        </w:rPr>
        <w:t>All</w:t>
      </w:r>
      <w:r w:rsidRPr="00823A54">
        <w:rPr>
          <w:rFonts w:asciiTheme="minorHAnsi" w:eastAsiaTheme="minorHAnsi" w:hAnsiTheme="minorHAnsi" w:cstheme="minorBidi"/>
          <w:sz w:val="22"/>
          <w:szCs w:val="24"/>
        </w:rPr>
        <w:t xml:space="preserve"> comments </w:t>
      </w:r>
      <w:r>
        <w:rPr>
          <w:rFonts w:asciiTheme="minorHAnsi" w:eastAsiaTheme="minorHAnsi" w:hAnsiTheme="minorHAnsi" w:cstheme="minorBidi"/>
          <w:sz w:val="22"/>
          <w:szCs w:val="24"/>
        </w:rPr>
        <w:t>can</w:t>
      </w:r>
      <w:r w:rsidRPr="00823A54">
        <w:rPr>
          <w:rFonts w:asciiTheme="minorHAnsi" w:eastAsiaTheme="minorHAnsi" w:hAnsiTheme="minorHAnsi" w:cstheme="minorBidi"/>
          <w:sz w:val="22"/>
          <w:szCs w:val="24"/>
        </w:rPr>
        <w:t xml:space="preserve"> be submitted by:</w:t>
      </w:r>
    </w:p>
    <w:p w14:paraId="20D11019" w14:textId="4255CC86" w:rsidR="00823A54" w:rsidRPr="0099136F" w:rsidRDefault="00823A54" w:rsidP="00823A54">
      <w:pPr>
        <w:pStyle w:val="EYBodytextwithparaspace"/>
        <w:numPr>
          <w:ilvl w:val="0"/>
          <w:numId w:val="7"/>
        </w:numPr>
        <w:spacing w:before="120" w:after="120"/>
        <w:rPr>
          <w:rFonts w:asciiTheme="minorHAnsi" w:eastAsiaTheme="minorHAnsi" w:hAnsiTheme="minorHAnsi" w:cstheme="minorBidi"/>
          <w:sz w:val="22"/>
          <w:szCs w:val="24"/>
        </w:rPr>
      </w:pPr>
      <w:r w:rsidRPr="0099136F">
        <w:rPr>
          <w:rFonts w:asciiTheme="minorHAnsi" w:eastAsiaTheme="minorHAnsi" w:hAnsiTheme="minorHAnsi" w:cstheme="minorBidi"/>
          <w:sz w:val="22"/>
          <w:szCs w:val="24"/>
        </w:rPr>
        <w:t xml:space="preserve">Website – </w:t>
      </w:r>
      <w:hyperlink r:id="rId20" w:history="1">
        <w:r w:rsidRPr="0099136F">
          <w:rPr>
            <w:rStyle w:val="Hyperlink"/>
            <w:rFonts w:asciiTheme="minorHAnsi" w:eastAsiaTheme="minorHAnsi" w:hAnsiTheme="minorHAnsi" w:cstheme="minorBidi"/>
            <w:szCs w:val="24"/>
          </w:rPr>
          <w:t>www.engage.vic.gov.au/childrens-services-regulations-2020</w:t>
        </w:r>
      </w:hyperlink>
      <w:r w:rsidRPr="0099136F">
        <w:rPr>
          <w:rFonts w:asciiTheme="minorHAnsi" w:eastAsiaTheme="minorHAnsi" w:hAnsiTheme="minorHAnsi" w:cstheme="minorBidi"/>
          <w:sz w:val="22"/>
          <w:szCs w:val="24"/>
        </w:rPr>
        <w:t xml:space="preserve"> </w:t>
      </w:r>
    </w:p>
    <w:p w14:paraId="0F63578A" w14:textId="433F4CE4" w:rsidR="00823A54" w:rsidRPr="0099136F" w:rsidRDefault="00823A54" w:rsidP="00823A54">
      <w:pPr>
        <w:pStyle w:val="EYBodytextwithparaspace"/>
        <w:numPr>
          <w:ilvl w:val="0"/>
          <w:numId w:val="7"/>
        </w:numPr>
        <w:spacing w:before="120" w:after="120"/>
        <w:rPr>
          <w:rFonts w:asciiTheme="minorHAnsi" w:eastAsiaTheme="minorHAnsi" w:hAnsiTheme="minorHAnsi" w:cstheme="minorBidi"/>
          <w:sz w:val="22"/>
          <w:szCs w:val="24"/>
        </w:rPr>
      </w:pPr>
      <w:r w:rsidRPr="0099136F">
        <w:rPr>
          <w:rFonts w:asciiTheme="minorHAnsi" w:eastAsiaTheme="minorHAnsi" w:hAnsiTheme="minorHAnsi" w:cstheme="minorBidi"/>
          <w:sz w:val="22"/>
          <w:szCs w:val="24"/>
        </w:rPr>
        <w:t xml:space="preserve">Email – </w:t>
      </w:r>
      <w:hyperlink r:id="rId21" w:history="1">
        <w:r w:rsidRPr="0099136F">
          <w:rPr>
            <w:rStyle w:val="Hyperlink"/>
            <w:rFonts w:asciiTheme="minorHAnsi" w:eastAsiaTheme="minorHAnsi" w:hAnsiTheme="minorHAnsi" w:cstheme="minorBidi"/>
            <w:szCs w:val="24"/>
          </w:rPr>
          <w:t>cs.law.reform@edumail.vic.gov.au</w:t>
        </w:r>
      </w:hyperlink>
      <w:r w:rsidRPr="0099136F">
        <w:rPr>
          <w:rFonts w:asciiTheme="minorHAnsi" w:eastAsiaTheme="minorHAnsi" w:hAnsiTheme="minorHAnsi" w:cstheme="minorBidi"/>
          <w:sz w:val="22"/>
          <w:szCs w:val="24"/>
        </w:rPr>
        <w:t xml:space="preserve"> </w:t>
      </w:r>
    </w:p>
    <w:p w14:paraId="71221568" w14:textId="4714A0B8" w:rsidR="00823A54" w:rsidRPr="00823A54" w:rsidRDefault="00823A54" w:rsidP="00823A54">
      <w:pPr>
        <w:pStyle w:val="EYBodytextwithparaspace"/>
        <w:numPr>
          <w:ilvl w:val="0"/>
          <w:numId w:val="7"/>
        </w:numPr>
        <w:spacing w:before="120" w:after="120"/>
        <w:rPr>
          <w:rFonts w:asciiTheme="minorHAnsi" w:eastAsiaTheme="minorHAnsi" w:hAnsiTheme="minorHAnsi" w:cstheme="minorBidi"/>
          <w:sz w:val="22"/>
          <w:szCs w:val="24"/>
        </w:rPr>
      </w:pPr>
      <w:r w:rsidRPr="0099136F">
        <w:rPr>
          <w:rFonts w:asciiTheme="minorHAnsi" w:eastAsiaTheme="minorHAnsi" w:hAnsiTheme="minorHAnsi" w:cstheme="minorBidi"/>
          <w:sz w:val="22"/>
          <w:szCs w:val="24"/>
        </w:rPr>
        <w:t>Post</w:t>
      </w:r>
      <w:r w:rsidRPr="00823A54">
        <w:rPr>
          <w:rFonts w:asciiTheme="minorHAnsi" w:eastAsiaTheme="minorHAnsi" w:hAnsiTheme="minorHAnsi" w:cstheme="minorBidi"/>
          <w:sz w:val="22"/>
          <w:szCs w:val="24"/>
        </w:rPr>
        <w:t xml:space="preserve"> – Attn: Children’s Services Regulations 2020, Department of Education and Training, Level 20, 80 Collins Street, Melbourne, Victoria 3000.</w:t>
      </w:r>
    </w:p>
    <w:p w14:paraId="3ADFCB55" w14:textId="77777777" w:rsidR="0099136F" w:rsidRDefault="0099136F" w:rsidP="0099136F">
      <w:pPr>
        <w:pStyle w:val="EYBodytextwithparaspace"/>
        <w:spacing w:before="120" w:after="120"/>
        <w:rPr>
          <w:rFonts w:asciiTheme="minorHAnsi" w:eastAsiaTheme="minorHAnsi" w:hAnsiTheme="minorHAnsi" w:cstheme="minorBidi"/>
          <w:sz w:val="22"/>
          <w:szCs w:val="24"/>
        </w:rPr>
      </w:pPr>
    </w:p>
    <w:p w14:paraId="7236C4DF" w14:textId="0301A7C1" w:rsidR="0099136F" w:rsidRDefault="0099136F" w:rsidP="0099136F">
      <w:pPr>
        <w:pStyle w:val="EYBodytextwithparaspace"/>
        <w:pBdr>
          <w:top w:val="single" w:sz="4" w:space="1" w:color="auto"/>
          <w:left w:val="single" w:sz="4" w:space="4" w:color="auto"/>
          <w:bottom w:val="single" w:sz="4" w:space="1" w:color="auto"/>
          <w:right w:val="single" w:sz="4" w:space="4" w:color="auto"/>
        </w:pBdr>
        <w:spacing w:before="120" w:after="120"/>
        <w:jc w:val="center"/>
        <w:rPr>
          <w:rFonts w:asciiTheme="minorHAnsi" w:eastAsiaTheme="minorHAnsi" w:hAnsiTheme="minorHAnsi" w:cstheme="minorBidi"/>
          <w:sz w:val="22"/>
          <w:szCs w:val="24"/>
        </w:rPr>
      </w:pPr>
      <w:r w:rsidRPr="00215708">
        <w:rPr>
          <w:rFonts w:asciiTheme="minorHAnsi" w:eastAsiaTheme="minorHAnsi" w:hAnsiTheme="minorHAnsi" w:cstheme="minorBidi"/>
          <w:sz w:val="22"/>
          <w:szCs w:val="24"/>
        </w:rPr>
        <w:t xml:space="preserve">The public consultation period </w:t>
      </w:r>
      <w:r w:rsidRPr="00215708">
        <w:rPr>
          <w:rFonts w:asciiTheme="minorHAnsi" w:eastAsiaTheme="minorHAnsi" w:hAnsiTheme="minorHAnsi" w:cstheme="minorBidi"/>
          <w:b/>
          <w:sz w:val="22"/>
          <w:szCs w:val="24"/>
        </w:rPr>
        <w:t xml:space="preserve">closes at midnight </w:t>
      </w:r>
      <w:r w:rsidR="00E81795">
        <w:rPr>
          <w:rFonts w:asciiTheme="minorHAnsi" w:eastAsiaTheme="minorHAnsi" w:hAnsiTheme="minorHAnsi" w:cstheme="minorBidi"/>
          <w:b/>
          <w:sz w:val="22"/>
          <w:szCs w:val="24"/>
        </w:rPr>
        <w:t>Tuesday</w:t>
      </w:r>
      <w:r w:rsidRPr="00215708">
        <w:rPr>
          <w:rFonts w:asciiTheme="minorHAnsi" w:eastAsiaTheme="minorHAnsi" w:hAnsiTheme="minorHAnsi" w:cstheme="minorBidi"/>
          <w:b/>
          <w:sz w:val="22"/>
          <w:szCs w:val="24"/>
        </w:rPr>
        <w:t xml:space="preserve"> </w:t>
      </w:r>
      <w:r w:rsidR="00E81795">
        <w:rPr>
          <w:rFonts w:asciiTheme="minorHAnsi" w:eastAsiaTheme="minorHAnsi" w:hAnsiTheme="minorHAnsi" w:cstheme="minorBidi"/>
          <w:b/>
          <w:sz w:val="22"/>
          <w:szCs w:val="24"/>
        </w:rPr>
        <w:t>17 March</w:t>
      </w:r>
      <w:r w:rsidRPr="00215708">
        <w:rPr>
          <w:rFonts w:asciiTheme="minorHAnsi" w:eastAsiaTheme="minorHAnsi" w:hAnsiTheme="minorHAnsi" w:cstheme="minorBidi"/>
          <w:b/>
          <w:sz w:val="22"/>
          <w:szCs w:val="24"/>
        </w:rPr>
        <w:t xml:space="preserve"> 2020</w:t>
      </w:r>
      <w:r w:rsidRPr="00215708">
        <w:rPr>
          <w:rFonts w:asciiTheme="minorHAnsi" w:eastAsiaTheme="minorHAnsi" w:hAnsiTheme="minorHAnsi" w:cstheme="minorBidi"/>
          <w:sz w:val="22"/>
          <w:szCs w:val="24"/>
        </w:rPr>
        <w:t>.</w:t>
      </w:r>
    </w:p>
    <w:p w14:paraId="01BB1FAF" w14:textId="77777777" w:rsidR="0099136F" w:rsidRDefault="0099136F" w:rsidP="00823A54">
      <w:pPr>
        <w:pStyle w:val="EYBodytextwithparaspace"/>
        <w:spacing w:before="120" w:after="120"/>
        <w:rPr>
          <w:rFonts w:asciiTheme="minorHAnsi" w:eastAsiaTheme="minorHAnsi" w:hAnsiTheme="minorHAnsi" w:cstheme="minorBidi"/>
          <w:sz w:val="22"/>
          <w:szCs w:val="24"/>
        </w:rPr>
      </w:pPr>
    </w:p>
    <w:p w14:paraId="7CE233A8" w14:textId="4E316A0B" w:rsidR="00823A54" w:rsidRDefault="00823A54" w:rsidP="0099136F">
      <w:pPr>
        <w:pStyle w:val="EYBodytextwithparaspace"/>
        <w:spacing w:before="120" w:after="120"/>
        <w:rPr>
          <w:rFonts w:asciiTheme="minorHAnsi" w:eastAsiaTheme="minorHAnsi" w:hAnsiTheme="minorHAnsi" w:cstheme="minorBidi"/>
          <w:sz w:val="22"/>
          <w:szCs w:val="24"/>
        </w:rPr>
      </w:pPr>
      <w:r w:rsidRPr="00971B3F">
        <w:rPr>
          <w:rFonts w:asciiTheme="minorHAnsi" w:eastAsiaTheme="minorHAnsi" w:hAnsiTheme="minorHAnsi" w:cstheme="minorBidi"/>
          <w:sz w:val="22"/>
          <w:szCs w:val="24"/>
        </w:rPr>
        <w:t>All c</w:t>
      </w:r>
      <w:r w:rsidR="0099136F">
        <w:rPr>
          <w:rFonts w:asciiTheme="minorHAnsi" w:eastAsiaTheme="minorHAnsi" w:hAnsiTheme="minorHAnsi" w:cstheme="minorBidi"/>
          <w:sz w:val="22"/>
          <w:szCs w:val="24"/>
        </w:rPr>
        <w:t xml:space="preserve">omments and submissions will be </w:t>
      </w:r>
      <w:r w:rsidRPr="00971B3F">
        <w:rPr>
          <w:rFonts w:asciiTheme="minorHAnsi" w:eastAsiaTheme="minorHAnsi" w:hAnsiTheme="minorHAnsi" w:cstheme="minorBidi"/>
          <w:sz w:val="22"/>
          <w:szCs w:val="24"/>
        </w:rPr>
        <w:t>treated as public documents unless clearly marked as “confidential”</w:t>
      </w:r>
      <w:r w:rsidR="0099136F">
        <w:rPr>
          <w:rFonts w:asciiTheme="minorHAnsi" w:eastAsiaTheme="minorHAnsi" w:hAnsiTheme="minorHAnsi" w:cstheme="minorBidi"/>
          <w:sz w:val="22"/>
          <w:szCs w:val="24"/>
        </w:rPr>
        <w:t xml:space="preserve">; will be </w:t>
      </w:r>
      <w:r w:rsidRPr="00971B3F">
        <w:rPr>
          <w:rFonts w:asciiTheme="minorHAnsi" w:eastAsiaTheme="minorHAnsi" w:hAnsiTheme="minorHAnsi" w:cstheme="minorBidi"/>
          <w:sz w:val="22"/>
          <w:szCs w:val="24"/>
        </w:rPr>
        <w:t>available in a de-identified summary report on the Department of Education and Training website for review following the public consultation period</w:t>
      </w:r>
      <w:r w:rsidR="0099136F">
        <w:rPr>
          <w:rFonts w:asciiTheme="minorHAnsi" w:eastAsiaTheme="minorHAnsi" w:hAnsiTheme="minorHAnsi" w:cstheme="minorBidi"/>
          <w:sz w:val="22"/>
          <w:szCs w:val="24"/>
        </w:rPr>
        <w:t xml:space="preserve">; and will be </w:t>
      </w:r>
      <w:r w:rsidRPr="00971B3F">
        <w:rPr>
          <w:rFonts w:asciiTheme="minorHAnsi" w:eastAsiaTheme="minorHAnsi" w:hAnsiTheme="minorHAnsi" w:cstheme="minorBidi"/>
          <w:sz w:val="22"/>
          <w:szCs w:val="24"/>
        </w:rPr>
        <w:t>used to inform the final Children’s Services Regulations 2020.</w:t>
      </w:r>
    </w:p>
    <w:p w14:paraId="6E74C42F" w14:textId="77777777" w:rsidR="00971B3F" w:rsidRPr="006D34E8" w:rsidRDefault="00971B3F" w:rsidP="006D34E8">
      <w:pPr>
        <w:pStyle w:val="EYBodytextwithparaspace"/>
        <w:spacing w:before="120" w:after="120"/>
        <w:rPr>
          <w:rFonts w:asciiTheme="minorHAnsi" w:eastAsiaTheme="minorHAnsi" w:hAnsiTheme="minorHAnsi" w:cstheme="minorBidi"/>
          <w:sz w:val="22"/>
          <w:szCs w:val="24"/>
        </w:rPr>
      </w:pPr>
    </w:p>
    <w:p w14:paraId="0990349F" w14:textId="2374509F" w:rsidR="0004396D" w:rsidRDefault="0004396D" w:rsidP="00823A54">
      <w:pPr>
        <w:pStyle w:val="EYBodytextwithparaspace"/>
        <w:spacing w:before="120" w:after="120"/>
      </w:pPr>
      <w:r>
        <w:br w:type="page"/>
      </w:r>
    </w:p>
    <w:p w14:paraId="6B2DFA79" w14:textId="477611FB" w:rsidR="00C01E92" w:rsidRPr="00A9443B" w:rsidRDefault="00090AF4" w:rsidP="00B1683A">
      <w:pPr>
        <w:pStyle w:val="Heading1"/>
        <w:numPr>
          <w:ilvl w:val="0"/>
          <w:numId w:val="0"/>
        </w:numPr>
        <w:ind w:left="360" w:hanging="360"/>
      </w:pPr>
      <w:bookmarkStart w:id="3" w:name="_Toc24531594"/>
      <w:bookmarkStart w:id="4" w:name="_Toc25749841"/>
      <w:bookmarkStart w:id="5" w:name="_Toc30669592"/>
      <w:bookmarkStart w:id="6" w:name="_Toc32936856"/>
      <w:r>
        <w:lastRenderedPageBreak/>
        <w:t>T</w:t>
      </w:r>
      <w:r w:rsidR="00C01E92" w:rsidRPr="00A9443B">
        <w:t>erms and abbreviations</w:t>
      </w:r>
      <w:bookmarkEnd w:id="3"/>
      <w:bookmarkEnd w:id="4"/>
      <w:bookmarkEnd w:id="5"/>
      <w:bookmarkEnd w:id="6"/>
    </w:p>
    <w:tbl>
      <w:tblPr>
        <w:tblStyle w:val="ListTable3-Accent1"/>
        <w:tblW w:w="0" w:type="auto"/>
        <w:tblLook w:val="04A0" w:firstRow="1" w:lastRow="0" w:firstColumn="1" w:lastColumn="0" w:noHBand="0" w:noVBand="1"/>
      </w:tblPr>
      <w:tblGrid>
        <w:gridCol w:w="7083"/>
        <w:gridCol w:w="2268"/>
      </w:tblGrid>
      <w:tr w:rsidR="00C01E92" w:rsidRPr="00AC73EC" w14:paraId="53328FDE" w14:textId="77777777" w:rsidTr="004926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3" w:type="dxa"/>
          </w:tcPr>
          <w:p w14:paraId="5DEEE7DF" w14:textId="3B81FB5F" w:rsidR="00C01E92" w:rsidRPr="00AC73EC" w:rsidRDefault="00B1683A" w:rsidP="00B1683A">
            <w:pPr>
              <w:pStyle w:val="EYBodytextwithparaspace"/>
              <w:spacing w:before="60" w:after="60"/>
              <w:rPr>
                <w:rFonts w:ascii="Arial Narrow" w:eastAsiaTheme="minorHAnsi" w:hAnsi="Arial Narrow" w:cstheme="minorBidi"/>
                <w:sz w:val="22"/>
                <w:szCs w:val="24"/>
              </w:rPr>
            </w:pPr>
            <w:r w:rsidRPr="00AC73EC">
              <w:rPr>
                <w:rFonts w:ascii="Arial Narrow" w:eastAsiaTheme="minorHAnsi" w:hAnsi="Arial Narrow" w:cstheme="minorBidi"/>
                <w:sz w:val="22"/>
                <w:szCs w:val="24"/>
              </w:rPr>
              <w:t>Term</w:t>
            </w:r>
          </w:p>
        </w:tc>
        <w:tc>
          <w:tcPr>
            <w:tcW w:w="2268" w:type="dxa"/>
          </w:tcPr>
          <w:p w14:paraId="31422FDA" w14:textId="0D9F21A1" w:rsidR="00C01E92" w:rsidRPr="00AC73EC" w:rsidRDefault="00B1683A" w:rsidP="00B1683A">
            <w:pPr>
              <w:pStyle w:val="EYBodytextwithparaspace"/>
              <w:spacing w:before="60" w:after="60"/>
              <w:cnfStyle w:val="100000000000" w:firstRow="1"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sidRPr="00AC73EC">
              <w:rPr>
                <w:rFonts w:ascii="Arial Narrow" w:eastAsiaTheme="minorHAnsi" w:hAnsi="Arial Narrow" w:cstheme="minorBidi"/>
                <w:sz w:val="22"/>
                <w:szCs w:val="24"/>
              </w:rPr>
              <w:t>Abbreviation</w:t>
            </w:r>
          </w:p>
        </w:tc>
      </w:tr>
      <w:tr w:rsidR="00B1683A" w:rsidRPr="00492634" w14:paraId="64E37588" w14:textId="77777777" w:rsidTr="00492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48B2681E" w14:textId="642F3D4F" w:rsidR="00B1683A" w:rsidRPr="00492634" w:rsidRDefault="00B1683A" w:rsidP="00B1683A">
            <w:pPr>
              <w:pStyle w:val="EYBodytextwithparaspace"/>
              <w:spacing w:before="60" w:after="60"/>
              <w:rPr>
                <w:rFonts w:ascii="Arial Narrow" w:eastAsiaTheme="minorHAnsi" w:hAnsi="Arial Narrow" w:cstheme="minorBidi"/>
                <w:b w:val="0"/>
                <w:sz w:val="22"/>
                <w:szCs w:val="24"/>
              </w:rPr>
            </w:pPr>
            <w:r w:rsidRPr="00492634">
              <w:rPr>
                <w:rFonts w:ascii="Arial Narrow" w:eastAsiaTheme="minorHAnsi" w:hAnsi="Arial Narrow" w:cstheme="minorBidi"/>
                <w:b w:val="0"/>
                <w:sz w:val="22"/>
                <w:szCs w:val="24"/>
              </w:rPr>
              <w:t>Approved Associated Children’s Services</w:t>
            </w:r>
          </w:p>
        </w:tc>
        <w:tc>
          <w:tcPr>
            <w:tcW w:w="2268" w:type="dxa"/>
          </w:tcPr>
          <w:p w14:paraId="7F5116C5" w14:textId="3AD49F74" w:rsidR="00B1683A" w:rsidRPr="00492634" w:rsidRDefault="00B1683A" w:rsidP="00B1683A">
            <w:pPr>
              <w:pStyle w:val="EYBodytextwithparaspace"/>
              <w:spacing w:before="60" w:after="60"/>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theme="minorBidi"/>
                <w:sz w:val="22"/>
                <w:szCs w:val="24"/>
              </w:rPr>
            </w:pPr>
            <w:r w:rsidRPr="00492634">
              <w:rPr>
                <w:rFonts w:ascii="Arial Narrow" w:eastAsiaTheme="minorHAnsi" w:hAnsi="Arial Narrow" w:cstheme="minorBidi"/>
                <w:sz w:val="22"/>
                <w:szCs w:val="24"/>
              </w:rPr>
              <w:t>AACS</w:t>
            </w:r>
          </w:p>
        </w:tc>
      </w:tr>
      <w:tr w:rsidR="00C01E92" w:rsidRPr="00492634" w14:paraId="50DE15AC" w14:textId="77777777" w:rsidTr="00492634">
        <w:tc>
          <w:tcPr>
            <w:cnfStyle w:val="001000000000" w:firstRow="0" w:lastRow="0" w:firstColumn="1" w:lastColumn="0" w:oddVBand="0" w:evenVBand="0" w:oddHBand="0" w:evenHBand="0" w:firstRowFirstColumn="0" w:firstRowLastColumn="0" w:lastRowFirstColumn="0" w:lastRowLastColumn="0"/>
            <w:tcW w:w="7083" w:type="dxa"/>
          </w:tcPr>
          <w:p w14:paraId="55C61109" w14:textId="77777777" w:rsidR="00C01E92" w:rsidRPr="00492634" w:rsidRDefault="00C01E92" w:rsidP="00B1683A">
            <w:pPr>
              <w:pStyle w:val="EYBodytextwithparaspace"/>
              <w:spacing w:before="60" w:after="60"/>
              <w:rPr>
                <w:rFonts w:ascii="Arial Narrow" w:eastAsiaTheme="minorHAnsi" w:hAnsi="Arial Narrow" w:cstheme="minorBidi"/>
                <w:b w:val="0"/>
                <w:sz w:val="22"/>
                <w:szCs w:val="24"/>
              </w:rPr>
            </w:pPr>
            <w:r w:rsidRPr="00492634">
              <w:rPr>
                <w:rFonts w:ascii="Arial Narrow" w:eastAsiaTheme="minorHAnsi" w:hAnsi="Arial Narrow" w:cstheme="minorBidi"/>
                <w:b w:val="0"/>
                <w:sz w:val="22"/>
                <w:szCs w:val="24"/>
              </w:rPr>
              <w:t>Belonging, Being and Becoming: The Early Years Learning Framework for Australia</w:t>
            </w:r>
          </w:p>
        </w:tc>
        <w:tc>
          <w:tcPr>
            <w:tcW w:w="2268" w:type="dxa"/>
          </w:tcPr>
          <w:p w14:paraId="2A887ADC" w14:textId="77777777" w:rsidR="00C01E92" w:rsidRPr="00492634" w:rsidRDefault="00C01E92" w:rsidP="00B1683A">
            <w:pPr>
              <w:pStyle w:val="EYBodytextwithparaspace"/>
              <w:spacing w:before="60" w:after="6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sidRPr="00492634">
              <w:rPr>
                <w:rFonts w:ascii="Arial Narrow" w:eastAsiaTheme="minorHAnsi" w:hAnsi="Arial Narrow" w:cstheme="minorBidi"/>
                <w:sz w:val="22"/>
                <w:szCs w:val="24"/>
              </w:rPr>
              <w:t>EYLF</w:t>
            </w:r>
          </w:p>
        </w:tc>
      </w:tr>
      <w:tr w:rsidR="00C01E92" w:rsidRPr="00492634" w14:paraId="2822605E" w14:textId="77777777" w:rsidTr="00492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72F259D2" w14:textId="77777777" w:rsidR="00C01E92" w:rsidRPr="00492634" w:rsidRDefault="00C01E92" w:rsidP="00B1683A">
            <w:pPr>
              <w:pStyle w:val="EYBodytextwithparaspace"/>
              <w:spacing w:before="60" w:after="60"/>
              <w:rPr>
                <w:rFonts w:ascii="Arial Narrow" w:eastAsiaTheme="minorHAnsi" w:hAnsi="Arial Narrow" w:cstheme="minorBidi"/>
                <w:b w:val="0"/>
                <w:sz w:val="22"/>
                <w:szCs w:val="24"/>
              </w:rPr>
            </w:pPr>
            <w:r w:rsidRPr="00492634">
              <w:rPr>
                <w:rFonts w:ascii="Arial Narrow" w:eastAsiaTheme="minorHAnsi" w:hAnsi="Arial Narrow" w:cstheme="minorBidi"/>
                <w:b w:val="0"/>
                <w:sz w:val="22"/>
                <w:szCs w:val="24"/>
              </w:rPr>
              <w:t>Budget Based Funded service</w:t>
            </w:r>
          </w:p>
        </w:tc>
        <w:tc>
          <w:tcPr>
            <w:tcW w:w="2268" w:type="dxa"/>
          </w:tcPr>
          <w:p w14:paraId="566CD489" w14:textId="77777777" w:rsidR="00C01E92" w:rsidRPr="00492634" w:rsidRDefault="00C01E92" w:rsidP="00B1683A">
            <w:pPr>
              <w:pStyle w:val="EYBodytextwithparaspace"/>
              <w:spacing w:before="60" w:after="60"/>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theme="minorBidi"/>
                <w:sz w:val="22"/>
                <w:szCs w:val="24"/>
              </w:rPr>
            </w:pPr>
            <w:r w:rsidRPr="00492634">
              <w:rPr>
                <w:rFonts w:ascii="Arial Narrow" w:eastAsiaTheme="minorHAnsi" w:hAnsi="Arial Narrow" w:cstheme="minorBidi"/>
                <w:sz w:val="22"/>
                <w:szCs w:val="24"/>
              </w:rPr>
              <w:t>BBF service</w:t>
            </w:r>
          </w:p>
        </w:tc>
      </w:tr>
      <w:tr w:rsidR="00C01E92" w:rsidRPr="00492634" w14:paraId="26F12975" w14:textId="77777777" w:rsidTr="00492634">
        <w:tc>
          <w:tcPr>
            <w:cnfStyle w:val="001000000000" w:firstRow="0" w:lastRow="0" w:firstColumn="1" w:lastColumn="0" w:oddVBand="0" w:evenVBand="0" w:oddHBand="0" w:evenHBand="0" w:firstRowFirstColumn="0" w:firstRowLastColumn="0" w:lastRowFirstColumn="0" w:lastRowLastColumn="0"/>
            <w:tcW w:w="7083" w:type="dxa"/>
          </w:tcPr>
          <w:p w14:paraId="49D7AC65" w14:textId="77777777" w:rsidR="00C01E92" w:rsidRPr="00492634" w:rsidRDefault="00C01E92" w:rsidP="00B1683A">
            <w:pPr>
              <w:pStyle w:val="EYBodytextwithparaspace"/>
              <w:spacing w:before="60" w:after="60"/>
              <w:rPr>
                <w:rFonts w:ascii="Arial Narrow" w:eastAsiaTheme="minorHAnsi" w:hAnsi="Arial Narrow" w:cstheme="minorBidi"/>
                <w:b w:val="0"/>
                <w:sz w:val="22"/>
                <w:szCs w:val="24"/>
              </w:rPr>
            </w:pPr>
            <w:r w:rsidRPr="00492634">
              <w:rPr>
                <w:rFonts w:ascii="Arial Narrow" w:eastAsiaTheme="minorHAnsi" w:hAnsi="Arial Narrow" w:cstheme="minorBidi"/>
                <w:b w:val="0"/>
                <w:sz w:val="22"/>
                <w:szCs w:val="24"/>
              </w:rPr>
              <w:t>Children’s Services Act 1996</w:t>
            </w:r>
          </w:p>
        </w:tc>
        <w:tc>
          <w:tcPr>
            <w:tcW w:w="2268" w:type="dxa"/>
          </w:tcPr>
          <w:p w14:paraId="71FD8C02" w14:textId="77777777" w:rsidR="00C01E92" w:rsidRPr="00492634" w:rsidRDefault="00C01E92" w:rsidP="00B1683A">
            <w:pPr>
              <w:pStyle w:val="EYBodytextwithparaspace"/>
              <w:spacing w:before="60" w:after="6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sidRPr="00492634">
              <w:rPr>
                <w:rFonts w:ascii="Arial Narrow" w:eastAsiaTheme="minorHAnsi" w:hAnsi="Arial Narrow" w:cstheme="minorBidi"/>
                <w:sz w:val="22"/>
                <w:szCs w:val="24"/>
              </w:rPr>
              <w:t>CS Act</w:t>
            </w:r>
          </w:p>
        </w:tc>
      </w:tr>
      <w:tr w:rsidR="00C01E92" w:rsidRPr="00492634" w14:paraId="58A9FD73" w14:textId="77777777" w:rsidTr="00492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0CD02361" w14:textId="77777777" w:rsidR="00C01E92" w:rsidRPr="00492634" w:rsidRDefault="00C01E92" w:rsidP="00B1683A">
            <w:pPr>
              <w:pStyle w:val="EYBodytextwithparaspace"/>
              <w:spacing w:before="60" w:after="60"/>
              <w:rPr>
                <w:rFonts w:ascii="Arial Narrow" w:eastAsiaTheme="minorHAnsi" w:hAnsi="Arial Narrow" w:cstheme="minorBidi"/>
                <w:b w:val="0"/>
                <w:sz w:val="22"/>
                <w:szCs w:val="24"/>
              </w:rPr>
            </w:pPr>
            <w:r w:rsidRPr="00492634">
              <w:rPr>
                <w:rFonts w:ascii="Arial Narrow" w:eastAsiaTheme="minorHAnsi" w:hAnsi="Arial Narrow" w:cstheme="minorBidi"/>
                <w:b w:val="0"/>
                <w:sz w:val="22"/>
                <w:szCs w:val="24"/>
              </w:rPr>
              <w:t>Children’s Services Amendment Act 2019</w:t>
            </w:r>
          </w:p>
        </w:tc>
        <w:tc>
          <w:tcPr>
            <w:tcW w:w="2268" w:type="dxa"/>
          </w:tcPr>
          <w:p w14:paraId="27EA0AB8" w14:textId="724ADF5C" w:rsidR="00C01E92" w:rsidRPr="00492634" w:rsidRDefault="00C01E92" w:rsidP="00B1683A">
            <w:pPr>
              <w:pStyle w:val="EYBodytextwithparaspace"/>
              <w:spacing w:before="60" w:after="60"/>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theme="minorBidi"/>
                <w:sz w:val="22"/>
                <w:szCs w:val="24"/>
              </w:rPr>
            </w:pPr>
            <w:r w:rsidRPr="00492634">
              <w:rPr>
                <w:rFonts w:ascii="Arial Narrow" w:eastAsiaTheme="minorHAnsi" w:hAnsi="Arial Narrow" w:cstheme="minorBidi"/>
                <w:sz w:val="22"/>
                <w:szCs w:val="24"/>
              </w:rPr>
              <w:t>Amendment Act; the Act</w:t>
            </w:r>
          </w:p>
        </w:tc>
      </w:tr>
      <w:tr w:rsidR="00C01E92" w:rsidRPr="00492634" w14:paraId="44A52E62" w14:textId="77777777" w:rsidTr="00492634">
        <w:tc>
          <w:tcPr>
            <w:cnfStyle w:val="001000000000" w:firstRow="0" w:lastRow="0" w:firstColumn="1" w:lastColumn="0" w:oddVBand="0" w:evenVBand="0" w:oddHBand="0" w:evenHBand="0" w:firstRowFirstColumn="0" w:firstRowLastColumn="0" w:lastRowFirstColumn="0" w:lastRowLastColumn="0"/>
            <w:tcW w:w="7083" w:type="dxa"/>
          </w:tcPr>
          <w:p w14:paraId="0C6CFEFF" w14:textId="77777777" w:rsidR="00C01E92" w:rsidRPr="00492634" w:rsidRDefault="00C01E92" w:rsidP="00B1683A">
            <w:pPr>
              <w:pStyle w:val="EYBodytextwithparaspace"/>
              <w:spacing w:before="60" w:after="60"/>
              <w:rPr>
                <w:rFonts w:ascii="Arial Narrow" w:eastAsiaTheme="minorHAnsi" w:hAnsi="Arial Narrow" w:cstheme="minorBidi"/>
                <w:b w:val="0"/>
                <w:sz w:val="22"/>
                <w:szCs w:val="24"/>
              </w:rPr>
            </w:pPr>
            <w:r w:rsidRPr="00492634">
              <w:rPr>
                <w:rFonts w:ascii="Arial Narrow" w:eastAsiaTheme="minorHAnsi" w:hAnsi="Arial Narrow" w:cstheme="minorBidi"/>
                <w:b w:val="0"/>
                <w:sz w:val="22"/>
                <w:szCs w:val="24"/>
              </w:rPr>
              <w:t>Children’s Services Regulations</w:t>
            </w:r>
          </w:p>
        </w:tc>
        <w:tc>
          <w:tcPr>
            <w:tcW w:w="2268" w:type="dxa"/>
          </w:tcPr>
          <w:p w14:paraId="4C7F246C" w14:textId="77777777" w:rsidR="00C01E92" w:rsidRPr="00492634" w:rsidRDefault="00C01E92" w:rsidP="00B1683A">
            <w:pPr>
              <w:pStyle w:val="EYBodytextwithparaspace"/>
              <w:spacing w:before="60" w:after="6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sidRPr="00492634">
              <w:rPr>
                <w:rFonts w:ascii="Arial Narrow" w:eastAsiaTheme="minorHAnsi" w:hAnsi="Arial Narrow" w:cstheme="minorBidi"/>
                <w:sz w:val="22"/>
                <w:szCs w:val="24"/>
              </w:rPr>
              <w:t>CS Regulations</w:t>
            </w:r>
          </w:p>
        </w:tc>
      </w:tr>
      <w:tr w:rsidR="001A7375" w:rsidRPr="00492634" w14:paraId="30EB14B7" w14:textId="77777777" w:rsidTr="00492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64B63F8F" w14:textId="06AC792D" w:rsidR="001A7375" w:rsidRPr="00492634" w:rsidRDefault="001A7375" w:rsidP="00B1683A">
            <w:pPr>
              <w:pStyle w:val="EYBodytextwithparaspace"/>
              <w:spacing w:before="60" w:after="60"/>
              <w:rPr>
                <w:rFonts w:ascii="Arial Narrow" w:eastAsiaTheme="minorHAnsi" w:hAnsi="Arial Narrow" w:cstheme="minorBidi"/>
                <w:b w:val="0"/>
                <w:sz w:val="22"/>
                <w:szCs w:val="24"/>
              </w:rPr>
            </w:pPr>
            <w:r>
              <w:rPr>
                <w:rFonts w:ascii="Arial Narrow" w:eastAsiaTheme="minorHAnsi" w:hAnsi="Arial Narrow" w:cstheme="minorBidi"/>
                <w:b w:val="0"/>
                <w:sz w:val="22"/>
                <w:szCs w:val="24"/>
              </w:rPr>
              <w:t>Commissioner for Better Regulation</w:t>
            </w:r>
          </w:p>
        </w:tc>
        <w:tc>
          <w:tcPr>
            <w:tcW w:w="2268" w:type="dxa"/>
          </w:tcPr>
          <w:p w14:paraId="3EB13FD8" w14:textId="3E3CA6A8" w:rsidR="001A7375" w:rsidRPr="00492634" w:rsidRDefault="001A7375" w:rsidP="00B1683A">
            <w:pPr>
              <w:pStyle w:val="EYBodytextwithparaspace"/>
              <w:spacing w:before="60" w:after="60"/>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theme="minorBidi"/>
                <w:sz w:val="22"/>
                <w:szCs w:val="24"/>
              </w:rPr>
            </w:pPr>
            <w:r>
              <w:rPr>
                <w:rFonts w:ascii="Arial Narrow" w:eastAsiaTheme="minorHAnsi" w:hAnsi="Arial Narrow" w:cstheme="minorBidi"/>
                <w:sz w:val="22"/>
                <w:szCs w:val="24"/>
              </w:rPr>
              <w:t>The Commissioner</w:t>
            </w:r>
          </w:p>
        </w:tc>
      </w:tr>
      <w:tr w:rsidR="00C01E92" w:rsidRPr="00492634" w14:paraId="00A303D1" w14:textId="77777777" w:rsidTr="00492634">
        <w:tc>
          <w:tcPr>
            <w:cnfStyle w:val="001000000000" w:firstRow="0" w:lastRow="0" w:firstColumn="1" w:lastColumn="0" w:oddVBand="0" w:evenVBand="0" w:oddHBand="0" w:evenHBand="0" w:firstRowFirstColumn="0" w:firstRowLastColumn="0" w:lastRowFirstColumn="0" w:lastRowLastColumn="0"/>
            <w:tcW w:w="7083" w:type="dxa"/>
          </w:tcPr>
          <w:p w14:paraId="0FF135B4" w14:textId="77777777" w:rsidR="00C01E92" w:rsidRPr="00492634" w:rsidRDefault="00C01E92" w:rsidP="00B1683A">
            <w:pPr>
              <w:pStyle w:val="EYBodytextwithparaspace"/>
              <w:spacing w:before="60" w:after="60"/>
              <w:rPr>
                <w:rFonts w:ascii="Arial Narrow" w:eastAsiaTheme="minorHAnsi" w:hAnsi="Arial Narrow" w:cstheme="minorBidi"/>
                <w:b w:val="0"/>
                <w:sz w:val="22"/>
                <w:szCs w:val="24"/>
              </w:rPr>
            </w:pPr>
            <w:r w:rsidRPr="00492634">
              <w:rPr>
                <w:rFonts w:ascii="Arial Narrow" w:eastAsiaTheme="minorHAnsi" w:hAnsi="Arial Narrow" w:cstheme="minorBidi"/>
                <w:b w:val="0"/>
                <w:sz w:val="22"/>
                <w:szCs w:val="24"/>
              </w:rPr>
              <w:t>Community Child Care Fund Restricted</w:t>
            </w:r>
          </w:p>
        </w:tc>
        <w:tc>
          <w:tcPr>
            <w:tcW w:w="2268" w:type="dxa"/>
          </w:tcPr>
          <w:p w14:paraId="33A5F489" w14:textId="77777777" w:rsidR="00C01E92" w:rsidRPr="00492634" w:rsidRDefault="00C01E92" w:rsidP="00B1683A">
            <w:pPr>
              <w:pStyle w:val="EYBodytextwithparaspace"/>
              <w:spacing w:before="60" w:after="6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sidRPr="00492634">
              <w:rPr>
                <w:rFonts w:ascii="Arial Narrow" w:eastAsiaTheme="minorHAnsi" w:hAnsi="Arial Narrow" w:cstheme="minorBidi"/>
                <w:sz w:val="22"/>
                <w:szCs w:val="24"/>
              </w:rPr>
              <w:t>CCCFR</w:t>
            </w:r>
          </w:p>
        </w:tc>
      </w:tr>
      <w:tr w:rsidR="00C01E92" w:rsidRPr="00492634" w14:paraId="562ABE48" w14:textId="77777777" w:rsidTr="00492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08D60674" w14:textId="77777777" w:rsidR="00C01E92" w:rsidRPr="00492634" w:rsidRDefault="00C01E92" w:rsidP="00B1683A">
            <w:pPr>
              <w:pStyle w:val="EYBodytextwithparaspace"/>
              <w:spacing w:before="60" w:after="60"/>
              <w:rPr>
                <w:rFonts w:ascii="Arial Narrow" w:eastAsiaTheme="minorHAnsi" w:hAnsi="Arial Narrow" w:cstheme="minorBidi"/>
                <w:b w:val="0"/>
                <w:sz w:val="22"/>
                <w:szCs w:val="24"/>
              </w:rPr>
            </w:pPr>
            <w:r w:rsidRPr="00492634">
              <w:rPr>
                <w:rFonts w:ascii="Arial Narrow" w:eastAsiaTheme="minorHAnsi" w:hAnsi="Arial Narrow" w:cstheme="minorBidi"/>
                <w:b w:val="0"/>
                <w:sz w:val="22"/>
                <w:szCs w:val="24"/>
              </w:rPr>
              <w:t>Cost-Benefit Analysis</w:t>
            </w:r>
          </w:p>
        </w:tc>
        <w:tc>
          <w:tcPr>
            <w:tcW w:w="2268" w:type="dxa"/>
          </w:tcPr>
          <w:p w14:paraId="15C232FD" w14:textId="77777777" w:rsidR="00C01E92" w:rsidRPr="00492634" w:rsidRDefault="00C01E92" w:rsidP="00B1683A">
            <w:pPr>
              <w:pStyle w:val="EYBodytextwithparaspace"/>
              <w:spacing w:before="60" w:after="60"/>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theme="minorBidi"/>
                <w:sz w:val="22"/>
                <w:szCs w:val="24"/>
              </w:rPr>
            </w:pPr>
            <w:r w:rsidRPr="00492634">
              <w:rPr>
                <w:rFonts w:ascii="Arial Narrow" w:eastAsiaTheme="minorHAnsi" w:hAnsi="Arial Narrow" w:cstheme="minorBidi"/>
                <w:sz w:val="22"/>
                <w:szCs w:val="24"/>
              </w:rPr>
              <w:t>CBA</w:t>
            </w:r>
          </w:p>
        </w:tc>
      </w:tr>
      <w:tr w:rsidR="00C01E92" w:rsidRPr="00492634" w14:paraId="1AAAD7D6" w14:textId="77777777" w:rsidTr="00492634">
        <w:tc>
          <w:tcPr>
            <w:cnfStyle w:val="001000000000" w:firstRow="0" w:lastRow="0" w:firstColumn="1" w:lastColumn="0" w:oddVBand="0" w:evenVBand="0" w:oddHBand="0" w:evenHBand="0" w:firstRowFirstColumn="0" w:firstRowLastColumn="0" w:lastRowFirstColumn="0" w:lastRowLastColumn="0"/>
            <w:tcW w:w="7083" w:type="dxa"/>
          </w:tcPr>
          <w:p w14:paraId="40D2B25A" w14:textId="77777777" w:rsidR="00C01E92" w:rsidRPr="00492634" w:rsidRDefault="00C01E92" w:rsidP="00B1683A">
            <w:pPr>
              <w:pStyle w:val="EYBodytextwithparaspace"/>
              <w:spacing w:before="60" w:after="60"/>
              <w:rPr>
                <w:rFonts w:ascii="Arial Narrow" w:eastAsiaTheme="minorHAnsi" w:hAnsi="Arial Narrow" w:cstheme="minorBidi"/>
                <w:b w:val="0"/>
                <w:sz w:val="22"/>
                <w:szCs w:val="24"/>
              </w:rPr>
            </w:pPr>
            <w:r w:rsidRPr="00492634">
              <w:rPr>
                <w:rFonts w:ascii="Arial Narrow" w:eastAsiaTheme="minorHAnsi" w:hAnsi="Arial Narrow" w:cstheme="minorBidi"/>
                <w:b w:val="0"/>
                <w:sz w:val="22"/>
                <w:szCs w:val="24"/>
              </w:rPr>
              <w:t>Council of Australian Governments</w:t>
            </w:r>
          </w:p>
        </w:tc>
        <w:tc>
          <w:tcPr>
            <w:tcW w:w="2268" w:type="dxa"/>
          </w:tcPr>
          <w:p w14:paraId="6E10EEEC" w14:textId="77777777" w:rsidR="00C01E92" w:rsidRPr="00492634" w:rsidRDefault="00C01E92" w:rsidP="00B1683A">
            <w:pPr>
              <w:pStyle w:val="EYBodytextwithparaspace"/>
              <w:spacing w:before="60" w:after="6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sidRPr="00492634">
              <w:rPr>
                <w:rFonts w:ascii="Arial Narrow" w:eastAsiaTheme="minorHAnsi" w:hAnsi="Arial Narrow" w:cstheme="minorBidi"/>
                <w:sz w:val="22"/>
                <w:szCs w:val="24"/>
              </w:rPr>
              <w:t>COAG</w:t>
            </w:r>
          </w:p>
        </w:tc>
      </w:tr>
      <w:tr w:rsidR="00C01E92" w:rsidRPr="00492634" w14:paraId="59AD93B9" w14:textId="77777777" w:rsidTr="00492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2726E936" w14:textId="77777777" w:rsidR="00C01E92" w:rsidRPr="00492634" w:rsidRDefault="00C01E92" w:rsidP="00B1683A">
            <w:pPr>
              <w:pStyle w:val="EYBodytextwithparaspace"/>
              <w:spacing w:before="60" w:after="60"/>
              <w:rPr>
                <w:rFonts w:ascii="Arial Narrow" w:eastAsiaTheme="minorHAnsi" w:hAnsi="Arial Narrow" w:cstheme="minorBidi"/>
                <w:b w:val="0"/>
                <w:sz w:val="22"/>
                <w:szCs w:val="24"/>
              </w:rPr>
            </w:pPr>
            <w:r w:rsidRPr="00492634">
              <w:rPr>
                <w:rFonts w:ascii="Arial Narrow" w:eastAsiaTheme="minorHAnsi" w:hAnsi="Arial Narrow" w:cstheme="minorBidi"/>
                <w:b w:val="0"/>
                <w:sz w:val="22"/>
                <w:szCs w:val="24"/>
              </w:rPr>
              <w:t>Department of Education and Training</w:t>
            </w:r>
          </w:p>
        </w:tc>
        <w:tc>
          <w:tcPr>
            <w:tcW w:w="2268" w:type="dxa"/>
          </w:tcPr>
          <w:p w14:paraId="1ACD8680" w14:textId="77777777" w:rsidR="00C01E92" w:rsidRPr="00492634" w:rsidRDefault="00C01E92" w:rsidP="00B1683A">
            <w:pPr>
              <w:pStyle w:val="EYBodytextwithparaspace"/>
              <w:spacing w:before="60" w:after="60"/>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theme="minorBidi"/>
                <w:sz w:val="22"/>
                <w:szCs w:val="24"/>
              </w:rPr>
            </w:pPr>
            <w:r w:rsidRPr="00492634">
              <w:rPr>
                <w:rFonts w:ascii="Arial Narrow" w:eastAsiaTheme="minorHAnsi" w:hAnsi="Arial Narrow" w:cstheme="minorBidi"/>
                <w:sz w:val="22"/>
                <w:szCs w:val="24"/>
              </w:rPr>
              <w:t>Department</w:t>
            </w:r>
          </w:p>
        </w:tc>
      </w:tr>
      <w:tr w:rsidR="00C01E92" w:rsidRPr="00492634" w14:paraId="370205B2" w14:textId="77777777" w:rsidTr="00492634">
        <w:tc>
          <w:tcPr>
            <w:cnfStyle w:val="001000000000" w:firstRow="0" w:lastRow="0" w:firstColumn="1" w:lastColumn="0" w:oddVBand="0" w:evenVBand="0" w:oddHBand="0" w:evenHBand="0" w:firstRowFirstColumn="0" w:firstRowLastColumn="0" w:lastRowFirstColumn="0" w:lastRowLastColumn="0"/>
            <w:tcW w:w="7083" w:type="dxa"/>
          </w:tcPr>
          <w:p w14:paraId="7308F506" w14:textId="77777777" w:rsidR="00C01E92" w:rsidRPr="00492634" w:rsidRDefault="00C01E92" w:rsidP="00B1683A">
            <w:pPr>
              <w:pStyle w:val="EYBodytextwithparaspace"/>
              <w:spacing w:before="60" w:after="60"/>
              <w:rPr>
                <w:rFonts w:ascii="Arial Narrow" w:eastAsiaTheme="minorHAnsi" w:hAnsi="Arial Narrow" w:cstheme="minorBidi"/>
                <w:b w:val="0"/>
                <w:sz w:val="22"/>
                <w:szCs w:val="24"/>
              </w:rPr>
            </w:pPr>
            <w:r w:rsidRPr="00492634">
              <w:rPr>
                <w:rFonts w:ascii="Arial Narrow" w:eastAsiaTheme="minorHAnsi" w:hAnsi="Arial Narrow" w:cstheme="minorBidi"/>
                <w:b w:val="0"/>
                <w:sz w:val="22"/>
                <w:szCs w:val="24"/>
              </w:rPr>
              <w:t>Department of Treasury and Finance</w:t>
            </w:r>
          </w:p>
        </w:tc>
        <w:tc>
          <w:tcPr>
            <w:tcW w:w="2268" w:type="dxa"/>
          </w:tcPr>
          <w:p w14:paraId="39ACD8B2" w14:textId="77777777" w:rsidR="00C01E92" w:rsidRPr="00492634" w:rsidRDefault="00C01E92" w:rsidP="00B1683A">
            <w:pPr>
              <w:pStyle w:val="EYBodytextwithparaspace"/>
              <w:spacing w:before="60" w:after="6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sidRPr="00492634">
              <w:rPr>
                <w:rFonts w:ascii="Arial Narrow" w:eastAsiaTheme="minorHAnsi" w:hAnsi="Arial Narrow" w:cstheme="minorBidi"/>
                <w:sz w:val="22"/>
                <w:szCs w:val="24"/>
              </w:rPr>
              <w:t>DTF</w:t>
            </w:r>
          </w:p>
        </w:tc>
      </w:tr>
      <w:tr w:rsidR="00C01E92" w:rsidRPr="00492634" w14:paraId="04FD0F97" w14:textId="77777777" w:rsidTr="00492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63A1601E" w14:textId="77777777" w:rsidR="00C01E92" w:rsidRPr="00492634" w:rsidRDefault="00C01E92" w:rsidP="00492634">
            <w:pPr>
              <w:pStyle w:val="EYBodytextwithparaspace"/>
              <w:spacing w:before="60" w:after="60"/>
              <w:rPr>
                <w:rFonts w:ascii="Arial Narrow" w:eastAsiaTheme="minorHAnsi" w:hAnsi="Arial Narrow" w:cstheme="minorBidi"/>
                <w:b w:val="0"/>
                <w:sz w:val="22"/>
                <w:szCs w:val="24"/>
              </w:rPr>
            </w:pPr>
            <w:r w:rsidRPr="00492634">
              <w:rPr>
                <w:rFonts w:ascii="Arial Narrow" w:eastAsiaTheme="minorHAnsi" w:hAnsi="Arial Narrow" w:cstheme="minorBidi"/>
                <w:b w:val="0"/>
                <w:sz w:val="22"/>
                <w:szCs w:val="24"/>
              </w:rPr>
              <w:t>Education and Care Services National Law</w:t>
            </w:r>
          </w:p>
        </w:tc>
        <w:tc>
          <w:tcPr>
            <w:tcW w:w="2268" w:type="dxa"/>
          </w:tcPr>
          <w:p w14:paraId="40F152AA" w14:textId="77777777" w:rsidR="00C01E92" w:rsidRPr="00492634" w:rsidRDefault="00C01E92" w:rsidP="00492634">
            <w:pPr>
              <w:pStyle w:val="EYBodytextwithparaspace"/>
              <w:spacing w:before="60" w:after="60"/>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theme="minorBidi"/>
                <w:sz w:val="22"/>
                <w:szCs w:val="24"/>
              </w:rPr>
            </w:pPr>
            <w:r w:rsidRPr="00492634">
              <w:rPr>
                <w:rFonts w:ascii="Arial Narrow" w:eastAsiaTheme="minorHAnsi" w:hAnsi="Arial Narrow" w:cstheme="minorBidi"/>
                <w:sz w:val="22"/>
                <w:szCs w:val="24"/>
              </w:rPr>
              <w:t>National Law</w:t>
            </w:r>
          </w:p>
        </w:tc>
      </w:tr>
      <w:tr w:rsidR="00C01E92" w:rsidRPr="00492634" w14:paraId="569AC1D2" w14:textId="77777777" w:rsidTr="00492634">
        <w:tc>
          <w:tcPr>
            <w:cnfStyle w:val="001000000000" w:firstRow="0" w:lastRow="0" w:firstColumn="1" w:lastColumn="0" w:oddVBand="0" w:evenVBand="0" w:oddHBand="0" w:evenHBand="0" w:firstRowFirstColumn="0" w:firstRowLastColumn="0" w:lastRowFirstColumn="0" w:lastRowLastColumn="0"/>
            <w:tcW w:w="7083" w:type="dxa"/>
          </w:tcPr>
          <w:p w14:paraId="7B4BC06F" w14:textId="77777777" w:rsidR="00C01E92" w:rsidRPr="00492634" w:rsidRDefault="00C01E92" w:rsidP="00B1683A">
            <w:pPr>
              <w:pStyle w:val="EYBodytextwithparaspace"/>
              <w:spacing w:before="60" w:after="60"/>
              <w:rPr>
                <w:rFonts w:ascii="Arial Narrow" w:eastAsiaTheme="minorHAnsi" w:hAnsi="Arial Narrow" w:cstheme="minorBidi"/>
                <w:b w:val="0"/>
                <w:sz w:val="22"/>
                <w:szCs w:val="24"/>
              </w:rPr>
            </w:pPr>
            <w:r w:rsidRPr="00492634">
              <w:rPr>
                <w:rFonts w:ascii="Arial Narrow" w:eastAsiaTheme="minorHAnsi" w:hAnsi="Arial Narrow" w:cstheme="minorBidi"/>
                <w:b w:val="0"/>
                <w:sz w:val="22"/>
                <w:szCs w:val="24"/>
              </w:rPr>
              <w:t>Education and Care Services National Regulations</w:t>
            </w:r>
          </w:p>
        </w:tc>
        <w:tc>
          <w:tcPr>
            <w:tcW w:w="2268" w:type="dxa"/>
          </w:tcPr>
          <w:p w14:paraId="24226573" w14:textId="77777777" w:rsidR="00C01E92" w:rsidRPr="00492634" w:rsidRDefault="00C01E92" w:rsidP="00B1683A">
            <w:pPr>
              <w:pStyle w:val="EYBodytextwithparaspace"/>
              <w:spacing w:before="60" w:after="6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sidRPr="00492634">
              <w:rPr>
                <w:rFonts w:ascii="Arial Narrow" w:eastAsiaTheme="minorHAnsi" w:hAnsi="Arial Narrow" w:cstheme="minorBidi"/>
                <w:sz w:val="22"/>
                <w:szCs w:val="24"/>
              </w:rPr>
              <w:t>National Regulations</w:t>
            </w:r>
          </w:p>
        </w:tc>
      </w:tr>
      <w:tr w:rsidR="00C01E92" w:rsidRPr="00492634" w14:paraId="3B847FB6" w14:textId="77777777" w:rsidTr="00492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0A0A755A" w14:textId="77777777" w:rsidR="00C01E92" w:rsidRPr="00492634" w:rsidRDefault="00C01E92" w:rsidP="00B1683A">
            <w:pPr>
              <w:pStyle w:val="EYBodytextwithparaspace"/>
              <w:spacing w:before="60" w:after="60"/>
              <w:rPr>
                <w:rFonts w:ascii="Arial Narrow" w:eastAsiaTheme="minorHAnsi" w:hAnsi="Arial Narrow" w:cstheme="minorBidi"/>
                <w:b w:val="0"/>
                <w:sz w:val="22"/>
                <w:szCs w:val="24"/>
              </w:rPr>
            </w:pPr>
            <w:r w:rsidRPr="00492634">
              <w:rPr>
                <w:rFonts w:ascii="Arial Narrow" w:eastAsiaTheme="minorHAnsi" w:hAnsi="Arial Narrow" w:cstheme="minorBidi"/>
                <w:b w:val="0"/>
                <w:sz w:val="22"/>
                <w:szCs w:val="24"/>
              </w:rPr>
              <w:t>Effective Early Education Experiences for Kids (study)</w:t>
            </w:r>
          </w:p>
        </w:tc>
        <w:tc>
          <w:tcPr>
            <w:tcW w:w="2268" w:type="dxa"/>
          </w:tcPr>
          <w:p w14:paraId="4E44ABED" w14:textId="77777777" w:rsidR="00C01E92" w:rsidRPr="00492634" w:rsidRDefault="00C01E92" w:rsidP="00B1683A">
            <w:pPr>
              <w:pStyle w:val="EYBodytextwithparaspace"/>
              <w:spacing w:before="60" w:after="60"/>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theme="minorBidi"/>
                <w:sz w:val="22"/>
                <w:szCs w:val="24"/>
              </w:rPr>
            </w:pPr>
            <w:r w:rsidRPr="00492634">
              <w:rPr>
                <w:rFonts w:ascii="Arial Narrow" w:eastAsiaTheme="minorHAnsi" w:hAnsi="Arial Narrow" w:cstheme="minorBidi"/>
                <w:sz w:val="22"/>
                <w:szCs w:val="24"/>
              </w:rPr>
              <w:t>E4Kids</w:t>
            </w:r>
          </w:p>
        </w:tc>
      </w:tr>
      <w:tr w:rsidR="00C01E92" w:rsidRPr="00492634" w14:paraId="3536C3CA" w14:textId="77777777" w:rsidTr="00492634">
        <w:tc>
          <w:tcPr>
            <w:cnfStyle w:val="001000000000" w:firstRow="0" w:lastRow="0" w:firstColumn="1" w:lastColumn="0" w:oddVBand="0" w:evenVBand="0" w:oddHBand="0" w:evenHBand="0" w:firstRowFirstColumn="0" w:firstRowLastColumn="0" w:lastRowFirstColumn="0" w:lastRowLastColumn="0"/>
            <w:tcW w:w="7083" w:type="dxa"/>
          </w:tcPr>
          <w:p w14:paraId="65243013" w14:textId="77777777" w:rsidR="00C01E92" w:rsidRPr="00492634" w:rsidRDefault="00C01E92" w:rsidP="00B1683A">
            <w:pPr>
              <w:pStyle w:val="EYBodytextwithparaspace"/>
              <w:spacing w:before="60" w:after="60"/>
              <w:rPr>
                <w:rFonts w:ascii="Arial Narrow" w:eastAsiaTheme="minorHAnsi" w:hAnsi="Arial Narrow" w:cstheme="minorBidi"/>
                <w:b w:val="0"/>
                <w:sz w:val="22"/>
                <w:szCs w:val="24"/>
              </w:rPr>
            </w:pPr>
            <w:r w:rsidRPr="00492634">
              <w:rPr>
                <w:rFonts w:ascii="Arial Narrow" w:eastAsiaTheme="minorHAnsi" w:hAnsi="Arial Narrow" w:cstheme="minorBidi"/>
                <w:b w:val="0"/>
                <w:sz w:val="22"/>
                <w:szCs w:val="24"/>
              </w:rPr>
              <w:t>Multi-Criteria Analysis</w:t>
            </w:r>
          </w:p>
        </w:tc>
        <w:tc>
          <w:tcPr>
            <w:tcW w:w="2268" w:type="dxa"/>
          </w:tcPr>
          <w:p w14:paraId="38552344" w14:textId="77777777" w:rsidR="00C01E92" w:rsidRPr="00492634" w:rsidRDefault="00C01E92" w:rsidP="00B1683A">
            <w:pPr>
              <w:pStyle w:val="EYBodytextwithparaspace"/>
              <w:spacing w:before="60" w:after="6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sidRPr="00492634">
              <w:rPr>
                <w:rFonts w:ascii="Arial Narrow" w:eastAsiaTheme="minorHAnsi" w:hAnsi="Arial Narrow" w:cstheme="minorBidi"/>
                <w:sz w:val="22"/>
                <w:szCs w:val="24"/>
              </w:rPr>
              <w:t>MCA</w:t>
            </w:r>
          </w:p>
        </w:tc>
      </w:tr>
      <w:tr w:rsidR="00C01E92" w:rsidRPr="00492634" w14:paraId="13F60167" w14:textId="77777777" w:rsidTr="00492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1101FF4B" w14:textId="39000443" w:rsidR="00C01E92" w:rsidRPr="00492634" w:rsidRDefault="00C01E92" w:rsidP="00E4782D">
            <w:pPr>
              <w:pStyle w:val="EYBodytextwithparaspace"/>
              <w:spacing w:before="60" w:after="60"/>
              <w:rPr>
                <w:rFonts w:ascii="Arial Narrow" w:eastAsiaTheme="minorHAnsi" w:hAnsi="Arial Narrow" w:cstheme="minorBidi"/>
                <w:b w:val="0"/>
                <w:sz w:val="22"/>
                <w:szCs w:val="24"/>
              </w:rPr>
            </w:pPr>
            <w:r w:rsidRPr="00492634">
              <w:rPr>
                <w:rFonts w:ascii="Arial Narrow" w:eastAsiaTheme="minorHAnsi" w:hAnsi="Arial Narrow" w:cstheme="minorBidi"/>
                <w:b w:val="0"/>
                <w:sz w:val="22"/>
                <w:szCs w:val="24"/>
              </w:rPr>
              <w:t xml:space="preserve">My Time, Our Place: Framework for School Age </w:t>
            </w:r>
            <w:r w:rsidR="00E4782D">
              <w:rPr>
                <w:rFonts w:ascii="Arial Narrow" w:eastAsiaTheme="minorHAnsi" w:hAnsi="Arial Narrow" w:cstheme="minorBidi"/>
                <w:b w:val="0"/>
                <w:sz w:val="22"/>
                <w:szCs w:val="24"/>
              </w:rPr>
              <w:t>C</w:t>
            </w:r>
            <w:r w:rsidRPr="00492634">
              <w:rPr>
                <w:rFonts w:ascii="Arial Narrow" w:eastAsiaTheme="minorHAnsi" w:hAnsi="Arial Narrow" w:cstheme="minorBidi"/>
                <w:b w:val="0"/>
                <w:sz w:val="22"/>
                <w:szCs w:val="24"/>
              </w:rPr>
              <w:t>are in Australia</w:t>
            </w:r>
          </w:p>
        </w:tc>
        <w:tc>
          <w:tcPr>
            <w:tcW w:w="2268" w:type="dxa"/>
          </w:tcPr>
          <w:p w14:paraId="14AB8ABC" w14:textId="77777777" w:rsidR="00C01E92" w:rsidRPr="00492634" w:rsidRDefault="00C01E92" w:rsidP="00B1683A">
            <w:pPr>
              <w:pStyle w:val="EYBodytextwithparaspace"/>
              <w:spacing w:before="60" w:after="60"/>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theme="minorBidi"/>
                <w:sz w:val="22"/>
                <w:szCs w:val="24"/>
              </w:rPr>
            </w:pPr>
            <w:r w:rsidRPr="00492634">
              <w:rPr>
                <w:rFonts w:ascii="Arial Narrow" w:eastAsiaTheme="minorHAnsi" w:hAnsi="Arial Narrow" w:cstheme="minorBidi"/>
                <w:sz w:val="22"/>
                <w:szCs w:val="24"/>
              </w:rPr>
              <w:t>MTOP</w:t>
            </w:r>
          </w:p>
        </w:tc>
      </w:tr>
      <w:tr w:rsidR="00D83853" w:rsidRPr="00492634" w14:paraId="6F5A4377" w14:textId="77777777" w:rsidTr="00492634">
        <w:tc>
          <w:tcPr>
            <w:cnfStyle w:val="001000000000" w:firstRow="0" w:lastRow="0" w:firstColumn="1" w:lastColumn="0" w:oddVBand="0" w:evenVBand="0" w:oddHBand="0" w:evenHBand="0" w:firstRowFirstColumn="0" w:firstRowLastColumn="0" w:lastRowFirstColumn="0" w:lastRowLastColumn="0"/>
            <w:tcW w:w="7083" w:type="dxa"/>
          </w:tcPr>
          <w:p w14:paraId="7B072F48" w14:textId="4D6A9C07" w:rsidR="00D83853" w:rsidRPr="00492634" w:rsidRDefault="00D83853" w:rsidP="00B1683A">
            <w:pPr>
              <w:pStyle w:val="EYBodytextwithparaspace"/>
              <w:spacing w:before="60" w:after="60"/>
              <w:rPr>
                <w:rFonts w:ascii="Arial Narrow" w:eastAsiaTheme="minorHAnsi" w:hAnsi="Arial Narrow" w:cstheme="minorBidi"/>
                <w:b w:val="0"/>
                <w:sz w:val="22"/>
                <w:szCs w:val="24"/>
              </w:rPr>
            </w:pPr>
            <w:r w:rsidRPr="00492634">
              <w:rPr>
                <w:rFonts w:ascii="Arial Narrow" w:eastAsiaTheme="minorHAnsi" w:hAnsi="Arial Narrow" w:cstheme="minorBidi"/>
                <w:b w:val="0"/>
                <w:sz w:val="22"/>
                <w:szCs w:val="24"/>
              </w:rPr>
              <w:t>Net Present Value</w:t>
            </w:r>
          </w:p>
        </w:tc>
        <w:tc>
          <w:tcPr>
            <w:tcW w:w="2268" w:type="dxa"/>
          </w:tcPr>
          <w:p w14:paraId="5DADCB39" w14:textId="52263D1E" w:rsidR="00D83853" w:rsidRPr="00492634" w:rsidRDefault="00D83853" w:rsidP="00B1683A">
            <w:pPr>
              <w:pStyle w:val="EYBodytextwithparaspace"/>
              <w:spacing w:before="60" w:after="6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sidRPr="00492634">
              <w:rPr>
                <w:rFonts w:ascii="Arial Narrow" w:eastAsiaTheme="minorHAnsi" w:hAnsi="Arial Narrow" w:cstheme="minorBidi"/>
                <w:sz w:val="22"/>
                <w:szCs w:val="24"/>
              </w:rPr>
              <w:t>NPV</w:t>
            </w:r>
          </w:p>
        </w:tc>
      </w:tr>
      <w:tr w:rsidR="00C01E92" w:rsidRPr="00492634" w14:paraId="19126375" w14:textId="77777777" w:rsidTr="00492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5FA07B3F" w14:textId="77777777" w:rsidR="00C01E92" w:rsidRPr="00492634" w:rsidRDefault="00C01E92" w:rsidP="00B1683A">
            <w:pPr>
              <w:pStyle w:val="EYBodytextwithparaspace"/>
              <w:spacing w:before="60" w:after="60"/>
              <w:rPr>
                <w:rFonts w:ascii="Arial Narrow" w:eastAsiaTheme="minorHAnsi" w:hAnsi="Arial Narrow" w:cstheme="minorBidi"/>
                <w:b w:val="0"/>
                <w:sz w:val="22"/>
                <w:szCs w:val="24"/>
              </w:rPr>
            </w:pPr>
            <w:r w:rsidRPr="00492634">
              <w:rPr>
                <w:rFonts w:ascii="Arial Narrow" w:eastAsiaTheme="minorHAnsi" w:hAnsi="Arial Narrow" w:cstheme="minorBidi"/>
                <w:b w:val="0"/>
                <w:sz w:val="22"/>
                <w:szCs w:val="24"/>
              </w:rPr>
              <w:t>National Quality Agenda Information Technology System</w:t>
            </w:r>
          </w:p>
        </w:tc>
        <w:tc>
          <w:tcPr>
            <w:tcW w:w="2268" w:type="dxa"/>
          </w:tcPr>
          <w:p w14:paraId="2AA50DE2" w14:textId="77777777" w:rsidR="00C01E92" w:rsidRPr="00492634" w:rsidRDefault="00C01E92" w:rsidP="00B1683A">
            <w:pPr>
              <w:pStyle w:val="EYBodytextwithparaspace"/>
              <w:spacing w:before="60" w:after="60"/>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theme="minorBidi"/>
                <w:sz w:val="22"/>
                <w:szCs w:val="24"/>
              </w:rPr>
            </w:pPr>
            <w:r w:rsidRPr="00492634">
              <w:rPr>
                <w:rFonts w:ascii="Arial Narrow" w:eastAsiaTheme="minorHAnsi" w:hAnsi="Arial Narrow" w:cstheme="minorBidi"/>
                <w:sz w:val="22"/>
                <w:szCs w:val="24"/>
              </w:rPr>
              <w:t>NQA ITS</w:t>
            </w:r>
          </w:p>
        </w:tc>
      </w:tr>
      <w:tr w:rsidR="00C01E92" w:rsidRPr="00492634" w14:paraId="4CC053E2" w14:textId="77777777" w:rsidTr="00492634">
        <w:tc>
          <w:tcPr>
            <w:cnfStyle w:val="001000000000" w:firstRow="0" w:lastRow="0" w:firstColumn="1" w:lastColumn="0" w:oddVBand="0" w:evenVBand="0" w:oddHBand="0" w:evenHBand="0" w:firstRowFirstColumn="0" w:firstRowLastColumn="0" w:lastRowFirstColumn="0" w:lastRowLastColumn="0"/>
            <w:tcW w:w="7083" w:type="dxa"/>
          </w:tcPr>
          <w:p w14:paraId="717E3680" w14:textId="77777777" w:rsidR="00C01E92" w:rsidRPr="00492634" w:rsidRDefault="00C01E92" w:rsidP="00B1683A">
            <w:pPr>
              <w:pStyle w:val="EYBodytextwithparaspace"/>
              <w:spacing w:before="60" w:after="60"/>
              <w:rPr>
                <w:rFonts w:ascii="Arial Narrow" w:eastAsiaTheme="minorHAnsi" w:hAnsi="Arial Narrow" w:cstheme="minorBidi"/>
                <w:b w:val="0"/>
                <w:sz w:val="22"/>
                <w:szCs w:val="24"/>
              </w:rPr>
            </w:pPr>
            <w:r w:rsidRPr="00492634">
              <w:rPr>
                <w:rFonts w:ascii="Arial Narrow" w:eastAsiaTheme="minorHAnsi" w:hAnsi="Arial Narrow" w:cstheme="minorBidi"/>
                <w:b w:val="0"/>
                <w:sz w:val="22"/>
                <w:szCs w:val="24"/>
              </w:rPr>
              <w:t>National Quality Framework</w:t>
            </w:r>
          </w:p>
        </w:tc>
        <w:tc>
          <w:tcPr>
            <w:tcW w:w="2268" w:type="dxa"/>
          </w:tcPr>
          <w:p w14:paraId="11FDB2C8" w14:textId="77777777" w:rsidR="00C01E92" w:rsidRPr="00492634" w:rsidRDefault="00C01E92" w:rsidP="00B1683A">
            <w:pPr>
              <w:pStyle w:val="EYBodytextwithparaspace"/>
              <w:spacing w:before="60" w:after="6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sidRPr="00492634">
              <w:rPr>
                <w:rFonts w:ascii="Arial Narrow" w:eastAsiaTheme="minorHAnsi" w:hAnsi="Arial Narrow" w:cstheme="minorBidi"/>
                <w:sz w:val="22"/>
                <w:szCs w:val="24"/>
              </w:rPr>
              <w:t>NQF</w:t>
            </w:r>
          </w:p>
        </w:tc>
      </w:tr>
      <w:tr w:rsidR="00C01E92" w:rsidRPr="00492634" w14:paraId="4C4E142E" w14:textId="77777777" w:rsidTr="00492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095EEBE8" w14:textId="77777777" w:rsidR="00C01E92" w:rsidRPr="00492634" w:rsidRDefault="00C01E92" w:rsidP="00B1683A">
            <w:pPr>
              <w:pStyle w:val="EYBodytextwithparaspace"/>
              <w:spacing w:before="60" w:after="60"/>
              <w:rPr>
                <w:rFonts w:ascii="Arial Narrow" w:eastAsiaTheme="minorHAnsi" w:hAnsi="Arial Narrow" w:cstheme="minorBidi"/>
                <w:b w:val="0"/>
                <w:sz w:val="22"/>
                <w:szCs w:val="24"/>
              </w:rPr>
            </w:pPr>
            <w:r w:rsidRPr="00492634">
              <w:rPr>
                <w:rFonts w:ascii="Arial Narrow" w:eastAsiaTheme="minorHAnsi" w:hAnsi="Arial Narrow" w:cstheme="minorBidi"/>
                <w:b w:val="0"/>
                <w:sz w:val="22"/>
                <w:szCs w:val="24"/>
              </w:rPr>
              <w:t>National Quality Standard</w:t>
            </w:r>
          </w:p>
        </w:tc>
        <w:tc>
          <w:tcPr>
            <w:tcW w:w="2268" w:type="dxa"/>
          </w:tcPr>
          <w:p w14:paraId="198CDEDA" w14:textId="77777777" w:rsidR="00C01E92" w:rsidRPr="00492634" w:rsidRDefault="00C01E92" w:rsidP="00B1683A">
            <w:pPr>
              <w:pStyle w:val="EYBodytextwithparaspace"/>
              <w:spacing w:before="60" w:after="60"/>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theme="minorBidi"/>
                <w:sz w:val="22"/>
                <w:szCs w:val="24"/>
              </w:rPr>
            </w:pPr>
            <w:r w:rsidRPr="00492634">
              <w:rPr>
                <w:rFonts w:ascii="Arial Narrow" w:eastAsiaTheme="minorHAnsi" w:hAnsi="Arial Narrow" w:cstheme="minorBidi"/>
                <w:sz w:val="22"/>
                <w:szCs w:val="24"/>
              </w:rPr>
              <w:t>NQS</w:t>
            </w:r>
          </w:p>
        </w:tc>
      </w:tr>
      <w:tr w:rsidR="00C01E92" w:rsidRPr="00492634" w14:paraId="5BD28CEE" w14:textId="77777777" w:rsidTr="00492634">
        <w:tc>
          <w:tcPr>
            <w:cnfStyle w:val="001000000000" w:firstRow="0" w:lastRow="0" w:firstColumn="1" w:lastColumn="0" w:oddVBand="0" w:evenVBand="0" w:oddHBand="0" w:evenHBand="0" w:firstRowFirstColumn="0" w:firstRowLastColumn="0" w:lastRowFirstColumn="0" w:lastRowLastColumn="0"/>
            <w:tcW w:w="7083" w:type="dxa"/>
          </w:tcPr>
          <w:p w14:paraId="6A691162" w14:textId="77777777" w:rsidR="00C01E92" w:rsidRPr="00492634" w:rsidRDefault="00C01E92" w:rsidP="00B1683A">
            <w:pPr>
              <w:pStyle w:val="EYBodytextwithparaspace"/>
              <w:spacing w:before="60" w:after="60"/>
              <w:rPr>
                <w:rFonts w:ascii="Arial Narrow" w:eastAsiaTheme="minorHAnsi" w:hAnsi="Arial Narrow" w:cstheme="minorBidi"/>
                <w:b w:val="0"/>
                <w:sz w:val="22"/>
                <w:szCs w:val="24"/>
              </w:rPr>
            </w:pPr>
            <w:r w:rsidRPr="00492634">
              <w:rPr>
                <w:rFonts w:ascii="Arial Narrow" w:eastAsiaTheme="minorHAnsi" w:hAnsi="Arial Narrow" w:cstheme="minorBidi"/>
                <w:b w:val="0"/>
                <w:sz w:val="22"/>
                <w:szCs w:val="24"/>
              </w:rPr>
              <w:t>Neighbourhood Houses Victoria</w:t>
            </w:r>
          </w:p>
        </w:tc>
        <w:tc>
          <w:tcPr>
            <w:tcW w:w="2268" w:type="dxa"/>
          </w:tcPr>
          <w:p w14:paraId="5BCCD349" w14:textId="77777777" w:rsidR="00C01E92" w:rsidRPr="00492634" w:rsidRDefault="00C01E92" w:rsidP="00B1683A">
            <w:pPr>
              <w:pStyle w:val="EYBodytextwithparaspace"/>
              <w:spacing w:before="60" w:after="6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sidRPr="00492634">
              <w:rPr>
                <w:rFonts w:ascii="Arial Narrow" w:eastAsiaTheme="minorHAnsi" w:hAnsi="Arial Narrow" w:cstheme="minorBidi"/>
                <w:sz w:val="22"/>
                <w:szCs w:val="24"/>
              </w:rPr>
              <w:t>NHV</w:t>
            </w:r>
          </w:p>
        </w:tc>
      </w:tr>
      <w:tr w:rsidR="00C01E92" w:rsidRPr="00492634" w14:paraId="06609D05" w14:textId="77777777" w:rsidTr="00492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37757881" w14:textId="451FC375" w:rsidR="00C01E92" w:rsidRPr="00492634" w:rsidRDefault="00C01E92" w:rsidP="00B1683A">
            <w:pPr>
              <w:pStyle w:val="EYBodytextwithparaspace"/>
              <w:spacing w:before="60" w:after="60"/>
              <w:rPr>
                <w:rFonts w:ascii="Arial Narrow" w:eastAsiaTheme="minorHAnsi" w:hAnsi="Arial Narrow" w:cstheme="minorBidi"/>
                <w:b w:val="0"/>
                <w:sz w:val="22"/>
                <w:szCs w:val="24"/>
              </w:rPr>
            </w:pPr>
            <w:r w:rsidRPr="00492634">
              <w:rPr>
                <w:rFonts w:ascii="Arial Narrow" w:eastAsiaTheme="minorHAnsi" w:hAnsi="Arial Narrow" w:cstheme="minorBidi"/>
                <w:b w:val="0"/>
                <w:sz w:val="22"/>
                <w:szCs w:val="24"/>
              </w:rPr>
              <w:t>Quality Assessment and Regulation Division</w:t>
            </w:r>
            <w:r w:rsidR="00D83853" w:rsidRPr="00492634">
              <w:rPr>
                <w:rFonts w:ascii="Arial Narrow" w:eastAsiaTheme="minorHAnsi" w:hAnsi="Arial Narrow" w:cstheme="minorBidi"/>
                <w:b w:val="0"/>
                <w:sz w:val="22"/>
                <w:szCs w:val="24"/>
              </w:rPr>
              <w:t xml:space="preserve"> (Regulatory Authority)</w:t>
            </w:r>
          </w:p>
        </w:tc>
        <w:tc>
          <w:tcPr>
            <w:tcW w:w="2268" w:type="dxa"/>
          </w:tcPr>
          <w:p w14:paraId="309CB1E0" w14:textId="4A75706F" w:rsidR="00C01E92" w:rsidRPr="00492634" w:rsidRDefault="00C01E92" w:rsidP="00B1683A">
            <w:pPr>
              <w:pStyle w:val="EYBodytextwithparaspace"/>
              <w:spacing w:before="60" w:after="60"/>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theme="minorBidi"/>
                <w:sz w:val="22"/>
                <w:szCs w:val="24"/>
              </w:rPr>
            </w:pPr>
            <w:r w:rsidRPr="00492634">
              <w:rPr>
                <w:rFonts w:ascii="Arial Narrow" w:eastAsiaTheme="minorHAnsi" w:hAnsi="Arial Narrow" w:cstheme="minorBidi"/>
                <w:sz w:val="22"/>
                <w:szCs w:val="24"/>
              </w:rPr>
              <w:t>QARD; Regulator</w:t>
            </w:r>
          </w:p>
        </w:tc>
      </w:tr>
      <w:tr w:rsidR="00C01E92" w:rsidRPr="00492634" w14:paraId="421B1312" w14:textId="77777777" w:rsidTr="00492634">
        <w:tc>
          <w:tcPr>
            <w:cnfStyle w:val="001000000000" w:firstRow="0" w:lastRow="0" w:firstColumn="1" w:lastColumn="0" w:oddVBand="0" w:evenVBand="0" w:oddHBand="0" w:evenHBand="0" w:firstRowFirstColumn="0" w:firstRowLastColumn="0" w:lastRowFirstColumn="0" w:lastRowLastColumn="0"/>
            <w:tcW w:w="7083" w:type="dxa"/>
          </w:tcPr>
          <w:p w14:paraId="43747699" w14:textId="77777777" w:rsidR="00C01E92" w:rsidRPr="00492634" w:rsidRDefault="00C01E92" w:rsidP="00B1683A">
            <w:pPr>
              <w:pStyle w:val="EYBodytextwithparaspace"/>
              <w:spacing w:before="60" w:after="60"/>
              <w:rPr>
                <w:rFonts w:ascii="Arial Narrow" w:eastAsiaTheme="minorHAnsi" w:hAnsi="Arial Narrow" w:cstheme="minorBidi"/>
                <w:b w:val="0"/>
                <w:sz w:val="22"/>
                <w:szCs w:val="24"/>
              </w:rPr>
            </w:pPr>
            <w:r w:rsidRPr="00492634">
              <w:rPr>
                <w:rFonts w:ascii="Arial Narrow" w:eastAsiaTheme="minorHAnsi" w:hAnsi="Arial Narrow" w:cstheme="minorBidi"/>
                <w:b w:val="0"/>
                <w:sz w:val="22"/>
                <w:szCs w:val="24"/>
              </w:rPr>
              <w:t>Quality Improvement Plan</w:t>
            </w:r>
          </w:p>
        </w:tc>
        <w:tc>
          <w:tcPr>
            <w:tcW w:w="2268" w:type="dxa"/>
          </w:tcPr>
          <w:p w14:paraId="65F6A4BF" w14:textId="77777777" w:rsidR="00C01E92" w:rsidRPr="00492634" w:rsidRDefault="00C01E92" w:rsidP="00B1683A">
            <w:pPr>
              <w:pStyle w:val="EYBodytextwithparaspace"/>
              <w:spacing w:before="60" w:after="6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sidRPr="00492634">
              <w:rPr>
                <w:rFonts w:ascii="Arial Narrow" w:eastAsiaTheme="minorHAnsi" w:hAnsi="Arial Narrow" w:cstheme="minorBidi"/>
                <w:sz w:val="22"/>
                <w:szCs w:val="24"/>
              </w:rPr>
              <w:t>QIP</w:t>
            </w:r>
          </w:p>
        </w:tc>
      </w:tr>
      <w:tr w:rsidR="00C01E92" w:rsidRPr="00492634" w14:paraId="63183D8C" w14:textId="77777777" w:rsidTr="00492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23B771A8" w14:textId="77777777" w:rsidR="00C01E92" w:rsidRPr="00492634" w:rsidRDefault="00C01E92" w:rsidP="00B1683A">
            <w:pPr>
              <w:pStyle w:val="EYBodytextwithparaspace"/>
              <w:spacing w:before="60" w:after="60"/>
              <w:rPr>
                <w:rFonts w:ascii="Arial Narrow" w:eastAsiaTheme="minorHAnsi" w:hAnsi="Arial Narrow" w:cstheme="minorBidi"/>
                <w:b w:val="0"/>
                <w:sz w:val="22"/>
                <w:szCs w:val="24"/>
              </w:rPr>
            </w:pPr>
            <w:r w:rsidRPr="00492634">
              <w:rPr>
                <w:rFonts w:ascii="Arial Narrow" w:eastAsiaTheme="minorHAnsi" w:hAnsi="Arial Narrow" w:cstheme="minorBidi"/>
                <w:b w:val="0"/>
                <w:sz w:val="22"/>
                <w:szCs w:val="24"/>
              </w:rPr>
              <w:t>Regulatory Impact Statement</w:t>
            </w:r>
          </w:p>
        </w:tc>
        <w:tc>
          <w:tcPr>
            <w:tcW w:w="2268" w:type="dxa"/>
          </w:tcPr>
          <w:p w14:paraId="4F9004E2" w14:textId="77777777" w:rsidR="00C01E92" w:rsidRPr="00492634" w:rsidRDefault="00C01E92" w:rsidP="00B1683A">
            <w:pPr>
              <w:pStyle w:val="EYBodytextwithparaspace"/>
              <w:spacing w:before="60" w:after="60"/>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theme="minorBidi"/>
                <w:sz w:val="22"/>
                <w:szCs w:val="24"/>
              </w:rPr>
            </w:pPr>
            <w:r w:rsidRPr="00492634">
              <w:rPr>
                <w:rFonts w:ascii="Arial Narrow" w:eastAsiaTheme="minorHAnsi" w:hAnsi="Arial Narrow" w:cstheme="minorBidi"/>
                <w:sz w:val="22"/>
                <w:szCs w:val="24"/>
              </w:rPr>
              <w:t>RIS</w:t>
            </w:r>
          </w:p>
        </w:tc>
      </w:tr>
      <w:tr w:rsidR="00C01E92" w:rsidRPr="00492634" w14:paraId="32AAFEF5" w14:textId="77777777" w:rsidTr="00492634">
        <w:tc>
          <w:tcPr>
            <w:cnfStyle w:val="001000000000" w:firstRow="0" w:lastRow="0" w:firstColumn="1" w:lastColumn="0" w:oddVBand="0" w:evenVBand="0" w:oddHBand="0" w:evenHBand="0" w:firstRowFirstColumn="0" w:firstRowLastColumn="0" w:lastRowFirstColumn="0" w:lastRowLastColumn="0"/>
            <w:tcW w:w="7083" w:type="dxa"/>
          </w:tcPr>
          <w:p w14:paraId="33FE0FD5" w14:textId="77777777" w:rsidR="00C01E92" w:rsidRPr="00492634" w:rsidRDefault="00C01E92" w:rsidP="00B1683A">
            <w:pPr>
              <w:pStyle w:val="EYBodytextwithparaspace"/>
              <w:spacing w:before="60" w:after="60"/>
              <w:rPr>
                <w:rFonts w:ascii="Arial Narrow" w:eastAsiaTheme="minorHAnsi" w:hAnsi="Arial Narrow" w:cstheme="minorBidi"/>
                <w:b w:val="0"/>
                <w:sz w:val="22"/>
                <w:szCs w:val="24"/>
              </w:rPr>
            </w:pPr>
            <w:r w:rsidRPr="00492634">
              <w:rPr>
                <w:rFonts w:ascii="Arial Narrow" w:eastAsiaTheme="minorHAnsi" w:hAnsi="Arial Narrow" w:cstheme="minorBidi"/>
                <w:b w:val="0"/>
                <w:sz w:val="22"/>
                <w:szCs w:val="24"/>
              </w:rPr>
              <w:t>Scrutiny of Acts and Regulations Committee</w:t>
            </w:r>
          </w:p>
        </w:tc>
        <w:tc>
          <w:tcPr>
            <w:tcW w:w="2268" w:type="dxa"/>
          </w:tcPr>
          <w:p w14:paraId="34B22E67" w14:textId="77777777" w:rsidR="00C01E92" w:rsidRPr="00492634" w:rsidRDefault="00C01E92" w:rsidP="00B1683A">
            <w:pPr>
              <w:pStyle w:val="EYBodytextwithparaspace"/>
              <w:spacing w:before="60" w:after="6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sidRPr="00492634">
              <w:rPr>
                <w:rFonts w:ascii="Arial Narrow" w:eastAsiaTheme="minorHAnsi" w:hAnsi="Arial Narrow" w:cstheme="minorBidi"/>
                <w:sz w:val="22"/>
                <w:szCs w:val="24"/>
              </w:rPr>
              <w:t>SARC</w:t>
            </w:r>
          </w:p>
        </w:tc>
      </w:tr>
      <w:tr w:rsidR="00C01E92" w:rsidRPr="00492634" w14:paraId="59248714" w14:textId="77777777" w:rsidTr="00492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6503D92A" w14:textId="77777777" w:rsidR="00C01E92" w:rsidRPr="00492634" w:rsidRDefault="00C01E92" w:rsidP="00B1683A">
            <w:pPr>
              <w:pStyle w:val="EYBodytextwithparaspace"/>
              <w:spacing w:before="60" w:after="60"/>
              <w:rPr>
                <w:rFonts w:ascii="Arial Narrow" w:eastAsiaTheme="minorHAnsi" w:hAnsi="Arial Narrow" w:cstheme="minorBidi"/>
                <w:b w:val="0"/>
                <w:sz w:val="22"/>
                <w:szCs w:val="24"/>
              </w:rPr>
            </w:pPr>
            <w:r w:rsidRPr="00492634">
              <w:rPr>
                <w:rFonts w:ascii="Arial Narrow" w:eastAsiaTheme="minorHAnsi" w:hAnsi="Arial Narrow" w:cstheme="minorBidi"/>
                <w:b w:val="0"/>
                <w:sz w:val="22"/>
                <w:szCs w:val="24"/>
              </w:rPr>
              <w:t>Subordinate Legislation Act 1994</w:t>
            </w:r>
          </w:p>
        </w:tc>
        <w:tc>
          <w:tcPr>
            <w:tcW w:w="2268" w:type="dxa"/>
          </w:tcPr>
          <w:p w14:paraId="5FAF0A21" w14:textId="77777777" w:rsidR="00C01E92" w:rsidRPr="00492634" w:rsidRDefault="00C01E92" w:rsidP="00B1683A">
            <w:pPr>
              <w:pStyle w:val="EYBodytextwithparaspace"/>
              <w:spacing w:before="60" w:after="60"/>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theme="minorBidi"/>
                <w:sz w:val="22"/>
                <w:szCs w:val="24"/>
              </w:rPr>
            </w:pPr>
            <w:r w:rsidRPr="00492634">
              <w:rPr>
                <w:rFonts w:ascii="Arial Narrow" w:eastAsiaTheme="minorHAnsi" w:hAnsi="Arial Narrow" w:cstheme="minorBidi"/>
                <w:sz w:val="22"/>
                <w:szCs w:val="24"/>
              </w:rPr>
              <w:t>SLA</w:t>
            </w:r>
          </w:p>
        </w:tc>
      </w:tr>
      <w:tr w:rsidR="00C01E92" w:rsidRPr="00492634" w14:paraId="56E29512" w14:textId="77777777" w:rsidTr="00492634">
        <w:tc>
          <w:tcPr>
            <w:cnfStyle w:val="001000000000" w:firstRow="0" w:lastRow="0" w:firstColumn="1" w:lastColumn="0" w:oddVBand="0" w:evenVBand="0" w:oddHBand="0" w:evenHBand="0" w:firstRowFirstColumn="0" w:firstRowLastColumn="0" w:lastRowFirstColumn="0" w:lastRowLastColumn="0"/>
            <w:tcW w:w="7083" w:type="dxa"/>
          </w:tcPr>
          <w:p w14:paraId="695EE41A" w14:textId="77777777" w:rsidR="00C01E92" w:rsidRPr="00492634" w:rsidRDefault="00C01E92" w:rsidP="00B1683A">
            <w:pPr>
              <w:pStyle w:val="EYBodytextwithparaspace"/>
              <w:spacing w:before="60" w:after="60"/>
              <w:rPr>
                <w:rFonts w:ascii="Arial Narrow" w:eastAsiaTheme="minorHAnsi" w:hAnsi="Arial Narrow" w:cstheme="minorBidi"/>
                <w:b w:val="0"/>
                <w:sz w:val="22"/>
                <w:szCs w:val="24"/>
              </w:rPr>
            </w:pPr>
            <w:r w:rsidRPr="00492634">
              <w:rPr>
                <w:rFonts w:ascii="Arial Narrow" w:eastAsiaTheme="minorHAnsi" w:hAnsi="Arial Narrow" w:cstheme="minorBidi"/>
                <w:b w:val="0"/>
                <w:sz w:val="22"/>
                <w:szCs w:val="24"/>
              </w:rPr>
              <w:t>Victorian Early Years Learning and Development Framework</w:t>
            </w:r>
          </w:p>
        </w:tc>
        <w:tc>
          <w:tcPr>
            <w:tcW w:w="2268" w:type="dxa"/>
          </w:tcPr>
          <w:p w14:paraId="7861B17A" w14:textId="77777777" w:rsidR="00C01E92" w:rsidRPr="00492634" w:rsidRDefault="00C01E92" w:rsidP="00B1683A">
            <w:pPr>
              <w:pStyle w:val="EYBodytextwithparaspace"/>
              <w:spacing w:before="60" w:after="6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sz w:val="22"/>
                <w:szCs w:val="24"/>
              </w:rPr>
            </w:pPr>
            <w:r w:rsidRPr="00492634">
              <w:rPr>
                <w:rFonts w:ascii="Arial Narrow" w:eastAsiaTheme="minorHAnsi" w:hAnsi="Arial Narrow" w:cstheme="minorBidi"/>
                <w:sz w:val="22"/>
                <w:szCs w:val="24"/>
              </w:rPr>
              <w:t>VEYLDF</w:t>
            </w:r>
          </w:p>
        </w:tc>
      </w:tr>
      <w:tr w:rsidR="00C01E92" w:rsidRPr="00492634" w14:paraId="6D595FE4" w14:textId="77777777" w:rsidTr="00492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4D7DC834" w14:textId="77777777" w:rsidR="00C01E92" w:rsidRPr="00492634" w:rsidRDefault="00C01E92" w:rsidP="00B1683A">
            <w:pPr>
              <w:pStyle w:val="EYBodytextwithparaspace"/>
              <w:spacing w:before="60" w:after="60"/>
              <w:rPr>
                <w:rFonts w:ascii="Arial Narrow" w:eastAsiaTheme="minorHAnsi" w:hAnsi="Arial Narrow" w:cstheme="minorBidi"/>
                <w:b w:val="0"/>
                <w:sz w:val="22"/>
                <w:szCs w:val="24"/>
              </w:rPr>
            </w:pPr>
            <w:r w:rsidRPr="00492634">
              <w:rPr>
                <w:rFonts w:ascii="Arial Narrow" w:eastAsiaTheme="minorHAnsi" w:hAnsi="Arial Narrow" w:cstheme="minorBidi"/>
                <w:b w:val="0"/>
                <w:sz w:val="22"/>
                <w:szCs w:val="24"/>
              </w:rPr>
              <w:t>Working With Children Check</w:t>
            </w:r>
          </w:p>
        </w:tc>
        <w:tc>
          <w:tcPr>
            <w:tcW w:w="2268" w:type="dxa"/>
          </w:tcPr>
          <w:p w14:paraId="6D76459C" w14:textId="77777777" w:rsidR="00C01E92" w:rsidRPr="00492634" w:rsidRDefault="00C01E92" w:rsidP="00B1683A">
            <w:pPr>
              <w:pStyle w:val="EYBodytextwithparaspace"/>
              <w:spacing w:before="60" w:after="60"/>
              <w:cnfStyle w:val="000000100000" w:firstRow="0" w:lastRow="0" w:firstColumn="0" w:lastColumn="0" w:oddVBand="0" w:evenVBand="0" w:oddHBand="1" w:evenHBand="0" w:firstRowFirstColumn="0" w:firstRowLastColumn="0" w:lastRowFirstColumn="0" w:lastRowLastColumn="0"/>
              <w:rPr>
                <w:rFonts w:ascii="Arial Narrow" w:eastAsiaTheme="minorHAnsi" w:hAnsi="Arial Narrow" w:cstheme="minorBidi"/>
                <w:sz w:val="22"/>
                <w:szCs w:val="24"/>
              </w:rPr>
            </w:pPr>
            <w:r w:rsidRPr="00492634">
              <w:rPr>
                <w:rFonts w:ascii="Arial Narrow" w:eastAsiaTheme="minorHAnsi" w:hAnsi="Arial Narrow" w:cstheme="minorBidi"/>
                <w:sz w:val="22"/>
                <w:szCs w:val="24"/>
              </w:rPr>
              <w:t>WWCC</w:t>
            </w:r>
          </w:p>
        </w:tc>
      </w:tr>
    </w:tbl>
    <w:p w14:paraId="1801B403" w14:textId="47E7D2B5" w:rsidR="00C01E92" w:rsidRDefault="00C01E92" w:rsidP="006D34E8">
      <w:pPr>
        <w:pStyle w:val="EYBodytextwithparaspace"/>
        <w:spacing w:before="120" w:after="120"/>
        <w:rPr>
          <w:rFonts w:asciiTheme="minorHAnsi" w:eastAsiaTheme="minorHAnsi" w:hAnsiTheme="minorHAnsi" w:cstheme="minorBidi"/>
          <w:sz w:val="22"/>
          <w:szCs w:val="24"/>
        </w:rPr>
      </w:pPr>
    </w:p>
    <w:p w14:paraId="6B7017D2" w14:textId="4AC7BF5F" w:rsidR="00CF5254" w:rsidRDefault="00CF5254">
      <w:pPr>
        <w:spacing w:after="0"/>
        <w:rPr>
          <w:lang w:val="en-AU"/>
        </w:rPr>
      </w:pPr>
      <w:r>
        <w:br w:type="page"/>
      </w:r>
    </w:p>
    <w:p w14:paraId="00C1EFF1" w14:textId="109D776F" w:rsidR="00C01E92" w:rsidRPr="00A9443B" w:rsidRDefault="00B1683A" w:rsidP="004F4E5D">
      <w:pPr>
        <w:pStyle w:val="Heading1"/>
        <w:numPr>
          <w:ilvl w:val="0"/>
          <w:numId w:val="12"/>
        </w:numPr>
      </w:pPr>
      <w:bookmarkStart w:id="7" w:name="_Toc32936857"/>
      <w:r>
        <w:lastRenderedPageBreak/>
        <w:t>Introduction</w:t>
      </w:r>
      <w:bookmarkEnd w:id="7"/>
    </w:p>
    <w:p w14:paraId="2B1E9558" w14:textId="77777777" w:rsidR="00C01E92" w:rsidRPr="00D23581" w:rsidRDefault="00C01E92" w:rsidP="00C01E92">
      <w:pPr>
        <w:pStyle w:val="EYBodytextwithparaspace"/>
        <w:spacing w:before="120" w:after="120"/>
        <w:rPr>
          <w:rFonts w:asciiTheme="minorHAnsi" w:eastAsiaTheme="minorHAnsi" w:hAnsiTheme="minorHAnsi" w:cstheme="minorBidi"/>
          <w:sz w:val="22"/>
          <w:szCs w:val="24"/>
        </w:rPr>
      </w:pPr>
      <w:r w:rsidRPr="00D23581">
        <w:rPr>
          <w:rFonts w:asciiTheme="minorHAnsi" w:eastAsiaTheme="minorHAnsi" w:hAnsiTheme="minorHAnsi" w:cstheme="minorBidi"/>
          <w:sz w:val="22"/>
          <w:szCs w:val="24"/>
        </w:rPr>
        <w:t xml:space="preserve">The Children’s Services Regulations 2009 (CS Regulations) are made under the </w:t>
      </w:r>
      <w:r w:rsidRPr="00D23581">
        <w:rPr>
          <w:rFonts w:asciiTheme="minorHAnsi" w:eastAsiaTheme="minorHAnsi" w:hAnsiTheme="minorHAnsi" w:cstheme="minorBidi"/>
          <w:i/>
          <w:sz w:val="22"/>
          <w:szCs w:val="24"/>
        </w:rPr>
        <w:t>Children’s Services Act 1996</w:t>
      </w:r>
      <w:r w:rsidRPr="00D23581">
        <w:rPr>
          <w:rFonts w:asciiTheme="minorHAnsi" w:eastAsiaTheme="minorHAnsi" w:hAnsiTheme="minorHAnsi" w:cstheme="minorBidi"/>
          <w:sz w:val="22"/>
          <w:szCs w:val="24"/>
        </w:rPr>
        <w:t xml:space="preserve"> (CS Act) and are due to expire (or ‘sunset’) in May 2020 and must be replaced with new regulations by 18 May 2020.</w:t>
      </w:r>
    </w:p>
    <w:p w14:paraId="4F540B90" w14:textId="77777777" w:rsidR="00C01E92" w:rsidRPr="00D23581" w:rsidRDefault="00C01E92" w:rsidP="00C01E92">
      <w:pPr>
        <w:pStyle w:val="EYBodytextwithparaspace"/>
        <w:spacing w:before="120" w:after="120"/>
        <w:rPr>
          <w:rFonts w:asciiTheme="minorHAnsi" w:eastAsiaTheme="minorHAnsi" w:hAnsiTheme="minorHAnsi" w:cstheme="minorBidi"/>
          <w:sz w:val="22"/>
          <w:szCs w:val="24"/>
        </w:rPr>
      </w:pPr>
      <w:r w:rsidRPr="00D23581">
        <w:rPr>
          <w:rFonts w:asciiTheme="minorHAnsi" w:eastAsiaTheme="minorHAnsi" w:hAnsiTheme="minorHAnsi" w:cstheme="minorBidi"/>
          <w:sz w:val="22"/>
          <w:szCs w:val="24"/>
        </w:rPr>
        <w:t>Making new regulations provides an opportunity to update the regulatory settings to keep pace with contemporary regulatory practice; align the Regulations with national requirements; revisit whether the Regulations are still needed and, if so; consider whether there are ways to improve the Regulations.</w:t>
      </w:r>
    </w:p>
    <w:p w14:paraId="664C7A4D" w14:textId="35B89934" w:rsidR="00C01E92" w:rsidRPr="00D23581" w:rsidRDefault="00C01E92" w:rsidP="00C01E92">
      <w:pPr>
        <w:pStyle w:val="EYBodytextwithparaspace"/>
        <w:spacing w:before="120" w:after="120"/>
        <w:rPr>
          <w:rFonts w:asciiTheme="minorHAnsi" w:eastAsiaTheme="minorHAnsi" w:hAnsiTheme="minorHAnsi" w:cstheme="minorBidi"/>
          <w:sz w:val="22"/>
          <w:szCs w:val="24"/>
        </w:rPr>
      </w:pPr>
      <w:r w:rsidRPr="00D23581">
        <w:rPr>
          <w:rFonts w:asciiTheme="minorHAnsi" w:eastAsiaTheme="minorHAnsi" w:hAnsiTheme="minorHAnsi" w:cstheme="minorBidi"/>
          <w:sz w:val="22"/>
          <w:szCs w:val="24"/>
        </w:rPr>
        <w:t xml:space="preserve">The </w:t>
      </w:r>
      <w:r w:rsidRPr="00D23581">
        <w:rPr>
          <w:rFonts w:asciiTheme="minorHAnsi" w:eastAsiaTheme="minorHAnsi" w:hAnsiTheme="minorHAnsi" w:cstheme="minorBidi"/>
          <w:i/>
          <w:sz w:val="22"/>
          <w:szCs w:val="24"/>
        </w:rPr>
        <w:t>Subordinate Legislation Act 1994</w:t>
      </w:r>
      <w:r w:rsidRPr="00D23581">
        <w:rPr>
          <w:rFonts w:asciiTheme="minorHAnsi" w:eastAsiaTheme="minorHAnsi" w:hAnsiTheme="minorHAnsi" w:cstheme="minorBidi"/>
          <w:sz w:val="22"/>
          <w:szCs w:val="24"/>
        </w:rPr>
        <w:t xml:space="preserve"> (SLA) requires the preparation of a Regulatory Impact Statement (RIS) for sunsetting regulations or any proposed regulations that impose a significant economic or social burden on a sector of the public, and for the public to review and comment on the proposed replacement regulations. Before new regulations are made, the SLA requires the steps illustrated at </w:t>
      </w:r>
      <w:r w:rsidRPr="00D23581">
        <w:rPr>
          <w:rFonts w:asciiTheme="minorHAnsi" w:eastAsiaTheme="minorHAnsi" w:hAnsiTheme="minorHAnsi" w:cstheme="minorBidi"/>
          <w:sz w:val="22"/>
          <w:szCs w:val="24"/>
        </w:rPr>
        <w:fldChar w:fldCharType="begin"/>
      </w:r>
      <w:r w:rsidRPr="00D23581">
        <w:rPr>
          <w:rFonts w:asciiTheme="minorHAnsi" w:eastAsiaTheme="minorHAnsi" w:hAnsiTheme="minorHAnsi" w:cstheme="minorBidi"/>
          <w:sz w:val="22"/>
          <w:szCs w:val="24"/>
        </w:rPr>
        <w:instrText xml:space="preserve"> REF _Ref22108130 \h  \* MERGEFORMAT </w:instrText>
      </w:r>
      <w:r w:rsidRPr="00D23581">
        <w:rPr>
          <w:rFonts w:asciiTheme="minorHAnsi" w:eastAsiaTheme="minorHAnsi" w:hAnsiTheme="minorHAnsi" w:cstheme="minorBidi"/>
          <w:sz w:val="22"/>
          <w:szCs w:val="24"/>
        </w:rPr>
      </w:r>
      <w:r w:rsidRPr="00D23581">
        <w:rPr>
          <w:rFonts w:asciiTheme="minorHAnsi" w:eastAsiaTheme="minorHAnsi" w:hAnsiTheme="minorHAnsi" w:cstheme="minorBidi"/>
          <w:sz w:val="22"/>
          <w:szCs w:val="24"/>
        </w:rPr>
        <w:fldChar w:fldCharType="separate"/>
      </w:r>
      <w:r w:rsidR="00493211" w:rsidRPr="00493211">
        <w:rPr>
          <w:rFonts w:asciiTheme="minorHAnsi" w:eastAsiaTheme="minorHAnsi" w:hAnsiTheme="minorHAnsi" w:cstheme="minorBidi"/>
          <w:sz w:val="22"/>
          <w:szCs w:val="24"/>
        </w:rPr>
        <w:t>Figure 1</w:t>
      </w:r>
      <w:r w:rsidRPr="00D23581">
        <w:rPr>
          <w:rFonts w:asciiTheme="minorHAnsi" w:eastAsiaTheme="minorHAnsi" w:hAnsiTheme="minorHAnsi" w:cstheme="minorBidi"/>
          <w:sz w:val="22"/>
          <w:szCs w:val="24"/>
        </w:rPr>
        <w:fldChar w:fldCharType="end"/>
      </w:r>
      <w:r w:rsidRPr="00D23581">
        <w:rPr>
          <w:rFonts w:asciiTheme="minorHAnsi" w:eastAsiaTheme="minorHAnsi" w:hAnsiTheme="minorHAnsi" w:cstheme="minorBidi"/>
          <w:sz w:val="22"/>
          <w:szCs w:val="24"/>
        </w:rPr>
        <w:t xml:space="preserve"> to be undertaken.</w:t>
      </w:r>
    </w:p>
    <w:p w14:paraId="1F97E5E7" w14:textId="52B0C5F6" w:rsidR="00611DD6" w:rsidRDefault="00C01E92" w:rsidP="00C01E92">
      <w:pPr>
        <w:pStyle w:val="EYBodytextwithparaspace"/>
        <w:keepNext/>
        <w:spacing w:before="120" w:after="120"/>
        <w:rPr>
          <w:rFonts w:ascii="Arial Narrow" w:hAnsi="Arial Narrow"/>
          <w:bCs/>
          <w:color w:val="000000" w:themeColor="text1"/>
          <w:sz w:val="22"/>
          <w:szCs w:val="18"/>
        </w:rPr>
      </w:pPr>
      <w:bookmarkStart w:id="8" w:name="_Ref22108130"/>
      <w:bookmarkStart w:id="9" w:name="_Toc32403961"/>
      <w:r w:rsidRPr="00611DD6">
        <w:rPr>
          <w:rFonts w:ascii="Arial Narrow" w:hAnsi="Arial Narrow"/>
          <w:bCs/>
          <w:color w:val="000000" w:themeColor="text1"/>
          <w:sz w:val="22"/>
          <w:szCs w:val="18"/>
        </w:rPr>
        <w:t xml:space="preserve">Figure </w:t>
      </w:r>
      <w:r w:rsidRPr="00611DD6">
        <w:rPr>
          <w:rFonts w:ascii="Arial Narrow" w:hAnsi="Arial Narrow"/>
          <w:bCs/>
          <w:color w:val="000000" w:themeColor="text1"/>
          <w:sz w:val="22"/>
          <w:szCs w:val="18"/>
        </w:rPr>
        <w:fldChar w:fldCharType="begin"/>
      </w:r>
      <w:r w:rsidRPr="00611DD6">
        <w:rPr>
          <w:rFonts w:ascii="Arial Narrow" w:hAnsi="Arial Narrow"/>
          <w:bCs/>
          <w:color w:val="000000" w:themeColor="text1"/>
          <w:sz w:val="22"/>
          <w:szCs w:val="18"/>
        </w:rPr>
        <w:instrText xml:space="preserve"> SEQ Figure \* ARABIC </w:instrText>
      </w:r>
      <w:r w:rsidRPr="00611DD6">
        <w:rPr>
          <w:rFonts w:ascii="Arial Narrow" w:hAnsi="Arial Narrow"/>
          <w:bCs/>
          <w:color w:val="000000" w:themeColor="text1"/>
          <w:sz w:val="22"/>
          <w:szCs w:val="18"/>
        </w:rPr>
        <w:fldChar w:fldCharType="separate"/>
      </w:r>
      <w:r w:rsidR="00493211">
        <w:rPr>
          <w:rFonts w:ascii="Arial Narrow" w:hAnsi="Arial Narrow"/>
          <w:bCs/>
          <w:noProof/>
          <w:color w:val="000000" w:themeColor="text1"/>
          <w:sz w:val="22"/>
          <w:szCs w:val="18"/>
        </w:rPr>
        <w:t>1</w:t>
      </w:r>
      <w:r w:rsidRPr="00611DD6">
        <w:rPr>
          <w:rFonts w:ascii="Arial Narrow" w:hAnsi="Arial Narrow"/>
          <w:bCs/>
          <w:color w:val="000000" w:themeColor="text1"/>
          <w:sz w:val="22"/>
          <w:szCs w:val="18"/>
        </w:rPr>
        <w:fldChar w:fldCharType="end"/>
      </w:r>
      <w:bookmarkEnd w:id="8"/>
      <w:r w:rsidRPr="00611DD6">
        <w:rPr>
          <w:rFonts w:ascii="Arial Narrow" w:hAnsi="Arial Narrow"/>
          <w:bCs/>
          <w:color w:val="000000" w:themeColor="text1"/>
          <w:sz w:val="22"/>
          <w:szCs w:val="18"/>
        </w:rPr>
        <w:t xml:space="preserve"> Making new regulations</w:t>
      </w:r>
      <w:bookmarkEnd w:id="9"/>
    </w:p>
    <w:p w14:paraId="1EFCBC2F" w14:textId="3F14E4BC" w:rsidR="00C01E92" w:rsidRPr="000107A9" w:rsidRDefault="00C01E92" w:rsidP="00C01E92">
      <w:pPr>
        <w:pStyle w:val="EYBodytextwithparaspace"/>
        <w:keepNext/>
        <w:spacing w:before="120" w:after="120"/>
        <w:rPr>
          <w:rFonts w:asciiTheme="minorHAnsi" w:eastAsiaTheme="minorHAnsi" w:hAnsiTheme="minorHAnsi" w:cstheme="minorBidi"/>
          <w:sz w:val="22"/>
          <w:szCs w:val="24"/>
        </w:rPr>
      </w:pPr>
      <w:r w:rsidRPr="000107A9">
        <w:rPr>
          <w:rFonts w:asciiTheme="minorHAnsi" w:eastAsiaTheme="minorHAnsi" w:hAnsiTheme="minorHAnsi" w:cstheme="minorBidi"/>
          <w:noProof/>
          <w:sz w:val="22"/>
          <w:szCs w:val="24"/>
          <w:lang w:eastAsia="en-AU"/>
        </w:rPr>
        <w:drawing>
          <wp:inline distT="0" distB="0" distL="0" distR="0" wp14:anchorId="3DB044C5" wp14:editId="58270AF2">
            <wp:extent cx="5652135" cy="887095"/>
            <wp:effectExtent l="0" t="0" r="43815" b="0"/>
            <wp:docPr id="7" name="Diagram 7" descr="Flow chart showing the four stages for making new regulations. First stage is preliminary consultation to inform development of proposed Regulations, second stage is public consultation on the proposed Regulations, third stage is consideration of all submissions on the proposed Regulations, four stage is final decision on whether to make regulations as proposed. "/>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60CC133D" w14:textId="77777777" w:rsidR="00C01E92" w:rsidRPr="000107A9" w:rsidRDefault="00C01E92" w:rsidP="00C01E92">
      <w:pPr>
        <w:pStyle w:val="EYBodytextwithparaspace"/>
        <w:spacing w:before="120" w:after="120"/>
        <w:rPr>
          <w:rFonts w:asciiTheme="minorHAnsi" w:eastAsiaTheme="minorHAnsi" w:hAnsiTheme="minorHAnsi" w:cstheme="minorBidi"/>
          <w:sz w:val="22"/>
          <w:szCs w:val="24"/>
        </w:rPr>
      </w:pPr>
      <w:r w:rsidRPr="000107A9">
        <w:rPr>
          <w:rFonts w:asciiTheme="minorHAnsi" w:eastAsiaTheme="minorHAnsi" w:hAnsiTheme="minorHAnsi" w:cstheme="minorBidi"/>
          <w:sz w:val="22"/>
          <w:szCs w:val="24"/>
        </w:rPr>
        <w:t>Each RIS must include:</w:t>
      </w:r>
    </w:p>
    <w:p w14:paraId="100B05E5" w14:textId="77777777" w:rsidR="00C01E92" w:rsidRPr="00C53A83" w:rsidRDefault="00C01E92" w:rsidP="002806C5">
      <w:pPr>
        <w:pStyle w:val="ListParagraph"/>
        <w:numPr>
          <w:ilvl w:val="0"/>
          <w:numId w:val="79"/>
        </w:numPr>
        <w:rPr>
          <w:rFonts w:cstheme="minorHAnsi"/>
          <w:szCs w:val="22"/>
        </w:rPr>
      </w:pPr>
      <w:r w:rsidRPr="00C53A83">
        <w:rPr>
          <w:rFonts w:cstheme="minorHAnsi"/>
          <w:szCs w:val="22"/>
        </w:rPr>
        <w:t>a statement of the objectives of the proposed regulations</w:t>
      </w:r>
    </w:p>
    <w:p w14:paraId="11EDE9E7" w14:textId="77777777" w:rsidR="00C01E92" w:rsidRPr="00C53A83" w:rsidRDefault="00C01E92" w:rsidP="002806C5">
      <w:pPr>
        <w:pStyle w:val="ListParagraph"/>
        <w:numPr>
          <w:ilvl w:val="0"/>
          <w:numId w:val="79"/>
        </w:numPr>
        <w:rPr>
          <w:rFonts w:cstheme="minorHAnsi"/>
          <w:szCs w:val="22"/>
        </w:rPr>
      </w:pPr>
      <w:r w:rsidRPr="00C53A83">
        <w:rPr>
          <w:rFonts w:cstheme="minorHAnsi"/>
          <w:szCs w:val="22"/>
        </w:rPr>
        <w:t>a statement explaining the effect of the proposed regulations</w:t>
      </w:r>
    </w:p>
    <w:p w14:paraId="6F32EFDF" w14:textId="77777777" w:rsidR="00C01E92" w:rsidRPr="00C53A83" w:rsidRDefault="00C01E92" w:rsidP="002806C5">
      <w:pPr>
        <w:pStyle w:val="ListParagraph"/>
        <w:numPr>
          <w:ilvl w:val="0"/>
          <w:numId w:val="79"/>
        </w:numPr>
        <w:rPr>
          <w:rFonts w:cstheme="minorHAnsi"/>
          <w:szCs w:val="22"/>
        </w:rPr>
      </w:pPr>
      <w:r w:rsidRPr="00C53A83">
        <w:rPr>
          <w:rFonts w:cstheme="minorHAnsi"/>
          <w:szCs w:val="22"/>
        </w:rPr>
        <w:t>a statement of other practicable means of achieving those objectives, including other regulatory as well as non-regulatory options</w:t>
      </w:r>
    </w:p>
    <w:p w14:paraId="10293D9E" w14:textId="77777777" w:rsidR="00C01E92" w:rsidRPr="00C53A83" w:rsidRDefault="00C01E92" w:rsidP="002806C5">
      <w:pPr>
        <w:pStyle w:val="ListParagraph"/>
        <w:numPr>
          <w:ilvl w:val="0"/>
          <w:numId w:val="79"/>
        </w:numPr>
        <w:rPr>
          <w:rFonts w:cstheme="minorHAnsi"/>
          <w:szCs w:val="22"/>
        </w:rPr>
      </w:pPr>
      <w:r w:rsidRPr="00C53A83">
        <w:rPr>
          <w:rFonts w:cstheme="minorHAnsi"/>
          <w:szCs w:val="22"/>
        </w:rPr>
        <w:t>an assessment of the costs and benefits of the proposed regulations and of any other practicable means of achieving the same objectives</w:t>
      </w:r>
    </w:p>
    <w:p w14:paraId="192D96C4" w14:textId="77777777" w:rsidR="00C01E92" w:rsidRPr="00C53A83" w:rsidRDefault="00C01E92" w:rsidP="002806C5">
      <w:pPr>
        <w:pStyle w:val="ListParagraph"/>
        <w:numPr>
          <w:ilvl w:val="0"/>
          <w:numId w:val="79"/>
        </w:numPr>
        <w:rPr>
          <w:rFonts w:cstheme="minorHAnsi"/>
          <w:szCs w:val="22"/>
        </w:rPr>
      </w:pPr>
      <w:r w:rsidRPr="00C53A83">
        <w:rPr>
          <w:rFonts w:cstheme="minorHAnsi"/>
          <w:szCs w:val="22"/>
        </w:rPr>
        <w:t>the reasons why the other means are not appropriate</w:t>
      </w:r>
    </w:p>
    <w:p w14:paraId="04FD91CF" w14:textId="77777777" w:rsidR="00C01E92" w:rsidRPr="00C53A83" w:rsidRDefault="00C01E92" w:rsidP="002806C5">
      <w:pPr>
        <w:pStyle w:val="ListParagraph"/>
        <w:numPr>
          <w:ilvl w:val="0"/>
          <w:numId w:val="79"/>
        </w:numPr>
        <w:rPr>
          <w:rFonts w:cstheme="minorHAnsi"/>
          <w:szCs w:val="22"/>
        </w:rPr>
      </w:pPr>
      <w:r w:rsidRPr="00C53A83">
        <w:rPr>
          <w:rFonts w:cstheme="minorHAnsi"/>
          <w:szCs w:val="22"/>
        </w:rPr>
        <w:t xml:space="preserve">an implementation plan describing how the proposed regulations will be rolled out; and </w:t>
      </w:r>
    </w:p>
    <w:p w14:paraId="0ECF52F2" w14:textId="77777777" w:rsidR="00C01E92" w:rsidRPr="00C53A83" w:rsidRDefault="00C01E92" w:rsidP="002806C5">
      <w:pPr>
        <w:pStyle w:val="ListParagraph"/>
        <w:numPr>
          <w:ilvl w:val="0"/>
          <w:numId w:val="79"/>
        </w:numPr>
        <w:rPr>
          <w:rFonts w:cstheme="minorHAnsi"/>
          <w:szCs w:val="22"/>
        </w:rPr>
      </w:pPr>
      <w:proofErr w:type="gramStart"/>
      <w:r w:rsidRPr="00C53A83">
        <w:rPr>
          <w:rFonts w:cstheme="minorHAnsi"/>
          <w:szCs w:val="22"/>
        </w:rPr>
        <w:t>an</w:t>
      </w:r>
      <w:proofErr w:type="gramEnd"/>
      <w:r w:rsidRPr="00C53A83">
        <w:rPr>
          <w:rFonts w:cstheme="minorHAnsi"/>
          <w:szCs w:val="22"/>
        </w:rPr>
        <w:t xml:space="preserve"> evaluation strategy describing the mechanisms to be used to gauge the effectiveness of the proposed regulations in meeting their objective.</w:t>
      </w:r>
    </w:p>
    <w:p w14:paraId="42ADCFDA" w14:textId="3CF98D92" w:rsidR="00C01E92" w:rsidRDefault="00C01E92" w:rsidP="00C01E92">
      <w:pPr>
        <w:pStyle w:val="EYBodytextwithparaspace"/>
        <w:spacing w:before="120" w:after="120"/>
        <w:rPr>
          <w:rFonts w:asciiTheme="minorHAnsi" w:eastAsiaTheme="minorHAnsi" w:hAnsiTheme="minorHAnsi" w:cstheme="minorBidi"/>
          <w:sz w:val="22"/>
          <w:szCs w:val="24"/>
        </w:rPr>
      </w:pPr>
      <w:r w:rsidRPr="000107A9">
        <w:rPr>
          <w:rFonts w:asciiTheme="minorHAnsi" w:eastAsiaTheme="minorHAnsi" w:hAnsiTheme="minorHAnsi" w:cstheme="minorBidi"/>
          <w:sz w:val="22"/>
          <w:szCs w:val="24"/>
        </w:rPr>
        <w:t xml:space="preserve">The Commissioner for Better Regulation provides an independent assessment of RISs, which are assessed against the </w:t>
      </w:r>
      <w:r w:rsidRPr="000107A9">
        <w:rPr>
          <w:rFonts w:asciiTheme="minorHAnsi" w:eastAsiaTheme="minorHAnsi" w:hAnsiTheme="minorHAnsi" w:cstheme="minorBidi"/>
          <w:i/>
          <w:sz w:val="22"/>
          <w:szCs w:val="24"/>
        </w:rPr>
        <w:t>Victorian Guide to Regulation</w:t>
      </w:r>
      <w:r w:rsidRPr="000107A9">
        <w:rPr>
          <w:rFonts w:asciiTheme="minorHAnsi" w:eastAsiaTheme="minorHAnsi" w:hAnsiTheme="minorHAnsi" w:cstheme="minorBidi"/>
          <w:sz w:val="22"/>
          <w:szCs w:val="24"/>
        </w:rPr>
        <w:t xml:space="preserve">. The Commissioner has determined that this RIS meets the requirements of the </w:t>
      </w:r>
      <w:r w:rsidRPr="000107A9">
        <w:rPr>
          <w:rFonts w:asciiTheme="minorHAnsi" w:eastAsiaTheme="minorHAnsi" w:hAnsiTheme="minorHAnsi" w:cstheme="minorBidi"/>
          <w:i/>
          <w:sz w:val="22"/>
          <w:szCs w:val="24"/>
        </w:rPr>
        <w:t>Subordinate Legislation Act 1994</w:t>
      </w:r>
      <w:r w:rsidRPr="000107A9">
        <w:rPr>
          <w:rFonts w:asciiTheme="minorHAnsi" w:eastAsiaTheme="minorHAnsi" w:hAnsiTheme="minorHAnsi" w:cstheme="minorBidi"/>
          <w:sz w:val="22"/>
          <w:szCs w:val="24"/>
        </w:rPr>
        <w:t>.</w:t>
      </w:r>
    </w:p>
    <w:p w14:paraId="210BB20B" w14:textId="4D2C398F" w:rsidR="00C01E92" w:rsidRPr="000107A9" w:rsidRDefault="000107A9" w:rsidP="00A87A06">
      <w:pPr>
        <w:pStyle w:val="Heading2"/>
        <w:rPr>
          <w:rFonts w:eastAsiaTheme="minorHAnsi"/>
        </w:rPr>
      </w:pPr>
      <w:bookmarkStart w:id="10" w:name="_Toc24531597"/>
      <w:bookmarkStart w:id="11" w:name="_Toc25749843"/>
      <w:bookmarkStart w:id="12" w:name="_Toc30669594"/>
      <w:bookmarkStart w:id="13" w:name="_Toc32936858"/>
      <w:r>
        <w:rPr>
          <w:rFonts w:eastAsiaTheme="minorHAnsi"/>
        </w:rPr>
        <w:t xml:space="preserve">1.1 </w:t>
      </w:r>
      <w:r w:rsidR="00C01E92" w:rsidRPr="000107A9">
        <w:rPr>
          <w:rFonts w:eastAsiaTheme="minorHAnsi"/>
        </w:rPr>
        <w:t>Purpose</w:t>
      </w:r>
      <w:bookmarkEnd w:id="10"/>
      <w:r w:rsidR="00C01E92" w:rsidRPr="000107A9">
        <w:rPr>
          <w:rFonts w:eastAsiaTheme="minorHAnsi"/>
        </w:rPr>
        <w:t xml:space="preserve"> of the RIS</w:t>
      </w:r>
      <w:bookmarkEnd w:id="11"/>
      <w:bookmarkEnd w:id="12"/>
      <w:bookmarkEnd w:id="13"/>
    </w:p>
    <w:p w14:paraId="58BA0D49" w14:textId="77777777" w:rsidR="00C01E92" w:rsidRPr="000107A9" w:rsidRDefault="00C01E92" w:rsidP="000107A9">
      <w:pPr>
        <w:pStyle w:val="EYBodytextwithparaspace"/>
        <w:pBdr>
          <w:top w:val="single" w:sz="4" w:space="1" w:color="auto"/>
          <w:left w:val="single" w:sz="4" w:space="4" w:color="auto"/>
          <w:bottom w:val="single" w:sz="4" w:space="1" w:color="auto"/>
          <w:right w:val="single" w:sz="4" w:space="4" w:color="auto"/>
        </w:pBdr>
        <w:spacing w:before="120" w:after="120"/>
        <w:rPr>
          <w:rFonts w:asciiTheme="minorHAnsi" w:eastAsiaTheme="minorHAnsi" w:hAnsiTheme="minorHAnsi" w:cstheme="minorBidi"/>
          <w:sz w:val="22"/>
          <w:szCs w:val="24"/>
        </w:rPr>
      </w:pPr>
      <w:r w:rsidRPr="000107A9">
        <w:rPr>
          <w:rFonts w:asciiTheme="minorHAnsi" w:eastAsiaTheme="minorHAnsi" w:hAnsiTheme="minorHAnsi" w:cstheme="minorBidi"/>
          <w:sz w:val="22"/>
          <w:szCs w:val="24"/>
        </w:rPr>
        <w:t>The primary purpose of this RIS is to discuss and evaluate the costs and benefits of options in relation to the proposed regulations, including economic, environmental and social impacts, and administration and compliance costs.</w:t>
      </w:r>
      <w:r w:rsidRPr="00A87A06">
        <w:rPr>
          <w:rFonts w:asciiTheme="minorHAnsi" w:eastAsiaTheme="minorHAnsi" w:hAnsiTheme="minorHAnsi" w:cstheme="minorBidi"/>
          <w:sz w:val="22"/>
          <w:szCs w:val="24"/>
          <w:vertAlign w:val="superscript"/>
        </w:rPr>
        <w:footnoteReference w:id="1"/>
      </w:r>
    </w:p>
    <w:p w14:paraId="749C99AF" w14:textId="77777777" w:rsidR="00C01E92" w:rsidRPr="000107A9" w:rsidRDefault="00C01E92" w:rsidP="00C01E92">
      <w:pPr>
        <w:pStyle w:val="EYBodytextwithparaspace"/>
        <w:spacing w:before="120" w:after="120"/>
        <w:rPr>
          <w:rFonts w:asciiTheme="minorHAnsi" w:eastAsiaTheme="minorHAnsi" w:hAnsiTheme="minorHAnsi" w:cstheme="minorBidi"/>
          <w:sz w:val="22"/>
          <w:szCs w:val="24"/>
        </w:rPr>
      </w:pPr>
      <w:r w:rsidRPr="000107A9">
        <w:rPr>
          <w:rFonts w:asciiTheme="minorHAnsi" w:eastAsiaTheme="minorHAnsi" w:hAnsiTheme="minorHAnsi" w:cstheme="minorBidi"/>
          <w:sz w:val="22"/>
          <w:szCs w:val="24"/>
        </w:rPr>
        <w:t xml:space="preserve">The RIS sets out the proposed requirements in the Regulations for public consideration and comment. It includes the rationale for and economic analysis of the proposed requirements and quantifies the possible cost of regulatory requirements for service providers. The analysis is </w:t>
      </w:r>
      <w:r w:rsidRPr="000107A9">
        <w:rPr>
          <w:rFonts w:asciiTheme="minorHAnsi" w:eastAsiaTheme="minorHAnsi" w:hAnsiTheme="minorHAnsi" w:cstheme="minorBidi"/>
          <w:sz w:val="22"/>
          <w:szCs w:val="24"/>
        </w:rPr>
        <w:lastRenderedPageBreak/>
        <w:t>provided in both qualitative and quantitative form and presents ‘options’ to illustrate the impact of requirements.</w:t>
      </w:r>
    </w:p>
    <w:p w14:paraId="36C0CB8E" w14:textId="77777777" w:rsidR="00C01E92" w:rsidRPr="00C53A83" w:rsidRDefault="00C01E92" w:rsidP="002806C5">
      <w:pPr>
        <w:pStyle w:val="ListParagraph"/>
        <w:numPr>
          <w:ilvl w:val="0"/>
          <w:numId w:val="79"/>
        </w:numPr>
        <w:rPr>
          <w:rFonts w:cstheme="minorHAnsi"/>
          <w:szCs w:val="22"/>
        </w:rPr>
      </w:pPr>
      <w:r w:rsidRPr="00C53A83">
        <w:rPr>
          <w:rFonts w:cstheme="minorHAnsi"/>
          <w:szCs w:val="22"/>
        </w:rPr>
        <w:t>The proposed requirements in the Regulations and possible options are discussed in section 5 of this document.</w:t>
      </w:r>
    </w:p>
    <w:p w14:paraId="1D4DDF87" w14:textId="06037B25" w:rsidR="00C01E92" w:rsidRPr="00C53A83" w:rsidRDefault="00C01E92" w:rsidP="002806C5">
      <w:pPr>
        <w:pStyle w:val="ListParagraph"/>
        <w:numPr>
          <w:ilvl w:val="0"/>
          <w:numId w:val="79"/>
        </w:numPr>
        <w:rPr>
          <w:rFonts w:cstheme="minorHAnsi"/>
          <w:szCs w:val="22"/>
        </w:rPr>
      </w:pPr>
      <w:r w:rsidRPr="00C53A83">
        <w:rPr>
          <w:rFonts w:cstheme="minorHAnsi"/>
          <w:szCs w:val="22"/>
        </w:rPr>
        <w:t xml:space="preserve">The possible costs and benefits of the options are then discussed at section </w:t>
      </w:r>
      <w:r w:rsidRPr="00C53A83">
        <w:rPr>
          <w:rFonts w:cstheme="minorHAnsi"/>
          <w:szCs w:val="22"/>
        </w:rPr>
        <w:fldChar w:fldCharType="begin"/>
      </w:r>
      <w:r w:rsidRPr="00C53A83">
        <w:rPr>
          <w:rFonts w:cstheme="minorHAnsi"/>
          <w:szCs w:val="22"/>
        </w:rPr>
        <w:instrText xml:space="preserve"> REF _Ref25751665 \r \h  \* MERGEFORMAT </w:instrText>
      </w:r>
      <w:r w:rsidRPr="00C53A83">
        <w:rPr>
          <w:rFonts w:cstheme="minorHAnsi"/>
          <w:szCs w:val="22"/>
        </w:rPr>
      </w:r>
      <w:r w:rsidRPr="00C53A83">
        <w:rPr>
          <w:rFonts w:cstheme="minorHAnsi"/>
          <w:szCs w:val="22"/>
        </w:rPr>
        <w:fldChar w:fldCharType="separate"/>
      </w:r>
      <w:r w:rsidR="00493211">
        <w:rPr>
          <w:rFonts w:cstheme="minorHAnsi"/>
          <w:szCs w:val="22"/>
        </w:rPr>
        <w:t>6</w:t>
      </w:r>
      <w:r w:rsidRPr="00C53A83">
        <w:rPr>
          <w:rFonts w:cstheme="minorHAnsi"/>
          <w:szCs w:val="22"/>
        </w:rPr>
        <w:fldChar w:fldCharType="end"/>
      </w:r>
      <w:r w:rsidRPr="00C53A83">
        <w:rPr>
          <w:rFonts w:cstheme="minorHAnsi"/>
          <w:szCs w:val="22"/>
        </w:rPr>
        <w:t xml:space="preserve"> of this document.</w:t>
      </w:r>
    </w:p>
    <w:p w14:paraId="4FE1382E" w14:textId="44EA0B1F" w:rsidR="00C01E92" w:rsidRDefault="00C01E92" w:rsidP="006D34E8">
      <w:pPr>
        <w:pStyle w:val="EYBodytextwithparaspace"/>
        <w:spacing w:before="120" w:after="120"/>
        <w:rPr>
          <w:rFonts w:asciiTheme="minorHAnsi" w:eastAsiaTheme="minorHAnsi" w:hAnsiTheme="minorHAnsi" w:cstheme="minorBidi"/>
          <w:sz w:val="22"/>
          <w:szCs w:val="24"/>
        </w:rPr>
      </w:pPr>
      <w:r w:rsidRPr="000107A9">
        <w:rPr>
          <w:rFonts w:asciiTheme="minorHAnsi" w:eastAsiaTheme="minorHAnsi" w:hAnsiTheme="minorHAnsi" w:cstheme="minorBidi"/>
          <w:sz w:val="22"/>
          <w:szCs w:val="24"/>
        </w:rPr>
        <w:t>To simplify the language and aid the reader’s understanding of the content, a number of terms and abbreviations are used and a list of them are found in the front of this document.</w:t>
      </w:r>
    </w:p>
    <w:p w14:paraId="3669BA7A" w14:textId="72450F5E" w:rsidR="00C01E92" w:rsidRPr="00A9443B" w:rsidRDefault="000107A9" w:rsidP="00A87A06">
      <w:pPr>
        <w:pStyle w:val="Heading2"/>
      </w:pPr>
      <w:bookmarkStart w:id="14" w:name="_Toc24531598"/>
      <w:bookmarkStart w:id="15" w:name="_Toc25749844"/>
      <w:bookmarkStart w:id="16" w:name="_Ref25753084"/>
      <w:bookmarkStart w:id="17" w:name="_Toc30669595"/>
      <w:bookmarkStart w:id="18" w:name="_Toc32936859"/>
      <w:r>
        <w:t xml:space="preserve">1.2 </w:t>
      </w:r>
      <w:r w:rsidR="00C01E92" w:rsidRPr="00A9443B">
        <w:t>Regulatory regime</w:t>
      </w:r>
      <w:bookmarkEnd w:id="14"/>
      <w:bookmarkEnd w:id="15"/>
      <w:bookmarkEnd w:id="16"/>
      <w:bookmarkEnd w:id="17"/>
      <w:bookmarkEnd w:id="18"/>
    </w:p>
    <w:p w14:paraId="112398BD"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All services providing education and care to children in Victoria are subject to regulatory oversight, which provides a basis for establishing and maintaining minimum standards, and for mitigating the risk that children will come to physical, developmental, social or emotional harm while they are not in the care of their parents, guardians or families.</w:t>
      </w:r>
    </w:p>
    <w:p w14:paraId="1DA749E7" w14:textId="3020AAAD"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Currently in Victoria, the diverse early childhood education and care services sector (approximately 4,5</w:t>
      </w:r>
      <w:r w:rsidR="00ED36E2">
        <w:rPr>
          <w:rFonts w:asciiTheme="minorHAnsi" w:hAnsiTheme="minorHAnsi" w:cstheme="minorHAnsi"/>
          <w:sz w:val="22"/>
          <w:szCs w:val="22"/>
        </w:rPr>
        <w:t>2</w:t>
      </w:r>
      <w:r w:rsidRPr="000107A9">
        <w:rPr>
          <w:rFonts w:asciiTheme="minorHAnsi" w:hAnsiTheme="minorHAnsi" w:cstheme="minorHAnsi"/>
          <w:sz w:val="22"/>
          <w:szCs w:val="22"/>
        </w:rPr>
        <w:t>0 services in total) is regulated by two regimes — National and Victorian:</w:t>
      </w:r>
    </w:p>
    <w:p w14:paraId="35CAE215" w14:textId="77777777" w:rsidR="00C01E92" w:rsidRPr="00D23581" w:rsidRDefault="00C01E92" w:rsidP="002806C5">
      <w:pPr>
        <w:pStyle w:val="ListParagraph"/>
        <w:numPr>
          <w:ilvl w:val="0"/>
          <w:numId w:val="79"/>
        </w:numPr>
        <w:rPr>
          <w:rFonts w:cstheme="minorHAnsi"/>
          <w:szCs w:val="22"/>
        </w:rPr>
      </w:pPr>
      <w:r w:rsidRPr="00D23581">
        <w:rPr>
          <w:rFonts w:cstheme="minorHAnsi"/>
          <w:szCs w:val="22"/>
        </w:rPr>
        <w:t>the National regime, also known as the National Quality Framework (NQF), comprises the Education and Care Services National Law (National Law), the Education and Care Services National Regulations (National Regulations), and the National Quality Standard (NQS)</w:t>
      </w:r>
    </w:p>
    <w:p w14:paraId="43501E30" w14:textId="77777777" w:rsidR="00C01E92" w:rsidRPr="000107A9" w:rsidRDefault="00C01E92" w:rsidP="002806C5">
      <w:pPr>
        <w:pStyle w:val="EYBulletnoparaspace"/>
        <w:numPr>
          <w:ilvl w:val="0"/>
          <w:numId w:val="92"/>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approximately 4,200 services in Victoria</w:t>
      </w:r>
    </w:p>
    <w:p w14:paraId="73A2FA1D" w14:textId="77777777" w:rsidR="00C01E92" w:rsidRPr="000107A9" w:rsidRDefault="00C01E92" w:rsidP="002806C5">
      <w:pPr>
        <w:pStyle w:val="EYBulletnoparaspace"/>
        <w:numPr>
          <w:ilvl w:val="0"/>
          <w:numId w:val="92"/>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approved to provide centre-based care (long day care, kindergarten, out of school hours care) and family day care</w:t>
      </w:r>
    </w:p>
    <w:p w14:paraId="4E623334" w14:textId="3498FA1F" w:rsidR="00C01E92" w:rsidRPr="000107A9" w:rsidRDefault="00C01E92" w:rsidP="002806C5">
      <w:pPr>
        <w:pStyle w:val="EYBulletnoparaspace"/>
        <w:numPr>
          <w:ilvl w:val="0"/>
          <w:numId w:val="92"/>
        </w:numPr>
        <w:spacing w:before="120" w:after="120"/>
        <w:contextualSpacing w:val="0"/>
        <w:rPr>
          <w:rFonts w:asciiTheme="minorHAnsi" w:hAnsiTheme="minorHAnsi" w:cstheme="minorHAnsi"/>
          <w:sz w:val="22"/>
          <w:szCs w:val="22"/>
        </w:rPr>
      </w:pPr>
      <w:proofErr w:type="gramStart"/>
      <w:r w:rsidRPr="000107A9">
        <w:rPr>
          <w:rFonts w:asciiTheme="minorHAnsi" w:hAnsiTheme="minorHAnsi" w:cstheme="minorHAnsi"/>
          <w:sz w:val="22"/>
          <w:szCs w:val="22"/>
        </w:rPr>
        <w:t>specifically</w:t>
      </w:r>
      <w:proofErr w:type="gramEnd"/>
      <w:r w:rsidRPr="000107A9">
        <w:rPr>
          <w:rFonts w:asciiTheme="minorHAnsi" w:hAnsiTheme="minorHAnsi" w:cstheme="minorHAnsi"/>
          <w:sz w:val="22"/>
          <w:szCs w:val="22"/>
        </w:rPr>
        <w:t xml:space="preserve"> excludes some services that might otherwise come within scope of the NQF (these services a</w:t>
      </w:r>
      <w:r w:rsidR="00E548CB">
        <w:rPr>
          <w:rFonts w:asciiTheme="minorHAnsi" w:hAnsiTheme="minorHAnsi" w:cstheme="minorHAnsi"/>
          <w:sz w:val="22"/>
          <w:szCs w:val="22"/>
        </w:rPr>
        <w:t>re collectively referred to as ‘</w:t>
      </w:r>
      <w:r w:rsidRPr="000107A9">
        <w:rPr>
          <w:rFonts w:asciiTheme="minorHAnsi" w:hAnsiTheme="minorHAnsi" w:cstheme="minorHAnsi"/>
          <w:sz w:val="22"/>
          <w:szCs w:val="22"/>
        </w:rPr>
        <w:t>out of scope</w:t>
      </w:r>
      <w:r w:rsidR="00E548CB">
        <w:rPr>
          <w:rFonts w:asciiTheme="minorHAnsi" w:hAnsiTheme="minorHAnsi" w:cstheme="minorHAnsi"/>
          <w:sz w:val="22"/>
          <w:szCs w:val="22"/>
        </w:rPr>
        <w:t>’</w:t>
      </w:r>
      <w:r w:rsidRPr="000107A9">
        <w:rPr>
          <w:rFonts w:asciiTheme="minorHAnsi" w:hAnsiTheme="minorHAnsi" w:cstheme="minorHAnsi"/>
          <w:sz w:val="22"/>
          <w:szCs w:val="22"/>
        </w:rPr>
        <w:t xml:space="preserve"> services).</w:t>
      </w:r>
    </w:p>
    <w:p w14:paraId="285337B8"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the Victorian regime, as provided for in the Victorian</w:t>
      </w:r>
      <w:r w:rsidRPr="00C53A83">
        <w:rPr>
          <w:rFonts w:cstheme="minorHAnsi"/>
          <w:szCs w:val="22"/>
        </w:rPr>
        <w:t xml:space="preserve"> </w:t>
      </w:r>
      <w:r w:rsidRPr="000107A9">
        <w:rPr>
          <w:rFonts w:cstheme="minorHAnsi"/>
          <w:szCs w:val="22"/>
        </w:rPr>
        <w:t>CS Act and CS Regulations</w:t>
      </w:r>
    </w:p>
    <w:p w14:paraId="1B8D61EA" w14:textId="77777777" w:rsidR="00C01E92" w:rsidRPr="000107A9" w:rsidRDefault="00C01E92" w:rsidP="002806C5">
      <w:pPr>
        <w:pStyle w:val="EYBulletnoparaspace"/>
        <w:numPr>
          <w:ilvl w:val="0"/>
          <w:numId w:val="92"/>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approximately 320 children’s services in Victoria</w:t>
      </w:r>
    </w:p>
    <w:p w14:paraId="19F22035" w14:textId="4442B1B7" w:rsidR="00C01E92" w:rsidRPr="00D23581" w:rsidRDefault="00A87A06" w:rsidP="002806C5">
      <w:pPr>
        <w:pStyle w:val="EYBulletnoparaspace"/>
        <w:numPr>
          <w:ilvl w:val="0"/>
          <w:numId w:val="92"/>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Licensed</w:t>
      </w:r>
      <w:r w:rsidR="00C01E92" w:rsidRPr="000107A9">
        <w:rPr>
          <w:rFonts w:asciiTheme="minorHAnsi" w:hAnsiTheme="minorHAnsi" w:cstheme="minorHAnsi"/>
          <w:sz w:val="22"/>
          <w:szCs w:val="22"/>
        </w:rPr>
        <w:t xml:space="preserve"> to provide certain types of care, including occasional care, activity groups for three-year-old children</w:t>
      </w:r>
      <w:r w:rsidR="00C01E92" w:rsidRPr="000107A9" w:rsidDel="002C1606">
        <w:rPr>
          <w:rFonts w:asciiTheme="minorHAnsi" w:hAnsiTheme="minorHAnsi" w:cstheme="minorHAnsi"/>
          <w:sz w:val="22"/>
          <w:szCs w:val="22"/>
        </w:rPr>
        <w:t xml:space="preserve">, </w:t>
      </w:r>
      <w:r w:rsidR="00C01E92" w:rsidRPr="000107A9">
        <w:rPr>
          <w:rFonts w:asciiTheme="minorHAnsi" w:hAnsiTheme="minorHAnsi" w:cstheme="minorHAnsi"/>
          <w:sz w:val="22"/>
          <w:szCs w:val="22"/>
        </w:rPr>
        <w:t xml:space="preserve">mobile services, short term services, </w:t>
      </w:r>
      <w:r w:rsidRPr="000107A9">
        <w:rPr>
          <w:rFonts w:asciiTheme="minorHAnsi" w:hAnsiTheme="minorHAnsi" w:cstheme="minorHAnsi"/>
          <w:sz w:val="22"/>
          <w:szCs w:val="22"/>
        </w:rPr>
        <w:t>and school</w:t>
      </w:r>
      <w:r w:rsidR="00C01E92" w:rsidRPr="000107A9">
        <w:rPr>
          <w:rFonts w:asciiTheme="minorHAnsi" w:hAnsiTheme="minorHAnsi" w:cstheme="minorHAnsi"/>
          <w:sz w:val="22"/>
          <w:szCs w:val="22"/>
        </w:rPr>
        <w:t xml:space="preserve"> holidays care services, and some regular care services that are explicitly scoped out of the </w:t>
      </w:r>
      <w:r w:rsidR="00C01E92" w:rsidRPr="00D23581">
        <w:rPr>
          <w:rFonts w:asciiTheme="minorHAnsi" w:hAnsiTheme="minorHAnsi" w:cstheme="minorHAnsi"/>
          <w:sz w:val="22"/>
          <w:szCs w:val="22"/>
        </w:rPr>
        <w:t>NQF (e.g. former Budget Based Funded (BBF) services</w:t>
      </w:r>
      <w:r w:rsidR="00C01E92" w:rsidRPr="00D23581">
        <w:rPr>
          <w:rFonts w:asciiTheme="minorHAnsi" w:hAnsiTheme="minorHAnsi" w:cstheme="minorHAnsi"/>
          <w:sz w:val="22"/>
          <w:szCs w:val="22"/>
          <w:vertAlign w:val="superscript"/>
        </w:rPr>
        <w:footnoteReference w:id="2"/>
      </w:r>
      <w:r w:rsidR="00C01E92" w:rsidRPr="00D23581">
        <w:rPr>
          <w:rFonts w:asciiTheme="minorHAnsi" w:hAnsiTheme="minorHAnsi" w:cstheme="minorHAnsi"/>
          <w:sz w:val="22"/>
          <w:szCs w:val="22"/>
        </w:rPr>
        <w:t>).</w:t>
      </w:r>
    </w:p>
    <w:p w14:paraId="78CA4EB1" w14:textId="226534D4"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NQF came into effect on 1 January 2012, at which time most Victorian early childhood services (formerly regulated unde</w:t>
      </w:r>
      <w:r w:rsidR="00E548CB">
        <w:rPr>
          <w:rFonts w:asciiTheme="minorHAnsi" w:hAnsiTheme="minorHAnsi" w:cstheme="minorHAnsi"/>
          <w:sz w:val="22"/>
          <w:szCs w:val="22"/>
        </w:rPr>
        <w:t>r the Victorian regime) became ‘</w:t>
      </w:r>
      <w:r w:rsidRPr="000107A9">
        <w:rPr>
          <w:rFonts w:asciiTheme="minorHAnsi" w:hAnsiTheme="minorHAnsi" w:cstheme="minorHAnsi"/>
          <w:sz w:val="22"/>
          <w:szCs w:val="22"/>
        </w:rPr>
        <w:t>early childhood education and care services</w:t>
      </w:r>
      <w:r w:rsidR="00E548CB">
        <w:rPr>
          <w:rFonts w:asciiTheme="minorHAnsi" w:hAnsiTheme="minorHAnsi" w:cstheme="minorHAnsi"/>
          <w:sz w:val="22"/>
          <w:szCs w:val="22"/>
        </w:rPr>
        <w:t>’</w:t>
      </w:r>
      <w:r w:rsidRPr="000107A9">
        <w:rPr>
          <w:rFonts w:asciiTheme="minorHAnsi" w:hAnsiTheme="minorHAnsi" w:cstheme="minorHAnsi"/>
          <w:sz w:val="22"/>
          <w:szCs w:val="22"/>
        </w:rPr>
        <w:t xml:space="preserve"> regulated under the NQF, with a small number of service types continuing to be regulated under the Vi</w:t>
      </w:r>
      <w:r w:rsidR="00E548CB">
        <w:rPr>
          <w:rFonts w:asciiTheme="minorHAnsi" w:hAnsiTheme="minorHAnsi" w:cstheme="minorHAnsi"/>
          <w:sz w:val="22"/>
          <w:szCs w:val="22"/>
        </w:rPr>
        <w:t>ctorian regime (referred to as ‘</w:t>
      </w:r>
      <w:r w:rsidRPr="000107A9">
        <w:rPr>
          <w:rFonts w:asciiTheme="minorHAnsi" w:hAnsiTheme="minorHAnsi" w:cstheme="minorHAnsi"/>
          <w:sz w:val="22"/>
          <w:szCs w:val="22"/>
        </w:rPr>
        <w:t>children’s services</w:t>
      </w:r>
      <w:r w:rsidR="00E548CB">
        <w:rPr>
          <w:rFonts w:asciiTheme="minorHAnsi" w:hAnsiTheme="minorHAnsi" w:cstheme="minorHAnsi"/>
          <w:sz w:val="22"/>
          <w:szCs w:val="22"/>
        </w:rPr>
        <w:t>’</w:t>
      </w:r>
      <w:r w:rsidRPr="000107A9">
        <w:rPr>
          <w:rFonts w:asciiTheme="minorHAnsi" w:hAnsiTheme="minorHAnsi" w:cstheme="minorHAnsi"/>
          <w:sz w:val="22"/>
          <w:szCs w:val="22"/>
        </w:rPr>
        <w:t xml:space="preserve"> throughout this document).</w:t>
      </w:r>
    </w:p>
    <w:p w14:paraId="0439DA69"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main distinction between the scope of the National and Victorian regulatory regimes is that services providing regular, ongoing care </w:t>
      </w:r>
      <w:r w:rsidRPr="000107A9">
        <w:rPr>
          <w:rFonts w:asciiTheme="minorHAnsi" w:hAnsiTheme="minorHAnsi" w:cstheme="minorHAnsi"/>
          <w:b/>
          <w:sz w:val="22"/>
          <w:szCs w:val="22"/>
        </w:rPr>
        <w:t>must</w:t>
      </w:r>
      <w:r w:rsidRPr="000107A9">
        <w:rPr>
          <w:rFonts w:asciiTheme="minorHAnsi" w:hAnsiTheme="minorHAnsi" w:cstheme="minorHAnsi"/>
          <w:sz w:val="22"/>
          <w:szCs w:val="22"/>
        </w:rPr>
        <w:t xml:space="preserve"> be regulated under the NQF.</w:t>
      </w:r>
    </w:p>
    <w:p w14:paraId="3A7C963B" w14:textId="77777777" w:rsidR="00C01E92" w:rsidRPr="000107A9" w:rsidRDefault="00C01E92" w:rsidP="00C01E92">
      <w:pPr>
        <w:pStyle w:val="EYBodytextwithparaspace"/>
        <w:spacing w:before="120" w:after="120"/>
        <w:rPr>
          <w:rFonts w:asciiTheme="minorHAnsi" w:hAnsiTheme="minorHAnsi" w:cstheme="minorHAnsi"/>
          <w:i/>
          <w:sz w:val="22"/>
          <w:szCs w:val="22"/>
        </w:rPr>
      </w:pPr>
      <w:r w:rsidRPr="000107A9">
        <w:rPr>
          <w:rFonts w:asciiTheme="minorHAnsi" w:hAnsiTheme="minorHAnsi" w:cstheme="minorHAnsi"/>
          <w:sz w:val="22"/>
          <w:szCs w:val="22"/>
        </w:rPr>
        <w:t xml:space="preserve">The NQF defines an occasional care service as </w:t>
      </w:r>
      <w:r w:rsidRPr="000107A9">
        <w:rPr>
          <w:rFonts w:asciiTheme="minorHAnsi" w:hAnsiTheme="minorHAnsi" w:cstheme="minorHAnsi"/>
          <w:i/>
          <w:sz w:val="22"/>
          <w:szCs w:val="22"/>
        </w:rPr>
        <w:t xml:space="preserve">“a service providing education and care to children primarily on an ad hoc or casual basis where—(i) the service does not usually offer full-time or all </w:t>
      </w:r>
      <w:r w:rsidRPr="000107A9">
        <w:rPr>
          <w:rFonts w:asciiTheme="minorHAnsi" w:hAnsiTheme="minorHAnsi" w:cstheme="minorHAnsi"/>
          <w:i/>
          <w:sz w:val="22"/>
          <w:szCs w:val="22"/>
        </w:rPr>
        <w:lastRenderedPageBreak/>
        <w:t>day education and care to children on an ongoing basis; and (ii) most of the children provided with education and care are preschool age or under.”</w:t>
      </w:r>
    </w:p>
    <w:p w14:paraId="589C3617" w14:textId="77777777" w:rsidR="00C01E92" w:rsidRPr="000107A9" w:rsidRDefault="00C01E92" w:rsidP="000107A9">
      <w:pPr>
        <w:pStyle w:val="EYBodytextwithparaspace"/>
        <w:pBdr>
          <w:top w:val="single" w:sz="4" w:space="1" w:color="auto"/>
          <w:left w:val="single" w:sz="4" w:space="4" w:color="auto"/>
          <w:bottom w:val="single" w:sz="4" w:space="1" w:color="auto"/>
          <w:right w:val="single" w:sz="4" w:space="4" w:color="auto"/>
        </w:pBdr>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Occasional care services are excluded from the definition of an education and care service in the National Law. Therefore, children’s services that provide occasional care are </w:t>
      </w:r>
      <w:r w:rsidRPr="000107A9">
        <w:rPr>
          <w:rFonts w:asciiTheme="minorHAnsi" w:hAnsiTheme="minorHAnsi" w:cstheme="minorHAnsi"/>
          <w:b/>
          <w:sz w:val="22"/>
          <w:szCs w:val="22"/>
        </w:rPr>
        <w:t>not eligible</w:t>
      </w:r>
      <w:r w:rsidRPr="000107A9">
        <w:rPr>
          <w:rFonts w:asciiTheme="minorHAnsi" w:hAnsiTheme="minorHAnsi" w:cstheme="minorHAnsi"/>
          <w:sz w:val="22"/>
          <w:szCs w:val="22"/>
        </w:rPr>
        <w:t xml:space="preserve"> to be regulated under the NQF and continue to be covered by the Victorian licensing and regulatory regime.</w:t>
      </w:r>
    </w:p>
    <w:p w14:paraId="7BD3F654"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first major review of the NQF by the Council of Australian </w:t>
      </w:r>
      <w:r w:rsidRPr="00D23581">
        <w:rPr>
          <w:rFonts w:asciiTheme="minorHAnsi" w:hAnsiTheme="minorHAnsi" w:cstheme="minorHAnsi"/>
          <w:sz w:val="22"/>
          <w:szCs w:val="22"/>
        </w:rPr>
        <w:t>Governments (COAG) wa</w:t>
      </w:r>
      <w:r w:rsidRPr="000107A9">
        <w:rPr>
          <w:rFonts w:asciiTheme="minorHAnsi" w:hAnsiTheme="minorHAnsi" w:cstheme="minorHAnsi"/>
          <w:sz w:val="22"/>
          <w:szCs w:val="22"/>
        </w:rPr>
        <w:t>s completed in 2017. This review considered, but decided against, bringing the remaining out of scope children’s services within the scope of the NQF, due to the complexity of transitioning a diverse range of services (nationally) to the NQF.</w:t>
      </w:r>
    </w:p>
    <w:p w14:paraId="0D9DFCE3" w14:textId="77777777" w:rsidR="00C01E92" w:rsidRPr="000107A9" w:rsidRDefault="00C01E92" w:rsidP="000107A9">
      <w:pPr>
        <w:pStyle w:val="EYBodytextwithparaspace"/>
        <w:pBdr>
          <w:top w:val="single" w:sz="4" w:space="1" w:color="auto"/>
          <w:left w:val="single" w:sz="4" w:space="4" w:color="auto"/>
          <w:bottom w:val="single" w:sz="4" w:space="1" w:color="auto"/>
          <w:right w:val="single" w:sz="4" w:space="4" w:color="auto"/>
        </w:pBdr>
        <w:spacing w:before="120" w:after="120"/>
        <w:rPr>
          <w:rFonts w:asciiTheme="minorHAnsi" w:hAnsiTheme="minorHAnsi" w:cstheme="minorHAnsi"/>
          <w:sz w:val="22"/>
          <w:szCs w:val="22"/>
        </w:rPr>
      </w:pPr>
      <w:r w:rsidRPr="000107A9">
        <w:rPr>
          <w:rFonts w:asciiTheme="minorHAnsi" w:hAnsiTheme="minorHAnsi" w:cstheme="minorHAnsi"/>
          <w:sz w:val="22"/>
          <w:szCs w:val="22"/>
        </w:rPr>
        <w:t>The two regulatory regimes that apply in Victoria are similar, but not consistent.</w:t>
      </w:r>
    </w:p>
    <w:p w14:paraId="00FB5A6C"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Most children’s services in other Australian jurisdictions are regulated by the NQF. Regulation of the remaining services varies from no regulation in the Northern Territory, to a licensing system in Western Australia that is broadly similar to the pre-amendment Victorian regime.</w:t>
      </w:r>
      <w:r w:rsidRPr="000107A9">
        <w:rPr>
          <w:rStyle w:val="FootnoteReference"/>
          <w:rFonts w:asciiTheme="minorHAnsi" w:hAnsiTheme="minorHAnsi" w:cstheme="minorHAnsi"/>
          <w:color w:val="auto"/>
          <w:sz w:val="22"/>
          <w:szCs w:val="22"/>
        </w:rPr>
        <w:footnoteReference w:id="3"/>
      </w:r>
      <w:r w:rsidRPr="000107A9">
        <w:rPr>
          <w:rFonts w:asciiTheme="minorHAnsi" w:hAnsiTheme="minorHAnsi" w:cstheme="minorHAnsi"/>
          <w:sz w:val="22"/>
          <w:szCs w:val="22"/>
        </w:rPr>
        <w:t xml:space="preserve"> </w:t>
      </w:r>
    </w:p>
    <w:p w14:paraId="45C89F6D" w14:textId="694A90B7" w:rsidR="00C01E92" w:rsidRPr="000107A9" w:rsidRDefault="00E51B39" w:rsidP="00A87A06">
      <w:pPr>
        <w:pStyle w:val="Heading2"/>
      </w:pPr>
      <w:bookmarkStart w:id="19" w:name="_Toc24531599"/>
      <w:bookmarkStart w:id="20" w:name="_Toc25749845"/>
      <w:bookmarkStart w:id="21" w:name="_Toc30669596"/>
      <w:bookmarkStart w:id="22" w:name="_Toc32936860"/>
      <w:r>
        <w:t xml:space="preserve">1.3 </w:t>
      </w:r>
      <w:r w:rsidR="00C01E92" w:rsidRPr="000107A9">
        <w:t>Regulatory authority</w:t>
      </w:r>
      <w:bookmarkEnd w:id="19"/>
      <w:bookmarkEnd w:id="20"/>
      <w:bookmarkEnd w:id="21"/>
      <w:bookmarkEnd w:id="22"/>
    </w:p>
    <w:p w14:paraId="3C98E94C" w14:textId="77777777" w:rsidR="00C01E92" w:rsidRPr="00D23581" w:rsidRDefault="00C01E92" w:rsidP="00C01E92">
      <w:pPr>
        <w:pStyle w:val="EYBodytextwithparaspace"/>
        <w:spacing w:before="120" w:after="120"/>
        <w:rPr>
          <w:rFonts w:asciiTheme="minorHAnsi" w:hAnsiTheme="minorHAnsi" w:cstheme="minorHAnsi"/>
          <w:color w:val="0B0C1D"/>
          <w:sz w:val="22"/>
          <w:szCs w:val="22"/>
          <w:lang w:val="en" w:eastAsia="en-AU"/>
        </w:rPr>
      </w:pPr>
      <w:r w:rsidRPr="00D23581">
        <w:rPr>
          <w:rFonts w:asciiTheme="minorHAnsi" w:hAnsiTheme="minorHAnsi" w:cstheme="minorHAnsi"/>
          <w:sz w:val="22"/>
          <w:szCs w:val="22"/>
        </w:rPr>
        <w:t>The Secretary of the Department of Education and Training (Department) is the regulatory authority for education and care services and children's services operating in Victoria across both National and Victorian regimes. The functions and powers of the regulatory authority are largely delegated to the Quality Assessment and Regulation Division (QARD) of the Department to administer and enforce the regulatory regime.</w:t>
      </w:r>
    </w:p>
    <w:p w14:paraId="513ADF9A"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QARD undertakes the full range of functions and powers provided to promote the safety, health and well-being of children attending education and care and children’s services as guided by the Statement of Expectations</w:t>
      </w:r>
      <w:r w:rsidRPr="000107A9">
        <w:rPr>
          <w:rStyle w:val="FootnoteReference"/>
          <w:rFonts w:asciiTheme="minorHAnsi" w:hAnsiTheme="minorHAnsi" w:cstheme="minorHAnsi"/>
          <w:color w:val="auto"/>
          <w:sz w:val="22"/>
          <w:szCs w:val="22"/>
        </w:rPr>
        <w:footnoteReference w:id="4"/>
      </w:r>
      <w:r w:rsidRPr="000107A9">
        <w:rPr>
          <w:rFonts w:asciiTheme="minorHAnsi" w:hAnsiTheme="minorHAnsi" w:cstheme="minorHAnsi"/>
          <w:sz w:val="22"/>
          <w:szCs w:val="22"/>
        </w:rPr>
        <w:t xml:space="preserve"> issued by the Minister for Education, and published on the Department’s website in September 2019</w:t>
      </w:r>
    </w:p>
    <w:p w14:paraId="5AA0EC5D" w14:textId="32BA2CFC" w:rsidR="00C01E92" w:rsidRPr="000107A9" w:rsidRDefault="00E51B39" w:rsidP="00A87A06">
      <w:pPr>
        <w:pStyle w:val="Heading2"/>
      </w:pPr>
      <w:bookmarkStart w:id="23" w:name="_Toc24531600"/>
      <w:bookmarkStart w:id="24" w:name="_Toc25749846"/>
      <w:bookmarkStart w:id="25" w:name="_Toc30669597"/>
      <w:bookmarkStart w:id="26" w:name="_Toc32936861"/>
      <w:r>
        <w:t xml:space="preserve">1.4 </w:t>
      </w:r>
      <w:r w:rsidR="00C01E92" w:rsidRPr="000107A9">
        <w:t>Affected groups</w:t>
      </w:r>
      <w:bookmarkEnd w:id="23"/>
      <w:bookmarkEnd w:id="24"/>
      <w:bookmarkEnd w:id="25"/>
      <w:bookmarkEnd w:id="26"/>
    </w:p>
    <w:p w14:paraId="6A988852"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proposed Regulations will primarily impact on the existing licensees and proprietors of children’s services, including organisations such as local government, for-profit and not-for-profit entities, who are already in the sector or are considering entry to the sector. In addition, early childhood educators and teachers will have an interest in changes where qualifications and staff to child ratios are concerned.</w:t>
      </w:r>
    </w:p>
    <w:p w14:paraId="78B29823"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While the proposed Regulations aim to support increased quality of services, children and their families are not expected to be significantly affected due to the similarity between the current and proposed regulatory requirements. Groups affected by or interested in the proposed Regulations include:</w:t>
      </w:r>
    </w:p>
    <w:p w14:paraId="76837B8F" w14:textId="39250E7F" w:rsidR="00C01E92" w:rsidRPr="000107A9" w:rsidRDefault="00C01E92" w:rsidP="002806C5">
      <w:pPr>
        <w:pStyle w:val="ListParagraph"/>
        <w:numPr>
          <w:ilvl w:val="0"/>
          <w:numId w:val="79"/>
        </w:numPr>
        <w:rPr>
          <w:rFonts w:cstheme="minorHAnsi"/>
          <w:szCs w:val="22"/>
        </w:rPr>
      </w:pPr>
      <w:r w:rsidRPr="000107A9">
        <w:rPr>
          <w:rFonts w:cstheme="minorHAnsi"/>
          <w:szCs w:val="22"/>
        </w:rPr>
        <w:t xml:space="preserve">Children </w:t>
      </w:r>
      <w:r w:rsidR="00CF5254">
        <w:rPr>
          <w:rFonts w:cstheme="minorHAnsi"/>
          <w:szCs w:val="22"/>
        </w:rPr>
        <w:t>attending children’s services</w:t>
      </w:r>
      <w:r w:rsidRPr="000107A9">
        <w:rPr>
          <w:rFonts w:cstheme="minorHAnsi"/>
          <w:szCs w:val="22"/>
        </w:rPr>
        <w:t xml:space="preserve"> and their families</w:t>
      </w:r>
    </w:p>
    <w:p w14:paraId="2D281F1A"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Current licensees and proprietors of children’s services, including Local Government, community and not-for-profit organisations</w:t>
      </w:r>
    </w:p>
    <w:p w14:paraId="773DEF8D"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Operators of sport and leisure facilities that provide occasional care services adjunct to their main business function</w:t>
      </w:r>
    </w:p>
    <w:p w14:paraId="1E1BDC86" w14:textId="77777777" w:rsidR="00C01E92" w:rsidRPr="00D23581" w:rsidRDefault="00C01E92" w:rsidP="002806C5">
      <w:pPr>
        <w:pStyle w:val="ListParagraph"/>
        <w:numPr>
          <w:ilvl w:val="0"/>
          <w:numId w:val="79"/>
        </w:numPr>
        <w:rPr>
          <w:rFonts w:cstheme="minorHAnsi"/>
          <w:szCs w:val="22"/>
        </w:rPr>
      </w:pPr>
      <w:r w:rsidRPr="000107A9">
        <w:rPr>
          <w:rFonts w:cstheme="minorHAnsi"/>
          <w:szCs w:val="22"/>
        </w:rPr>
        <w:t xml:space="preserve">Approved providers under the NQF who operate Approved Associated Children’s Services </w:t>
      </w:r>
      <w:r w:rsidRPr="00D23581">
        <w:rPr>
          <w:rFonts w:cstheme="minorHAnsi"/>
          <w:szCs w:val="22"/>
        </w:rPr>
        <w:t>(AACS)</w:t>
      </w:r>
    </w:p>
    <w:p w14:paraId="2DE7D487"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Prospective providers of children’s services</w:t>
      </w:r>
    </w:p>
    <w:p w14:paraId="31D0FC56"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lastRenderedPageBreak/>
        <w:t>Qualified educators, other staff and volunteers</w:t>
      </w:r>
    </w:p>
    <w:p w14:paraId="396D390C"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People undertaking studies with a view to entering the</w:t>
      </w:r>
      <w:r w:rsidRPr="000107A9" w:rsidDel="00CA17FF">
        <w:rPr>
          <w:rFonts w:cstheme="minorHAnsi"/>
          <w:szCs w:val="22"/>
        </w:rPr>
        <w:t xml:space="preserve"> </w:t>
      </w:r>
      <w:r w:rsidRPr="000107A9">
        <w:rPr>
          <w:rFonts w:cstheme="minorHAnsi"/>
          <w:szCs w:val="22"/>
        </w:rPr>
        <w:t>sector</w:t>
      </w:r>
    </w:p>
    <w:p w14:paraId="2E3257FA"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Sector peak bodies</w:t>
      </w:r>
    </w:p>
    <w:p w14:paraId="5C65EAC2"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Employee and employer representative bodies.</w:t>
      </w:r>
    </w:p>
    <w:p w14:paraId="4CEC059E" w14:textId="3E7B75C1" w:rsidR="00C01E92" w:rsidRPr="000107A9" w:rsidRDefault="00E51B39" w:rsidP="00A87A06">
      <w:pPr>
        <w:pStyle w:val="Heading2"/>
      </w:pPr>
      <w:bookmarkStart w:id="27" w:name="_Toc24531601"/>
      <w:bookmarkStart w:id="28" w:name="_Toc25749847"/>
      <w:bookmarkStart w:id="29" w:name="_Toc30669598"/>
      <w:bookmarkStart w:id="30" w:name="_Toc32936862"/>
      <w:r>
        <w:t xml:space="preserve">1.5 </w:t>
      </w:r>
      <w:r w:rsidR="00C01E92" w:rsidRPr="000107A9">
        <w:t>Invitation to comment</w:t>
      </w:r>
      <w:bookmarkEnd w:id="27"/>
      <w:bookmarkEnd w:id="28"/>
      <w:bookmarkEnd w:id="29"/>
      <w:bookmarkEnd w:id="30"/>
    </w:p>
    <w:p w14:paraId="15A062E1"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Interested parties affected by, or with an interest in, the proposed Regulations are invited to review, consider and provide feedback on the options presented in this RIS. All feedback will be considered and will assist the Victorian Government in making final decisions about the new Children’s Services Regulations.</w:t>
      </w:r>
    </w:p>
    <w:p w14:paraId="63709A3E" w14:textId="2A20865A" w:rsidR="00C01E92" w:rsidRPr="00A87A06" w:rsidRDefault="00D23581" w:rsidP="002806C5">
      <w:pPr>
        <w:pStyle w:val="ListParagraph"/>
        <w:numPr>
          <w:ilvl w:val="0"/>
          <w:numId w:val="79"/>
        </w:numPr>
        <w:rPr>
          <w:rFonts w:cstheme="minorHAnsi"/>
          <w:szCs w:val="22"/>
        </w:rPr>
      </w:pPr>
      <w:r w:rsidRPr="00A87A06">
        <w:rPr>
          <w:rFonts w:cstheme="minorHAnsi"/>
          <w:szCs w:val="22"/>
        </w:rPr>
        <w:t>Comparison table of current and proposed regulations</w:t>
      </w:r>
      <w:r w:rsidR="00C01E92" w:rsidRPr="00A87A06">
        <w:rPr>
          <w:rFonts w:cstheme="minorHAnsi"/>
          <w:szCs w:val="22"/>
        </w:rPr>
        <w:t xml:space="preserve"> are at Appendix </w:t>
      </w:r>
      <w:r w:rsidR="002C1F3A" w:rsidRPr="00A87A06">
        <w:rPr>
          <w:rFonts w:cstheme="minorHAnsi"/>
          <w:szCs w:val="22"/>
        </w:rPr>
        <w:t>10.1</w:t>
      </w:r>
    </w:p>
    <w:p w14:paraId="71DA1995" w14:textId="548AADBC" w:rsidR="00C01E92" w:rsidRPr="00A87A06" w:rsidRDefault="00A30B4D" w:rsidP="002806C5">
      <w:pPr>
        <w:pStyle w:val="ListParagraph"/>
        <w:numPr>
          <w:ilvl w:val="0"/>
          <w:numId w:val="79"/>
        </w:numPr>
        <w:rPr>
          <w:rFonts w:cstheme="minorHAnsi"/>
          <w:szCs w:val="22"/>
        </w:rPr>
      </w:pPr>
      <w:r w:rsidRPr="00A87A06">
        <w:rPr>
          <w:rFonts w:cstheme="minorHAnsi"/>
          <w:szCs w:val="22"/>
        </w:rPr>
        <w:t>Q</w:t>
      </w:r>
      <w:r w:rsidR="00C01E92" w:rsidRPr="00A87A06">
        <w:rPr>
          <w:rFonts w:cstheme="minorHAnsi"/>
          <w:szCs w:val="22"/>
        </w:rPr>
        <w:t xml:space="preserve">uestions for </w:t>
      </w:r>
      <w:r w:rsidRPr="00A87A06">
        <w:rPr>
          <w:rFonts w:cstheme="minorHAnsi"/>
          <w:szCs w:val="22"/>
        </w:rPr>
        <w:t>consultation</w:t>
      </w:r>
      <w:r w:rsidR="002C1F3A" w:rsidRPr="00A87A06">
        <w:rPr>
          <w:rFonts w:cstheme="minorHAnsi"/>
          <w:szCs w:val="22"/>
        </w:rPr>
        <w:t xml:space="preserve"> are at Appendix 10.2</w:t>
      </w:r>
    </w:p>
    <w:p w14:paraId="571459E5" w14:textId="4631375A" w:rsidR="00C01E92" w:rsidRPr="00A87A06" w:rsidRDefault="00C01E92" w:rsidP="002806C5">
      <w:pPr>
        <w:pStyle w:val="ListParagraph"/>
        <w:numPr>
          <w:ilvl w:val="0"/>
          <w:numId w:val="79"/>
        </w:numPr>
        <w:rPr>
          <w:rFonts w:cstheme="minorHAnsi"/>
          <w:szCs w:val="22"/>
        </w:rPr>
      </w:pPr>
      <w:r w:rsidRPr="00A87A06">
        <w:rPr>
          <w:rFonts w:cstheme="minorHAnsi"/>
          <w:szCs w:val="22"/>
        </w:rPr>
        <w:t xml:space="preserve">Key </w:t>
      </w:r>
      <w:r w:rsidR="002C1F3A" w:rsidRPr="00A87A06">
        <w:rPr>
          <w:rFonts w:cstheme="minorHAnsi"/>
          <w:szCs w:val="22"/>
        </w:rPr>
        <w:t>amendments the Children’s Services Act 2019 are at Appendix 10.3</w:t>
      </w:r>
    </w:p>
    <w:p w14:paraId="203A4B9B" w14:textId="4B508884" w:rsidR="002C1F3A" w:rsidRDefault="002C1F3A" w:rsidP="002806C5">
      <w:pPr>
        <w:pStyle w:val="ListParagraph"/>
        <w:numPr>
          <w:ilvl w:val="0"/>
          <w:numId w:val="79"/>
        </w:numPr>
        <w:rPr>
          <w:rFonts w:cstheme="minorHAnsi"/>
          <w:szCs w:val="22"/>
        </w:rPr>
      </w:pPr>
      <w:r w:rsidRPr="00A87A06">
        <w:rPr>
          <w:rFonts w:cstheme="minorHAnsi"/>
          <w:szCs w:val="22"/>
        </w:rPr>
        <w:t>Methodology and assumptions are at Appendix 10.4</w:t>
      </w:r>
    </w:p>
    <w:p w14:paraId="6B921F85" w14:textId="08F20653" w:rsidR="00E548CB" w:rsidRPr="00A87A06" w:rsidRDefault="00E548CB" w:rsidP="002806C5">
      <w:pPr>
        <w:pStyle w:val="ListParagraph"/>
        <w:numPr>
          <w:ilvl w:val="0"/>
          <w:numId w:val="79"/>
        </w:numPr>
        <w:rPr>
          <w:rFonts w:cstheme="minorHAnsi"/>
          <w:szCs w:val="22"/>
        </w:rPr>
      </w:pPr>
      <w:r>
        <w:rPr>
          <w:rFonts w:cstheme="minorHAnsi"/>
          <w:szCs w:val="22"/>
        </w:rPr>
        <w:t>Proposed fee structure is at Appendix 10.5b</w:t>
      </w:r>
    </w:p>
    <w:p w14:paraId="3762FEDA" w14:textId="1CD7B3C7" w:rsidR="002C1F3A" w:rsidRDefault="002C1F3A" w:rsidP="002C1F3A">
      <w:pPr>
        <w:rPr>
          <w:lang w:val="en-AU"/>
        </w:rPr>
      </w:pPr>
      <w:r w:rsidRPr="002C1F3A">
        <w:rPr>
          <w:rFonts w:cstheme="minorHAnsi"/>
          <w:szCs w:val="22"/>
        </w:rPr>
        <w:t xml:space="preserve">This RIS should be </w:t>
      </w:r>
      <w:r w:rsidRPr="002C1F3A">
        <w:rPr>
          <w:lang w:val="en-AU"/>
        </w:rPr>
        <w:t xml:space="preserve">viewed in conjunction with the Children’s Services Regulations 2020 Exposure Draft </w:t>
      </w:r>
      <w:r w:rsidRPr="002C1F3A">
        <w:rPr>
          <w:rFonts w:cstheme="minorHAnsi"/>
          <w:szCs w:val="22"/>
        </w:rPr>
        <w:t>found on the Engage Victoria website.</w:t>
      </w:r>
    </w:p>
    <w:p w14:paraId="42C98E44"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b/>
          <w:sz w:val="22"/>
          <w:szCs w:val="22"/>
        </w:rPr>
        <w:t>Public consultation</w:t>
      </w:r>
      <w:r w:rsidRPr="000107A9">
        <w:rPr>
          <w:rFonts w:asciiTheme="minorHAnsi" w:hAnsiTheme="minorHAnsi" w:cstheme="minorHAnsi"/>
          <w:sz w:val="22"/>
          <w:szCs w:val="22"/>
        </w:rPr>
        <w:t xml:space="preserve"> sessions are being held in February 2020, at which interested parties may hear more about the proposed changes to regulations, ask questions and have any concerns addressed, prior to submitting comments for the Government’s consideration.</w:t>
      </w:r>
    </w:p>
    <w:p w14:paraId="4963AC02" w14:textId="09241769" w:rsidR="00C01E92"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Registration to attend a public consultation session and/or submissions in response to the proposed Regulations a can be made via the </w:t>
      </w:r>
      <w:r w:rsidRPr="002C1F3A">
        <w:rPr>
          <w:rFonts w:asciiTheme="minorHAnsi" w:hAnsiTheme="minorHAnsi" w:cstheme="minorHAnsi"/>
          <w:b/>
          <w:sz w:val="22"/>
          <w:szCs w:val="22"/>
        </w:rPr>
        <w:t>Engage Victoria</w:t>
      </w:r>
      <w:r w:rsidRPr="000107A9">
        <w:rPr>
          <w:rFonts w:asciiTheme="minorHAnsi" w:hAnsiTheme="minorHAnsi" w:cstheme="minorHAnsi"/>
          <w:sz w:val="22"/>
          <w:szCs w:val="22"/>
        </w:rPr>
        <w:t xml:space="preserve"> website at </w:t>
      </w:r>
      <w:hyperlink r:id="rId27" w:history="1">
        <w:r w:rsidRPr="000107A9">
          <w:rPr>
            <w:rStyle w:val="Hyperlink"/>
            <w:rFonts w:asciiTheme="minorHAnsi" w:hAnsiTheme="minorHAnsi" w:cstheme="minorHAnsi"/>
            <w:szCs w:val="22"/>
          </w:rPr>
          <w:t>https://engage.vic.gov.au/childrens-services-regulations-2020</w:t>
        </w:r>
      </w:hyperlink>
      <w:r w:rsidRPr="000107A9">
        <w:rPr>
          <w:rFonts w:asciiTheme="minorHAnsi" w:hAnsiTheme="minorHAnsi" w:cstheme="minorHAnsi"/>
          <w:sz w:val="22"/>
          <w:szCs w:val="22"/>
        </w:rPr>
        <w:t>.</w:t>
      </w:r>
    </w:p>
    <w:p w14:paraId="0713FAA8" w14:textId="39AEE478" w:rsidR="00514C50" w:rsidRDefault="0099136F" w:rsidP="00514C50">
      <w:pPr>
        <w:pStyle w:val="EYBodytextwithparaspace"/>
        <w:spacing w:before="120"/>
        <w:rPr>
          <w:rFonts w:asciiTheme="minorHAnsi" w:hAnsiTheme="minorHAnsi" w:cstheme="minorHAnsi"/>
          <w:sz w:val="22"/>
          <w:szCs w:val="22"/>
        </w:rPr>
      </w:pPr>
      <w:r>
        <w:rPr>
          <w:rFonts w:asciiTheme="minorHAnsi" w:hAnsiTheme="minorHAnsi" w:cstheme="minorHAnsi"/>
          <w:sz w:val="22"/>
          <w:szCs w:val="22"/>
        </w:rPr>
        <w:t>Interested parties are invited to provide comments and feedback about the RIS overall, and specif</w:t>
      </w:r>
      <w:r w:rsidR="00514C50">
        <w:rPr>
          <w:rFonts w:asciiTheme="minorHAnsi" w:hAnsiTheme="minorHAnsi" w:cstheme="minorHAnsi"/>
          <w:sz w:val="22"/>
          <w:szCs w:val="22"/>
        </w:rPr>
        <w:t>ically the following questions:</w:t>
      </w:r>
    </w:p>
    <w:p w14:paraId="7F47F6AD" w14:textId="4A3465CF" w:rsidR="00514C50" w:rsidRDefault="00514C50" w:rsidP="00514C50">
      <w:pPr>
        <w:pStyle w:val="EYBodytextwithparaspace"/>
        <w:numPr>
          <w:ilvl w:val="0"/>
          <w:numId w:val="7"/>
        </w:numPr>
        <w:spacing w:before="120" w:after="120"/>
        <w:rPr>
          <w:rFonts w:asciiTheme="minorHAnsi" w:eastAsiaTheme="minorHAnsi" w:hAnsiTheme="minorHAnsi" w:cstheme="minorBidi"/>
          <w:sz w:val="22"/>
          <w:szCs w:val="24"/>
        </w:rPr>
      </w:pPr>
      <w:r>
        <w:rPr>
          <w:rFonts w:asciiTheme="minorHAnsi" w:eastAsiaTheme="minorHAnsi" w:hAnsiTheme="minorHAnsi" w:cstheme="minorBidi"/>
          <w:sz w:val="22"/>
          <w:szCs w:val="24"/>
        </w:rPr>
        <w:t>Do you support the reduction of seven (7) licence types to two (2) service</w:t>
      </w:r>
      <w:r w:rsidR="00247217">
        <w:rPr>
          <w:rFonts w:asciiTheme="minorHAnsi" w:eastAsiaTheme="minorHAnsi" w:hAnsiTheme="minorHAnsi" w:cstheme="minorBidi"/>
          <w:sz w:val="22"/>
          <w:szCs w:val="24"/>
        </w:rPr>
        <w:t xml:space="preserve"> aprpoval</w:t>
      </w:r>
      <w:r>
        <w:rPr>
          <w:rFonts w:asciiTheme="minorHAnsi" w:eastAsiaTheme="minorHAnsi" w:hAnsiTheme="minorHAnsi" w:cstheme="minorBidi"/>
          <w:sz w:val="22"/>
          <w:szCs w:val="24"/>
        </w:rPr>
        <w:t xml:space="preserve"> types?</w:t>
      </w:r>
    </w:p>
    <w:p w14:paraId="1C4099AB" w14:textId="77777777" w:rsidR="0099136F" w:rsidRPr="006D34E8" w:rsidRDefault="0099136F" w:rsidP="0099136F">
      <w:pPr>
        <w:pStyle w:val="EYBodytextwithparaspace"/>
        <w:numPr>
          <w:ilvl w:val="0"/>
          <w:numId w:val="7"/>
        </w:numPr>
        <w:spacing w:before="120" w:after="120"/>
        <w:rPr>
          <w:rFonts w:asciiTheme="minorHAnsi" w:eastAsiaTheme="minorHAnsi" w:hAnsiTheme="minorHAnsi" w:cstheme="minorBidi"/>
          <w:sz w:val="22"/>
          <w:szCs w:val="24"/>
        </w:rPr>
      </w:pPr>
      <w:r w:rsidRPr="006D34E8">
        <w:rPr>
          <w:rFonts w:asciiTheme="minorHAnsi" w:eastAsiaTheme="minorHAnsi" w:hAnsiTheme="minorHAnsi" w:cstheme="minorBidi"/>
          <w:sz w:val="22"/>
          <w:szCs w:val="24"/>
        </w:rPr>
        <w:t>Do you support the requirement for outdoor space for new services?</w:t>
      </w:r>
    </w:p>
    <w:p w14:paraId="755400A5" w14:textId="77777777" w:rsidR="0099136F" w:rsidRPr="006D34E8" w:rsidRDefault="0099136F" w:rsidP="0099136F">
      <w:pPr>
        <w:pStyle w:val="EYBodytextwithparaspace"/>
        <w:numPr>
          <w:ilvl w:val="0"/>
          <w:numId w:val="7"/>
        </w:numPr>
        <w:spacing w:before="120" w:after="120"/>
        <w:rPr>
          <w:rFonts w:asciiTheme="minorHAnsi" w:eastAsiaTheme="minorHAnsi" w:hAnsiTheme="minorHAnsi" w:cstheme="minorBidi"/>
          <w:sz w:val="22"/>
          <w:szCs w:val="24"/>
        </w:rPr>
      </w:pPr>
      <w:r w:rsidRPr="006D34E8">
        <w:rPr>
          <w:rFonts w:asciiTheme="minorHAnsi" w:eastAsiaTheme="minorHAnsi" w:hAnsiTheme="minorHAnsi" w:cstheme="minorBidi"/>
          <w:sz w:val="22"/>
          <w:szCs w:val="24"/>
        </w:rPr>
        <w:t>Do you support the alignment of staffing requirements with the NQF?</w:t>
      </w:r>
    </w:p>
    <w:p w14:paraId="32A9BDBE" w14:textId="77777777" w:rsidR="0099136F" w:rsidRPr="006D34E8" w:rsidRDefault="0099136F" w:rsidP="0099136F">
      <w:pPr>
        <w:pStyle w:val="EYBodytextwithparaspace"/>
        <w:numPr>
          <w:ilvl w:val="0"/>
          <w:numId w:val="7"/>
        </w:numPr>
        <w:spacing w:before="120" w:after="120"/>
        <w:rPr>
          <w:rFonts w:asciiTheme="minorHAnsi" w:eastAsiaTheme="minorHAnsi" w:hAnsiTheme="minorHAnsi" w:cstheme="minorBidi"/>
          <w:sz w:val="22"/>
          <w:szCs w:val="24"/>
        </w:rPr>
      </w:pPr>
      <w:r w:rsidRPr="006D34E8">
        <w:rPr>
          <w:rFonts w:asciiTheme="minorHAnsi" w:eastAsiaTheme="minorHAnsi" w:hAnsiTheme="minorHAnsi" w:cstheme="minorBidi"/>
          <w:sz w:val="22"/>
          <w:szCs w:val="24"/>
        </w:rPr>
        <w:t>Are estimated time assumptions for tasks such as record-keeping and the development of additional policies and procedures, reasonable or accurate?</w:t>
      </w:r>
    </w:p>
    <w:p w14:paraId="34E0E8FB" w14:textId="77777777" w:rsidR="0099136F" w:rsidRDefault="0099136F" w:rsidP="0099136F">
      <w:pPr>
        <w:pStyle w:val="EYBodytextwithparaspace"/>
        <w:numPr>
          <w:ilvl w:val="0"/>
          <w:numId w:val="7"/>
        </w:numPr>
        <w:spacing w:before="120" w:after="120"/>
        <w:rPr>
          <w:rFonts w:asciiTheme="minorHAnsi" w:eastAsiaTheme="minorHAnsi" w:hAnsiTheme="minorHAnsi" w:cstheme="minorBidi"/>
          <w:sz w:val="22"/>
          <w:szCs w:val="24"/>
        </w:rPr>
      </w:pPr>
      <w:r w:rsidRPr="006D34E8">
        <w:rPr>
          <w:rFonts w:asciiTheme="minorHAnsi" w:eastAsiaTheme="minorHAnsi" w:hAnsiTheme="minorHAnsi" w:cstheme="minorBidi"/>
          <w:sz w:val="22"/>
          <w:szCs w:val="24"/>
        </w:rPr>
        <w:t>Do you support the proposed fee structure?</w:t>
      </w:r>
    </w:p>
    <w:p w14:paraId="3356BF8C" w14:textId="77777777" w:rsidR="0099136F" w:rsidRPr="008272CE" w:rsidRDefault="0099136F" w:rsidP="0099136F">
      <w:pPr>
        <w:pStyle w:val="EYBodytextwithparaspace"/>
        <w:numPr>
          <w:ilvl w:val="0"/>
          <w:numId w:val="7"/>
        </w:numPr>
        <w:spacing w:before="120" w:after="120"/>
        <w:rPr>
          <w:rFonts w:asciiTheme="minorHAnsi" w:eastAsiaTheme="minorHAnsi" w:hAnsiTheme="minorHAnsi" w:cstheme="minorBidi"/>
          <w:sz w:val="22"/>
          <w:szCs w:val="24"/>
        </w:rPr>
      </w:pPr>
      <w:r w:rsidRPr="008272CE">
        <w:rPr>
          <w:rFonts w:asciiTheme="minorHAnsi" w:eastAsiaTheme="minorHAnsi" w:hAnsiTheme="minorHAnsi" w:cstheme="minorBidi"/>
          <w:sz w:val="22"/>
          <w:szCs w:val="24"/>
        </w:rPr>
        <w:t>Do you support the saving provisions for existing services?</w:t>
      </w:r>
    </w:p>
    <w:p w14:paraId="21FF39F3" w14:textId="77777777" w:rsidR="0099136F" w:rsidRPr="006D34E8" w:rsidRDefault="0099136F" w:rsidP="0099136F">
      <w:pPr>
        <w:pStyle w:val="EYBodytextwithparaspace"/>
        <w:numPr>
          <w:ilvl w:val="0"/>
          <w:numId w:val="7"/>
        </w:numPr>
        <w:spacing w:before="120" w:after="120"/>
        <w:rPr>
          <w:rFonts w:asciiTheme="minorHAnsi" w:eastAsiaTheme="minorHAnsi" w:hAnsiTheme="minorHAnsi" w:cstheme="minorBidi"/>
          <w:sz w:val="22"/>
          <w:szCs w:val="24"/>
        </w:rPr>
      </w:pPr>
      <w:r w:rsidRPr="006D34E8">
        <w:rPr>
          <w:rFonts w:asciiTheme="minorHAnsi" w:eastAsiaTheme="minorHAnsi" w:hAnsiTheme="minorHAnsi" w:cstheme="minorBidi"/>
          <w:sz w:val="22"/>
          <w:szCs w:val="24"/>
        </w:rPr>
        <w:t>Do you think the transitional arrangements are reasonable?</w:t>
      </w:r>
    </w:p>
    <w:p w14:paraId="575EDBD1" w14:textId="77777777" w:rsidR="0099136F" w:rsidRDefault="0099136F" w:rsidP="0099136F">
      <w:pPr>
        <w:pStyle w:val="EYBodytextwithparaspace"/>
        <w:numPr>
          <w:ilvl w:val="0"/>
          <w:numId w:val="7"/>
        </w:numPr>
        <w:spacing w:before="120" w:after="120"/>
        <w:rPr>
          <w:rFonts w:asciiTheme="minorHAnsi" w:eastAsiaTheme="minorHAnsi" w:hAnsiTheme="minorHAnsi" w:cstheme="minorBidi"/>
          <w:sz w:val="22"/>
          <w:szCs w:val="24"/>
        </w:rPr>
      </w:pPr>
      <w:r w:rsidRPr="006D34E8">
        <w:rPr>
          <w:rFonts w:asciiTheme="minorHAnsi" w:eastAsiaTheme="minorHAnsi" w:hAnsiTheme="minorHAnsi" w:cstheme="minorBidi"/>
          <w:sz w:val="22"/>
          <w:szCs w:val="24"/>
        </w:rPr>
        <w:t>Should the preferred option be adopted, what support would your workforce or organisation need to meet the proposed requirements?</w:t>
      </w:r>
    </w:p>
    <w:p w14:paraId="0FCA9262" w14:textId="77777777" w:rsidR="00C01E92" w:rsidRPr="000107A9" w:rsidRDefault="00C01E92" w:rsidP="00514C50">
      <w:pPr>
        <w:pStyle w:val="EYBodytextwithparaspace"/>
        <w:spacing w:before="240" w:after="120"/>
        <w:rPr>
          <w:rFonts w:asciiTheme="minorHAnsi" w:hAnsiTheme="minorHAnsi" w:cstheme="minorHAnsi"/>
          <w:sz w:val="22"/>
          <w:szCs w:val="22"/>
        </w:rPr>
      </w:pPr>
      <w:r w:rsidRPr="000107A9">
        <w:rPr>
          <w:rFonts w:asciiTheme="minorHAnsi" w:hAnsiTheme="minorHAnsi" w:cstheme="minorHAnsi"/>
          <w:sz w:val="22"/>
          <w:szCs w:val="22"/>
        </w:rPr>
        <w:t xml:space="preserve">Following public consultation, a summary report of comments received will be made available on the Department’s website. Copies of all submissions are provided to the Parliament’s Scrutiny of </w:t>
      </w:r>
      <w:r w:rsidRPr="00D23581">
        <w:rPr>
          <w:rFonts w:asciiTheme="minorHAnsi" w:hAnsiTheme="minorHAnsi" w:cstheme="minorHAnsi"/>
          <w:sz w:val="22"/>
          <w:szCs w:val="22"/>
        </w:rPr>
        <w:t>Acts and Regulations Committee (SARC) who examine submissions to verify that the Department</w:t>
      </w:r>
      <w:r w:rsidRPr="000107A9">
        <w:rPr>
          <w:rFonts w:asciiTheme="minorHAnsi" w:hAnsiTheme="minorHAnsi" w:cstheme="minorHAnsi"/>
          <w:sz w:val="22"/>
          <w:szCs w:val="22"/>
        </w:rPr>
        <w:t xml:space="preserve"> has considered the views of stakeholders in the making of new Regulations.</w:t>
      </w:r>
    </w:p>
    <w:p w14:paraId="033E4F8E" w14:textId="063F1613" w:rsidR="00514C50" w:rsidRDefault="00C01E92" w:rsidP="00514C50">
      <w:pPr>
        <w:pStyle w:val="EYBodytextwithparaspace"/>
        <w:spacing w:before="120" w:after="120"/>
        <w:rPr>
          <w:rFonts w:asciiTheme="minorHAnsi" w:hAnsiTheme="minorHAnsi" w:cstheme="minorHAnsi"/>
          <w:sz w:val="22"/>
          <w:szCs w:val="22"/>
        </w:rPr>
      </w:pPr>
      <w:r w:rsidRPr="00215708">
        <w:rPr>
          <w:rFonts w:asciiTheme="minorHAnsi" w:hAnsiTheme="minorHAnsi" w:cstheme="minorHAnsi"/>
          <w:sz w:val="22"/>
          <w:szCs w:val="22"/>
        </w:rPr>
        <w:t xml:space="preserve">The public consultation and submission period </w:t>
      </w:r>
      <w:r w:rsidRPr="00215708">
        <w:rPr>
          <w:rFonts w:asciiTheme="minorHAnsi" w:hAnsiTheme="minorHAnsi" w:cstheme="minorHAnsi"/>
          <w:b/>
          <w:sz w:val="22"/>
          <w:szCs w:val="22"/>
        </w:rPr>
        <w:t>closes</w:t>
      </w:r>
      <w:r w:rsidRPr="00215708">
        <w:rPr>
          <w:rFonts w:asciiTheme="minorHAnsi" w:hAnsiTheme="minorHAnsi" w:cstheme="minorHAnsi"/>
          <w:sz w:val="22"/>
          <w:szCs w:val="22"/>
        </w:rPr>
        <w:t xml:space="preserve"> at midnight </w:t>
      </w:r>
      <w:r w:rsidR="00E81795">
        <w:rPr>
          <w:rFonts w:asciiTheme="minorHAnsi" w:hAnsiTheme="minorHAnsi" w:cstheme="minorHAnsi"/>
          <w:sz w:val="22"/>
          <w:szCs w:val="22"/>
        </w:rPr>
        <w:t>Tuesday</w:t>
      </w:r>
      <w:r w:rsidRPr="00215708">
        <w:rPr>
          <w:rFonts w:asciiTheme="minorHAnsi" w:hAnsiTheme="minorHAnsi" w:cstheme="minorHAnsi"/>
          <w:sz w:val="22"/>
          <w:szCs w:val="22"/>
        </w:rPr>
        <w:t xml:space="preserve"> </w:t>
      </w:r>
      <w:r w:rsidR="00E81795">
        <w:rPr>
          <w:rFonts w:asciiTheme="minorHAnsi" w:hAnsiTheme="minorHAnsi" w:cstheme="minorHAnsi"/>
          <w:sz w:val="22"/>
          <w:szCs w:val="22"/>
        </w:rPr>
        <w:t>17 March</w:t>
      </w:r>
      <w:r w:rsidRPr="00215708">
        <w:rPr>
          <w:rFonts w:asciiTheme="minorHAnsi" w:hAnsiTheme="minorHAnsi" w:cstheme="minorHAnsi"/>
          <w:sz w:val="22"/>
          <w:szCs w:val="22"/>
        </w:rPr>
        <w:t xml:space="preserve"> 2020.</w:t>
      </w:r>
      <w:r w:rsidR="00514C50">
        <w:rPr>
          <w:rFonts w:asciiTheme="minorHAnsi" w:hAnsiTheme="minorHAnsi" w:cstheme="minorHAnsi"/>
          <w:sz w:val="22"/>
          <w:szCs w:val="22"/>
        </w:rPr>
        <w:t xml:space="preserve"> </w:t>
      </w:r>
    </w:p>
    <w:p w14:paraId="38C61083" w14:textId="0C6469DF" w:rsidR="00CF5254" w:rsidRDefault="00CF5254" w:rsidP="00514C50">
      <w:pPr>
        <w:pStyle w:val="EYBodytextwithparaspace"/>
        <w:spacing w:before="120" w:after="120"/>
        <w:rPr>
          <w:rFonts w:cstheme="minorHAnsi"/>
          <w:szCs w:val="22"/>
        </w:rPr>
      </w:pPr>
      <w:r>
        <w:rPr>
          <w:rFonts w:cstheme="minorHAnsi"/>
          <w:szCs w:val="22"/>
        </w:rPr>
        <w:br w:type="page"/>
      </w:r>
    </w:p>
    <w:p w14:paraId="69B8E556" w14:textId="25FFAE6D" w:rsidR="00C01E92" w:rsidRPr="000107A9" w:rsidRDefault="00C01E92" w:rsidP="004F4E5D">
      <w:pPr>
        <w:pStyle w:val="Heading1"/>
        <w:numPr>
          <w:ilvl w:val="0"/>
          <w:numId w:val="12"/>
        </w:numPr>
      </w:pPr>
      <w:bookmarkStart w:id="31" w:name="_Toc24531602"/>
      <w:bookmarkStart w:id="32" w:name="_Toc25749848"/>
      <w:bookmarkStart w:id="33" w:name="_Toc30669599"/>
      <w:bookmarkStart w:id="34" w:name="_Toc32936863"/>
      <w:bookmarkEnd w:id="31"/>
      <w:bookmarkEnd w:id="32"/>
      <w:r w:rsidRPr="000107A9">
        <w:lastRenderedPageBreak/>
        <w:t>What is the problem?</w:t>
      </w:r>
      <w:bookmarkEnd w:id="33"/>
      <w:bookmarkEnd w:id="34"/>
    </w:p>
    <w:p w14:paraId="754304A2"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Children’s services play a critical role in today’s society. To meet the needs of families, services have evolved over time, from informal care to a broad range of formal early childhood education and care services for children below school age, and services for school age children. Children’s services are provided for the benefit of parents and children, are accessed by a broad spectrum of Victorian families, and are offered in various services and facilities.</w:t>
      </w:r>
    </w:p>
    <w:p w14:paraId="2715A660"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Since the current Regulations commenced, there has been an increase in demand for child care, and in community expectations about the nature and quality of what children’s services do or should provide. More than ever, the community sees children’s services as making a significant contribution in providing developmental opportunities for children, and parents need to access services where they can be confident that their children will receive quality care in a safe environment. There is a community expectation that there is an appropriate legislative and regulatory framework that ensures the safety and wellbeing of those children.</w:t>
      </w:r>
      <w:r w:rsidRPr="00D71DD0">
        <w:rPr>
          <w:rStyle w:val="FootnoteReference"/>
          <w:rFonts w:asciiTheme="minorHAnsi" w:hAnsiTheme="minorHAnsi" w:cstheme="minorHAnsi"/>
          <w:color w:val="auto"/>
          <w:sz w:val="22"/>
          <w:szCs w:val="22"/>
        </w:rPr>
        <w:footnoteReference w:id="5"/>
      </w:r>
      <w:r w:rsidRPr="00D71DD0">
        <w:rPr>
          <w:rFonts w:asciiTheme="minorHAnsi" w:hAnsiTheme="minorHAnsi" w:cstheme="minorHAnsi"/>
          <w:sz w:val="22"/>
          <w:szCs w:val="22"/>
        </w:rPr>
        <w:t xml:space="preserve"> </w:t>
      </w:r>
      <w:r w:rsidRPr="000107A9">
        <w:rPr>
          <w:rFonts w:asciiTheme="minorHAnsi" w:hAnsiTheme="minorHAnsi" w:cstheme="minorHAnsi"/>
          <w:sz w:val="22"/>
          <w:szCs w:val="22"/>
        </w:rPr>
        <w:t>The community wants a system of early childhood education and care that promotes responsive arrangements and takes account of complex family needs.</w:t>
      </w:r>
    </w:p>
    <w:p w14:paraId="049C7D88" w14:textId="77777777" w:rsidR="00C01E92" w:rsidRPr="000107A9" w:rsidRDefault="00C01E92" w:rsidP="00D71DD0">
      <w:pPr>
        <w:pStyle w:val="EYBodytextwithparaspace"/>
        <w:pBdr>
          <w:top w:val="single" w:sz="4" w:space="1" w:color="auto"/>
          <w:left w:val="single" w:sz="4" w:space="4" w:color="auto"/>
          <w:bottom w:val="single" w:sz="4" w:space="1" w:color="auto"/>
          <w:right w:val="single" w:sz="4" w:space="4" w:color="auto"/>
        </w:pBdr>
        <w:spacing w:before="120" w:after="120"/>
        <w:rPr>
          <w:rFonts w:asciiTheme="minorHAnsi" w:hAnsiTheme="minorHAnsi" w:cstheme="minorHAnsi"/>
          <w:sz w:val="22"/>
          <w:szCs w:val="22"/>
        </w:rPr>
      </w:pPr>
      <w:r w:rsidRPr="000107A9">
        <w:rPr>
          <w:rFonts w:asciiTheme="minorHAnsi" w:hAnsiTheme="minorHAnsi" w:cstheme="minorHAnsi"/>
          <w:sz w:val="22"/>
          <w:szCs w:val="22"/>
        </w:rPr>
        <w:t>Increasingly, the research shows links between high quality education and care and positive outcomes for the youngest children attending services, including promotion of positive behaviour, increased cognitive skills and assistance with the formation of secure attachments. The evidence shows that the brain develops in the early years through back and forth interactions, which requires individualised attention to allow the ‘serve and return’ process to occur.</w:t>
      </w:r>
    </w:p>
    <w:p w14:paraId="028876EB" w14:textId="27F65B7A"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distinguishing feature of most children’s services in Victoria is the short-term, irregular nature of care. Types of children’s services include occasional care services providing care for limited hours on an ad hoc or casual basis (such as services provided by Neighbourhood Houses), activity groups for three-year-old children, services providing (adjunct) care at sports and leisure facilities, school holidays care services designed to care for children for short periods over the school holidays, short term services such as those provided </w:t>
      </w:r>
      <w:r w:rsidR="00E548CB">
        <w:rPr>
          <w:rFonts w:asciiTheme="minorHAnsi" w:hAnsiTheme="minorHAnsi" w:cstheme="minorHAnsi"/>
          <w:sz w:val="22"/>
          <w:szCs w:val="22"/>
        </w:rPr>
        <w:t>seasonally by ski resorts, and ‘</w:t>
      </w:r>
      <w:r w:rsidRPr="000107A9">
        <w:rPr>
          <w:rFonts w:asciiTheme="minorHAnsi" w:hAnsiTheme="minorHAnsi" w:cstheme="minorHAnsi"/>
          <w:sz w:val="22"/>
          <w:szCs w:val="22"/>
        </w:rPr>
        <w:t>wrap-around</w:t>
      </w:r>
      <w:r w:rsidR="00E548CB">
        <w:rPr>
          <w:rFonts w:asciiTheme="minorHAnsi" w:hAnsiTheme="minorHAnsi" w:cstheme="minorHAnsi"/>
          <w:sz w:val="22"/>
          <w:szCs w:val="22"/>
        </w:rPr>
        <w:t>’</w:t>
      </w:r>
      <w:r w:rsidRPr="000107A9">
        <w:rPr>
          <w:rFonts w:asciiTheme="minorHAnsi" w:hAnsiTheme="minorHAnsi" w:cstheme="minorHAnsi"/>
          <w:sz w:val="22"/>
          <w:szCs w:val="22"/>
        </w:rPr>
        <w:t xml:space="preserve"> care offered in conjunction with sessional kindergarten.</w:t>
      </w:r>
    </w:p>
    <w:p w14:paraId="4846C4CD"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People who use children’s services include parents and carers seeking developmental opportunities for their children, those working non-traditional hours, people in or seeking employment, or those pursuing or undertaking training. Additionally, people using recreational or other community facilities and parents and carers at home may seek occasional child care. </w:t>
      </w:r>
      <w:r w:rsidRPr="000107A9">
        <w:rPr>
          <w:rFonts w:asciiTheme="minorHAnsi" w:hAnsiTheme="minorHAnsi" w:cstheme="minorHAnsi"/>
          <w:iCs/>
          <w:sz w:val="22"/>
          <w:szCs w:val="22"/>
          <w:lang w:val="en-US"/>
        </w:rPr>
        <w:t>Occasional care services play an important role in providing access to flexible and affordable service models designed to meet the varied needs of communities</w:t>
      </w:r>
      <w:r w:rsidRPr="000107A9">
        <w:rPr>
          <w:rFonts w:asciiTheme="minorHAnsi" w:hAnsiTheme="minorHAnsi" w:cstheme="minorHAnsi"/>
          <w:sz w:val="22"/>
          <w:szCs w:val="22"/>
        </w:rPr>
        <w:t>. In some rural and regional communities, children’s services are the only education and care offering available to families.</w:t>
      </w:r>
    </w:p>
    <w:p w14:paraId="5DF8C57D" w14:textId="77777777" w:rsidR="00C01E92" w:rsidRPr="000107A9" w:rsidRDefault="00C01E92" w:rsidP="00D71DD0">
      <w:pPr>
        <w:pStyle w:val="EYBodytextwithparaspace"/>
        <w:pBdr>
          <w:top w:val="single" w:sz="4" w:space="1" w:color="auto"/>
          <w:left w:val="single" w:sz="4" w:space="4" w:color="auto"/>
          <w:bottom w:val="single" w:sz="4" w:space="1" w:color="auto"/>
          <w:right w:val="single" w:sz="4" w:space="4" w:color="auto"/>
        </w:pBdr>
        <w:spacing w:before="120" w:after="120"/>
        <w:rPr>
          <w:rFonts w:asciiTheme="minorHAnsi" w:hAnsiTheme="minorHAnsi" w:cstheme="minorHAnsi"/>
          <w:iCs/>
          <w:sz w:val="22"/>
          <w:szCs w:val="22"/>
          <w:lang w:val="en-US"/>
        </w:rPr>
      </w:pPr>
      <w:r w:rsidRPr="000107A9">
        <w:rPr>
          <w:rFonts w:asciiTheme="minorHAnsi" w:hAnsiTheme="minorHAnsi" w:cstheme="minorHAnsi"/>
          <w:sz w:val="22"/>
          <w:szCs w:val="22"/>
        </w:rPr>
        <w:t>The safety, health and wellbeing of young children is of central importance to the community. The</w:t>
      </w:r>
      <w:r w:rsidRPr="000107A9">
        <w:rPr>
          <w:rFonts w:asciiTheme="minorHAnsi" w:hAnsiTheme="minorHAnsi" w:cstheme="minorHAnsi"/>
          <w:iCs/>
          <w:sz w:val="22"/>
          <w:szCs w:val="22"/>
          <w:lang w:val="en-US"/>
        </w:rPr>
        <w:t xml:space="preserve"> quality of early childhood education and care is vitally important for early childhood development, educational outcomes, and whole-of-life achievement.</w:t>
      </w:r>
    </w:p>
    <w:p w14:paraId="7A556CFB" w14:textId="6496DAB5" w:rsidR="00492634" w:rsidRPr="00492634" w:rsidRDefault="00492634" w:rsidP="00C01E92">
      <w:pPr>
        <w:pStyle w:val="EYBodytextwithparaspace"/>
        <w:spacing w:before="120" w:after="120"/>
        <w:rPr>
          <w:rFonts w:asciiTheme="minorHAnsi" w:hAnsiTheme="minorHAnsi" w:cstheme="minorHAnsi"/>
          <w:b/>
          <w:sz w:val="22"/>
          <w:szCs w:val="22"/>
        </w:rPr>
      </w:pPr>
      <w:r w:rsidRPr="00492634">
        <w:rPr>
          <w:rFonts w:asciiTheme="minorHAnsi" w:hAnsiTheme="minorHAnsi" w:cstheme="minorHAnsi"/>
          <w:b/>
          <w:sz w:val="22"/>
          <w:szCs w:val="22"/>
        </w:rPr>
        <w:t>Ensure safety</w:t>
      </w:r>
    </w:p>
    <w:p w14:paraId="14AD3D30" w14:textId="5F73BC41"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Children in education and care settings are at risk of experiencing harm. Young children in care settings are particularly vulnerable because they are not autonomous and may have </w:t>
      </w:r>
      <w:r w:rsidRPr="00A3329E">
        <w:rPr>
          <w:rFonts w:asciiTheme="minorHAnsi" w:hAnsiTheme="minorHAnsi" w:cstheme="minorHAnsi"/>
          <w:sz w:val="22"/>
          <w:szCs w:val="22"/>
        </w:rPr>
        <w:t>limited agency or a voice.</w:t>
      </w:r>
    </w:p>
    <w:p w14:paraId="5511255D" w14:textId="70B415FA"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lastRenderedPageBreak/>
        <w:t xml:space="preserve">There </w:t>
      </w:r>
      <w:r w:rsidR="005240F3">
        <w:rPr>
          <w:rFonts w:asciiTheme="minorHAnsi" w:hAnsiTheme="minorHAnsi" w:cstheme="minorHAnsi"/>
          <w:sz w:val="22"/>
          <w:szCs w:val="22"/>
        </w:rPr>
        <w:t>are</w:t>
      </w:r>
      <w:r w:rsidR="005240F3" w:rsidRPr="000107A9">
        <w:rPr>
          <w:rFonts w:asciiTheme="minorHAnsi" w:hAnsiTheme="minorHAnsi" w:cstheme="minorHAnsi"/>
          <w:sz w:val="22"/>
          <w:szCs w:val="22"/>
        </w:rPr>
        <w:t xml:space="preserve"> </w:t>
      </w:r>
      <w:r w:rsidRPr="000107A9">
        <w:rPr>
          <w:rFonts w:asciiTheme="minorHAnsi" w:hAnsiTheme="minorHAnsi" w:cstheme="minorHAnsi"/>
          <w:sz w:val="22"/>
          <w:szCs w:val="22"/>
        </w:rPr>
        <w:t>a range of mechanisms that protect the safety, health and wellbeing of children in the various settings they may attend. These include; Child Safe Standards</w:t>
      </w:r>
      <w:r w:rsidRPr="00D71DD0">
        <w:rPr>
          <w:rFonts w:asciiTheme="minorHAnsi" w:hAnsiTheme="minorHAnsi" w:cstheme="minorHAnsi"/>
          <w:sz w:val="22"/>
          <w:szCs w:val="22"/>
          <w:vertAlign w:val="superscript"/>
        </w:rPr>
        <w:footnoteReference w:id="6"/>
      </w:r>
      <w:r w:rsidRPr="000107A9">
        <w:rPr>
          <w:rFonts w:asciiTheme="minorHAnsi" w:hAnsiTheme="minorHAnsi" w:cstheme="minorHAnsi"/>
          <w:sz w:val="22"/>
          <w:szCs w:val="22"/>
        </w:rPr>
        <w:t xml:space="preserve">; Working with Children requirements; </w:t>
      </w:r>
      <w:r w:rsidR="00514C50">
        <w:rPr>
          <w:rFonts w:asciiTheme="minorHAnsi" w:hAnsiTheme="minorHAnsi" w:cstheme="minorHAnsi"/>
          <w:sz w:val="22"/>
          <w:szCs w:val="22"/>
        </w:rPr>
        <w:t xml:space="preserve">building standards; work safety </w:t>
      </w:r>
      <w:r w:rsidRPr="000107A9">
        <w:rPr>
          <w:rFonts w:asciiTheme="minorHAnsi" w:hAnsiTheme="minorHAnsi" w:cstheme="minorHAnsi"/>
          <w:sz w:val="22"/>
          <w:szCs w:val="22"/>
        </w:rPr>
        <w:t xml:space="preserve">laws; and common law principles. While these mechanisms support the quality of facilities and the safety, health and wellbeing of children, they do not fully address the risks to children in early childhood education and care settings. For instance, these regulatory mechanisms do not provide for minimum staff to child ratios or for the qualifications to be held by people </w:t>
      </w:r>
      <w:r w:rsidR="00C2475B" w:rsidRPr="000107A9">
        <w:rPr>
          <w:rFonts w:asciiTheme="minorHAnsi" w:hAnsiTheme="minorHAnsi" w:cstheme="minorHAnsi"/>
          <w:sz w:val="22"/>
          <w:szCs w:val="22"/>
        </w:rPr>
        <w:t xml:space="preserve">educating </w:t>
      </w:r>
      <w:r w:rsidRPr="000107A9">
        <w:rPr>
          <w:rFonts w:asciiTheme="minorHAnsi" w:hAnsiTheme="minorHAnsi" w:cstheme="minorHAnsi"/>
          <w:sz w:val="22"/>
          <w:szCs w:val="22"/>
        </w:rPr>
        <w:t xml:space="preserve">for and </w:t>
      </w:r>
      <w:r w:rsidR="00C2475B" w:rsidRPr="000107A9">
        <w:rPr>
          <w:rFonts w:asciiTheme="minorHAnsi" w:hAnsiTheme="minorHAnsi" w:cstheme="minorHAnsi"/>
          <w:sz w:val="22"/>
          <w:szCs w:val="22"/>
        </w:rPr>
        <w:t xml:space="preserve">caring </w:t>
      </w:r>
      <w:r w:rsidRPr="000107A9">
        <w:rPr>
          <w:rFonts w:asciiTheme="minorHAnsi" w:hAnsiTheme="minorHAnsi" w:cstheme="minorHAnsi"/>
          <w:sz w:val="22"/>
          <w:szCs w:val="22"/>
        </w:rPr>
        <w:t>children. As will be discussed in later sections of this RIS, having sufficient, adequately trained staff in early childhood education and care services (e.g. with First Aid training) is key to protecting the safety, health and wellbeing of children attending services.</w:t>
      </w:r>
    </w:p>
    <w:p w14:paraId="0DD35334"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likelihood of the risk of children experiencing harm may differ in relation to service types. For example, children attending a service on an ad hoc basis (occasional care) may be at a higher risk of harm than children who attend a service regularly (kindergarten), because children’s relationships with educators in occasional care settings may not be as strong nor are children as familiar with the service’s environment and routines.</w:t>
      </w:r>
    </w:p>
    <w:p w14:paraId="7F2BB360"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Families expect assurance that the services they use to care for their children meet minimum standards acceptable to the community, so that their children are protected from potential physical and psychological harm. It is a reasonable expectation that the safety, health and wellbeing of </w:t>
      </w:r>
      <w:r w:rsidRPr="000107A9">
        <w:rPr>
          <w:rFonts w:asciiTheme="minorHAnsi" w:hAnsiTheme="minorHAnsi" w:cstheme="minorHAnsi"/>
          <w:b/>
          <w:sz w:val="22"/>
          <w:szCs w:val="22"/>
        </w:rPr>
        <w:t>children in all services</w:t>
      </w:r>
      <w:r w:rsidRPr="000107A9">
        <w:rPr>
          <w:rFonts w:asciiTheme="minorHAnsi" w:hAnsiTheme="minorHAnsi" w:cstheme="minorHAnsi"/>
          <w:sz w:val="22"/>
          <w:szCs w:val="22"/>
        </w:rPr>
        <w:t xml:space="preserve"> is protected, and there is a community expectation that the safety, health and wellbeing of children attending services will be subject to regulatory oversight.</w:t>
      </w:r>
    </w:p>
    <w:p w14:paraId="549D74C8" w14:textId="31108A2C" w:rsidR="00492634" w:rsidRPr="00492634" w:rsidRDefault="00492634" w:rsidP="00C01E92">
      <w:pPr>
        <w:pStyle w:val="EYBodytextwithparaspace"/>
        <w:spacing w:before="120" w:after="120"/>
        <w:rPr>
          <w:rFonts w:asciiTheme="minorHAnsi" w:hAnsiTheme="minorHAnsi" w:cstheme="minorHAnsi"/>
          <w:b/>
          <w:sz w:val="22"/>
          <w:szCs w:val="22"/>
        </w:rPr>
      </w:pPr>
      <w:r w:rsidRPr="00492634">
        <w:rPr>
          <w:rFonts w:asciiTheme="minorHAnsi" w:hAnsiTheme="minorHAnsi" w:cstheme="minorHAnsi"/>
          <w:b/>
          <w:sz w:val="22"/>
          <w:szCs w:val="22"/>
        </w:rPr>
        <w:t>Drive quality</w:t>
      </w:r>
    </w:p>
    <w:p w14:paraId="2CC1234F" w14:textId="32AA9185"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An increasing focus on quality in the early childhood sector has highlighted the need for regulatory oversight to drive quality improvements. This is particularly the case where parent choice is limited by other market factors such as high demand for or lack of services, and therefore a key driver of quality may be absent.</w:t>
      </w:r>
    </w:p>
    <w:p w14:paraId="08745C3A"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Families expect that their children who attend education and care services are supported to reach their best potential through a quality recreational and educational program delivered by the service. Research also indicates that the meaningful inclusion of children with special or additional needs into universal early childhood education and care settings is supported when there is a higher level of staff to child ratios.</w:t>
      </w:r>
      <w:r w:rsidRPr="00D71DD0">
        <w:rPr>
          <w:rStyle w:val="FootnoteReference"/>
          <w:rFonts w:asciiTheme="minorHAnsi" w:hAnsiTheme="minorHAnsi" w:cstheme="minorHAnsi"/>
          <w:color w:val="auto"/>
          <w:sz w:val="22"/>
          <w:szCs w:val="22"/>
        </w:rPr>
        <w:footnoteReference w:id="7"/>
      </w:r>
    </w:p>
    <w:p w14:paraId="7302DE54"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In addition, significant economic returns can be attributed to investment in high-quality early childhood education and care. Through ensuring the availability of high quality and affordable education and care services, </w:t>
      </w:r>
      <w:r w:rsidRPr="000107A9">
        <w:rPr>
          <w:rFonts w:asciiTheme="minorHAnsi" w:hAnsiTheme="minorHAnsi" w:cstheme="minorHAnsi"/>
          <w:b/>
          <w:sz w:val="22"/>
          <w:szCs w:val="22"/>
        </w:rPr>
        <w:t>including occasional care</w:t>
      </w:r>
      <w:r w:rsidRPr="000107A9">
        <w:rPr>
          <w:rFonts w:asciiTheme="minorHAnsi" w:hAnsiTheme="minorHAnsi" w:cstheme="minorHAnsi"/>
          <w:sz w:val="22"/>
          <w:szCs w:val="22"/>
        </w:rPr>
        <w:t>, children’s services can support a critical prerequisite to parents’ ability and willingness to remain in or re-enter the workforce.</w:t>
      </w:r>
    </w:p>
    <w:p w14:paraId="501844BC"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Key aspects of quality linked to developmental outcomes include staff qualifications, staff to child ratios, quality of the educational programs provided to children, and the nature of the interaction between the child and staff member or care giver.</w:t>
      </w:r>
    </w:p>
    <w:p w14:paraId="4E11C2D4"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Educator to child ratios and educator qualifications support the safety, welfare and wellbeing of children at the service and allow staff to effectively support each child’s learning, development and active engagement. The interactions that occur, or do not occur, have a significant and lasting effect on all the development and learning that follows. For that reason, the ratio of educators to children is important to ensure </w:t>
      </w:r>
      <w:r w:rsidRPr="000107A9">
        <w:rPr>
          <w:rFonts w:asciiTheme="minorHAnsi" w:hAnsiTheme="minorHAnsi" w:cstheme="minorHAnsi"/>
          <w:b/>
          <w:sz w:val="22"/>
          <w:szCs w:val="22"/>
        </w:rPr>
        <w:t>each child receives the attention they need to promote their development</w:t>
      </w:r>
      <w:r w:rsidRPr="000107A9">
        <w:rPr>
          <w:rFonts w:asciiTheme="minorHAnsi" w:hAnsiTheme="minorHAnsi" w:cstheme="minorHAnsi"/>
          <w:sz w:val="22"/>
          <w:szCs w:val="22"/>
        </w:rPr>
        <w:t>.</w:t>
      </w:r>
    </w:p>
    <w:p w14:paraId="1A6C1363"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lastRenderedPageBreak/>
        <w:t>A large body of evidence underscores the critical importance of high-quality education and care to childhood development.</w:t>
      </w:r>
      <w:r w:rsidRPr="000107A9">
        <w:rPr>
          <w:rFonts w:asciiTheme="minorHAnsi" w:hAnsiTheme="minorHAnsi" w:cstheme="minorHAnsi"/>
          <w:sz w:val="22"/>
          <w:szCs w:val="22"/>
          <w:vertAlign w:val="superscript"/>
        </w:rPr>
        <w:footnoteReference w:id="8"/>
      </w:r>
      <w:r w:rsidRPr="000107A9">
        <w:rPr>
          <w:rFonts w:asciiTheme="minorHAnsi" w:hAnsiTheme="minorHAnsi" w:cstheme="minorHAnsi"/>
          <w:sz w:val="22"/>
          <w:szCs w:val="22"/>
          <w:vertAlign w:val="superscript"/>
        </w:rPr>
        <w:t xml:space="preserve"> </w:t>
      </w:r>
      <w:r w:rsidRPr="000107A9">
        <w:rPr>
          <w:rFonts w:asciiTheme="minorHAnsi" w:hAnsiTheme="minorHAnsi" w:cstheme="minorHAnsi"/>
          <w:sz w:val="22"/>
          <w:szCs w:val="22"/>
        </w:rPr>
        <w:t>Research shows a positive relationship between time spent in high-quality early childhood education and care and increases in positive cognitive, social and health outcomes. Participation can also narrow achievement gaps across socio-economic groups and these benefits can extend into and beyond adolescence.</w:t>
      </w:r>
    </w:p>
    <w:p w14:paraId="435E8DCE"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Regardless of the type of service—short or long term, the research indicates that qualified educators have a greater understanding and capacity to provide an environment where children receive stimulating education and quality care.</w:t>
      </w:r>
    </w:p>
    <w:p w14:paraId="1D72F114" w14:textId="34DFA4E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Effective Early Education Experiences for Kids (</w:t>
      </w:r>
      <w:r w:rsidRPr="00A87A06">
        <w:rPr>
          <w:rFonts w:asciiTheme="minorHAnsi" w:hAnsiTheme="minorHAnsi" w:cstheme="minorHAnsi"/>
          <w:sz w:val="22"/>
          <w:szCs w:val="22"/>
        </w:rPr>
        <w:t>E4Kids</w:t>
      </w:r>
      <w:r w:rsidRPr="000107A9">
        <w:rPr>
          <w:rFonts w:asciiTheme="minorHAnsi" w:hAnsiTheme="minorHAnsi" w:cstheme="minorHAnsi"/>
          <w:sz w:val="22"/>
          <w:szCs w:val="22"/>
        </w:rPr>
        <w:t>) Study,</w:t>
      </w:r>
      <w:r w:rsidRPr="00D71DD0">
        <w:rPr>
          <w:rStyle w:val="FootnoteReference"/>
          <w:rFonts w:asciiTheme="minorHAnsi" w:hAnsiTheme="minorHAnsi" w:cstheme="minorHAnsi"/>
          <w:color w:val="auto"/>
          <w:sz w:val="22"/>
          <w:szCs w:val="22"/>
        </w:rPr>
        <w:footnoteReference w:id="9"/>
      </w:r>
      <w:r w:rsidRPr="000107A9">
        <w:rPr>
          <w:rFonts w:asciiTheme="minorHAnsi" w:hAnsiTheme="minorHAnsi" w:cstheme="minorHAnsi"/>
          <w:sz w:val="22"/>
          <w:szCs w:val="22"/>
        </w:rPr>
        <w:t xml:space="preserve"> undertaken from 2010, confirmed the association of higher-level educator/teacher qualifications with better “process quality” (i.e. the practice of early childhood educators and the everyday experience of children in early education settings), and subsequently improved children’s cognitive outcomes. Similarly, the 2017 Starting Strong report showed that staff</w:t>
      </w:r>
      <w:r w:rsidR="00C2475B">
        <w:rPr>
          <w:rFonts w:asciiTheme="minorHAnsi" w:hAnsiTheme="minorHAnsi" w:cstheme="minorHAnsi"/>
          <w:sz w:val="22"/>
          <w:szCs w:val="22"/>
        </w:rPr>
        <w:t>’s</w:t>
      </w:r>
      <w:r w:rsidRPr="000107A9">
        <w:rPr>
          <w:rFonts w:asciiTheme="minorHAnsi" w:hAnsiTheme="minorHAnsi" w:cstheme="minorHAnsi"/>
          <w:sz w:val="22"/>
          <w:szCs w:val="22"/>
        </w:rPr>
        <w:t xml:space="preserve"> initial training level is positively associated with overall quality. Higher staff qualifications result in a more stimulating environment and high-quality pedagogical practices, which boost children’s well-being and learning outcomes. However, it is not only qualifications that affect outcomes; it is the ability of staff members to create a better pedagogical environment that makes a real difference.</w:t>
      </w:r>
    </w:p>
    <w:p w14:paraId="5D974C8D" w14:textId="09C85494" w:rsidR="00C01E92" w:rsidRPr="000107A9" w:rsidRDefault="00C01E92" w:rsidP="00D71DD0">
      <w:pPr>
        <w:pStyle w:val="EYBodytextwithparaspace"/>
        <w:pBdr>
          <w:top w:val="single" w:sz="4" w:space="1" w:color="auto"/>
          <w:left w:val="single" w:sz="4" w:space="4" w:color="auto"/>
          <w:bottom w:val="single" w:sz="4" w:space="1" w:color="auto"/>
          <w:right w:val="single" w:sz="4" w:space="4" w:color="auto"/>
        </w:pBdr>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Higher qualifications of staff educating and caring for children are strongly associated with improved child outcomes, as educators are better able to involve children, stimulate interactions and use a range of strategies to extend and support their learning. Higher qualifications show benefits for all ages </w:t>
      </w:r>
      <w:r w:rsidR="00C2475B">
        <w:rPr>
          <w:rFonts w:asciiTheme="minorHAnsi" w:hAnsiTheme="minorHAnsi" w:cstheme="minorHAnsi"/>
          <w:sz w:val="22"/>
          <w:szCs w:val="22"/>
        </w:rPr>
        <w:t xml:space="preserve">of children </w:t>
      </w:r>
      <w:r w:rsidRPr="000107A9">
        <w:rPr>
          <w:rFonts w:asciiTheme="minorHAnsi" w:hAnsiTheme="minorHAnsi" w:cstheme="minorHAnsi"/>
          <w:sz w:val="22"/>
          <w:szCs w:val="22"/>
        </w:rPr>
        <w:t>attending education and care services.</w:t>
      </w:r>
    </w:p>
    <w:p w14:paraId="2C9159CA" w14:textId="77777777" w:rsidR="008A27D1"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There is sound evidence from research that the ratios of staff to children makes a positive difference in early childhood programs and particularly for children from birth to three years of age. Infants and toddlers do not thrive in environments where their need for individualised, responsive attention and attachment with caring, consistent educators is compromised because there are insufficient skilled adults to meet these critical needs. Research also indicates that the level of sensitive, responsive care for infants and toddlers decreases when the ratios of staff to children is decreased</w:t>
      </w:r>
      <w:r w:rsidRPr="00D71DD0">
        <w:rPr>
          <w:rFonts w:asciiTheme="minorHAnsi" w:hAnsiTheme="minorHAnsi" w:cstheme="minorHAnsi"/>
          <w:sz w:val="22"/>
          <w:szCs w:val="22"/>
        </w:rPr>
        <w:t>.</w:t>
      </w:r>
      <w:r w:rsidRPr="00D71DD0">
        <w:rPr>
          <w:rStyle w:val="FootnoteReference"/>
          <w:rFonts w:asciiTheme="minorHAnsi" w:hAnsiTheme="minorHAnsi" w:cstheme="minorHAnsi"/>
          <w:color w:val="auto"/>
          <w:sz w:val="22"/>
          <w:szCs w:val="22"/>
        </w:rPr>
        <w:footnoteReference w:id="10"/>
      </w:r>
      <w:r w:rsidR="008A27D1">
        <w:rPr>
          <w:rFonts w:asciiTheme="minorHAnsi" w:hAnsiTheme="minorHAnsi" w:cstheme="minorHAnsi"/>
          <w:sz w:val="22"/>
          <w:szCs w:val="22"/>
        </w:rPr>
        <w:t xml:space="preserve"> </w:t>
      </w:r>
    </w:p>
    <w:p w14:paraId="79817CFB" w14:textId="7EAF77BC"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Higher numbers of staff to children aged three to five years is associated with important learning outcomes including: more extensive language skills through increased opportunities for conversations with adults; increased literacy skills; improved general knowledge; more cooperative and positive behaviour with peers and adults; and better concentration and attention skills.</w:t>
      </w:r>
      <w:r w:rsidRPr="00D71DD0">
        <w:rPr>
          <w:rStyle w:val="FootnoteReference"/>
          <w:rFonts w:asciiTheme="minorHAnsi" w:hAnsiTheme="minorHAnsi" w:cstheme="minorHAnsi"/>
          <w:color w:val="auto"/>
          <w:sz w:val="22"/>
          <w:szCs w:val="22"/>
        </w:rPr>
        <w:footnoteReference w:id="11"/>
      </w:r>
    </w:p>
    <w:p w14:paraId="77A4A6E9"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In addition to improved outcomes for children, higher numbers of staff to child ratios encourage educators to want to work with young children because there is less stress for them and they appreciate the increased opportunities for more sensitive, responsive education and care for every child.</w:t>
      </w:r>
      <w:r w:rsidRPr="00D71DD0">
        <w:rPr>
          <w:rStyle w:val="FootnoteReference"/>
          <w:rFonts w:asciiTheme="minorHAnsi" w:hAnsiTheme="minorHAnsi" w:cstheme="minorHAnsi"/>
          <w:color w:val="auto"/>
          <w:sz w:val="22"/>
          <w:szCs w:val="22"/>
        </w:rPr>
        <w:footnoteReference w:id="12"/>
      </w:r>
      <w:r w:rsidRPr="00D71DD0">
        <w:rPr>
          <w:rFonts w:asciiTheme="minorHAnsi" w:hAnsiTheme="minorHAnsi" w:cstheme="minorHAnsi"/>
          <w:sz w:val="22"/>
          <w:szCs w:val="22"/>
        </w:rPr>
        <w:t xml:space="preserve"> </w:t>
      </w:r>
    </w:p>
    <w:p w14:paraId="02A4310F" w14:textId="77777777" w:rsidR="00C01E92" w:rsidRPr="00D71DD0" w:rsidRDefault="00C01E92" w:rsidP="00C01E92">
      <w:pPr>
        <w:pStyle w:val="EYBodytextwithparaspace"/>
        <w:spacing w:before="120" w:after="120"/>
        <w:rPr>
          <w:rFonts w:asciiTheme="minorHAnsi" w:hAnsiTheme="minorHAnsi" w:cstheme="minorHAnsi"/>
          <w:sz w:val="22"/>
          <w:szCs w:val="22"/>
        </w:rPr>
      </w:pPr>
      <w:r w:rsidRPr="00D71DD0">
        <w:rPr>
          <w:rFonts w:asciiTheme="minorHAnsi" w:hAnsiTheme="minorHAnsi" w:cstheme="minorHAnsi"/>
          <w:sz w:val="22"/>
          <w:szCs w:val="22"/>
        </w:rPr>
        <w:t>There is evidence indicating that infants and toddlers especially benefit from stronger child-to-staff ratios. In many countries, child-to-staff ratios have been regulated, with stronger ratios for the very young children and lesser ratios for older children.</w:t>
      </w:r>
    </w:p>
    <w:p w14:paraId="010C3F80" w14:textId="77777777" w:rsidR="00C01E92" w:rsidRPr="00D71DD0" w:rsidRDefault="00C01E92" w:rsidP="00C01E92">
      <w:pPr>
        <w:pStyle w:val="EYBodytextwithparaspace"/>
        <w:spacing w:before="120" w:after="120"/>
        <w:rPr>
          <w:rFonts w:asciiTheme="minorHAnsi" w:hAnsiTheme="minorHAnsi" w:cstheme="minorHAnsi"/>
          <w:sz w:val="22"/>
          <w:szCs w:val="22"/>
        </w:rPr>
      </w:pPr>
      <w:r w:rsidRPr="00D71DD0">
        <w:rPr>
          <w:rFonts w:asciiTheme="minorHAnsi" w:hAnsiTheme="minorHAnsi" w:cstheme="minorHAnsi"/>
          <w:sz w:val="22"/>
          <w:szCs w:val="22"/>
        </w:rPr>
        <w:lastRenderedPageBreak/>
        <w:t>As the Strategies for Children Coalition Research report states, ‘better prepared teachers teach better’ because they have a deeper knowledge of child development and how children learn; are more responsive to children’s interests, strengths and needs; have more advanced skills in guiding children’s behaviour and planning for individual differences and learning including using effective early intervention strategies; understand the significance of relationships for learning and have the skills to develop the type of relationships which foster learning dispositions in children which in turn promotes children’s thinking skills, attentiveness, language skills and sociability; have the knowledge and skills to form partnerships with families in supporting every child’s learning and development; and are paid more and therefore are more likely to be retained and stay in the sector which helps programs to maintain quality overtime and reduces disparities in outcomes between services.</w:t>
      </w:r>
      <w:r w:rsidRPr="00D71DD0">
        <w:rPr>
          <w:rStyle w:val="FootnoteReference"/>
          <w:rFonts w:asciiTheme="minorHAnsi" w:hAnsiTheme="minorHAnsi" w:cstheme="minorHAnsi"/>
          <w:color w:val="auto"/>
          <w:sz w:val="22"/>
          <w:szCs w:val="22"/>
        </w:rPr>
        <w:footnoteReference w:id="13"/>
      </w:r>
    </w:p>
    <w:p w14:paraId="4DECCBB8" w14:textId="77777777" w:rsidR="00C01E92" w:rsidRPr="00D71DD0" w:rsidRDefault="00C01E92" w:rsidP="00D71DD0">
      <w:pPr>
        <w:pStyle w:val="EYBodytextwithparaspace"/>
        <w:pBdr>
          <w:top w:val="single" w:sz="4" w:space="1" w:color="auto"/>
          <w:left w:val="single" w:sz="4" w:space="4" w:color="auto"/>
          <w:bottom w:val="single" w:sz="4" w:space="1" w:color="auto"/>
          <w:right w:val="single" w:sz="4" w:space="4" w:color="auto"/>
        </w:pBdr>
        <w:spacing w:before="120" w:after="120"/>
        <w:rPr>
          <w:rFonts w:asciiTheme="minorHAnsi" w:hAnsiTheme="minorHAnsi" w:cstheme="minorHAnsi"/>
          <w:sz w:val="22"/>
          <w:szCs w:val="22"/>
        </w:rPr>
      </w:pPr>
      <w:r w:rsidRPr="00D71DD0">
        <w:rPr>
          <w:rFonts w:asciiTheme="minorHAnsi" w:hAnsiTheme="minorHAnsi" w:cstheme="minorHAnsi"/>
          <w:sz w:val="22"/>
          <w:szCs w:val="22"/>
        </w:rPr>
        <w:t>Having qualified staff with an understanding of how to engage with children and how to plan for and design a program for children allows for meaningful engagement with children – even for short periods of time – that supports their development.</w:t>
      </w:r>
    </w:p>
    <w:p w14:paraId="105030DB" w14:textId="77777777" w:rsidR="00C01E92" w:rsidRPr="00D71DD0" w:rsidRDefault="00C01E92" w:rsidP="00C01E92">
      <w:pPr>
        <w:pStyle w:val="EYBodytextwithparaspace"/>
        <w:spacing w:before="120" w:after="120"/>
        <w:rPr>
          <w:rFonts w:asciiTheme="minorHAnsi" w:hAnsiTheme="minorHAnsi" w:cstheme="minorHAnsi"/>
          <w:sz w:val="22"/>
          <w:szCs w:val="22"/>
        </w:rPr>
      </w:pPr>
      <w:r w:rsidRPr="00D71DD0">
        <w:rPr>
          <w:rFonts w:asciiTheme="minorHAnsi" w:hAnsiTheme="minorHAnsi" w:cstheme="minorHAnsi"/>
          <w:sz w:val="22"/>
          <w:szCs w:val="22"/>
        </w:rPr>
        <w:t>The NQF’s aim for a highly skilled workforce is supported by a growing body of research around the importance of educator to child interactions, with evidence that stronger educator to child ratios and educator qualifications are associated with higher quality early childhood education and care and, in turn, on outcomes for children.</w:t>
      </w:r>
      <w:r w:rsidRPr="00D71DD0">
        <w:rPr>
          <w:rStyle w:val="FootnoteReference"/>
          <w:rFonts w:asciiTheme="minorHAnsi" w:hAnsiTheme="minorHAnsi" w:cstheme="minorHAnsi"/>
          <w:color w:val="auto"/>
          <w:sz w:val="22"/>
          <w:szCs w:val="22"/>
        </w:rPr>
        <w:footnoteReference w:id="14"/>
      </w:r>
      <w:r w:rsidRPr="00D71DD0">
        <w:rPr>
          <w:rFonts w:asciiTheme="minorHAnsi" w:hAnsiTheme="minorHAnsi" w:cstheme="minorHAnsi"/>
          <w:sz w:val="22"/>
          <w:szCs w:val="22"/>
        </w:rPr>
        <w:t xml:space="preserve"> Higher staff numbers allow more individualised attention for each child, which supports the development of better social and learning skills, and the development of stronger relationships between staff and children.</w:t>
      </w:r>
    </w:p>
    <w:p w14:paraId="6F6F0CC9" w14:textId="77777777" w:rsidR="00C01E92" w:rsidRPr="00D71DD0" w:rsidRDefault="00C01E92" w:rsidP="00C01E92">
      <w:pPr>
        <w:pStyle w:val="EYBodytextwithparaspace"/>
        <w:spacing w:before="120" w:after="120"/>
        <w:rPr>
          <w:rFonts w:asciiTheme="minorHAnsi" w:hAnsiTheme="minorHAnsi" w:cstheme="minorHAnsi"/>
          <w:sz w:val="22"/>
          <w:szCs w:val="22"/>
        </w:rPr>
      </w:pPr>
      <w:r w:rsidRPr="00D71DD0">
        <w:rPr>
          <w:rFonts w:asciiTheme="minorHAnsi" w:hAnsiTheme="minorHAnsi" w:cstheme="minorHAnsi"/>
          <w:sz w:val="22"/>
          <w:szCs w:val="22"/>
        </w:rPr>
        <w:t>Research also indicates that the meaningful inclusion of children with special or additional needs into universal early childhood education and care settings is better supported when there is a higher level of staff to child ratios.</w:t>
      </w:r>
      <w:r w:rsidRPr="00D71DD0">
        <w:rPr>
          <w:rStyle w:val="FootnoteReference"/>
          <w:rFonts w:asciiTheme="minorHAnsi" w:hAnsiTheme="minorHAnsi" w:cstheme="minorHAnsi"/>
          <w:color w:val="auto"/>
          <w:sz w:val="22"/>
          <w:szCs w:val="22"/>
        </w:rPr>
        <w:footnoteReference w:id="15"/>
      </w:r>
    </w:p>
    <w:p w14:paraId="195562E1" w14:textId="1178C713" w:rsidR="00492634" w:rsidRPr="00492634" w:rsidRDefault="00492634" w:rsidP="00C01E92">
      <w:pPr>
        <w:pStyle w:val="EYBodytextwithparaspace"/>
        <w:spacing w:before="120" w:after="120"/>
        <w:rPr>
          <w:rFonts w:asciiTheme="minorHAnsi" w:hAnsiTheme="minorHAnsi" w:cstheme="minorHAnsi"/>
          <w:b/>
          <w:sz w:val="22"/>
          <w:szCs w:val="22"/>
        </w:rPr>
      </w:pPr>
      <w:r w:rsidRPr="00492634">
        <w:rPr>
          <w:rFonts w:asciiTheme="minorHAnsi" w:hAnsiTheme="minorHAnsi" w:cstheme="minorHAnsi"/>
          <w:b/>
          <w:sz w:val="22"/>
          <w:szCs w:val="22"/>
        </w:rPr>
        <w:t>Industry efficacy</w:t>
      </w:r>
    </w:p>
    <w:p w14:paraId="4AC2B55B" w14:textId="4444AAB3" w:rsidR="00C01E92" w:rsidRPr="00D71DD0" w:rsidRDefault="00C01E92" w:rsidP="00C01E92">
      <w:pPr>
        <w:pStyle w:val="EYBodytextwithparaspace"/>
        <w:spacing w:before="120" w:after="120"/>
        <w:rPr>
          <w:rFonts w:asciiTheme="minorHAnsi" w:hAnsiTheme="minorHAnsi" w:cstheme="minorHAnsi"/>
          <w:sz w:val="22"/>
          <w:szCs w:val="22"/>
        </w:rPr>
      </w:pPr>
      <w:r w:rsidRPr="00D71DD0">
        <w:rPr>
          <w:rFonts w:asciiTheme="minorHAnsi" w:hAnsiTheme="minorHAnsi" w:cstheme="minorHAnsi"/>
          <w:sz w:val="22"/>
          <w:szCs w:val="22"/>
        </w:rPr>
        <w:t>It is important that services provide an environment where families feel confident to leave their children and that their children are safe, well cared for and have their developmental needs met, even for very short periods of time. Services providing short-term or ad hoc care are equally as vulnerable (as services providing regular care) to civil and possibly criminal liability should children in their care experience harm.</w:t>
      </w:r>
    </w:p>
    <w:p w14:paraId="2AB43CED" w14:textId="4380BBFB" w:rsidR="00C01E92" w:rsidRPr="00D71DD0" w:rsidRDefault="00C01E92" w:rsidP="00C01E92">
      <w:pPr>
        <w:pStyle w:val="EYBodytextwithparaspace"/>
        <w:spacing w:before="120" w:after="120"/>
        <w:rPr>
          <w:rFonts w:asciiTheme="minorHAnsi" w:hAnsiTheme="minorHAnsi" w:cstheme="minorHAnsi"/>
          <w:sz w:val="22"/>
          <w:szCs w:val="22"/>
        </w:rPr>
      </w:pPr>
      <w:r w:rsidRPr="00D71DD0">
        <w:rPr>
          <w:rFonts w:asciiTheme="minorHAnsi" w:hAnsiTheme="minorHAnsi" w:cstheme="minorHAnsi"/>
          <w:sz w:val="22"/>
          <w:szCs w:val="22"/>
        </w:rPr>
        <w:t xml:space="preserve">Compliance with minimum standards compels the industry to provide services that adequately ensure the safety, health and wellbeing of children. </w:t>
      </w:r>
      <w:r w:rsidR="00AC73EC">
        <w:rPr>
          <w:rFonts w:asciiTheme="minorHAnsi" w:hAnsiTheme="minorHAnsi" w:cstheme="minorHAnsi"/>
          <w:sz w:val="22"/>
          <w:szCs w:val="22"/>
        </w:rPr>
        <w:t>For example, f</w:t>
      </w:r>
      <w:r w:rsidRPr="00D71DD0">
        <w:rPr>
          <w:rFonts w:asciiTheme="minorHAnsi" w:hAnsiTheme="minorHAnsi" w:cstheme="minorHAnsi"/>
          <w:sz w:val="22"/>
          <w:szCs w:val="22"/>
        </w:rPr>
        <w:t>acilities such as fitness and leisure centres that provide children’s services as an adjunct to their primary business offering (e.g. while parents undertake a fitness class) have a duty of care for the very young people on their premises. In addition, minimum requirements for service premises to provide indoor and outdoor space for children promotes better supervision of care and provides parameters for what is feasible and safe for both the industry and children.</w:t>
      </w:r>
    </w:p>
    <w:p w14:paraId="2B39D139" w14:textId="4EB1A664" w:rsidR="00D71DD0" w:rsidRDefault="00C01E92" w:rsidP="00C01E92">
      <w:pPr>
        <w:pStyle w:val="EYBodytextwithparaspace"/>
        <w:spacing w:before="120" w:after="120"/>
        <w:rPr>
          <w:rFonts w:asciiTheme="minorHAnsi" w:hAnsiTheme="minorHAnsi" w:cstheme="minorHAnsi"/>
          <w:sz w:val="22"/>
          <w:szCs w:val="22"/>
        </w:rPr>
      </w:pPr>
      <w:r w:rsidRPr="00D71DD0">
        <w:rPr>
          <w:rFonts w:asciiTheme="minorHAnsi" w:hAnsiTheme="minorHAnsi" w:cstheme="minorHAnsi"/>
          <w:sz w:val="22"/>
          <w:szCs w:val="22"/>
        </w:rPr>
        <w:t xml:space="preserve">While children’s services will not be assessed and quality rated against the National Quality Standard, they will be monitored for compliance regularly, and the provider/service approval process for new entrants to the market provides a baseline ‘check and balance’ to assure a service </w:t>
      </w:r>
      <w:r w:rsidRPr="000107A9">
        <w:rPr>
          <w:rFonts w:asciiTheme="minorHAnsi" w:hAnsiTheme="minorHAnsi" w:cstheme="minorHAnsi"/>
          <w:sz w:val="22"/>
          <w:szCs w:val="22"/>
        </w:rPr>
        <w:t>will meet its duty of care and formally reinforces Victoria’s commitment to ensuring the safety, health and wellbeing of all children.</w:t>
      </w:r>
    </w:p>
    <w:p w14:paraId="5DB83D7B" w14:textId="5648F099" w:rsidR="00CF5254" w:rsidRDefault="00CF5254">
      <w:pPr>
        <w:spacing w:after="0"/>
        <w:rPr>
          <w:rFonts w:eastAsia="Times New Roman" w:cstheme="minorHAnsi"/>
          <w:szCs w:val="22"/>
          <w:lang w:val="en-AU"/>
        </w:rPr>
      </w:pPr>
      <w:r>
        <w:rPr>
          <w:rFonts w:cstheme="minorHAnsi"/>
          <w:szCs w:val="22"/>
        </w:rPr>
        <w:br w:type="page"/>
      </w:r>
    </w:p>
    <w:p w14:paraId="021293E3" w14:textId="5A858604" w:rsidR="00C01E92" w:rsidRPr="00D71DD0" w:rsidRDefault="00C01E92" w:rsidP="004F4E5D">
      <w:pPr>
        <w:pStyle w:val="Heading1"/>
        <w:numPr>
          <w:ilvl w:val="0"/>
          <w:numId w:val="12"/>
        </w:numPr>
      </w:pPr>
      <w:bookmarkStart w:id="35" w:name="_Toc25749852"/>
      <w:bookmarkStart w:id="36" w:name="_Ref25753078"/>
      <w:bookmarkStart w:id="37" w:name="_Toc30669603"/>
      <w:bookmarkStart w:id="38" w:name="_Toc32936864"/>
      <w:r w:rsidRPr="00D71DD0">
        <w:lastRenderedPageBreak/>
        <w:t>Picture of the sector</w:t>
      </w:r>
      <w:bookmarkEnd w:id="35"/>
      <w:bookmarkEnd w:id="36"/>
      <w:bookmarkEnd w:id="37"/>
      <w:bookmarkEnd w:id="38"/>
    </w:p>
    <w:p w14:paraId="1DC00E75" w14:textId="2E48DE05" w:rsidR="00C01E92" w:rsidRPr="00D71DD0" w:rsidRDefault="00C01E92" w:rsidP="00C01E92">
      <w:pPr>
        <w:pStyle w:val="EYBodytextwithparaspace"/>
        <w:spacing w:before="120" w:after="120"/>
        <w:rPr>
          <w:rFonts w:asciiTheme="minorHAnsi" w:hAnsiTheme="minorHAnsi" w:cstheme="minorHAnsi"/>
          <w:sz w:val="22"/>
          <w:szCs w:val="22"/>
        </w:rPr>
      </w:pPr>
      <w:r w:rsidRPr="00D71DD0">
        <w:rPr>
          <w:rFonts w:asciiTheme="minorHAnsi" w:hAnsiTheme="minorHAnsi" w:cstheme="minorHAnsi"/>
          <w:sz w:val="22"/>
          <w:szCs w:val="22"/>
        </w:rPr>
        <w:t xml:space="preserve">In Victoria, the number of </w:t>
      </w:r>
      <w:r w:rsidRPr="00C2475B">
        <w:rPr>
          <w:rFonts w:asciiTheme="minorHAnsi" w:hAnsiTheme="minorHAnsi" w:cstheme="minorHAnsi"/>
          <w:sz w:val="22"/>
          <w:szCs w:val="22"/>
        </w:rPr>
        <w:t>children’s services has</w:t>
      </w:r>
      <w:r w:rsidRPr="00D71DD0">
        <w:rPr>
          <w:rFonts w:asciiTheme="minorHAnsi" w:hAnsiTheme="minorHAnsi" w:cstheme="minorHAnsi"/>
          <w:sz w:val="22"/>
          <w:szCs w:val="22"/>
        </w:rPr>
        <w:t xml:space="preserve"> been slowly reducing since the commencement of the NQF (from 457 in 2013 to approximately </w:t>
      </w:r>
      <w:r w:rsidRPr="00C2475B">
        <w:rPr>
          <w:rFonts w:asciiTheme="minorHAnsi" w:hAnsiTheme="minorHAnsi" w:cstheme="minorHAnsi"/>
          <w:b/>
          <w:sz w:val="22"/>
          <w:szCs w:val="22"/>
        </w:rPr>
        <w:t xml:space="preserve">320 </w:t>
      </w:r>
      <w:r w:rsidR="00C2475B" w:rsidRPr="00C2475B">
        <w:rPr>
          <w:rFonts w:asciiTheme="minorHAnsi" w:hAnsiTheme="minorHAnsi" w:cstheme="minorHAnsi"/>
          <w:b/>
          <w:sz w:val="22"/>
          <w:szCs w:val="22"/>
        </w:rPr>
        <w:t>licensed children’s services</w:t>
      </w:r>
      <w:r w:rsidR="00C2475B" w:rsidRPr="00D71DD0">
        <w:rPr>
          <w:rFonts w:asciiTheme="minorHAnsi" w:hAnsiTheme="minorHAnsi" w:cstheme="minorHAnsi"/>
          <w:sz w:val="22"/>
          <w:szCs w:val="22"/>
        </w:rPr>
        <w:t xml:space="preserve"> </w:t>
      </w:r>
      <w:r w:rsidRPr="00D71DD0">
        <w:rPr>
          <w:rFonts w:asciiTheme="minorHAnsi" w:hAnsiTheme="minorHAnsi" w:cstheme="minorHAnsi"/>
          <w:sz w:val="22"/>
          <w:szCs w:val="22"/>
        </w:rPr>
        <w:t>in December 2019), as has the number of approved places for children in these services (from 11,248 places in 2013 to approximately 8,120 in December 2019</w:t>
      </w:r>
      <w:r w:rsidR="00C2475B">
        <w:rPr>
          <w:rFonts w:asciiTheme="minorHAnsi" w:hAnsiTheme="minorHAnsi" w:cstheme="minorHAnsi"/>
          <w:sz w:val="22"/>
          <w:szCs w:val="22"/>
        </w:rPr>
        <w:t xml:space="preserve"> </w:t>
      </w:r>
      <w:r w:rsidR="00C2475B" w:rsidRPr="00D71DD0">
        <w:rPr>
          <w:rFonts w:asciiTheme="minorHAnsi" w:hAnsiTheme="minorHAnsi" w:cstheme="minorHAnsi"/>
          <w:sz w:val="22"/>
          <w:szCs w:val="22"/>
        </w:rPr>
        <w:t>(equating to 8% of early childhood education and care services in Victoria)</w:t>
      </w:r>
      <w:r w:rsidRPr="00D71DD0">
        <w:rPr>
          <w:rFonts w:asciiTheme="minorHAnsi" w:hAnsiTheme="minorHAnsi" w:cstheme="minorHAnsi"/>
          <w:sz w:val="22"/>
          <w:szCs w:val="22"/>
        </w:rPr>
        <w:t>. This reduction partly reflects some services that have transitioned to the NQF in order to operate for longer hours and provide regular care.</w:t>
      </w:r>
      <w:r w:rsidRPr="00D71DD0">
        <w:rPr>
          <w:rStyle w:val="FootnoteReference"/>
          <w:rFonts w:asciiTheme="minorHAnsi" w:hAnsiTheme="minorHAnsi" w:cstheme="minorHAnsi"/>
          <w:color w:val="auto"/>
          <w:sz w:val="22"/>
          <w:szCs w:val="22"/>
        </w:rPr>
        <w:footnoteReference w:id="16"/>
      </w:r>
    </w:p>
    <w:p w14:paraId="6BF771AD" w14:textId="77777777" w:rsidR="00C01E92" w:rsidRPr="00D71DD0" w:rsidRDefault="00C01E92" w:rsidP="00C01E92">
      <w:pPr>
        <w:pStyle w:val="EYBodytextwithparaspace"/>
        <w:spacing w:before="120" w:after="120"/>
        <w:rPr>
          <w:rFonts w:asciiTheme="minorHAnsi" w:hAnsiTheme="minorHAnsi" w:cstheme="minorHAnsi"/>
          <w:sz w:val="22"/>
          <w:szCs w:val="22"/>
        </w:rPr>
      </w:pPr>
      <w:r w:rsidRPr="00D71DD0">
        <w:rPr>
          <w:rFonts w:asciiTheme="minorHAnsi" w:hAnsiTheme="minorHAnsi" w:cstheme="minorHAnsi"/>
          <w:sz w:val="22"/>
          <w:szCs w:val="22"/>
        </w:rPr>
        <w:t>Types of children’s services include occasional care services providing care for limited hours on an ad hoc or casual basis, activity groups for three-year-old children, services providing adjunct care at fitness and leisure facilities, Neighbourhood Houses, school holidays care services, designed to care for children for short periods over the school holidays and wrap-around care offered in conjunction with sessional kindergarten.</w:t>
      </w:r>
    </w:p>
    <w:p w14:paraId="0ED0DC28" w14:textId="77777777" w:rsidR="00C01E92" w:rsidRPr="00D71DD0" w:rsidRDefault="00C01E92" w:rsidP="00C01E92">
      <w:pPr>
        <w:pStyle w:val="EYBodytextwithparaspace"/>
        <w:spacing w:before="120" w:after="120"/>
        <w:rPr>
          <w:rFonts w:asciiTheme="minorHAnsi" w:hAnsiTheme="minorHAnsi" w:cstheme="minorHAnsi"/>
          <w:sz w:val="22"/>
          <w:szCs w:val="22"/>
        </w:rPr>
      </w:pPr>
      <w:r w:rsidRPr="00D71DD0">
        <w:rPr>
          <w:rFonts w:asciiTheme="minorHAnsi" w:hAnsiTheme="minorHAnsi" w:cstheme="minorHAnsi"/>
          <w:sz w:val="22"/>
          <w:szCs w:val="22"/>
        </w:rPr>
        <w:t>The distinguishing feature of children’s services is that most children attend for short periods of time: no more than five hours per day and a total of 15 hours per week.</w:t>
      </w:r>
    </w:p>
    <w:p w14:paraId="63FD51B2" w14:textId="3C6114B5" w:rsidR="00492634" w:rsidRPr="00492634" w:rsidRDefault="00492634" w:rsidP="00492634">
      <w:pPr>
        <w:pStyle w:val="EYBodytextwithparaspace"/>
        <w:spacing w:before="120" w:after="120"/>
        <w:rPr>
          <w:rFonts w:asciiTheme="minorHAnsi" w:hAnsiTheme="minorHAnsi" w:cstheme="minorHAnsi"/>
          <w:b/>
          <w:sz w:val="22"/>
          <w:szCs w:val="22"/>
        </w:rPr>
      </w:pPr>
      <w:r w:rsidRPr="00492634">
        <w:rPr>
          <w:rFonts w:asciiTheme="minorHAnsi" w:hAnsiTheme="minorHAnsi" w:cstheme="minorHAnsi"/>
          <w:b/>
          <w:sz w:val="22"/>
          <w:szCs w:val="22"/>
        </w:rPr>
        <w:t>Service type</w:t>
      </w:r>
    </w:p>
    <w:p w14:paraId="7901C1D2" w14:textId="3E38303B" w:rsidR="00C01E92" w:rsidRPr="00D71DD0" w:rsidRDefault="00C01E92" w:rsidP="00C01E92">
      <w:pPr>
        <w:pStyle w:val="EYBodytextwithparaspace"/>
        <w:spacing w:before="120" w:after="120"/>
        <w:rPr>
          <w:rFonts w:asciiTheme="minorHAnsi" w:hAnsiTheme="minorHAnsi" w:cstheme="minorHAnsi"/>
          <w:sz w:val="22"/>
          <w:szCs w:val="22"/>
        </w:rPr>
      </w:pPr>
      <w:r w:rsidRPr="00D71DD0">
        <w:rPr>
          <w:rFonts w:asciiTheme="minorHAnsi" w:hAnsiTheme="minorHAnsi" w:cstheme="minorHAnsi"/>
          <w:sz w:val="22"/>
          <w:szCs w:val="22"/>
        </w:rPr>
        <w:t>Of the approximately 320 children’s services, around 88% provide education and care for</w:t>
      </w:r>
      <w:r w:rsidR="00EB4514">
        <w:rPr>
          <w:rFonts w:asciiTheme="minorHAnsi" w:hAnsiTheme="minorHAnsi" w:cstheme="minorHAnsi"/>
          <w:sz w:val="22"/>
          <w:szCs w:val="22"/>
        </w:rPr>
        <w:t xml:space="preserve"> each</w:t>
      </w:r>
      <w:r w:rsidRPr="00D71DD0">
        <w:rPr>
          <w:rFonts w:asciiTheme="minorHAnsi" w:hAnsiTheme="minorHAnsi" w:cstheme="minorHAnsi"/>
          <w:sz w:val="22"/>
          <w:szCs w:val="22"/>
        </w:rPr>
        <w:t xml:space="preserve"> child for </w:t>
      </w:r>
      <w:r w:rsidR="00C2475B">
        <w:rPr>
          <w:rFonts w:asciiTheme="minorHAnsi" w:hAnsiTheme="minorHAnsi" w:cstheme="minorHAnsi"/>
          <w:sz w:val="22"/>
          <w:szCs w:val="22"/>
        </w:rPr>
        <w:t>no more t</w:t>
      </w:r>
      <w:r w:rsidRPr="00D71DD0">
        <w:rPr>
          <w:rFonts w:asciiTheme="minorHAnsi" w:hAnsiTheme="minorHAnsi" w:cstheme="minorHAnsi"/>
          <w:sz w:val="22"/>
          <w:szCs w:val="22"/>
        </w:rPr>
        <w:t xml:space="preserve">han 15 hours per week, and 12% of services provide </w:t>
      </w:r>
      <w:r w:rsidR="00C2475B" w:rsidRPr="00D71DD0">
        <w:rPr>
          <w:rFonts w:asciiTheme="minorHAnsi" w:hAnsiTheme="minorHAnsi" w:cstheme="minorHAnsi"/>
          <w:sz w:val="22"/>
          <w:szCs w:val="22"/>
        </w:rPr>
        <w:t xml:space="preserve">education and care </w:t>
      </w:r>
      <w:r w:rsidR="00C2475B">
        <w:rPr>
          <w:rFonts w:asciiTheme="minorHAnsi" w:hAnsiTheme="minorHAnsi" w:cstheme="minorHAnsi"/>
          <w:sz w:val="22"/>
          <w:szCs w:val="22"/>
        </w:rPr>
        <w:t xml:space="preserve">for each child for no more than </w:t>
      </w:r>
      <w:r w:rsidR="00EB4514" w:rsidRPr="000A76C1">
        <w:rPr>
          <w:rFonts w:asciiTheme="minorHAnsi" w:hAnsiTheme="minorHAnsi" w:cstheme="minorHAnsi"/>
          <w:sz w:val="22"/>
          <w:szCs w:val="22"/>
        </w:rPr>
        <w:t xml:space="preserve">6 hours </w:t>
      </w:r>
      <w:r w:rsidRPr="00D71DD0">
        <w:rPr>
          <w:rFonts w:asciiTheme="minorHAnsi" w:hAnsiTheme="minorHAnsi" w:cstheme="minorHAnsi"/>
          <w:sz w:val="22"/>
          <w:szCs w:val="22"/>
        </w:rPr>
        <w:t>per week.</w:t>
      </w:r>
      <w:r w:rsidR="00B1683A">
        <w:rPr>
          <w:rFonts w:asciiTheme="minorHAnsi" w:hAnsiTheme="minorHAnsi" w:cstheme="minorHAnsi"/>
          <w:sz w:val="22"/>
          <w:szCs w:val="22"/>
        </w:rPr>
        <w:t xml:space="preserve"> </w:t>
      </w:r>
      <w:r w:rsidRPr="00B1683A">
        <w:rPr>
          <w:rFonts w:asciiTheme="minorHAnsi" w:hAnsiTheme="minorHAnsi" w:cstheme="minorHAnsi"/>
          <w:sz w:val="22"/>
          <w:szCs w:val="22"/>
        </w:rPr>
        <w:fldChar w:fldCharType="begin"/>
      </w:r>
      <w:r w:rsidRPr="00B1683A">
        <w:rPr>
          <w:rFonts w:asciiTheme="minorHAnsi" w:hAnsiTheme="minorHAnsi" w:cstheme="minorHAnsi"/>
          <w:sz w:val="22"/>
          <w:szCs w:val="22"/>
        </w:rPr>
        <w:instrText xml:space="preserve"> REF _Ref25752360 \h  \* MERGEFORMAT </w:instrText>
      </w:r>
      <w:r w:rsidRPr="00B1683A">
        <w:rPr>
          <w:rFonts w:asciiTheme="minorHAnsi" w:hAnsiTheme="minorHAnsi" w:cstheme="minorHAnsi"/>
          <w:sz w:val="22"/>
          <w:szCs w:val="22"/>
        </w:rPr>
      </w:r>
      <w:r w:rsidRPr="00B1683A">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 xml:space="preserve">Figure </w:t>
      </w:r>
      <w:r w:rsidR="00493211" w:rsidRPr="00493211">
        <w:rPr>
          <w:rFonts w:asciiTheme="minorHAnsi" w:hAnsiTheme="minorHAnsi" w:cstheme="minorHAnsi"/>
          <w:noProof/>
          <w:sz w:val="22"/>
          <w:szCs w:val="22"/>
        </w:rPr>
        <w:t>2</w:t>
      </w:r>
      <w:r w:rsidRPr="00B1683A">
        <w:rPr>
          <w:rFonts w:asciiTheme="minorHAnsi" w:hAnsiTheme="minorHAnsi" w:cstheme="minorHAnsi"/>
          <w:sz w:val="22"/>
          <w:szCs w:val="22"/>
        </w:rPr>
        <w:fldChar w:fldCharType="end"/>
      </w:r>
      <w:r w:rsidRPr="00B1683A">
        <w:rPr>
          <w:rFonts w:asciiTheme="minorHAnsi" w:hAnsiTheme="minorHAnsi" w:cstheme="minorHAnsi"/>
          <w:sz w:val="22"/>
          <w:szCs w:val="22"/>
        </w:rPr>
        <w:t xml:space="preserve"> illu</w:t>
      </w:r>
      <w:r w:rsidRPr="00D71DD0">
        <w:rPr>
          <w:rFonts w:asciiTheme="minorHAnsi" w:hAnsiTheme="minorHAnsi" w:cstheme="minorHAnsi"/>
          <w:sz w:val="22"/>
          <w:szCs w:val="22"/>
        </w:rPr>
        <w:t>strates the breakdown of children’s services by service type. The largest portion being occasional care at 88%.</w:t>
      </w:r>
    </w:p>
    <w:p w14:paraId="53758B4D" w14:textId="1D37E82E" w:rsidR="00C01E92" w:rsidRPr="00D71DD0" w:rsidRDefault="00C01E92" w:rsidP="00F7569F">
      <w:pPr>
        <w:pStyle w:val="Caption"/>
      </w:pPr>
      <w:bookmarkStart w:id="39" w:name="_Ref25752360"/>
      <w:bookmarkStart w:id="40" w:name="_Toc32403962"/>
      <w:r w:rsidRPr="00D71DD0">
        <w:t xml:space="preserve">Figure </w:t>
      </w:r>
      <w:r w:rsidRPr="00D71DD0">
        <w:fldChar w:fldCharType="begin"/>
      </w:r>
      <w:r w:rsidRPr="00D71DD0">
        <w:instrText xml:space="preserve"> SEQ Figure \* ARABIC </w:instrText>
      </w:r>
      <w:r w:rsidRPr="00D71DD0">
        <w:fldChar w:fldCharType="separate"/>
      </w:r>
      <w:r w:rsidR="00493211">
        <w:rPr>
          <w:noProof/>
        </w:rPr>
        <w:t>2</w:t>
      </w:r>
      <w:r w:rsidRPr="00D71DD0">
        <w:fldChar w:fldCharType="end"/>
      </w:r>
      <w:bookmarkEnd w:id="39"/>
      <w:r w:rsidRPr="00D71DD0">
        <w:t xml:space="preserve"> Children's service by type of care</w:t>
      </w:r>
      <w:bookmarkEnd w:id="40"/>
    </w:p>
    <w:p w14:paraId="5F6DE61B" w14:textId="77777777" w:rsidR="00C01E92" w:rsidRPr="000107A9" w:rsidRDefault="00C01E92" w:rsidP="00C01E92">
      <w:pPr>
        <w:pStyle w:val="EYBodytextwithparaspace"/>
        <w:spacing w:before="120" w:after="120"/>
        <w:jc w:val="center"/>
        <w:rPr>
          <w:rFonts w:asciiTheme="minorHAnsi" w:hAnsiTheme="minorHAnsi" w:cstheme="minorHAnsi"/>
          <w:sz w:val="22"/>
          <w:szCs w:val="22"/>
        </w:rPr>
      </w:pPr>
      <w:r w:rsidRPr="000107A9">
        <w:rPr>
          <w:rFonts w:asciiTheme="minorHAnsi" w:hAnsiTheme="minorHAnsi" w:cstheme="minorHAnsi"/>
          <w:noProof/>
          <w:sz w:val="22"/>
          <w:szCs w:val="22"/>
          <w:lang w:eastAsia="en-AU"/>
        </w:rPr>
        <w:drawing>
          <wp:inline distT="0" distB="0" distL="0" distR="0" wp14:anchorId="187E67EF" wp14:editId="7C017A1A">
            <wp:extent cx="4953663" cy="2798859"/>
            <wp:effectExtent l="0" t="0" r="0" b="1905"/>
            <wp:docPr id="11" name="Chart 11" descr="This is a bar chart that shows children's services by type of care. These are Kindergarten (0.62%), outside school hours care (0.93%), early childhood intervention (1.24%), three year old program (2.80%), long day care (5.90%) and occasional care (88.51%). "/>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621918C"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D71DD0">
        <w:rPr>
          <w:rFonts w:asciiTheme="minorHAnsi" w:hAnsiTheme="minorHAnsi" w:cstheme="minorHAnsi"/>
          <w:sz w:val="22"/>
          <w:szCs w:val="22"/>
        </w:rPr>
        <w:t xml:space="preserve">Of the 88% providing occasional care, around 39% are located at sports and leisure facilities (fitness centres/gym crèches), roughly 47% are in community centres, such as Neighbourhood Houses, with the remaining approximately 2% comprised of mobile services and some other </w:t>
      </w:r>
      <w:r w:rsidRPr="000107A9">
        <w:rPr>
          <w:rFonts w:asciiTheme="minorHAnsi" w:hAnsiTheme="minorHAnsi" w:cstheme="minorHAnsi"/>
          <w:sz w:val="22"/>
          <w:szCs w:val="22"/>
        </w:rPr>
        <w:t>services excluded from the NQF, such as former budget based funded (</w:t>
      </w:r>
      <w:r w:rsidRPr="00A87A06">
        <w:rPr>
          <w:rFonts w:asciiTheme="minorHAnsi" w:hAnsiTheme="minorHAnsi" w:cstheme="minorHAnsi"/>
          <w:sz w:val="22"/>
          <w:szCs w:val="22"/>
        </w:rPr>
        <w:t>BBF</w:t>
      </w:r>
      <w:r w:rsidRPr="000107A9">
        <w:rPr>
          <w:rFonts w:asciiTheme="minorHAnsi" w:hAnsiTheme="minorHAnsi" w:cstheme="minorHAnsi"/>
          <w:sz w:val="22"/>
          <w:szCs w:val="22"/>
        </w:rPr>
        <w:t>) services, which were funded under a previous Commonwealth funding program.</w:t>
      </w:r>
    </w:p>
    <w:p w14:paraId="20D96561" w14:textId="456C5F54" w:rsidR="00C01E92"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lastRenderedPageBreak/>
        <w:t xml:space="preserve">Former BBF services are primarily in rural locations or providing services to Aboriginal communities. They were originally kept out of the </w:t>
      </w:r>
      <w:r w:rsidRPr="00A87A06">
        <w:rPr>
          <w:rFonts w:asciiTheme="minorHAnsi" w:hAnsiTheme="minorHAnsi" w:cstheme="minorHAnsi"/>
          <w:sz w:val="22"/>
          <w:szCs w:val="22"/>
        </w:rPr>
        <w:t>NQF</w:t>
      </w:r>
      <w:r w:rsidRPr="00A87A06">
        <w:rPr>
          <w:rStyle w:val="FootnoteReference"/>
          <w:rFonts w:asciiTheme="minorHAnsi" w:hAnsiTheme="minorHAnsi" w:cstheme="minorHAnsi"/>
          <w:color w:val="auto"/>
          <w:sz w:val="22"/>
          <w:szCs w:val="22"/>
        </w:rPr>
        <w:footnoteReference w:id="17"/>
      </w:r>
      <w:r w:rsidRPr="00A87A06">
        <w:rPr>
          <w:rFonts w:asciiTheme="minorHAnsi" w:hAnsiTheme="minorHAnsi" w:cstheme="minorHAnsi"/>
          <w:sz w:val="22"/>
          <w:szCs w:val="22"/>
        </w:rPr>
        <w:t xml:space="preserve"> due </w:t>
      </w:r>
      <w:r w:rsidRPr="000107A9">
        <w:rPr>
          <w:rFonts w:asciiTheme="minorHAnsi" w:hAnsiTheme="minorHAnsi" w:cstheme="minorHAnsi"/>
          <w:sz w:val="22"/>
          <w:szCs w:val="22"/>
        </w:rPr>
        <w:t xml:space="preserve">to the fact many of these services would find it difficult to meet NQF </w:t>
      </w:r>
      <w:r w:rsidR="00EB4514">
        <w:rPr>
          <w:rFonts w:asciiTheme="minorHAnsi" w:hAnsiTheme="minorHAnsi" w:cstheme="minorHAnsi"/>
          <w:sz w:val="22"/>
          <w:szCs w:val="22"/>
        </w:rPr>
        <w:t>requirements</w:t>
      </w:r>
      <w:r w:rsidRPr="000107A9">
        <w:rPr>
          <w:rFonts w:asciiTheme="minorHAnsi" w:hAnsiTheme="minorHAnsi" w:cstheme="minorHAnsi"/>
          <w:sz w:val="22"/>
          <w:szCs w:val="22"/>
        </w:rPr>
        <w:t>. In Victoria, they provide long day care, kindergarten or occasional care, and are regulated under the Children’s Services Act.</w:t>
      </w:r>
    </w:p>
    <w:p w14:paraId="4FF38C17" w14:textId="44EF1E15" w:rsidR="00492634" w:rsidRPr="00492634" w:rsidRDefault="00492634" w:rsidP="00C01E92">
      <w:pPr>
        <w:pStyle w:val="EYBodytextwithparaspace"/>
        <w:spacing w:before="120" w:after="120"/>
        <w:rPr>
          <w:rFonts w:asciiTheme="minorHAnsi" w:hAnsiTheme="minorHAnsi" w:cstheme="minorHAnsi"/>
          <w:b/>
          <w:sz w:val="22"/>
          <w:szCs w:val="22"/>
        </w:rPr>
      </w:pPr>
      <w:r w:rsidRPr="00492634">
        <w:rPr>
          <w:rFonts w:asciiTheme="minorHAnsi" w:hAnsiTheme="minorHAnsi" w:cstheme="minorHAnsi"/>
          <w:b/>
          <w:sz w:val="22"/>
          <w:szCs w:val="22"/>
        </w:rPr>
        <w:t>Management type</w:t>
      </w:r>
    </w:p>
    <w:p w14:paraId="24F12EC0" w14:textId="709B0E84"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Children’s services are mainly managed by private, not-for-profit, community organisations (47%), as shown in </w:t>
      </w: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_Ref25752473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 xml:space="preserve">Figure </w:t>
      </w:r>
      <w:r w:rsidR="00493211" w:rsidRPr="00493211">
        <w:rPr>
          <w:rFonts w:asciiTheme="minorHAnsi" w:hAnsiTheme="minorHAnsi" w:cstheme="minorHAnsi"/>
          <w:noProof/>
          <w:sz w:val="22"/>
          <w:szCs w:val="22"/>
        </w:rPr>
        <w:t>3</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w:t>
      </w:r>
    </w:p>
    <w:p w14:paraId="539B2F73" w14:textId="3F8FC74C" w:rsidR="00C01E92" w:rsidRPr="000107A9" w:rsidRDefault="00C01E92" w:rsidP="00F7569F">
      <w:pPr>
        <w:pStyle w:val="Caption"/>
      </w:pPr>
      <w:bookmarkStart w:id="41" w:name="_Ref25752473"/>
      <w:bookmarkStart w:id="42" w:name="_Toc32403963"/>
      <w:r w:rsidRPr="000107A9">
        <w:t xml:space="preserve">Figure </w:t>
      </w:r>
      <w:r w:rsidRPr="000107A9">
        <w:fldChar w:fldCharType="begin"/>
      </w:r>
      <w:r w:rsidRPr="000107A9">
        <w:instrText xml:space="preserve"> SEQ Figure \* ARABIC </w:instrText>
      </w:r>
      <w:r w:rsidRPr="000107A9">
        <w:fldChar w:fldCharType="separate"/>
      </w:r>
      <w:r w:rsidR="00493211">
        <w:rPr>
          <w:noProof/>
        </w:rPr>
        <w:t>3</w:t>
      </w:r>
      <w:r w:rsidRPr="000107A9">
        <w:fldChar w:fldCharType="end"/>
      </w:r>
      <w:bookmarkEnd w:id="41"/>
      <w:r w:rsidRPr="000107A9">
        <w:t xml:space="preserve"> Children's services by management organisation type</w:t>
      </w:r>
      <w:bookmarkEnd w:id="42"/>
    </w:p>
    <w:p w14:paraId="0378355C" w14:textId="77777777" w:rsidR="00C01E92" w:rsidRPr="000107A9" w:rsidRDefault="00C01E92" w:rsidP="00C01E92">
      <w:pPr>
        <w:pStyle w:val="EYBodytextwithparaspace"/>
        <w:spacing w:before="120" w:after="120"/>
        <w:jc w:val="center"/>
        <w:rPr>
          <w:rFonts w:asciiTheme="minorHAnsi" w:hAnsiTheme="minorHAnsi" w:cstheme="minorHAnsi"/>
          <w:sz w:val="22"/>
          <w:szCs w:val="22"/>
        </w:rPr>
      </w:pPr>
      <w:r w:rsidRPr="000107A9">
        <w:rPr>
          <w:rFonts w:asciiTheme="minorHAnsi" w:hAnsiTheme="minorHAnsi" w:cstheme="minorHAnsi"/>
          <w:noProof/>
          <w:sz w:val="22"/>
          <w:szCs w:val="22"/>
          <w:lang w:eastAsia="en-AU"/>
        </w:rPr>
        <w:drawing>
          <wp:inline distT="0" distB="0" distL="0" distR="0" wp14:anchorId="17AB16DA" wp14:editId="19D80A54">
            <wp:extent cx="4707172" cy="2194560"/>
            <wp:effectExtent l="0" t="0" r="0" b="0"/>
            <wp:docPr id="12" name="Chart 12" descr="This is a bar chart showing children's services by management organisations type. These are private not-for-profit (9%), State or Local Government (17%), private for profit (27%) and private not-for-profit community managed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5A3B116" w14:textId="5658452F"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Approved Associated Children’s Services (</w:t>
      </w:r>
      <w:r w:rsidRPr="00A87A06">
        <w:rPr>
          <w:rFonts w:asciiTheme="minorHAnsi" w:hAnsiTheme="minorHAnsi" w:cstheme="minorHAnsi"/>
          <w:sz w:val="22"/>
          <w:szCs w:val="22"/>
        </w:rPr>
        <w:t>AACS</w:t>
      </w:r>
      <w:r w:rsidRPr="000107A9">
        <w:rPr>
          <w:rFonts w:asciiTheme="minorHAnsi" w:hAnsiTheme="minorHAnsi" w:cstheme="minorHAnsi"/>
          <w:sz w:val="22"/>
          <w:szCs w:val="22"/>
        </w:rPr>
        <w:t xml:space="preserve">) model enables an approved provider to operate a service under both National and </w:t>
      </w:r>
      <w:r w:rsidRPr="00A87A06">
        <w:rPr>
          <w:rFonts w:asciiTheme="minorHAnsi" w:hAnsiTheme="minorHAnsi" w:cstheme="minorHAnsi"/>
          <w:sz w:val="22"/>
          <w:szCs w:val="22"/>
        </w:rPr>
        <w:t>Victorian</w:t>
      </w:r>
      <w:r w:rsidRPr="000107A9">
        <w:rPr>
          <w:rFonts w:asciiTheme="minorHAnsi" w:hAnsiTheme="minorHAnsi" w:cstheme="minorHAnsi"/>
          <w:sz w:val="22"/>
          <w:szCs w:val="22"/>
        </w:rPr>
        <w:t xml:space="preserve"> regimes at the same location, under a single NQF service approval. This concept was devised when the NQF was introduced to overcome the need for a provider to obtain service approvals under two regulatory regimes. Currently, there are approximately 40 </w:t>
      </w:r>
      <w:r w:rsidR="00EB4514">
        <w:rPr>
          <w:rFonts w:asciiTheme="minorHAnsi" w:hAnsiTheme="minorHAnsi" w:cstheme="minorHAnsi"/>
          <w:sz w:val="22"/>
          <w:szCs w:val="22"/>
        </w:rPr>
        <w:t>AACSs</w:t>
      </w:r>
      <w:r w:rsidRPr="000107A9">
        <w:rPr>
          <w:rFonts w:asciiTheme="minorHAnsi" w:hAnsiTheme="minorHAnsi" w:cstheme="minorHAnsi"/>
          <w:sz w:val="22"/>
          <w:szCs w:val="22"/>
        </w:rPr>
        <w:t xml:space="preserve"> operated by 29 NQF approved providers in Victoria.</w:t>
      </w:r>
    </w:p>
    <w:p w14:paraId="63CD6857" w14:textId="4DCEB790" w:rsidR="00C01E92"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As these services operate under an NQF service approval, they are </w:t>
      </w:r>
      <w:r w:rsidRPr="000107A9">
        <w:rPr>
          <w:rFonts w:asciiTheme="minorHAnsi" w:hAnsiTheme="minorHAnsi" w:cstheme="minorHAnsi"/>
          <w:b/>
          <w:sz w:val="22"/>
          <w:szCs w:val="22"/>
        </w:rPr>
        <w:t>not included</w:t>
      </w:r>
      <w:r w:rsidRPr="000107A9">
        <w:rPr>
          <w:rFonts w:asciiTheme="minorHAnsi" w:hAnsiTheme="minorHAnsi" w:cstheme="minorHAnsi"/>
          <w:sz w:val="22"/>
          <w:szCs w:val="22"/>
        </w:rPr>
        <w:t xml:space="preserve"> in the children’s services data presented.</w:t>
      </w:r>
    </w:p>
    <w:p w14:paraId="0E64F631" w14:textId="291A2820" w:rsidR="00492634" w:rsidRPr="00492634" w:rsidRDefault="00492634" w:rsidP="00A87A06">
      <w:pPr>
        <w:pStyle w:val="EYBodytextwithparaspace"/>
        <w:spacing w:before="120" w:after="120"/>
        <w:rPr>
          <w:rFonts w:asciiTheme="minorHAnsi" w:hAnsiTheme="minorHAnsi" w:cstheme="minorHAnsi"/>
          <w:b/>
          <w:sz w:val="22"/>
          <w:szCs w:val="22"/>
        </w:rPr>
      </w:pPr>
      <w:r w:rsidRPr="00492634">
        <w:rPr>
          <w:rFonts w:asciiTheme="minorHAnsi" w:hAnsiTheme="minorHAnsi" w:cstheme="minorHAnsi"/>
          <w:b/>
          <w:sz w:val="22"/>
          <w:szCs w:val="22"/>
        </w:rPr>
        <w:t>Licence type</w:t>
      </w:r>
    </w:p>
    <w:p w14:paraId="631C442A" w14:textId="77777777" w:rsidR="00823B07"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There are currently seven different licences that children’s services can operate under depending on the type of service offered, the number of children attending, and the hours of attendance</w:t>
      </w:r>
      <w:r w:rsidR="00823B07">
        <w:rPr>
          <w:rFonts w:asciiTheme="minorHAnsi" w:hAnsiTheme="minorHAnsi" w:cstheme="minorHAnsi"/>
          <w:sz w:val="22"/>
          <w:szCs w:val="22"/>
        </w:rPr>
        <w:t xml:space="preserve"> (see Table 1 below).</w:t>
      </w:r>
    </w:p>
    <w:p w14:paraId="67540E6B" w14:textId="7ADA1DA3" w:rsidR="00C01E92" w:rsidRPr="000107A9" w:rsidRDefault="00C01E92" w:rsidP="00C01E92">
      <w:pPr>
        <w:pStyle w:val="EYBodytextwithparaspace"/>
        <w:spacing w:before="120" w:after="120"/>
        <w:rPr>
          <w:rFonts w:asciiTheme="minorHAnsi" w:hAnsiTheme="minorHAnsi" w:cstheme="minorHAnsi"/>
          <w:sz w:val="22"/>
          <w:szCs w:val="22"/>
        </w:rPr>
      </w:pPr>
      <w:r w:rsidRPr="00EB4514">
        <w:rPr>
          <w:rFonts w:asciiTheme="minorHAnsi" w:hAnsiTheme="minorHAnsi" w:cstheme="minorHAnsi"/>
          <w:sz w:val="22"/>
          <w:szCs w:val="22"/>
        </w:rPr>
        <w:t xml:space="preserve">Although the current regulations provide for seven licence types, as at December 2019, no services were recorded as holding either of the two ‘short term’ licence types </w:t>
      </w:r>
      <w:r w:rsidR="00EB4514" w:rsidRPr="00EB4514">
        <w:rPr>
          <w:rFonts w:asciiTheme="minorHAnsi" w:hAnsiTheme="minorHAnsi" w:cstheme="minorHAnsi"/>
          <w:sz w:val="22"/>
          <w:szCs w:val="22"/>
        </w:rPr>
        <w:t>and only one service holing an</w:t>
      </w:r>
      <w:r w:rsidRPr="00EB4514">
        <w:rPr>
          <w:rFonts w:asciiTheme="minorHAnsi" w:hAnsiTheme="minorHAnsi" w:cstheme="minorHAnsi"/>
          <w:sz w:val="22"/>
          <w:szCs w:val="22"/>
        </w:rPr>
        <w:t xml:space="preserve"> ‘integrated service’ licence type</w:t>
      </w:r>
      <w:r w:rsidR="00EB4514" w:rsidRPr="00EB4514">
        <w:rPr>
          <w:rFonts w:asciiTheme="minorHAnsi" w:hAnsiTheme="minorHAnsi" w:cstheme="minorHAnsi"/>
          <w:sz w:val="22"/>
          <w:szCs w:val="22"/>
        </w:rPr>
        <w:t xml:space="preserve"> (in the data below, this service is counted in the School Holiday Care licence data)</w:t>
      </w:r>
      <w:r w:rsidRPr="00EB4514">
        <w:rPr>
          <w:rFonts w:asciiTheme="minorHAnsi" w:hAnsiTheme="minorHAnsi" w:cstheme="minorHAnsi"/>
          <w:sz w:val="22"/>
          <w:szCs w:val="22"/>
        </w:rPr>
        <w:t>.</w:t>
      </w:r>
    </w:p>
    <w:p w14:paraId="286B4CD4" w14:textId="77777777" w:rsidR="00440F5A" w:rsidRDefault="00440F5A">
      <w:pPr>
        <w:spacing w:after="0"/>
        <w:rPr>
          <w:rFonts w:ascii="Arial Narrow" w:eastAsia="Times New Roman" w:hAnsi="Arial Narrow" w:cs="Times New Roman"/>
          <w:bCs/>
          <w:color w:val="000000" w:themeColor="text1"/>
          <w:szCs w:val="18"/>
          <w:lang w:val="en-AU"/>
        </w:rPr>
      </w:pPr>
      <w:bookmarkStart w:id="43" w:name="_Ref25752550"/>
      <w:r>
        <w:br w:type="page"/>
      </w:r>
    </w:p>
    <w:p w14:paraId="1EBA0560" w14:textId="70CE9EEC" w:rsidR="00C01E92" w:rsidRPr="00F7569F" w:rsidRDefault="00C01E92" w:rsidP="00F7569F">
      <w:pPr>
        <w:pStyle w:val="Caption"/>
      </w:pPr>
      <w:bookmarkStart w:id="44" w:name="_Toc32592784"/>
      <w:r w:rsidRPr="00F7569F">
        <w:lastRenderedPageBreak/>
        <w:t xml:space="preserve">Table </w:t>
      </w:r>
      <w:r w:rsidRPr="00F7569F">
        <w:fldChar w:fldCharType="begin"/>
      </w:r>
      <w:r w:rsidRPr="00F7569F">
        <w:instrText xml:space="preserve"> SEQ Table \* ARABIC </w:instrText>
      </w:r>
      <w:r w:rsidRPr="00F7569F">
        <w:fldChar w:fldCharType="separate"/>
      </w:r>
      <w:r w:rsidR="00493211">
        <w:rPr>
          <w:noProof/>
        </w:rPr>
        <w:t>1</w:t>
      </w:r>
      <w:r w:rsidRPr="00F7569F">
        <w:fldChar w:fldCharType="end"/>
      </w:r>
      <w:bookmarkEnd w:id="43"/>
      <w:r w:rsidR="00F7569F">
        <w:t xml:space="preserve"> </w:t>
      </w:r>
      <w:r w:rsidRPr="00F7569F">
        <w:t>Number and type of children's services licences in Victoria as at December 2019</w:t>
      </w:r>
      <w:bookmarkEnd w:id="44"/>
    </w:p>
    <w:tbl>
      <w:tblPr>
        <w:tblStyle w:val="TableGrid"/>
        <w:tblW w:w="0" w:type="auto"/>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696"/>
        <w:gridCol w:w="5812"/>
        <w:gridCol w:w="1036"/>
        <w:gridCol w:w="1037"/>
      </w:tblGrid>
      <w:tr w:rsidR="00C01E92" w:rsidRPr="005769B7" w14:paraId="6F6308AF" w14:textId="77777777" w:rsidTr="00AA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none" w:sz="0" w:space="0" w:color="auto"/>
            </w:tcBorders>
          </w:tcPr>
          <w:p w14:paraId="616CF9EE" w14:textId="77777777" w:rsidR="00C01E92" w:rsidRPr="005769B7" w:rsidRDefault="00C01E92" w:rsidP="00B1683A">
            <w:pPr>
              <w:pStyle w:val="EYBodytextwithparaspace"/>
              <w:keepNext/>
              <w:keepLines/>
              <w:spacing w:after="60"/>
              <w:rPr>
                <w:rFonts w:ascii="Arial Narrow" w:hAnsi="Arial Narrow" w:cstheme="minorHAnsi"/>
                <w:b w:val="0"/>
                <w:sz w:val="22"/>
                <w:szCs w:val="22"/>
              </w:rPr>
            </w:pPr>
            <w:r w:rsidRPr="005769B7">
              <w:rPr>
                <w:rFonts w:ascii="Arial Narrow" w:hAnsi="Arial Narrow" w:cstheme="minorHAnsi"/>
                <w:sz w:val="22"/>
                <w:szCs w:val="22"/>
              </w:rPr>
              <w:t>Licence type</w:t>
            </w:r>
          </w:p>
        </w:tc>
        <w:tc>
          <w:tcPr>
            <w:tcW w:w="5812" w:type="dxa"/>
            <w:tcBorders>
              <w:left w:val="none" w:sz="0" w:space="0" w:color="auto"/>
              <w:right w:val="none" w:sz="0" w:space="0" w:color="auto"/>
            </w:tcBorders>
          </w:tcPr>
          <w:p w14:paraId="2CBD194C" w14:textId="77777777" w:rsidR="00C01E92" w:rsidRPr="005769B7" w:rsidRDefault="00C01E92" w:rsidP="00B1683A">
            <w:pPr>
              <w:pStyle w:val="EYBodytextwithparaspace"/>
              <w:keepNext/>
              <w:keepLines/>
              <w:spacing w:after="60"/>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sz w:val="22"/>
                <w:szCs w:val="22"/>
              </w:rPr>
            </w:pPr>
            <w:r w:rsidRPr="005769B7">
              <w:rPr>
                <w:rFonts w:ascii="Arial Narrow" w:hAnsi="Arial Narrow" w:cstheme="minorHAnsi"/>
                <w:sz w:val="22"/>
                <w:szCs w:val="22"/>
              </w:rPr>
              <w:t>Conditions/attributes of the service</w:t>
            </w:r>
          </w:p>
        </w:tc>
        <w:tc>
          <w:tcPr>
            <w:tcW w:w="1036" w:type="dxa"/>
            <w:tcBorders>
              <w:left w:val="none" w:sz="0" w:space="0" w:color="auto"/>
              <w:right w:val="none" w:sz="0" w:space="0" w:color="auto"/>
            </w:tcBorders>
          </w:tcPr>
          <w:p w14:paraId="6D80396B" w14:textId="77777777" w:rsidR="00C01E92" w:rsidRPr="005769B7" w:rsidRDefault="00C01E92" w:rsidP="00B1683A">
            <w:pPr>
              <w:pStyle w:val="EYBodytextwithparaspace"/>
              <w:keepNext/>
              <w:keepLines/>
              <w:spacing w:after="60"/>
              <w:jc w:val="center"/>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sz w:val="22"/>
                <w:szCs w:val="22"/>
              </w:rPr>
            </w:pPr>
            <w:r w:rsidRPr="005769B7">
              <w:rPr>
                <w:rFonts w:ascii="Arial Narrow" w:hAnsi="Arial Narrow" w:cstheme="minorHAnsi"/>
                <w:sz w:val="22"/>
                <w:szCs w:val="22"/>
              </w:rPr>
              <w:t>No. of services</w:t>
            </w:r>
          </w:p>
        </w:tc>
        <w:tc>
          <w:tcPr>
            <w:tcW w:w="1037" w:type="dxa"/>
            <w:tcBorders>
              <w:left w:val="none" w:sz="0" w:space="0" w:color="auto"/>
            </w:tcBorders>
          </w:tcPr>
          <w:p w14:paraId="6B27C2A4" w14:textId="77777777" w:rsidR="00C01E92" w:rsidRPr="005769B7" w:rsidRDefault="00C01E92" w:rsidP="00B1683A">
            <w:pPr>
              <w:pStyle w:val="EYBodytextwithparaspace"/>
              <w:keepNext/>
              <w:keepLines/>
              <w:spacing w:after="60"/>
              <w:jc w:val="center"/>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sz w:val="22"/>
                <w:szCs w:val="22"/>
              </w:rPr>
            </w:pPr>
            <w:r w:rsidRPr="005769B7">
              <w:rPr>
                <w:rFonts w:ascii="Arial Narrow" w:hAnsi="Arial Narrow" w:cstheme="minorHAnsi"/>
                <w:sz w:val="22"/>
                <w:szCs w:val="22"/>
              </w:rPr>
              <w:t>% of services</w:t>
            </w:r>
          </w:p>
        </w:tc>
      </w:tr>
      <w:tr w:rsidR="00C01E92" w:rsidRPr="005769B7" w14:paraId="2EE1F919" w14:textId="77777777" w:rsidTr="00AA6603">
        <w:tc>
          <w:tcPr>
            <w:cnfStyle w:val="001000000000" w:firstRow="0" w:lastRow="0" w:firstColumn="1" w:lastColumn="0" w:oddVBand="0" w:evenVBand="0" w:oddHBand="0" w:evenHBand="0" w:firstRowFirstColumn="0" w:firstRowLastColumn="0" w:lastRowFirstColumn="0" w:lastRowLastColumn="0"/>
            <w:tcW w:w="1696" w:type="dxa"/>
          </w:tcPr>
          <w:p w14:paraId="45510C32" w14:textId="77777777" w:rsidR="00C01E92" w:rsidRPr="008A27D1" w:rsidRDefault="00C01E92" w:rsidP="002806C5">
            <w:pPr>
              <w:pStyle w:val="EYBodytextwithparaspace"/>
              <w:numPr>
                <w:ilvl w:val="0"/>
                <w:numId w:val="49"/>
              </w:numPr>
              <w:spacing w:after="60"/>
              <w:rPr>
                <w:rStyle w:val="Strong"/>
                <w:rFonts w:ascii="Arial Narrow" w:eastAsiaTheme="minorHAnsi" w:hAnsi="Arial Narrow" w:cstheme="minorHAnsi"/>
                <w:b w:val="0"/>
                <w:sz w:val="22"/>
                <w:szCs w:val="22"/>
                <w:lang w:val="en-GB"/>
              </w:rPr>
            </w:pPr>
            <w:r w:rsidRPr="008A27D1">
              <w:rPr>
                <w:rStyle w:val="Strong"/>
                <w:rFonts w:ascii="Arial Narrow" w:eastAsiaTheme="minorHAnsi" w:hAnsi="Arial Narrow" w:cstheme="minorHAnsi"/>
                <w:b w:val="0"/>
                <w:sz w:val="22"/>
                <w:szCs w:val="22"/>
                <w:lang w:val="en-GB"/>
              </w:rPr>
              <w:t>Standard service</w:t>
            </w:r>
          </w:p>
        </w:tc>
        <w:tc>
          <w:tcPr>
            <w:tcW w:w="5812" w:type="dxa"/>
          </w:tcPr>
          <w:p w14:paraId="514DC649" w14:textId="77777777" w:rsidR="00C01E92" w:rsidRPr="005769B7" w:rsidRDefault="00C01E92" w:rsidP="00B1683A">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5769B7">
              <w:rPr>
                <w:rFonts w:ascii="Arial Narrow" w:hAnsi="Arial Narrow" w:cstheme="minorHAnsi"/>
                <w:sz w:val="22"/>
                <w:szCs w:val="22"/>
              </w:rPr>
              <w:t>Occasional Care Service (</w:t>
            </w:r>
            <w:r w:rsidRPr="005769B7">
              <w:rPr>
                <w:rFonts w:ascii="Arial Narrow" w:hAnsi="Arial Narrow" w:cstheme="minorHAnsi"/>
                <w:b/>
                <w:sz w:val="22"/>
                <w:szCs w:val="22"/>
              </w:rPr>
              <w:t>longer than 5 hours per day or 15 hours per week</w:t>
            </w:r>
            <w:r w:rsidRPr="005769B7">
              <w:rPr>
                <w:rFonts w:ascii="Arial Narrow" w:hAnsi="Arial Narrow" w:cstheme="minorHAnsi"/>
                <w:sz w:val="22"/>
                <w:szCs w:val="22"/>
              </w:rPr>
              <w:t>) – e.g. Mobile Services, former Budget-Based Funded Services (long day care or kindergarten)</w:t>
            </w:r>
          </w:p>
        </w:tc>
        <w:tc>
          <w:tcPr>
            <w:tcW w:w="1036" w:type="dxa"/>
          </w:tcPr>
          <w:p w14:paraId="2FBCBC7B" w14:textId="77777777" w:rsidR="00C01E92" w:rsidRPr="005769B7" w:rsidRDefault="00C01E92" w:rsidP="00B1683A">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5769B7">
              <w:rPr>
                <w:rFonts w:ascii="Arial Narrow" w:hAnsi="Arial Narrow" w:cstheme="minorHAnsi"/>
                <w:sz w:val="22"/>
                <w:szCs w:val="22"/>
              </w:rPr>
              <w:t>29</w:t>
            </w:r>
          </w:p>
        </w:tc>
        <w:tc>
          <w:tcPr>
            <w:tcW w:w="1037" w:type="dxa"/>
          </w:tcPr>
          <w:p w14:paraId="76978BFA" w14:textId="77777777" w:rsidR="00C01E92" w:rsidRPr="005769B7" w:rsidRDefault="00C01E92" w:rsidP="00B1683A">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5769B7">
              <w:rPr>
                <w:rFonts w:ascii="Arial Narrow" w:hAnsi="Arial Narrow" w:cstheme="minorHAnsi"/>
                <w:sz w:val="22"/>
                <w:szCs w:val="22"/>
              </w:rPr>
              <w:t>9%</w:t>
            </w:r>
          </w:p>
        </w:tc>
      </w:tr>
      <w:tr w:rsidR="00C01E92" w:rsidRPr="005769B7" w14:paraId="0BADD7BA" w14:textId="77777777" w:rsidTr="00AA6603">
        <w:tc>
          <w:tcPr>
            <w:cnfStyle w:val="001000000000" w:firstRow="0" w:lastRow="0" w:firstColumn="1" w:lastColumn="0" w:oddVBand="0" w:evenVBand="0" w:oddHBand="0" w:evenHBand="0" w:firstRowFirstColumn="0" w:firstRowLastColumn="0" w:lastRowFirstColumn="0" w:lastRowLastColumn="0"/>
            <w:tcW w:w="1696" w:type="dxa"/>
          </w:tcPr>
          <w:p w14:paraId="2E1DF08D" w14:textId="77777777" w:rsidR="00C01E92" w:rsidRPr="008A27D1" w:rsidRDefault="00C01E92" w:rsidP="002806C5">
            <w:pPr>
              <w:pStyle w:val="EYBodytextwithparaspace"/>
              <w:numPr>
                <w:ilvl w:val="0"/>
                <w:numId w:val="49"/>
              </w:numPr>
              <w:spacing w:after="60"/>
              <w:rPr>
                <w:rStyle w:val="Strong"/>
                <w:rFonts w:ascii="Arial Narrow" w:eastAsiaTheme="minorHAnsi" w:hAnsi="Arial Narrow" w:cstheme="minorHAnsi"/>
                <w:b w:val="0"/>
                <w:sz w:val="22"/>
                <w:szCs w:val="22"/>
                <w:lang w:val="en-GB"/>
              </w:rPr>
            </w:pPr>
            <w:r w:rsidRPr="008A27D1">
              <w:rPr>
                <w:rStyle w:val="Strong"/>
                <w:rFonts w:ascii="Arial Narrow" w:eastAsiaTheme="minorHAnsi" w:hAnsi="Arial Narrow" w:cstheme="minorHAnsi"/>
                <w:b w:val="0"/>
                <w:sz w:val="22"/>
                <w:szCs w:val="22"/>
                <w:lang w:val="en-GB"/>
              </w:rPr>
              <w:t>Limited hours type 1</w:t>
            </w:r>
          </w:p>
        </w:tc>
        <w:tc>
          <w:tcPr>
            <w:tcW w:w="5812" w:type="dxa"/>
          </w:tcPr>
          <w:p w14:paraId="4DA21B1A" w14:textId="77777777" w:rsidR="00C01E92" w:rsidRPr="005769B7" w:rsidRDefault="00C01E92" w:rsidP="00B1683A">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5769B7">
              <w:rPr>
                <w:rFonts w:ascii="Arial Narrow" w:hAnsi="Arial Narrow" w:cstheme="minorHAnsi"/>
                <w:sz w:val="22"/>
                <w:szCs w:val="22"/>
              </w:rPr>
              <w:t xml:space="preserve">Cares for or educates each child for </w:t>
            </w:r>
            <w:r w:rsidRPr="005769B7">
              <w:rPr>
                <w:rFonts w:ascii="Arial Narrow" w:hAnsi="Arial Narrow" w:cstheme="minorHAnsi"/>
                <w:b/>
                <w:sz w:val="22"/>
                <w:szCs w:val="22"/>
              </w:rPr>
              <w:t>not more than 2 hours per day</w:t>
            </w:r>
            <w:r w:rsidRPr="005769B7">
              <w:rPr>
                <w:rFonts w:ascii="Arial Narrow" w:hAnsi="Arial Narrow" w:cstheme="minorHAnsi"/>
                <w:sz w:val="22"/>
                <w:szCs w:val="22"/>
              </w:rPr>
              <w:t xml:space="preserve"> and not more than a </w:t>
            </w:r>
            <w:r w:rsidRPr="005769B7">
              <w:rPr>
                <w:rFonts w:ascii="Arial Narrow" w:hAnsi="Arial Narrow" w:cstheme="minorHAnsi"/>
                <w:b/>
                <w:sz w:val="22"/>
                <w:szCs w:val="22"/>
              </w:rPr>
              <w:t>total of 6 hours</w:t>
            </w:r>
            <w:r w:rsidRPr="005769B7">
              <w:rPr>
                <w:rFonts w:ascii="Arial Narrow" w:hAnsi="Arial Narrow" w:cstheme="minorHAnsi"/>
                <w:sz w:val="22"/>
                <w:szCs w:val="22"/>
              </w:rPr>
              <w:t xml:space="preserve"> </w:t>
            </w:r>
            <w:r w:rsidRPr="005769B7">
              <w:rPr>
                <w:rFonts w:ascii="Arial Narrow" w:hAnsi="Arial Narrow" w:cstheme="minorHAnsi"/>
                <w:b/>
                <w:sz w:val="22"/>
                <w:szCs w:val="22"/>
              </w:rPr>
              <w:t>per week</w:t>
            </w:r>
            <w:r w:rsidRPr="005769B7">
              <w:rPr>
                <w:rFonts w:ascii="Arial Narrow" w:hAnsi="Arial Narrow" w:cstheme="minorHAnsi"/>
                <w:sz w:val="22"/>
                <w:szCs w:val="22"/>
              </w:rPr>
              <w:t xml:space="preserve"> – e.g. childcare at a gym</w:t>
            </w:r>
          </w:p>
        </w:tc>
        <w:tc>
          <w:tcPr>
            <w:tcW w:w="1036" w:type="dxa"/>
          </w:tcPr>
          <w:p w14:paraId="5EF69207" w14:textId="77777777" w:rsidR="00C01E92" w:rsidRPr="005769B7" w:rsidRDefault="00C01E92" w:rsidP="00B1683A">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5769B7">
              <w:rPr>
                <w:rFonts w:ascii="Arial Narrow" w:hAnsi="Arial Narrow" w:cstheme="minorHAnsi"/>
                <w:sz w:val="22"/>
                <w:szCs w:val="22"/>
              </w:rPr>
              <w:t>46</w:t>
            </w:r>
          </w:p>
        </w:tc>
        <w:tc>
          <w:tcPr>
            <w:tcW w:w="1037" w:type="dxa"/>
          </w:tcPr>
          <w:p w14:paraId="344D11BA" w14:textId="77777777" w:rsidR="00C01E92" w:rsidRPr="005769B7" w:rsidRDefault="00C01E92" w:rsidP="00B1683A">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5769B7">
              <w:rPr>
                <w:rFonts w:ascii="Arial Narrow" w:hAnsi="Arial Narrow" w:cstheme="minorHAnsi"/>
                <w:sz w:val="22"/>
                <w:szCs w:val="22"/>
              </w:rPr>
              <w:t>14%</w:t>
            </w:r>
          </w:p>
        </w:tc>
      </w:tr>
      <w:tr w:rsidR="00C01E92" w:rsidRPr="005769B7" w14:paraId="38A2268D" w14:textId="77777777" w:rsidTr="00AA6603">
        <w:tc>
          <w:tcPr>
            <w:cnfStyle w:val="001000000000" w:firstRow="0" w:lastRow="0" w:firstColumn="1" w:lastColumn="0" w:oddVBand="0" w:evenVBand="0" w:oddHBand="0" w:evenHBand="0" w:firstRowFirstColumn="0" w:firstRowLastColumn="0" w:lastRowFirstColumn="0" w:lastRowLastColumn="0"/>
            <w:tcW w:w="1696" w:type="dxa"/>
          </w:tcPr>
          <w:p w14:paraId="2739B52B" w14:textId="77777777" w:rsidR="00C01E92" w:rsidRPr="008A27D1" w:rsidRDefault="00C01E92" w:rsidP="002806C5">
            <w:pPr>
              <w:pStyle w:val="EYBodytextwithparaspace"/>
              <w:numPr>
                <w:ilvl w:val="0"/>
                <w:numId w:val="49"/>
              </w:numPr>
              <w:spacing w:after="60"/>
              <w:rPr>
                <w:rStyle w:val="Strong"/>
                <w:rFonts w:ascii="Arial Narrow" w:eastAsiaTheme="minorHAnsi" w:hAnsi="Arial Narrow" w:cstheme="minorHAnsi"/>
                <w:b w:val="0"/>
                <w:sz w:val="22"/>
                <w:szCs w:val="22"/>
                <w:lang w:val="en-GB"/>
              </w:rPr>
            </w:pPr>
            <w:r w:rsidRPr="008A27D1">
              <w:rPr>
                <w:rStyle w:val="Strong"/>
                <w:rFonts w:ascii="Arial Narrow" w:eastAsiaTheme="minorHAnsi" w:hAnsi="Arial Narrow" w:cstheme="minorHAnsi"/>
                <w:b w:val="0"/>
                <w:sz w:val="22"/>
                <w:szCs w:val="22"/>
                <w:lang w:val="en-GB"/>
              </w:rPr>
              <w:t>Limited hours type 2</w:t>
            </w:r>
          </w:p>
        </w:tc>
        <w:tc>
          <w:tcPr>
            <w:tcW w:w="5812" w:type="dxa"/>
          </w:tcPr>
          <w:p w14:paraId="6BE7E7BE" w14:textId="77777777" w:rsidR="00C01E92" w:rsidRPr="005769B7" w:rsidRDefault="00C01E92" w:rsidP="00B1683A">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5769B7">
              <w:rPr>
                <w:rFonts w:ascii="Arial Narrow" w:hAnsi="Arial Narrow" w:cstheme="minorHAnsi"/>
                <w:sz w:val="22"/>
                <w:szCs w:val="22"/>
              </w:rPr>
              <w:t xml:space="preserve">Cares for or educates each child for not more than </w:t>
            </w:r>
            <w:r w:rsidRPr="005769B7">
              <w:rPr>
                <w:rFonts w:ascii="Arial Narrow" w:hAnsi="Arial Narrow" w:cstheme="minorHAnsi"/>
                <w:b/>
                <w:sz w:val="22"/>
                <w:szCs w:val="22"/>
              </w:rPr>
              <w:t>5 hours per day</w:t>
            </w:r>
            <w:r w:rsidRPr="005769B7">
              <w:rPr>
                <w:rFonts w:ascii="Arial Narrow" w:hAnsi="Arial Narrow" w:cstheme="minorHAnsi"/>
                <w:sz w:val="22"/>
                <w:szCs w:val="22"/>
              </w:rPr>
              <w:t xml:space="preserve"> and not more than a </w:t>
            </w:r>
            <w:r w:rsidRPr="005769B7">
              <w:rPr>
                <w:rFonts w:ascii="Arial Narrow" w:hAnsi="Arial Narrow" w:cstheme="minorHAnsi"/>
                <w:b/>
                <w:sz w:val="22"/>
                <w:szCs w:val="22"/>
              </w:rPr>
              <w:t>total of 15 hours</w:t>
            </w:r>
            <w:r w:rsidRPr="005769B7">
              <w:rPr>
                <w:rFonts w:ascii="Arial Narrow" w:hAnsi="Arial Narrow" w:cstheme="minorHAnsi"/>
                <w:sz w:val="22"/>
                <w:szCs w:val="22"/>
              </w:rPr>
              <w:t xml:space="preserve"> </w:t>
            </w:r>
            <w:r w:rsidRPr="005769B7">
              <w:rPr>
                <w:rFonts w:ascii="Arial Narrow" w:hAnsi="Arial Narrow" w:cstheme="minorHAnsi"/>
                <w:b/>
                <w:sz w:val="22"/>
                <w:szCs w:val="22"/>
              </w:rPr>
              <w:t>per week</w:t>
            </w:r>
            <w:r w:rsidRPr="005769B7">
              <w:rPr>
                <w:rFonts w:ascii="Arial Narrow" w:hAnsi="Arial Narrow" w:cstheme="minorHAnsi"/>
                <w:sz w:val="22"/>
                <w:szCs w:val="22"/>
              </w:rPr>
              <w:t xml:space="preserve"> – e.g. service at a Neighbourhood House</w:t>
            </w:r>
          </w:p>
        </w:tc>
        <w:tc>
          <w:tcPr>
            <w:tcW w:w="1036" w:type="dxa"/>
          </w:tcPr>
          <w:p w14:paraId="3AB25BE9" w14:textId="77777777" w:rsidR="00C01E92" w:rsidRPr="005769B7" w:rsidRDefault="00C01E92" w:rsidP="00B1683A">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5769B7">
              <w:rPr>
                <w:rFonts w:ascii="Arial Narrow" w:hAnsi="Arial Narrow" w:cstheme="minorHAnsi"/>
                <w:sz w:val="22"/>
                <w:szCs w:val="22"/>
              </w:rPr>
              <w:t>245</w:t>
            </w:r>
          </w:p>
        </w:tc>
        <w:tc>
          <w:tcPr>
            <w:tcW w:w="1037" w:type="dxa"/>
          </w:tcPr>
          <w:p w14:paraId="677CC518" w14:textId="77777777" w:rsidR="00C01E92" w:rsidRPr="005769B7" w:rsidRDefault="00C01E92" w:rsidP="00B1683A">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5769B7">
              <w:rPr>
                <w:rFonts w:ascii="Arial Narrow" w:hAnsi="Arial Narrow" w:cstheme="minorHAnsi"/>
                <w:sz w:val="22"/>
                <w:szCs w:val="22"/>
              </w:rPr>
              <w:t>76%</w:t>
            </w:r>
          </w:p>
        </w:tc>
      </w:tr>
      <w:tr w:rsidR="00C01E92" w:rsidRPr="005769B7" w14:paraId="12B451B4" w14:textId="77777777" w:rsidTr="00AA6603">
        <w:tc>
          <w:tcPr>
            <w:cnfStyle w:val="001000000000" w:firstRow="0" w:lastRow="0" w:firstColumn="1" w:lastColumn="0" w:oddVBand="0" w:evenVBand="0" w:oddHBand="0" w:evenHBand="0" w:firstRowFirstColumn="0" w:firstRowLastColumn="0" w:lastRowFirstColumn="0" w:lastRowLastColumn="0"/>
            <w:tcW w:w="1696" w:type="dxa"/>
          </w:tcPr>
          <w:p w14:paraId="3FADBA3A" w14:textId="77777777" w:rsidR="00C01E92" w:rsidRPr="008A27D1" w:rsidRDefault="00C01E92" w:rsidP="002806C5">
            <w:pPr>
              <w:pStyle w:val="EYBodytextwithparaspace"/>
              <w:numPr>
                <w:ilvl w:val="0"/>
                <w:numId w:val="49"/>
              </w:numPr>
              <w:spacing w:after="60"/>
              <w:rPr>
                <w:rStyle w:val="Strong"/>
                <w:rFonts w:ascii="Arial Narrow" w:eastAsiaTheme="minorHAnsi" w:hAnsi="Arial Narrow" w:cstheme="minorHAnsi"/>
                <w:b w:val="0"/>
                <w:sz w:val="22"/>
                <w:szCs w:val="22"/>
                <w:lang w:val="en-GB"/>
              </w:rPr>
            </w:pPr>
            <w:r w:rsidRPr="008A27D1">
              <w:rPr>
                <w:rStyle w:val="Strong"/>
                <w:rFonts w:ascii="Arial Narrow" w:eastAsiaTheme="minorHAnsi" w:hAnsi="Arial Narrow" w:cstheme="minorHAnsi"/>
                <w:b w:val="0"/>
                <w:sz w:val="22"/>
                <w:szCs w:val="22"/>
                <w:lang w:val="en-GB"/>
              </w:rPr>
              <w:t>School holidays care</w:t>
            </w:r>
          </w:p>
        </w:tc>
        <w:tc>
          <w:tcPr>
            <w:tcW w:w="5812" w:type="dxa"/>
          </w:tcPr>
          <w:p w14:paraId="06CE1618" w14:textId="77777777" w:rsidR="00C01E92" w:rsidRPr="005769B7" w:rsidRDefault="00C01E92" w:rsidP="00B1683A">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5769B7">
              <w:rPr>
                <w:rFonts w:ascii="Arial Narrow" w:hAnsi="Arial Narrow" w:cstheme="minorHAnsi"/>
                <w:sz w:val="22"/>
                <w:szCs w:val="22"/>
              </w:rPr>
              <w:t xml:space="preserve">Cares for or educates children for </w:t>
            </w:r>
            <w:r w:rsidRPr="005769B7">
              <w:rPr>
                <w:rFonts w:ascii="Arial Narrow" w:hAnsi="Arial Narrow" w:cstheme="minorHAnsi"/>
                <w:b/>
                <w:sz w:val="22"/>
                <w:szCs w:val="22"/>
              </w:rPr>
              <w:t>not more than 4 weeks</w:t>
            </w:r>
            <w:r w:rsidRPr="005769B7">
              <w:rPr>
                <w:rFonts w:ascii="Arial Narrow" w:hAnsi="Arial Narrow" w:cstheme="minorHAnsi"/>
                <w:sz w:val="22"/>
                <w:szCs w:val="22"/>
              </w:rPr>
              <w:t xml:space="preserve"> per calendar year during school holidays</w:t>
            </w:r>
          </w:p>
        </w:tc>
        <w:tc>
          <w:tcPr>
            <w:tcW w:w="1036" w:type="dxa"/>
          </w:tcPr>
          <w:p w14:paraId="2B325416" w14:textId="77777777" w:rsidR="00C01E92" w:rsidRPr="005769B7" w:rsidRDefault="00C01E92" w:rsidP="00B1683A">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5769B7">
              <w:rPr>
                <w:rFonts w:ascii="Arial Narrow" w:hAnsi="Arial Narrow" w:cstheme="minorHAnsi"/>
                <w:sz w:val="22"/>
                <w:szCs w:val="22"/>
              </w:rPr>
              <w:t>2</w:t>
            </w:r>
          </w:p>
        </w:tc>
        <w:tc>
          <w:tcPr>
            <w:tcW w:w="1037" w:type="dxa"/>
          </w:tcPr>
          <w:p w14:paraId="44D0A0C4" w14:textId="77777777" w:rsidR="00C01E92" w:rsidRPr="005769B7" w:rsidRDefault="00C01E92" w:rsidP="00B1683A">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5769B7">
              <w:rPr>
                <w:rFonts w:ascii="Arial Narrow" w:hAnsi="Arial Narrow" w:cstheme="minorHAnsi"/>
                <w:sz w:val="22"/>
                <w:szCs w:val="22"/>
              </w:rPr>
              <w:t>1%</w:t>
            </w:r>
          </w:p>
        </w:tc>
      </w:tr>
      <w:tr w:rsidR="00C01E92" w:rsidRPr="005769B7" w14:paraId="390ADB5C" w14:textId="77777777" w:rsidTr="00AA6603">
        <w:tc>
          <w:tcPr>
            <w:cnfStyle w:val="001000000000" w:firstRow="0" w:lastRow="0" w:firstColumn="1" w:lastColumn="0" w:oddVBand="0" w:evenVBand="0" w:oddHBand="0" w:evenHBand="0" w:firstRowFirstColumn="0" w:firstRowLastColumn="0" w:lastRowFirstColumn="0" w:lastRowLastColumn="0"/>
            <w:tcW w:w="1696" w:type="dxa"/>
          </w:tcPr>
          <w:p w14:paraId="2AAF1958" w14:textId="77777777" w:rsidR="00C01E92" w:rsidRPr="008A27D1" w:rsidRDefault="00C01E92" w:rsidP="002806C5">
            <w:pPr>
              <w:pStyle w:val="EYBodytextwithparaspace"/>
              <w:numPr>
                <w:ilvl w:val="0"/>
                <w:numId w:val="49"/>
              </w:numPr>
              <w:spacing w:after="60"/>
              <w:rPr>
                <w:rStyle w:val="Strong"/>
                <w:rFonts w:ascii="Arial Narrow" w:eastAsiaTheme="minorHAnsi" w:hAnsi="Arial Narrow" w:cstheme="minorHAnsi"/>
                <w:b w:val="0"/>
                <w:sz w:val="22"/>
                <w:szCs w:val="22"/>
                <w:lang w:val="en-GB"/>
              </w:rPr>
            </w:pPr>
            <w:r w:rsidRPr="008A27D1">
              <w:rPr>
                <w:rStyle w:val="Strong"/>
                <w:rFonts w:ascii="Arial Narrow" w:eastAsiaTheme="minorHAnsi" w:hAnsi="Arial Narrow" w:cstheme="minorHAnsi"/>
                <w:b w:val="0"/>
                <w:sz w:val="22"/>
                <w:szCs w:val="22"/>
                <w:lang w:val="en-GB"/>
              </w:rPr>
              <w:t>Short-term type 1</w:t>
            </w:r>
          </w:p>
        </w:tc>
        <w:tc>
          <w:tcPr>
            <w:tcW w:w="5812" w:type="dxa"/>
          </w:tcPr>
          <w:p w14:paraId="1A6C0C3A" w14:textId="77777777" w:rsidR="00C01E92" w:rsidRPr="005769B7" w:rsidRDefault="00C01E92" w:rsidP="00B1683A">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5769B7">
              <w:rPr>
                <w:rFonts w:ascii="Arial Narrow" w:hAnsi="Arial Narrow" w:cstheme="minorHAnsi"/>
                <w:sz w:val="22"/>
                <w:szCs w:val="22"/>
              </w:rPr>
              <w:t xml:space="preserve">Cares for or educates children for </w:t>
            </w:r>
            <w:r w:rsidRPr="005769B7">
              <w:rPr>
                <w:rFonts w:ascii="Arial Narrow" w:hAnsi="Arial Narrow" w:cstheme="minorHAnsi"/>
                <w:b/>
                <w:sz w:val="22"/>
                <w:szCs w:val="22"/>
              </w:rPr>
              <w:t>not more than 120 days</w:t>
            </w:r>
            <w:r w:rsidRPr="005769B7">
              <w:rPr>
                <w:rFonts w:ascii="Arial Narrow" w:hAnsi="Arial Narrow" w:cstheme="minorHAnsi"/>
                <w:sz w:val="22"/>
                <w:szCs w:val="22"/>
              </w:rPr>
              <w:t xml:space="preserve"> in a 12-month period</w:t>
            </w:r>
          </w:p>
        </w:tc>
        <w:tc>
          <w:tcPr>
            <w:tcW w:w="1036" w:type="dxa"/>
          </w:tcPr>
          <w:p w14:paraId="3E1DDCF2" w14:textId="77777777" w:rsidR="00C01E92" w:rsidRPr="005769B7" w:rsidRDefault="00C01E92" w:rsidP="00B1683A">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5769B7">
              <w:rPr>
                <w:rFonts w:ascii="Arial Narrow" w:hAnsi="Arial Narrow" w:cstheme="minorHAnsi"/>
                <w:sz w:val="22"/>
                <w:szCs w:val="22"/>
              </w:rPr>
              <w:t>0</w:t>
            </w:r>
          </w:p>
        </w:tc>
        <w:tc>
          <w:tcPr>
            <w:tcW w:w="1037" w:type="dxa"/>
          </w:tcPr>
          <w:p w14:paraId="1AB1FB85" w14:textId="77777777" w:rsidR="00C01E92" w:rsidRPr="005769B7" w:rsidRDefault="00C01E92" w:rsidP="00B1683A">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5769B7">
              <w:rPr>
                <w:rFonts w:ascii="Arial Narrow" w:hAnsi="Arial Narrow" w:cstheme="minorHAnsi"/>
                <w:sz w:val="22"/>
                <w:szCs w:val="22"/>
              </w:rPr>
              <w:t>0%</w:t>
            </w:r>
          </w:p>
        </w:tc>
      </w:tr>
      <w:tr w:rsidR="00C01E92" w:rsidRPr="005769B7" w14:paraId="4F8E0287" w14:textId="77777777" w:rsidTr="00AA6603">
        <w:tc>
          <w:tcPr>
            <w:cnfStyle w:val="001000000000" w:firstRow="0" w:lastRow="0" w:firstColumn="1" w:lastColumn="0" w:oddVBand="0" w:evenVBand="0" w:oddHBand="0" w:evenHBand="0" w:firstRowFirstColumn="0" w:firstRowLastColumn="0" w:lastRowFirstColumn="0" w:lastRowLastColumn="0"/>
            <w:tcW w:w="1696" w:type="dxa"/>
          </w:tcPr>
          <w:p w14:paraId="708E1B2E" w14:textId="77777777" w:rsidR="00C01E92" w:rsidRPr="008A27D1" w:rsidRDefault="00C01E92" w:rsidP="002806C5">
            <w:pPr>
              <w:pStyle w:val="EYBodytextwithparaspace"/>
              <w:numPr>
                <w:ilvl w:val="0"/>
                <w:numId w:val="49"/>
              </w:numPr>
              <w:spacing w:after="60"/>
              <w:rPr>
                <w:rStyle w:val="Strong"/>
                <w:rFonts w:ascii="Arial Narrow" w:eastAsiaTheme="minorHAnsi" w:hAnsi="Arial Narrow" w:cstheme="minorHAnsi"/>
                <w:b w:val="0"/>
                <w:sz w:val="22"/>
                <w:szCs w:val="22"/>
                <w:lang w:val="en-GB"/>
              </w:rPr>
            </w:pPr>
            <w:r w:rsidRPr="008A27D1">
              <w:rPr>
                <w:rStyle w:val="Strong"/>
                <w:rFonts w:ascii="Arial Narrow" w:eastAsiaTheme="minorHAnsi" w:hAnsi="Arial Narrow" w:cstheme="minorHAnsi"/>
                <w:b w:val="0"/>
                <w:sz w:val="22"/>
                <w:szCs w:val="22"/>
                <w:lang w:val="en-GB"/>
              </w:rPr>
              <w:t>Short-term type 2</w:t>
            </w:r>
          </w:p>
        </w:tc>
        <w:tc>
          <w:tcPr>
            <w:tcW w:w="5812" w:type="dxa"/>
          </w:tcPr>
          <w:p w14:paraId="16B5ADD9" w14:textId="77777777" w:rsidR="00C01E92" w:rsidRPr="005769B7" w:rsidRDefault="00C01E92" w:rsidP="00B1683A">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5769B7">
              <w:rPr>
                <w:rFonts w:ascii="Arial Narrow" w:hAnsi="Arial Narrow" w:cstheme="minorHAnsi"/>
                <w:sz w:val="22"/>
                <w:szCs w:val="22"/>
              </w:rPr>
              <w:t xml:space="preserve">Cares for or educates children for </w:t>
            </w:r>
            <w:r w:rsidRPr="005769B7">
              <w:rPr>
                <w:rFonts w:ascii="Arial Narrow" w:hAnsi="Arial Narrow" w:cstheme="minorHAnsi"/>
                <w:b/>
                <w:sz w:val="22"/>
                <w:szCs w:val="22"/>
              </w:rPr>
              <w:t>not more than 72 hours</w:t>
            </w:r>
            <w:r w:rsidRPr="005769B7">
              <w:rPr>
                <w:rFonts w:ascii="Arial Narrow" w:hAnsi="Arial Narrow" w:cstheme="minorHAnsi"/>
                <w:sz w:val="22"/>
                <w:szCs w:val="22"/>
              </w:rPr>
              <w:t xml:space="preserve"> over a 3-month period</w:t>
            </w:r>
          </w:p>
        </w:tc>
        <w:tc>
          <w:tcPr>
            <w:tcW w:w="1036" w:type="dxa"/>
          </w:tcPr>
          <w:p w14:paraId="52DB144E" w14:textId="77777777" w:rsidR="00C01E92" w:rsidRPr="005769B7" w:rsidRDefault="00C01E92" w:rsidP="00B1683A">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5769B7">
              <w:rPr>
                <w:rFonts w:ascii="Arial Narrow" w:hAnsi="Arial Narrow" w:cstheme="minorHAnsi"/>
                <w:sz w:val="22"/>
                <w:szCs w:val="22"/>
              </w:rPr>
              <w:t>0</w:t>
            </w:r>
          </w:p>
        </w:tc>
        <w:tc>
          <w:tcPr>
            <w:tcW w:w="1037" w:type="dxa"/>
          </w:tcPr>
          <w:p w14:paraId="39A6D033" w14:textId="77777777" w:rsidR="00C01E92" w:rsidRPr="005769B7" w:rsidRDefault="00C01E92" w:rsidP="00B1683A">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5769B7">
              <w:rPr>
                <w:rFonts w:ascii="Arial Narrow" w:hAnsi="Arial Narrow" w:cstheme="minorHAnsi"/>
                <w:sz w:val="22"/>
                <w:szCs w:val="22"/>
              </w:rPr>
              <w:t>0%</w:t>
            </w:r>
          </w:p>
        </w:tc>
      </w:tr>
      <w:tr w:rsidR="00C01E92" w:rsidRPr="005769B7" w14:paraId="4932FECF" w14:textId="77777777" w:rsidTr="00AA6603">
        <w:tc>
          <w:tcPr>
            <w:cnfStyle w:val="001000000000" w:firstRow="0" w:lastRow="0" w:firstColumn="1" w:lastColumn="0" w:oddVBand="0" w:evenVBand="0" w:oddHBand="0" w:evenHBand="0" w:firstRowFirstColumn="0" w:firstRowLastColumn="0" w:lastRowFirstColumn="0" w:lastRowLastColumn="0"/>
            <w:tcW w:w="1696" w:type="dxa"/>
          </w:tcPr>
          <w:p w14:paraId="1603D242" w14:textId="77777777" w:rsidR="00C01E92" w:rsidRPr="008A27D1" w:rsidRDefault="00C01E92" w:rsidP="002806C5">
            <w:pPr>
              <w:pStyle w:val="EYBodytextwithparaspace"/>
              <w:numPr>
                <w:ilvl w:val="0"/>
                <w:numId w:val="49"/>
              </w:numPr>
              <w:spacing w:after="60"/>
              <w:rPr>
                <w:rStyle w:val="Strong"/>
                <w:rFonts w:ascii="Arial Narrow" w:eastAsiaTheme="minorHAnsi" w:hAnsi="Arial Narrow" w:cstheme="minorHAnsi"/>
                <w:b w:val="0"/>
                <w:sz w:val="22"/>
                <w:szCs w:val="22"/>
                <w:lang w:val="en-GB"/>
              </w:rPr>
            </w:pPr>
            <w:r w:rsidRPr="008A27D1">
              <w:rPr>
                <w:rStyle w:val="Strong"/>
                <w:rFonts w:ascii="Arial Narrow" w:eastAsiaTheme="minorHAnsi" w:hAnsi="Arial Narrow" w:cstheme="minorHAnsi"/>
                <w:b w:val="0"/>
                <w:sz w:val="22"/>
                <w:szCs w:val="22"/>
                <w:lang w:val="en-GB"/>
              </w:rPr>
              <w:t>Integrated service</w:t>
            </w:r>
          </w:p>
        </w:tc>
        <w:tc>
          <w:tcPr>
            <w:tcW w:w="5812" w:type="dxa"/>
          </w:tcPr>
          <w:p w14:paraId="2BA5DFF5" w14:textId="77777777" w:rsidR="00C01E92" w:rsidRPr="005769B7" w:rsidRDefault="00C01E92" w:rsidP="00B1683A">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5769B7">
              <w:rPr>
                <w:rFonts w:ascii="Arial Narrow" w:hAnsi="Arial Narrow" w:cstheme="minorHAnsi"/>
                <w:sz w:val="22"/>
                <w:szCs w:val="22"/>
              </w:rPr>
              <w:t>Service consists of 2 or more service types (other than a short-term service) at one premises by one licensee</w:t>
            </w:r>
          </w:p>
        </w:tc>
        <w:tc>
          <w:tcPr>
            <w:tcW w:w="1036" w:type="dxa"/>
          </w:tcPr>
          <w:p w14:paraId="158D7367" w14:textId="77777777" w:rsidR="00C01E92" w:rsidRPr="005769B7" w:rsidRDefault="00C01E92" w:rsidP="00B1683A">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5769B7">
              <w:rPr>
                <w:rFonts w:ascii="Arial Narrow" w:hAnsi="Arial Narrow" w:cstheme="minorHAnsi"/>
                <w:sz w:val="22"/>
                <w:szCs w:val="22"/>
              </w:rPr>
              <w:t>0</w:t>
            </w:r>
          </w:p>
        </w:tc>
        <w:tc>
          <w:tcPr>
            <w:tcW w:w="1037" w:type="dxa"/>
          </w:tcPr>
          <w:p w14:paraId="6E90EF23" w14:textId="77777777" w:rsidR="00C01E92" w:rsidRPr="005769B7" w:rsidRDefault="00C01E92" w:rsidP="00B1683A">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5769B7">
              <w:rPr>
                <w:rFonts w:ascii="Arial Narrow" w:hAnsi="Arial Narrow" w:cstheme="minorHAnsi"/>
                <w:sz w:val="22"/>
                <w:szCs w:val="22"/>
              </w:rPr>
              <w:t>0%</w:t>
            </w:r>
          </w:p>
        </w:tc>
      </w:tr>
      <w:tr w:rsidR="00C01E92" w:rsidRPr="005769B7" w14:paraId="0FE4F576" w14:textId="77777777" w:rsidTr="00A87A06">
        <w:tc>
          <w:tcPr>
            <w:cnfStyle w:val="001000000000" w:firstRow="0" w:lastRow="0" w:firstColumn="1" w:lastColumn="0" w:oddVBand="0" w:evenVBand="0" w:oddHBand="0" w:evenHBand="0" w:firstRowFirstColumn="0" w:firstRowLastColumn="0" w:lastRowFirstColumn="0" w:lastRowLastColumn="0"/>
            <w:tcW w:w="7508" w:type="dxa"/>
            <w:gridSpan w:val="2"/>
          </w:tcPr>
          <w:p w14:paraId="44663705" w14:textId="77777777" w:rsidR="00C01E92" w:rsidRPr="005769B7" w:rsidRDefault="00C01E92" w:rsidP="00B1683A">
            <w:pPr>
              <w:pStyle w:val="EYBodytextwithparaspace"/>
              <w:spacing w:after="60"/>
              <w:rPr>
                <w:rFonts w:ascii="Arial Narrow" w:hAnsi="Arial Narrow" w:cstheme="minorHAnsi"/>
                <w:sz w:val="22"/>
                <w:szCs w:val="22"/>
              </w:rPr>
            </w:pPr>
          </w:p>
        </w:tc>
        <w:tc>
          <w:tcPr>
            <w:tcW w:w="1036" w:type="dxa"/>
          </w:tcPr>
          <w:p w14:paraId="2059A345" w14:textId="77777777" w:rsidR="00C01E92" w:rsidRPr="005769B7" w:rsidRDefault="00C01E92" w:rsidP="00B1683A">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5769B7">
              <w:rPr>
                <w:rFonts w:ascii="Arial Narrow" w:hAnsi="Arial Narrow" w:cstheme="minorHAnsi"/>
                <w:b/>
                <w:sz w:val="22"/>
                <w:szCs w:val="22"/>
              </w:rPr>
              <w:t>322</w:t>
            </w:r>
          </w:p>
        </w:tc>
        <w:tc>
          <w:tcPr>
            <w:tcW w:w="1037" w:type="dxa"/>
          </w:tcPr>
          <w:p w14:paraId="29D9497C" w14:textId="77777777" w:rsidR="00C01E92" w:rsidRPr="005769B7" w:rsidRDefault="00C01E92" w:rsidP="00B1683A">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5769B7">
              <w:rPr>
                <w:rFonts w:ascii="Arial Narrow" w:hAnsi="Arial Narrow" w:cstheme="minorHAnsi"/>
                <w:b/>
                <w:sz w:val="22"/>
                <w:szCs w:val="22"/>
              </w:rPr>
              <w:t>100%</w:t>
            </w:r>
          </w:p>
        </w:tc>
      </w:tr>
    </w:tbl>
    <w:p w14:paraId="47A3F097" w14:textId="7080E853" w:rsidR="00492634" w:rsidRPr="00492634" w:rsidRDefault="00492634" w:rsidP="00C01E92">
      <w:pPr>
        <w:pStyle w:val="EYBodytextwithparaspace"/>
        <w:spacing w:before="120" w:after="120"/>
        <w:rPr>
          <w:rFonts w:asciiTheme="minorHAnsi" w:hAnsiTheme="minorHAnsi" w:cstheme="minorHAnsi"/>
          <w:b/>
          <w:sz w:val="22"/>
          <w:szCs w:val="22"/>
        </w:rPr>
      </w:pPr>
      <w:r w:rsidRPr="00492634">
        <w:rPr>
          <w:rFonts w:asciiTheme="minorHAnsi" w:hAnsiTheme="minorHAnsi" w:cstheme="minorHAnsi"/>
          <w:b/>
          <w:sz w:val="22"/>
          <w:szCs w:val="22"/>
        </w:rPr>
        <w:t>Monitoring and compliance</w:t>
      </w:r>
    </w:p>
    <w:p w14:paraId="49CA50CF" w14:textId="5DDC3D03"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As children’s services are out of scope of the NQF, they are excluded from the national quality assessment and rating of education and care services against the National Quality Standard. However, premises visits and inspections to monitor compliance with regulatory requirements </w:t>
      </w:r>
      <w:r w:rsidR="00EB4514">
        <w:rPr>
          <w:rFonts w:asciiTheme="minorHAnsi" w:hAnsiTheme="minorHAnsi" w:cstheme="minorHAnsi"/>
          <w:sz w:val="22"/>
          <w:szCs w:val="22"/>
        </w:rPr>
        <w:t>are</w:t>
      </w:r>
      <w:r w:rsidR="00EB4514" w:rsidRPr="000107A9">
        <w:rPr>
          <w:rFonts w:asciiTheme="minorHAnsi" w:hAnsiTheme="minorHAnsi" w:cstheme="minorHAnsi"/>
          <w:sz w:val="22"/>
          <w:szCs w:val="22"/>
        </w:rPr>
        <w:t xml:space="preserve"> </w:t>
      </w:r>
      <w:r w:rsidRPr="000107A9">
        <w:rPr>
          <w:rFonts w:asciiTheme="minorHAnsi" w:hAnsiTheme="minorHAnsi" w:cstheme="minorHAnsi"/>
          <w:sz w:val="22"/>
          <w:szCs w:val="22"/>
        </w:rPr>
        <w:t>conducted by QARD with a commitment that each service is visited at least once every three years.</w:t>
      </w:r>
    </w:p>
    <w:p w14:paraId="3D27F8E5" w14:textId="21F4B6A3" w:rsidR="00B35678"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children’s services sector is seen as highly compliant, with a very low incidence of non-compliance, with 90% of children’s services i</w:t>
      </w:r>
      <w:r w:rsidR="008A27D1">
        <w:rPr>
          <w:rFonts w:asciiTheme="minorHAnsi" w:hAnsiTheme="minorHAnsi" w:cstheme="minorHAnsi"/>
          <w:sz w:val="22"/>
          <w:szCs w:val="22"/>
        </w:rPr>
        <w:t xml:space="preserve">dentified by QARD as </w:t>
      </w:r>
      <w:r w:rsidR="003D3C43">
        <w:rPr>
          <w:rFonts w:asciiTheme="minorHAnsi" w:hAnsiTheme="minorHAnsi" w:cstheme="minorHAnsi"/>
          <w:sz w:val="22"/>
          <w:szCs w:val="22"/>
        </w:rPr>
        <w:t>low risk.</w:t>
      </w:r>
    </w:p>
    <w:p w14:paraId="182B3D03" w14:textId="5CBCB5CF" w:rsidR="00B35678" w:rsidRDefault="00B35678" w:rsidP="00C01E92">
      <w:pPr>
        <w:pStyle w:val="EYBodytextwithparaspace"/>
        <w:spacing w:before="120" w:after="120"/>
        <w:rPr>
          <w:rFonts w:asciiTheme="minorHAnsi" w:hAnsiTheme="minorHAnsi" w:cstheme="minorHAnsi"/>
          <w:sz w:val="22"/>
          <w:szCs w:val="22"/>
        </w:rPr>
      </w:pPr>
    </w:p>
    <w:p w14:paraId="4E97AE6D" w14:textId="32944F18" w:rsidR="003D3C43" w:rsidRDefault="003D3C43">
      <w:pPr>
        <w:spacing w:after="0"/>
        <w:rPr>
          <w:rFonts w:eastAsia="Times New Roman" w:cstheme="minorHAnsi"/>
          <w:szCs w:val="22"/>
          <w:lang w:val="en-AU"/>
        </w:rPr>
      </w:pPr>
      <w:r>
        <w:rPr>
          <w:rFonts w:cstheme="minorHAnsi"/>
          <w:szCs w:val="22"/>
        </w:rPr>
        <w:br w:type="page"/>
      </w:r>
    </w:p>
    <w:p w14:paraId="79716AC5" w14:textId="2A826C24" w:rsidR="00C01E92" w:rsidRPr="000107A9" w:rsidRDefault="00C01E92" w:rsidP="004F4E5D">
      <w:pPr>
        <w:pStyle w:val="Heading1"/>
        <w:numPr>
          <w:ilvl w:val="0"/>
          <w:numId w:val="12"/>
        </w:numPr>
      </w:pPr>
      <w:bookmarkStart w:id="45" w:name="_Toc26455363"/>
      <w:bookmarkStart w:id="46" w:name="_Toc27052139"/>
      <w:bookmarkStart w:id="47" w:name="_Toc27121729"/>
      <w:bookmarkStart w:id="48" w:name="_Toc26455422"/>
      <w:bookmarkStart w:id="49" w:name="_Toc27052198"/>
      <w:bookmarkStart w:id="50" w:name="_Toc27121788"/>
      <w:bookmarkStart w:id="51" w:name="_Toc26455424"/>
      <w:bookmarkStart w:id="52" w:name="_Toc27052200"/>
      <w:bookmarkStart w:id="53" w:name="_Toc27121790"/>
      <w:bookmarkStart w:id="54" w:name="_Toc26455462"/>
      <w:bookmarkStart w:id="55" w:name="_Toc27052238"/>
      <w:bookmarkStart w:id="56" w:name="_Toc27121828"/>
      <w:bookmarkStart w:id="57" w:name="_Toc26455471"/>
      <w:bookmarkStart w:id="58" w:name="_Toc27052247"/>
      <w:bookmarkStart w:id="59" w:name="_Toc27121837"/>
      <w:bookmarkStart w:id="60" w:name="_Toc26455480"/>
      <w:bookmarkStart w:id="61" w:name="_Toc27052256"/>
      <w:bookmarkStart w:id="62" w:name="_Toc27121846"/>
      <w:bookmarkStart w:id="63" w:name="_Toc26455507"/>
      <w:bookmarkStart w:id="64" w:name="_Toc27052283"/>
      <w:bookmarkStart w:id="65" w:name="_Toc27121873"/>
      <w:bookmarkStart w:id="66" w:name="_Toc26455516"/>
      <w:bookmarkStart w:id="67" w:name="_Toc27052292"/>
      <w:bookmarkStart w:id="68" w:name="_Toc27121882"/>
      <w:bookmarkStart w:id="69" w:name="_Toc26455525"/>
      <w:bookmarkStart w:id="70" w:name="_Toc27052301"/>
      <w:bookmarkStart w:id="71" w:name="_Toc27121891"/>
      <w:bookmarkStart w:id="72" w:name="_Toc23173660"/>
      <w:bookmarkStart w:id="73" w:name="_Toc23173661"/>
      <w:bookmarkStart w:id="74" w:name="_Toc23173662"/>
      <w:bookmarkStart w:id="75" w:name="_Toc24531610"/>
      <w:bookmarkStart w:id="76" w:name="_Toc25749857"/>
      <w:bookmarkStart w:id="77" w:name="_Toc30669608"/>
      <w:bookmarkStart w:id="78" w:name="_Toc32936865"/>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Pr="000107A9">
        <w:lastRenderedPageBreak/>
        <w:t xml:space="preserve">Legislative </w:t>
      </w:r>
      <w:bookmarkEnd w:id="75"/>
      <w:bookmarkEnd w:id="76"/>
      <w:bookmarkEnd w:id="77"/>
      <w:r w:rsidR="00B1683A">
        <w:t>reform</w:t>
      </w:r>
      <w:bookmarkEnd w:id="78"/>
    </w:p>
    <w:p w14:paraId="70FA0CBB" w14:textId="436FACFF"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Historically, all Victorian early childhood </w:t>
      </w:r>
      <w:r w:rsidR="001A7375">
        <w:rPr>
          <w:rFonts w:asciiTheme="minorHAnsi" w:hAnsiTheme="minorHAnsi" w:cstheme="minorHAnsi"/>
          <w:sz w:val="22"/>
          <w:szCs w:val="22"/>
        </w:rPr>
        <w:t xml:space="preserve">education and care </w:t>
      </w:r>
      <w:r w:rsidRPr="000107A9">
        <w:rPr>
          <w:rFonts w:asciiTheme="minorHAnsi" w:hAnsiTheme="minorHAnsi" w:cstheme="minorHAnsi"/>
          <w:sz w:val="22"/>
          <w:szCs w:val="22"/>
        </w:rPr>
        <w:t>services were regulated under the CS Act</w:t>
      </w:r>
      <w:r w:rsidRPr="000107A9">
        <w:rPr>
          <w:rFonts w:asciiTheme="minorHAnsi" w:hAnsiTheme="minorHAnsi" w:cstheme="minorHAnsi"/>
          <w:i/>
          <w:sz w:val="22"/>
          <w:szCs w:val="22"/>
        </w:rPr>
        <w:t xml:space="preserve"> </w:t>
      </w:r>
      <w:r w:rsidRPr="000107A9">
        <w:rPr>
          <w:rFonts w:asciiTheme="minorHAnsi" w:hAnsiTheme="minorHAnsi" w:cstheme="minorHAnsi"/>
          <w:sz w:val="22"/>
          <w:szCs w:val="22"/>
        </w:rPr>
        <w:t>until the 2012 introduction of the NQF. At that time, the majority of early childhood</w:t>
      </w:r>
      <w:r w:rsidR="001A7375">
        <w:rPr>
          <w:rFonts w:asciiTheme="minorHAnsi" w:hAnsiTheme="minorHAnsi" w:cstheme="minorHAnsi"/>
          <w:sz w:val="22"/>
          <w:szCs w:val="22"/>
        </w:rPr>
        <w:t xml:space="preserve"> education and care</w:t>
      </w:r>
      <w:r w:rsidRPr="000107A9">
        <w:rPr>
          <w:rFonts w:asciiTheme="minorHAnsi" w:hAnsiTheme="minorHAnsi" w:cstheme="minorHAnsi"/>
          <w:sz w:val="22"/>
          <w:szCs w:val="22"/>
        </w:rPr>
        <w:t xml:space="preserve"> services in Victoria were brought within the scope of the National Law scheme, leaving around 8% of the remaining children’s services to continue to be regulated under the CS Act — a small but no less important service industry — with a small portion of these services operating under </w:t>
      </w:r>
      <w:r w:rsidRPr="000107A9">
        <w:rPr>
          <w:rFonts w:asciiTheme="minorHAnsi" w:hAnsiTheme="minorHAnsi" w:cstheme="minorHAnsi"/>
          <w:b/>
          <w:sz w:val="22"/>
          <w:szCs w:val="22"/>
        </w:rPr>
        <w:t>both</w:t>
      </w:r>
      <w:r w:rsidRPr="000107A9">
        <w:rPr>
          <w:rFonts w:asciiTheme="minorHAnsi" w:hAnsiTheme="minorHAnsi" w:cstheme="minorHAnsi"/>
          <w:sz w:val="22"/>
          <w:szCs w:val="22"/>
        </w:rPr>
        <w:t xml:space="preserve"> the national and Victorian regulatory regimes.</w:t>
      </w:r>
    </w:p>
    <w:p w14:paraId="43C74B48"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While the national and state regimes are similar; they are not consistent, and the differences between the two regulatory regimes can cause administrative burden and confusion for service providers.</w:t>
      </w:r>
    </w:p>
    <w:p w14:paraId="4F9FF1FB"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CS Act sets out the:</w:t>
      </w:r>
    </w:p>
    <w:p w14:paraId="46130871"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architecture of the licensing frameworks</w:t>
      </w:r>
    </w:p>
    <w:p w14:paraId="6337C438"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requirements for provider accountability and oversight of services</w:t>
      </w:r>
    </w:p>
    <w:p w14:paraId="6D6F8B22"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principles for the safety, health and wellbeing of children, and</w:t>
      </w:r>
    </w:p>
    <w:p w14:paraId="6B397BAE" w14:textId="77777777" w:rsidR="00C01E92" w:rsidRPr="000107A9" w:rsidRDefault="00C01E92" w:rsidP="002806C5">
      <w:pPr>
        <w:pStyle w:val="ListParagraph"/>
        <w:numPr>
          <w:ilvl w:val="0"/>
          <w:numId w:val="79"/>
        </w:numPr>
        <w:rPr>
          <w:rFonts w:cstheme="minorHAnsi"/>
          <w:szCs w:val="22"/>
        </w:rPr>
      </w:pPr>
      <w:proofErr w:type="gramStart"/>
      <w:r w:rsidRPr="000107A9">
        <w:rPr>
          <w:rFonts w:cstheme="minorHAnsi"/>
          <w:szCs w:val="22"/>
        </w:rPr>
        <w:t>the</w:t>
      </w:r>
      <w:proofErr w:type="gramEnd"/>
      <w:r w:rsidRPr="000107A9">
        <w:rPr>
          <w:rFonts w:cstheme="minorHAnsi"/>
          <w:szCs w:val="22"/>
        </w:rPr>
        <w:t xml:space="preserve"> powers and duties of the regulator.</w:t>
      </w:r>
    </w:p>
    <w:p w14:paraId="174AA472" w14:textId="589A822E" w:rsidR="00C01E92" w:rsidRPr="000107A9" w:rsidRDefault="006C6752" w:rsidP="00C01E92">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t>T</w:t>
      </w:r>
      <w:r w:rsidR="00C01E92" w:rsidRPr="000107A9">
        <w:rPr>
          <w:rFonts w:asciiTheme="minorHAnsi" w:hAnsiTheme="minorHAnsi" w:cstheme="minorHAnsi"/>
          <w:sz w:val="22"/>
          <w:szCs w:val="22"/>
        </w:rPr>
        <w:t xml:space="preserve">he CS Act captures services that </w:t>
      </w:r>
      <w:r w:rsidR="00C01E92" w:rsidRPr="000107A9">
        <w:rPr>
          <w:rFonts w:asciiTheme="minorHAnsi" w:hAnsiTheme="minorHAnsi" w:cstheme="minorHAnsi"/>
          <w:i/>
          <w:sz w:val="22"/>
          <w:szCs w:val="22"/>
        </w:rPr>
        <w:t>provide education and care for four or more children under the age of 13 years in the absence of their parents or guardians for fee or reward; or while the parents or guardians of the children use services or facilities provided by the proprietor of the service</w:t>
      </w:r>
      <w:r w:rsidR="00C01E92" w:rsidRPr="000107A9">
        <w:rPr>
          <w:rFonts w:asciiTheme="minorHAnsi" w:hAnsiTheme="minorHAnsi" w:cstheme="minorHAnsi"/>
          <w:sz w:val="22"/>
          <w:szCs w:val="22"/>
        </w:rPr>
        <w:t>.</w:t>
      </w:r>
      <w:r w:rsidR="00C01E92" w:rsidRPr="008A27D1">
        <w:rPr>
          <w:rStyle w:val="FootnoteReference"/>
          <w:rFonts w:asciiTheme="minorHAnsi" w:hAnsiTheme="minorHAnsi" w:cstheme="minorHAnsi"/>
          <w:color w:val="auto"/>
          <w:sz w:val="22"/>
          <w:szCs w:val="22"/>
        </w:rPr>
        <w:footnoteReference w:id="18"/>
      </w:r>
      <w:r w:rsidR="00C01E92" w:rsidRPr="008A27D1">
        <w:rPr>
          <w:rFonts w:asciiTheme="minorHAnsi" w:hAnsiTheme="minorHAnsi" w:cstheme="minorHAnsi"/>
          <w:sz w:val="22"/>
          <w:szCs w:val="22"/>
        </w:rPr>
        <w:t xml:space="preserve"> </w:t>
      </w:r>
    </w:p>
    <w:p w14:paraId="0A58B2F6" w14:textId="4B03C4F3" w:rsidR="006C6752" w:rsidRDefault="006C675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CS Act requires that services meeting the definition must be licensed to operate a children’s service in Victoria</w:t>
      </w:r>
      <w:r>
        <w:rPr>
          <w:rFonts w:asciiTheme="minorHAnsi" w:hAnsiTheme="minorHAnsi" w:cstheme="minorHAnsi"/>
          <w:sz w:val="22"/>
          <w:szCs w:val="22"/>
        </w:rPr>
        <w:t xml:space="preserve">. </w:t>
      </w:r>
      <w:r w:rsidR="00C01E92" w:rsidRPr="000107A9">
        <w:rPr>
          <w:rFonts w:asciiTheme="minorHAnsi" w:hAnsiTheme="minorHAnsi" w:cstheme="minorHAnsi"/>
          <w:sz w:val="22"/>
          <w:szCs w:val="22"/>
        </w:rPr>
        <w:t xml:space="preserve">Services licensed under the CS Act include occasional care, limited </w:t>
      </w:r>
      <w:proofErr w:type="gramStart"/>
      <w:r w:rsidR="00C01E92" w:rsidRPr="000107A9">
        <w:rPr>
          <w:rFonts w:asciiTheme="minorHAnsi" w:hAnsiTheme="minorHAnsi" w:cstheme="minorHAnsi"/>
          <w:sz w:val="22"/>
          <w:szCs w:val="22"/>
        </w:rPr>
        <w:t>hours</w:t>
      </w:r>
      <w:proofErr w:type="gramEnd"/>
      <w:r w:rsidR="00C01E92" w:rsidRPr="000107A9">
        <w:rPr>
          <w:rFonts w:asciiTheme="minorHAnsi" w:hAnsiTheme="minorHAnsi" w:cstheme="minorHAnsi"/>
          <w:sz w:val="22"/>
          <w:szCs w:val="22"/>
        </w:rPr>
        <w:t xml:space="preserve"> services, mobile services and activ</w:t>
      </w:r>
      <w:r>
        <w:rPr>
          <w:rFonts w:asciiTheme="minorHAnsi" w:hAnsiTheme="minorHAnsi" w:cstheme="minorHAnsi"/>
          <w:sz w:val="22"/>
          <w:szCs w:val="22"/>
        </w:rPr>
        <w:t>ity groups for three-year-olds.</w:t>
      </w:r>
    </w:p>
    <w:p w14:paraId="2222DFB5" w14:textId="6847086A" w:rsidR="00C01E92" w:rsidRPr="000107A9" w:rsidRDefault="001A7375" w:rsidP="00C01E92">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t xml:space="preserve">Currently, </w:t>
      </w:r>
      <w:r w:rsidRPr="00D71DD0">
        <w:rPr>
          <w:rFonts w:asciiTheme="minorHAnsi" w:hAnsiTheme="minorHAnsi" w:cstheme="minorHAnsi"/>
          <w:sz w:val="22"/>
          <w:szCs w:val="22"/>
        </w:rPr>
        <w:t>around 88% provide education and care for</w:t>
      </w:r>
      <w:r>
        <w:rPr>
          <w:rFonts w:asciiTheme="minorHAnsi" w:hAnsiTheme="minorHAnsi" w:cstheme="minorHAnsi"/>
          <w:sz w:val="22"/>
          <w:szCs w:val="22"/>
        </w:rPr>
        <w:t xml:space="preserve"> each</w:t>
      </w:r>
      <w:r w:rsidRPr="00D71DD0">
        <w:rPr>
          <w:rFonts w:asciiTheme="minorHAnsi" w:hAnsiTheme="minorHAnsi" w:cstheme="minorHAnsi"/>
          <w:sz w:val="22"/>
          <w:szCs w:val="22"/>
        </w:rPr>
        <w:t xml:space="preserve"> child for </w:t>
      </w:r>
      <w:r>
        <w:rPr>
          <w:rFonts w:asciiTheme="minorHAnsi" w:hAnsiTheme="minorHAnsi" w:cstheme="minorHAnsi"/>
          <w:sz w:val="22"/>
          <w:szCs w:val="22"/>
        </w:rPr>
        <w:t>no more t</w:t>
      </w:r>
      <w:r w:rsidRPr="00D71DD0">
        <w:rPr>
          <w:rFonts w:asciiTheme="minorHAnsi" w:hAnsiTheme="minorHAnsi" w:cstheme="minorHAnsi"/>
          <w:sz w:val="22"/>
          <w:szCs w:val="22"/>
        </w:rPr>
        <w:t xml:space="preserve">han 15 hours per week, and 12% of services provide education and care </w:t>
      </w:r>
      <w:r>
        <w:rPr>
          <w:rFonts w:asciiTheme="minorHAnsi" w:hAnsiTheme="minorHAnsi" w:cstheme="minorHAnsi"/>
          <w:sz w:val="22"/>
          <w:szCs w:val="22"/>
        </w:rPr>
        <w:t xml:space="preserve">for each child for no more than </w:t>
      </w:r>
      <w:r w:rsidRPr="000A76C1">
        <w:rPr>
          <w:rFonts w:asciiTheme="minorHAnsi" w:hAnsiTheme="minorHAnsi" w:cstheme="minorHAnsi"/>
          <w:sz w:val="22"/>
          <w:szCs w:val="22"/>
        </w:rPr>
        <w:t xml:space="preserve">6 hours </w:t>
      </w:r>
      <w:r w:rsidRPr="00D71DD0">
        <w:rPr>
          <w:rFonts w:asciiTheme="minorHAnsi" w:hAnsiTheme="minorHAnsi" w:cstheme="minorHAnsi"/>
          <w:sz w:val="22"/>
          <w:szCs w:val="22"/>
        </w:rPr>
        <w:t>per week</w:t>
      </w:r>
      <w:r>
        <w:rPr>
          <w:rFonts w:asciiTheme="minorHAnsi" w:hAnsiTheme="minorHAnsi" w:cstheme="minorHAnsi"/>
          <w:sz w:val="22"/>
          <w:szCs w:val="22"/>
        </w:rPr>
        <w:t xml:space="preserve"> (see Figure 2). </w:t>
      </w:r>
    </w:p>
    <w:p w14:paraId="52D179D7"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first major review of the NQF by the COAG was completed in 2017. The review considered bringing the remaining out of scope children’s services within the scope of the NQF, but decided against it due to the complexity of transitioning a diverse range of services (nationally) to the NQF.</w:t>
      </w:r>
    </w:p>
    <w:p w14:paraId="493C15EE"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After this decision, the Victorian Government undertook a reform of the regulatory framework for children’s services, to better align it with the NQF, in order to remove regulatory inconsistencies, reduce the regulatory burden on service providers and the regulator, and address regulatory gaps.</w:t>
      </w:r>
    </w:p>
    <w:p w14:paraId="212229B9"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Children’s Services Amendment Act 2019 (</w:t>
      </w:r>
      <w:r w:rsidRPr="00F7569F">
        <w:rPr>
          <w:rFonts w:asciiTheme="minorHAnsi" w:hAnsiTheme="minorHAnsi" w:cstheme="minorHAnsi"/>
          <w:sz w:val="22"/>
          <w:szCs w:val="22"/>
        </w:rPr>
        <w:t>Amendment Act) —</w:t>
      </w:r>
      <w:r w:rsidRPr="000107A9">
        <w:rPr>
          <w:rFonts w:asciiTheme="minorHAnsi" w:hAnsiTheme="minorHAnsi" w:cstheme="minorHAnsi"/>
          <w:sz w:val="22"/>
          <w:szCs w:val="22"/>
        </w:rPr>
        <w:t xml:space="preserve"> passed by Parliament on 6 November 2019 — aligns the CS Act with the National Law (where appropriate), to simplify regulatory arrangements for service providers and to ensure more consistent minimum standards across the two regimes.</w:t>
      </w:r>
    </w:p>
    <w:p w14:paraId="36A76504"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While the reform aligns with the National Law (where appropriate), children’s services </w:t>
      </w:r>
      <w:r w:rsidRPr="000107A9">
        <w:rPr>
          <w:rFonts w:asciiTheme="minorHAnsi" w:hAnsiTheme="minorHAnsi" w:cstheme="minorHAnsi"/>
          <w:b/>
          <w:sz w:val="22"/>
          <w:szCs w:val="22"/>
        </w:rPr>
        <w:t>will not</w:t>
      </w:r>
      <w:r w:rsidRPr="000107A9">
        <w:rPr>
          <w:rFonts w:asciiTheme="minorHAnsi" w:hAnsiTheme="minorHAnsi" w:cstheme="minorHAnsi"/>
          <w:sz w:val="22"/>
          <w:szCs w:val="22"/>
        </w:rPr>
        <w:t xml:space="preserve"> be subject to assessment and rating against the NQS. To do so would impose an unreasonable burden on services providing limited hours of care and would require substantial additional regulatory investment. </w:t>
      </w:r>
    </w:p>
    <w:p w14:paraId="04AB5233" w14:textId="62A27E86" w:rsidR="006C6752"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w:t>
      </w:r>
      <w:r w:rsidRPr="000107A9">
        <w:rPr>
          <w:rFonts w:asciiTheme="minorHAnsi" w:hAnsiTheme="minorHAnsi" w:cstheme="minorHAnsi"/>
          <w:b/>
          <w:sz w:val="22"/>
          <w:szCs w:val="22"/>
        </w:rPr>
        <w:t>objectives of alignment</w:t>
      </w:r>
      <w:r w:rsidRPr="000107A9">
        <w:rPr>
          <w:rFonts w:asciiTheme="minorHAnsi" w:hAnsiTheme="minorHAnsi" w:cstheme="minorHAnsi"/>
          <w:sz w:val="22"/>
          <w:szCs w:val="22"/>
        </w:rPr>
        <w:t xml:space="preserve"> (where appropriate) are to provide a consistent framework for all Victorian early childhood education and care services, regardless of which regulatory regi</w:t>
      </w:r>
      <w:r w:rsidR="006C6752">
        <w:rPr>
          <w:rFonts w:asciiTheme="minorHAnsi" w:hAnsiTheme="minorHAnsi" w:cstheme="minorHAnsi"/>
          <w:sz w:val="22"/>
          <w:szCs w:val="22"/>
        </w:rPr>
        <w:t>me applies to that service.</w:t>
      </w:r>
    </w:p>
    <w:p w14:paraId="4EDB16E1" w14:textId="10C8DBF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Aligning the regulatory regimes may realise </w:t>
      </w:r>
      <w:r w:rsidRPr="006C6752">
        <w:rPr>
          <w:rFonts w:asciiTheme="minorHAnsi" w:hAnsiTheme="minorHAnsi" w:cstheme="minorHAnsi"/>
          <w:b/>
          <w:sz w:val="22"/>
          <w:szCs w:val="22"/>
        </w:rPr>
        <w:t>benefits</w:t>
      </w:r>
      <w:r w:rsidRPr="000107A9">
        <w:rPr>
          <w:rFonts w:asciiTheme="minorHAnsi" w:hAnsiTheme="minorHAnsi" w:cstheme="minorHAnsi"/>
          <w:sz w:val="22"/>
          <w:szCs w:val="22"/>
        </w:rPr>
        <w:t xml:space="preserve"> including:</w:t>
      </w:r>
    </w:p>
    <w:p w14:paraId="46099A11"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lastRenderedPageBreak/>
        <w:t>reducing administrative burden and risk of confusion for service providers operating under both regimes</w:t>
      </w:r>
    </w:p>
    <w:p w14:paraId="79686054"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increasing confidence for service providers that there is equity across the sector (e.g. operating requirements, offences and penalties for non-compliance)</w:t>
      </w:r>
    </w:p>
    <w:p w14:paraId="344474C5"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achieving greater consistency for consumers of early childhood education and care services</w:t>
      </w:r>
    </w:p>
    <w:p w14:paraId="414085F4"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enhancing the safety of children by providing the regulatory authority with the power to prohibit persons who pose an unacceptable risk of harm to children from working in the sector</w:t>
      </w:r>
    </w:p>
    <w:p w14:paraId="635FBA0E"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creating potential efficiencies for the Regulatory Authority in Victoria, and</w:t>
      </w:r>
    </w:p>
    <w:p w14:paraId="6A7191CF" w14:textId="77777777" w:rsidR="00C01E92" w:rsidRPr="000107A9" w:rsidRDefault="00C01E92" w:rsidP="002806C5">
      <w:pPr>
        <w:pStyle w:val="ListParagraph"/>
        <w:numPr>
          <w:ilvl w:val="0"/>
          <w:numId w:val="79"/>
        </w:numPr>
        <w:rPr>
          <w:rFonts w:cstheme="minorHAnsi"/>
          <w:szCs w:val="22"/>
        </w:rPr>
      </w:pPr>
      <w:proofErr w:type="gramStart"/>
      <w:r w:rsidRPr="000107A9">
        <w:rPr>
          <w:rFonts w:cstheme="minorHAnsi"/>
          <w:szCs w:val="22"/>
        </w:rPr>
        <w:t>increasing</w:t>
      </w:r>
      <w:proofErr w:type="gramEnd"/>
      <w:r w:rsidRPr="000107A9">
        <w:rPr>
          <w:rFonts w:cstheme="minorHAnsi"/>
          <w:szCs w:val="22"/>
        </w:rPr>
        <w:t xml:space="preserve"> opportunities to drive quality across the system, and improve educational and developmental outcomes for children in early childhood education and care services in Victoria.</w:t>
      </w:r>
    </w:p>
    <w:p w14:paraId="1E598FC9" w14:textId="621147DF" w:rsidR="006C6752"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Sector consultation on the law reform proposal during May and June 2019 indicated broad support for aligning the CS Act with the National Law. Feedback noted that it would be much easier for providers operating under both regimes to compl</w:t>
      </w:r>
      <w:r w:rsidR="006C6752">
        <w:rPr>
          <w:rFonts w:asciiTheme="minorHAnsi" w:hAnsiTheme="minorHAnsi" w:cstheme="minorHAnsi"/>
          <w:sz w:val="22"/>
          <w:szCs w:val="22"/>
        </w:rPr>
        <w:t>y with consistent requirements.</w:t>
      </w:r>
    </w:p>
    <w:p w14:paraId="21F3B387" w14:textId="2A5E0AC6"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In addition, the sector </w:t>
      </w:r>
      <w:r w:rsidR="00E548CB">
        <w:rPr>
          <w:rFonts w:asciiTheme="minorHAnsi" w:hAnsiTheme="minorHAnsi" w:cstheme="minorHAnsi"/>
          <w:sz w:val="22"/>
          <w:szCs w:val="22"/>
        </w:rPr>
        <w:t>has welcomed adopting the term ‘</w:t>
      </w:r>
      <w:r w:rsidRPr="006C6752">
        <w:rPr>
          <w:rFonts w:asciiTheme="minorHAnsi" w:hAnsiTheme="minorHAnsi" w:cstheme="minorHAnsi"/>
          <w:b/>
          <w:sz w:val="22"/>
          <w:szCs w:val="22"/>
        </w:rPr>
        <w:t>educator</w:t>
      </w:r>
      <w:r w:rsidR="00E548CB">
        <w:rPr>
          <w:rFonts w:asciiTheme="minorHAnsi" w:hAnsiTheme="minorHAnsi" w:cstheme="minorHAnsi"/>
          <w:sz w:val="22"/>
          <w:szCs w:val="22"/>
        </w:rPr>
        <w:t>’</w:t>
      </w:r>
      <w:r w:rsidRPr="000107A9">
        <w:rPr>
          <w:rFonts w:asciiTheme="minorHAnsi" w:hAnsiTheme="minorHAnsi" w:cstheme="minorHAnsi"/>
          <w:sz w:val="22"/>
          <w:szCs w:val="22"/>
        </w:rPr>
        <w:t xml:space="preserve"> to define those working directly with children </w:t>
      </w:r>
      <w:r w:rsidR="001A7375">
        <w:rPr>
          <w:rFonts w:asciiTheme="minorHAnsi" w:hAnsiTheme="minorHAnsi" w:cstheme="minorHAnsi"/>
          <w:sz w:val="22"/>
          <w:szCs w:val="22"/>
        </w:rPr>
        <w:t xml:space="preserve">including those </w:t>
      </w:r>
      <w:r w:rsidRPr="000107A9">
        <w:rPr>
          <w:rFonts w:asciiTheme="minorHAnsi" w:hAnsiTheme="minorHAnsi" w:cstheme="minorHAnsi"/>
          <w:sz w:val="22"/>
          <w:szCs w:val="22"/>
        </w:rPr>
        <w:t>who hold a minimum Certificate III qualification, as it acknowledges the professionalism of the sector and reinforces the important education and care provided in services that offer short-term, ad hoc care.</w:t>
      </w:r>
    </w:p>
    <w:p w14:paraId="1D3B0927" w14:textId="1A40BB8A"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A key improvement of the alignment is the requirement that a service’s educational program </w:t>
      </w:r>
      <w:r w:rsidRPr="000107A9">
        <w:rPr>
          <w:rFonts w:asciiTheme="minorHAnsi" w:hAnsiTheme="minorHAnsi" w:cstheme="minorHAnsi"/>
          <w:b/>
          <w:sz w:val="22"/>
          <w:szCs w:val="22"/>
        </w:rPr>
        <w:t>must</w:t>
      </w:r>
      <w:r w:rsidRPr="000107A9">
        <w:rPr>
          <w:rFonts w:asciiTheme="minorHAnsi" w:hAnsiTheme="minorHAnsi" w:cstheme="minorHAnsi"/>
          <w:sz w:val="22"/>
          <w:szCs w:val="22"/>
        </w:rPr>
        <w:t xml:space="preserve"> be based on an approved learning framework</w:t>
      </w:r>
      <w:r w:rsidR="00926537">
        <w:rPr>
          <w:rFonts w:asciiTheme="minorHAnsi" w:hAnsiTheme="minorHAnsi" w:cstheme="minorHAnsi"/>
          <w:sz w:val="22"/>
          <w:szCs w:val="22"/>
        </w:rPr>
        <w:t>. The approved learning frameworks are:</w:t>
      </w:r>
    </w:p>
    <w:p w14:paraId="7CDADF1A"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Victorian Early Years Learning and Development Framework (VEYLDF)</w:t>
      </w:r>
    </w:p>
    <w:p w14:paraId="73ADE2A7"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Belonging, Being and Becoming: The Early Years Learning Framework for Australia (EYLF)</w:t>
      </w:r>
    </w:p>
    <w:p w14:paraId="70DD0465"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My Time, Our Place: Framework for School Age Care in Australia (MTOP).</w:t>
      </w:r>
    </w:p>
    <w:p w14:paraId="69FE8DE6"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program will need to be tailored to reflect the nature of the education and care being provided and the period of time that the children attend the service, and to reflect each child’s needs and individual differences.</w:t>
      </w:r>
    </w:p>
    <w:p w14:paraId="6596B075"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Amendment Act will commence in May 2020 and coincides with the sunsetting of associated CS Regulations. This provides the opportunity to align the regulatory regimes (where appropriate), such that the sector, the community and the regulator have a more consistent system to work within.</w:t>
      </w:r>
    </w:p>
    <w:p w14:paraId="60FC54AA" w14:textId="2F74981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Appendix 10.3 provides further information about key areas of alignment in </w:t>
      </w:r>
      <w:r w:rsidR="00926537">
        <w:rPr>
          <w:rFonts w:asciiTheme="minorHAnsi" w:hAnsiTheme="minorHAnsi" w:cstheme="minorHAnsi"/>
          <w:sz w:val="22"/>
          <w:szCs w:val="22"/>
        </w:rPr>
        <w:t xml:space="preserve">the </w:t>
      </w:r>
      <w:r w:rsidRPr="000107A9">
        <w:rPr>
          <w:rFonts w:asciiTheme="minorHAnsi" w:hAnsiTheme="minorHAnsi" w:cstheme="minorHAnsi"/>
          <w:sz w:val="22"/>
          <w:szCs w:val="22"/>
        </w:rPr>
        <w:t>Amendment Act that have a direct impact on the CS Regulations, such as changes to terminology, the approvals process for providers and services, other operational requirements and offence provisions.</w:t>
      </w:r>
    </w:p>
    <w:p w14:paraId="4B48E7A2" w14:textId="67A362A8" w:rsidR="00C01E92" w:rsidRPr="00C53A83" w:rsidRDefault="00C53A83" w:rsidP="00F7569F">
      <w:pPr>
        <w:pStyle w:val="Heading2"/>
      </w:pPr>
      <w:bookmarkStart w:id="79" w:name="_Toc24531613"/>
      <w:bookmarkStart w:id="80" w:name="_Toc25749860"/>
      <w:bookmarkStart w:id="81" w:name="_Toc30669611"/>
      <w:bookmarkStart w:id="82" w:name="_Toc32936866"/>
      <w:r>
        <w:t xml:space="preserve">4.1 </w:t>
      </w:r>
      <w:r w:rsidR="00C01E92" w:rsidRPr="00C53A83">
        <w:t>Statement of objectives</w:t>
      </w:r>
      <w:bookmarkEnd w:id="79"/>
      <w:bookmarkEnd w:id="80"/>
      <w:bookmarkEnd w:id="81"/>
      <w:bookmarkEnd w:id="82"/>
    </w:p>
    <w:p w14:paraId="46EAFE94" w14:textId="4E7A4CEA" w:rsidR="00C01E92" w:rsidRPr="00B03351" w:rsidRDefault="00C01E92" w:rsidP="00C01E92">
      <w:pPr>
        <w:pStyle w:val="EYBodytextwithparaspace"/>
        <w:spacing w:before="120" w:after="120"/>
        <w:rPr>
          <w:rFonts w:asciiTheme="minorHAnsi" w:hAnsiTheme="minorHAnsi" w:cstheme="minorHAnsi"/>
          <w:sz w:val="22"/>
          <w:szCs w:val="22"/>
          <w:lang w:val="en-US"/>
        </w:rPr>
      </w:pPr>
      <w:r w:rsidRPr="00B03351">
        <w:rPr>
          <w:rFonts w:asciiTheme="minorHAnsi" w:hAnsiTheme="minorHAnsi" w:cstheme="minorHAnsi"/>
          <w:sz w:val="22"/>
          <w:szCs w:val="22"/>
        </w:rPr>
        <w:t>A key responsibility for the Victorian Government is to ensure the welfare of vulnerable members of society. This extends to ensuring that all services provided to children, regardless of their socio-economic characteristics, meet minimum standards that support the developmental and educational outcomes of children and mitigates the risk that children will come to physical, developmental, social or emotional harm.</w:t>
      </w:r>
      <w:r w:rsidRPr="00B03351">
        <w:rPr>
          <w:rFonts w:asciiTheme="minorHAnsi" w:hAnsiTheme="minorHAnsi" w:cstheme="minorHAnsi"/>
          <w:sz w:val="22"/>
          <w:szCs w:val="22"/>
          <w:lang w:val="en-US"/>
        </w:rPr>
        <w:t xml:space="preserve"> </w:t>
      </w:r>
      <w:r w:rsidRPr="00B03351">
        <w:rPr>
          <w:rStyle w:val="FootnoteReference"/>
          <w:rFonts w:asciiTheme="minorHAnsi" w:hAnsiTheme="minorHAnsi" w:cstheme="minorHAnsi"/>
          <w:color w:val="auto"/>
          <w:sz w:val="22"/>
          <w:szCs w:val="22"/>
          <w:lang w:val="en-US"/>
        </w:rPr>
        <w:footnoteReference w:id="19"/>
      </w:r>
    </w:p>
    <w:p w14:paraId="40354D9B" w14:textId="77777777" w:rsidR="00C01E92" w:rsidRPr="00B03351" w:rsidRDefault="00C01E92" w:rsidP="00C01E92">
      <w:pPr>
        <w:pStyle w:val="EYBodytextwithparaspace"/>
        <w:spacing w:before="120" w:after="120"/>
        <w:rPr>
          <w:rFonts w:asciiTheme="minorHAnsi" w:hAnsiTheme="minorHAnsi" w:cstheme="minorHAnsi"/>
          <w:sz w:val="22"/>
          <w:szCs w:val="22"/>
          <w:lang w:val="en-US"/>
        </w:rPr>
      </w:pPr>
      <w:r w:rsidRPr="00B03351">
        <w:rPr>
          <w:rFonts w:asciiTheme="minorHAnsi" w:hAnsiTheme="minorHAnsi" w:cstheme="minorHAnsi"/>
          <w:sz w:val="22"/>
          <w:szCs w:val="22"/>
          <w:lang w:val="en-US"/>
        </w:rPr>
        <w:t>The proposed Regulations provide the operational detail to support the Amendment Act.</w:t>
      </w:r>
    </w:p>
    <w:p w14:paraId="57EF04FB" w14:textId="77777777" w:rsidR="00C01E92" w:rsidRPr="00B03351" w:rsidRDefault="00C01E92" w:rsidP="00C01E92">
      <w:pPr>
        <w:pStyle w:val="EYBodytextwithparaspace"/>
        <w:spacing w:before="120" w:after="120"/>
        <w:rPr>
          <w:rFonts w:asciiTheme="minorHAnsi" w:hAnsiTheme="minorHAnsi" w:cstheme="minorHAnsi"/>
          <w:sz w:val="22"/>
          <w:szCs w:val="22"/>
        </w:rPr>
      </w:pPr>
      <w:r w:rsidRPr="00B03351">
        <w:rPr>
          <w:rFonts w:asciiTheme="minorHAnsi" w:hAnsiTheme="minorHAnsi" w:cstheme="minorHAnsi"/>
          <w:sz w:val="22"/>
          <w:szCs w:val="22"/>
        </w:rPr>
        <w:t>The objectives of the proposed Regulations which apply to children’s services are to:</w:t>
      </w:r>
    </w:p>
    <w:p w14:paraId="079EEA94" w14:textId="77777777" w:rsidR="00C01E92" w:rsidRPr="00B03351" w:rsidRDefault="00C01E92" w:rsidP="002806C5">
      <w:pPr>
        <w:pStyle w:val="ListParagraph"/>
        <w:numPr>
          <w:ilvl w:val="0"/>
          <w:numId w:val="79"/>
        </w:numPr>
        <w:rPr>
          <w:rFonts w:cstheme="minorHAnsi"/>
          <w:szCs w:val="22"/>
        </w:rPr>
      </w:pPr>
      <w:r w:rsidRPr="00B03351">
        <w:rPr>
          <w:rFonts w:cstheme="minorHAnsi"/>
          <w:b/>
          <w:szCs w:val="22"/>
        </w:rPr>
        <w:lastRenderedPageBreak/>
        <w:t>Minimise</w:t>
      </w:r>
      <w:r w:rsidRPr="00B03351">
        <w:rPr>
          <w:rFonts w:cstheme="minorHAnsi"/>
          <w:szCs w:val="22"/>
        </w:rPr>
        <w:t xml:space="preserve"> the risk of physical, developmental, social or emotional harm to children while they are not in the care of their parents, guardians or families.</w:t>
      </w:r>
    </w:p>
    <w:p w14:paraId="7699D7A0" w14:textId="77777777" w:rsidR="00C01E92" w:rsidRPr="00B03351" w:rsidRDefault="00C01E92" w:rsidP="002806C5">
      <w:pPr>
        <w:pStyle w:val="ListParagraph"/>
        <w:numPr>
          <w:ilvl w:val="0"/>
          <w:numId w:val="79"/>
        </w:numPr>
        <w:rPr>
          <w:rFonts w:cstheme="minorHAnsi"/>
          <w:szCs w:val="22"/>
        </w:rPr>
      </w:pPr>
      <w:r w:rsidRPr="00B03351">
        <w:rPr>
          <w:rFonts w:cstheme="minorHAnsi"/>
          <w:b/>
          <w:szCs w:val="22"/>
        </w:rPr>
        <w:t>Drive</w:t>
      </w:r>
      <w:r w:rsidRPr="00B03351">
        <w:rPr>
          <w:rFonts w:cstheme="minorHAnsi"/>
          <w:szCs w:val="22"/>
        </w:rPr>
        <w:t xml:space="preserve"> improvement in the quality of education and care provided to maximise the development of the child through the provision of appropriate programs and opportunities in the children’s services context.</w:t>
      </w:r>
    </w:p>
    <w:p w14:paraId="06F2073F" w14:textId="77777777" w:rsidR="00C01E92" w:rsidRPr="00B03351" w:rsidRDefault="00C01E92" w:rsidP="002806C5">
      <w:pPr>
        <w:pStyle w:val="ListParagraph"/>
        <w:numPr>
          <w:ilvl w:val="0"/>
          <w:numId w:val="79"/>
        </w:numPr>
        <w:rPr>
          <w:rFonts w:cstheme="minorHAnsi"/>
          <w:szCs w:val="22"/>
        </w:rPr>
      </w:pPr>
      <w:r w:rsidRPr="00B03351">
        <w:rPr>
          <w:rFonts w:cstheme="minorHAnsi"/>
          <w:b/>
          <w:szCs w:val="22"/>
        </w:rPr>
        <w:t>Align</w:t>
      </w:r>
      <w:r w:rsidRPr="00B03351">
        <w:rPr>
          <w:rFonts w:cstheme="minorHAnsi"/>
          <w:szCs w:val="22"/>
        </w:rPr>
        <w:t xml:space="preserve"> (where appropriate) and simplify regulatory arrangements for service providers to ensure more consistent minimum standards and reduce administrative burden.</w:t>
      </w:r>
    </w:p>
    <w:p w14:paraId="0E0CA194" w14:textId="15FC42F0" w:rsidR="00C01E92" w:rsidRPr="00B03351" w:rsidRDefault="00C01E92" w:rsidP="00C01E92">
      <w:pPr>
        <w:pStyle w:val="EYBodytextwithparaspace"/>
        <w:spacing w:before="120" w:after="120"/>
        <w:rPr>
          <w:rFonts w:asciiTheme="minorHAnsi" w:hAnsiTheme="minorHAnsi" w:cstheme="minorHAnsi"/>
          <w:sz w:val="22"/>
          <w:szCs w:val="22"/>
        </w:rPr>
      </w:pPr>
      <w:r w:rsidRPr="00B03351">
        <w:rPr>
          <w:rFonts w:asciiTheme="minorHAnsi" w:hAnsiTheme="minorHAnsi" w:cstheme="minorHAnsi"/>
          <w:sz w:val="22"/>
          <w:szCs w:val="22"/>
        </w:rPr>
        <w:t>In achieving these objectives, the proposed Regulations will ensure adequate services are provided to meet the specific needs of children requiring occasional care and families needing flexible service models designed to meet their varied needs.</w:t>
      </w:r>
    </w:p>
    <w:p w14:paraId="0DB8B1CA" w14:textId="70848030" w:rsidR="00B35678" w:rsidRDefault="00B35678" w:rsidP="00C01E92">
      <w:pPr>
        <w:pStyle w:val="EYBodytextwithparaspace"/>
        <w:spacing w:before="120" w:after="120"/>
        <w:rPr>
          <w:rFonts w:asciiTheme="minorHAnsi" w:hAnsiTheme="minorHAnsi" w:cstheme="minorHAnsi"/>
          <w:sz w:val="22"/>
          <w:szCs w:val="22"/>
        </w:rPr>
      </w:pPr>
    </w:p>
    <w:p w14:paraId="3B0EDEE6" w14:textId="21CA1CAE" w:rsidR="003D3C43" w:rsidRDefault="003D3C43">
      <w:pPr>
        <w:spacing w:after="0"/>
        <w:rPr>
          <w:rFonts w:eastAsia="Times New Roman" w:cstheme="minorHAnsi"/>
          <w:szCs w:val="22"/>
          <w:lang w:val="en-AU"/>
        </w:rPr>
      </w:pPr>
      <w:r>
        <w:rPr>
          <w:rFonts w:cstheme="minorHAnsi"/>
          <w:szCs w:val="22"/>
        </w:rPr>
        <w:br w:type="page"/>
      </w:r>
    </w:p>
    <w:p w14:paraId="159F6C42" w14:textId="35111099" w:rsidR="00C01E92" w:rsidRPr="000107A9" w:rsidRDefault="00C01E92" w:rsidP="004F4E5D">
      <w:pPr>
        <w:pStyle w:val="Heading1"/>
        <w:numPr>
          <w:ilvl w:val="0"/>
          <w:numId w:val="12"/>
        </w:numPr>
      </w:pPr>
      <w:bookmarkStart w:id="83" w:name="_Ref27748542"/>
      <w:bookmarkStart w:id="84" w:name="_Ref27748546"/>
      <w:bookmarkStart w:id="85" w:name="_Toc30669612"/>
      <w:bookmarkStart w:id="86" w:name="_Toc32936867"/>
      <w:r w:rsidRPr="000107A9">
        <w:lastRenderedPageBreak/>
        <w:t>Proposed options</w:t>
      </w:r>
      <w:bookmarkEnd w:id="83"/>
      <w:bookmarkEnd w:id="84"/>
      <w:bookmarkEnd w:id="85"/>
      <w:bookmarkEnd w:id="86"/>
    </w:p>
    <w:p w14:paraId="2008CA03"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When regulations are remade, the </w:t>
      </w:r>
      <w:r w:rsidRPr="000107A9">
        <w:rPr>
          <w:rFonts w:asciiTheme="minorHAnsi" w:hAnsiTheme="minorHAnsi" w:cstheme="minorHAnsi"/>
          <w:i/>
          <w:sz w:val="22"/>
          <w:szCs w:val="22"/>
        </w:rPr>
        <w:t>Subordinate Legislation Act 1994</w:t>
      </w:r>
      <w:r w:rsidRPr="000107A9">
        <w:rPr>
          <w:rFonts w:asciiTheme="minorHAnsi" w:hAnsiTheme="minorHAnsi" w:cstheme="minorHAnsi"/>
          <w:sz w:val="22"/>
          <w:szCs w:val="22"/>
        </w:rPr>
        <w:t xml:space="preserve"> requires that a RIS considers other practicable means of achieving the objectives of the proposed statutory rules, including other regulatory as well as non-regulatory options.</w:t>
      </w:r>
    </w:p>
    <w:p w14:paraId="0C3AAB1C"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three main options presented are:</w:t>
      </w:r>
    </w:p>
    <w:p w14:paraId="41C318BB" w14:textId="73F66772" w:rsidR="00C01E92" w:rsidRPr="00492634" w:rsidRDefault="00C01E92" w:rsidP="00E548CB">
      <w:pPr>
        <w:pStyle w:val="ListParagraph"/>
        <w:numPr>
          <w:ilvl w:val="0"/>
          <w:numId w:val="79"/>
        </w:numPr>
        <w:spacing w:before="120"/>
        <w:ind w:left="714" w:hanging="357"/>
        <w:contextualSpacing w:val="0"/>
        <w:rPr>
          <w:rFonts w:cstheme="minorHAnsi"/>
          <w:szCs w:val="22"/>
        </w:rPr>
      </w:pPr>
      <w:r w:rsidRPr="00492634">
        <w:rPr>
          <w:rFonts w:cstheme="minorHAnsi"/>
          <w:b/>
          <w:szCs w:val="22"/>
        </w:rPr>
        <w:t>Base Case</w:t>
      </w:r>
      <w:r w:rsidRPr="00492634">
        <w:rPr>
          <w:rFonts w:cstheme="minorHAnsi"/>
          <w:szCs w:val="22"/>
        </w:rPr>
        <w:t xml:space="preserve"> – The scenario in which there are no Regulations; the current Regulations are not remade and no new regulations are made to replace them. This option is designed as a point of comparison for other options and is</w:t>
      </w:r>
      <w:r w:rsidR="006C6752">
        <w:rPr>
          <w:rFonts w:cstheme="minorHAnsi"/>
          <w:szCs w:val="22"/>
        </w:rPr>
        <w:t xml:space="preserve"> a</w:t>
      </w:r>
      <w:r w:rsidRPr="00492634">
        <w:rPr>
          <w:rFonts w:cstheme="minorHAnsi"/>
          <w:szCs w:val="22"/>
        </w:rPr>
        <w:t xml:space="preserve"> mandatory consider</w:t>
      </w:r>
      <w:r w:rsidR="006C6752">
        <w:rPr>
          <w:rFonts w:cstheme="minorHAnsi"/>
          <w:szCs w:val="22"/>
        </w:rPr>
        <w:t>ation</w:t>
      </w:r>
      <w:r w:rsidRPr="00492634">
        <w:rPr>
          <w:rFonts w:cstheme="minorHAnsi"/>
          <w:szCs w:val="22"/>
        </w:rPr>
        <w:t xml:space="preserve"> for sunsetting regulations.</w:t>
      </w:r>
    </w:p>
    <w:p w14:paraId="74988350" w14:textId="77777777" w:rsidR="00C01E92" w:rsidRPr="000107A9" w:rsidRDefault="00C01E92" w:rsidP="00E548CB">
      <w:pPr>
        <w:pStyle w:val="ListParagraph"/>
        <w:numPr>
          <w:ilvl w:val="0"/>
          <w:numId w:val="79"/>
        </w:numPr>
        <w:spacing w:before="120"/>
        <w:ind w:left="714" w:hanging="357"/>
        <w:contextualSpacing w:val="0"/>
        <w:rPr>
          <w:rFonts w:cstheme="minorHAnsi"/>
          <w:szCs w:val="22"/>
        </w:rPr>
      </w:pPr>
      <w:r w:rsidRPr="000107A9">
        <w:rPr>
          <w:rFonts w:cstheme="minorHAnsi"/>
          <w:b/>
          <w:szCs w:val="22"/>
        </w:rPr>
        <w:t>Status Quo</w:t>
      </w:r>
      <w:r w:rsidRPr="000107A9">
        <w:rPr>
          <w:rFonts w:cstheme="minorHAnsi"/>
          <w:szCs w:val="22"/>
        </w:rPr>
        <w:t xml:space="preserve"> – The scenario in which the Regulations are remade in their current form with no changes.</w:t>
      </w:r>
    </w:p>
    <w:p w14:paraId="19F29BE9" w14:textId="4ADBF33D" w:rsidR="00C01E92" w:rsidRPr="00492634" w:rsidRDefault="00C01E92" w:rsidP="00E548CB">
      <w:pPr>
        <w:pStyle w:val="ListParagraph"/>
        <w:numPr>
          <w:ilvl w:val="0"/>
          <w:numId w:val="79"/>
        </w:numPr>
        <w:spacing w:before="120"/>
        <w:ind w:left="714" w:hanging="357"/>
        <w:contextualSpacing w:val="0"/>
        <w:rPr>
          <w:rFonts w:cstheme="minorHAnsi"/>
          <w:szCs w:val="22"/>
        </w:rPr>
      </w:pPr>
      <w:r w:rsidRPr="00492634">
        <w:rPr>
          <w:rFonts w:cstheme="minorHAnsi"/>
          <w:b/>
          <w:szCs w:val="22"/>
        </w:rPr>
        <w:t>Alignment</w:t>
      </w:r>
      <w:r w:rsidRPr="00492634">
        <w:rPr>
          <w:rFonts w:cstheme="minorHAnsi"/>
          <w:szCs w:val="22"/>
        </w:rPr>
        <w:t xml:space="preserve"> – The scenario in which the current Regulations are replaced by proposed Regulations </w:t>
      </w:r>
      <w:r w:rsidR="006C6752">
        <w:rPr>
          <w:rFonts w:cstheme="minorHAnsi"/>
          <w:szCs w:val="22"/>
        </w:rPr>
        <w:t>that</w:t>
      </w:r>
      <w:r w:rsidRPr="00492634">
        <w:rPr>
          <w:rFonts w:cstheme="minorHAnsi"/>
          <w:szCs w:val="22"/>
        </w:rPr>
        <w:t xml:space="preserve"> further the objective of align</w:t>
      </w:r>
      <w:r w:rsidR="006C6752">
        <w:rPr>
          <w:rFonts w:cstheme="minorHAnsi"/>
          <w:szCs w:val="22"/>
        </w:rPr>
        <w:t>ing</w:t>
      </w:r>
      <w:r w:rsidRPr="00492634">
        <w:rPr>
          <w:rFonts w:cstheme="minorHAnsi"/>
          <w:szCs w:val="22"/>
        </w:rPr>
        <w:t xml:space="preserve"> the regulation of children’s services</w:t>
      </w:r>
      <w:r w:rsidR="006C6752">
        <w:rPr>
          <w:rFonts w:cstheme="minorHAnsi"/>
          <w:szCs w:val="22"/>
        </w:rPr>
        <w:t xml:space="preserve"> </w:t>
      </w:r>
      <w:r w:rsidRPr="00492634">
        <w:rPr>
          <w:rFonts w:cstheme="minorHAnsi"/>
          <w:szCs w:val="22"/>
        </w:rPr>
        <w:t>to the NQF</w:t>
      </w:r>
      <w:r w:rsidR="006C6752">
        <w:rPr>
          <w:rFonts w:cstheme="minorHAnsi"/>
          <w:szCs w:val="22"/>
        </w:rPr>
        <w:t xml:space="preserve"> (where appropriate)</w:t>
      </w:r>
      <w:r w:rsidRPr="00492634">
        <w:rPr>
          <w:rFonts w:cstheme="minorHAnsi"/>
          <w:szCs w:val="22"/>
        </w:rPr>
        <w:t>.</w:t>
      </w:r>
    </w:p>
    <w:p w14:paraId="0B53F943" w14:textId="0D0F44C0"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RIS also considers non-regulatory options for achieving the objectives</w:t>
      </w:r>
      <w:r w:rsidR="006C6752">
        <w:rPr>
          <w:rFonts w:asciiTheme="minorHAnsi" w:hAnsiTheme="minorHAnsi" w:cstheme="minorHAnsi"/>
          <w:sz w:val="22"/>
          <w:szCs w:val="22"/>
        </w:rPr>
        <w:t>, such as</w:t>
      </w:r>
      <w:r w:rsidRPr="000107A9">
        <w:rPr>
          <w:rFonts w:asciiTheme="minorHAnsi" w:hAnsiTheme="minorHAnsi" w:cstheme="minorHAnsi"/>
          <w:sz w:val="22"/>
          <w:szCs w:val="22"/>
        </w:rPr>
        <w:t>:</w:t>
      </w:r>
    </w:p>
    <w:p w14:paraId="2F8E3AFC" w14:textId="028C722D" w:rsidR="00C01E92" w:rsidRPr="000107A9" w:rsidRDefault="00C01E92" w:rsidP="00E548CB">
      <w:pPr>
        <w:pStyle w:val="ListParagraph"/>
        <w:numPr>
          <w:ilvl w:val="0"/>
          <w:numId w:val="79"/>
        </w:numPr>
        <w:spacing w:before="120"/>
        <w:ind w:left="714" w:hanging="357"/>
        <w:contextualSpacing w:val="0"/>
        <w:rPr>
          <w:rFonts w:cstheme="minorHAnsi"/>
          <w:szCs w:val="22"/>
        </w:rPr>
      </w:pPr>
      <w:r w:rsidRPr="000107A9">
        <w:rPr>
          <w:rFonts w:cstheme="minorHAnsi"/>
          <w:b/>
          <w:szCs w:val="22"/>
        </w:rPr>
        <w:t>Education campaigns</w:t>
      </w:r>
      <w:r w:rsidRPr="000107A9">
        <w:rPr>
          <w:rFonts w:cstheme="minorHAnsi"/>
          <w:szCs w:val="22"/>
        </w:rPr>
        <w:t xml:space="preserve"> – The scenario of informing service providers of changed requirements to set up and run children’s services</w:t>
      </w:r>
      <w:r w:rsidR="006C6752">
        <w:rPr>
          <w:rFonts w:cstheme="minorHAnsi"/>
          <w:szCs w:val="22"/>
        </w:rPr>
        <w:t>.</w:t>
      </w:r>
    </w:p>
    <w:p w14:paraId="7E799F7F" w14:textId="73FC182C" w:rsidR="00C01E92" w:rsidRPr="000107A9" w:rsidRDefault="00514C50" w:rsidP="00E548CB">
      <w:pPr>
        <w:pStyle w:val="ListParagraph"/>
        <w:numPr>
          <w:ilvl w:val="0"/>
          <w:numId w:val="79"/>
        </w:numPr>
        <w:spacing w:before="120"/>
        <w:ind w:left="714" w:hanging="357"/>
        <w:contextualSpacing w:val="0"/>
        <w:rPr>
          <w:rFonts w:cstheme="minorHAnsi"/>
          <w:szCs w:val="22"/>
        </w:rPr>
      </w:pPr>
      <w:r>
        <w:rPr>
          <w:rFonts w:cstheme="minorHAnsi"/>
          <w:b/>
          <w:szCs w:val="22"/>
        </w:rPr>
        <w:t>A v</w:t>
      </w:r>
      <w:r w:rsidR="00C01E92" w:rsidRPr="000107A9">
        <w:rPr>
          <w:rFonts w:cstheme="minorHAnsi"/>
          <w:b/>
          <w:szCs w:val="22"/>
        </w:rPr>
        <w:t>oluntary code of practice</w:t>
      </w:r>
      <w:r w:rsidR="00C01E92" w:rsidRPr="008A27D1">
        <w:rPr>
          <w:rFonts w:cstheme="minorHAnsi"/>
          <w:szCs w:val="22"/>
        </w:rPr>
        <w:t xml:space="preserve"> </w:t>
      </w:r>
      <w:r w:rsidR="00C01E92" w:rsidRPr="000107A9">
        <w:rPr>
          <w:rFonts w:cstheme="minorHAnsi"/>
          <w:szCs w:val="22"/>
        </w:rPr>
        <w:t>– The scenario in which services agree to be bound by a code of practice</w:t>
      </w:r>
      <w:r w:rsidR="006C6752">
        <w:rPr>
          <w:rFonts w:cstheme="minorHAnsi"/>
          <w:szCs w:val="22"/>
        </w:rPr>
        <w:t>.</w:t>
      </w:r>
    </w:p>
    <w:p w14:paraId="7168A7EE" w14:textId="59E1952E" w:rsidR="00C01E92" w:rsidRPr="000107A9" w:rsidRDefault="00B03351" w:rsidP="00A87A06">
      <w:pPr>
        <w:pStyle w:val="Heading2"/>
      </w:pPr>
      <w:bookmarkStart w:id="87" w:name="_Toc21010892"/>
      <w:bookmarkStart w:id="88" w:name="_Toc21678840"/>
      <w:bookmarkStart w:id="89" w:name="_Toc30669613"/>
      <w:bookmarkStart w:id="90" w:name="_Toc32936868"/>
      <w:r>
        <w:t xml:space="preserve">5.1 </w:t>
      </w:r>
      <w:bookmarkEnd w:id="87"/>
      <w:bookmarkEnd w:id="88"/>
      <w:bookmarkEnd w:id="89"/>
      <w:r w:rsidR="002C1F3A">
        <w:t>The Base Case</w:t>
      </w:r>
      <w:bookmarkEnd w:id="90"/>
    </w:p>
    <w:p w14:paraId="7895CA0A" w14:textId="77777777" w:rsidR="008A27D1"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base case is a mandatory consideration for sunsetting regulations and is used as a </w:t>
      </w:r>
      <w:r w:rsidRPr="000107A9">
        <w:rPr>
          <w:rFonts w:asciiTheme="minorHAnsi" w:hAnsiTheme="minorHAnsi" w:cstheme="minorHAnsi"/>
          <w:b/>
          <w:sz w:val="22"/>
          <w:szCs w:val="22"/>
        </w:rPr>
        <w:t>point of comparison</w:t>
      </w:r>
      <w:r w:rsidRPr="000107A9">
        <w:rPr>
          <w:rFonts w:asciiTheme="minorHAnsi" w:hAnsiTheme="minorHAnsi" w:cstheme="minorHAnsi"/>
          <w:sz w:val="22"/>
          <w:szCs w:val="22"/>
        </w:rPr>
        <w:t xml:space="preserve"> for other options presented in the RIS. It assumes the scenario in which there are no Regulations; that is to say that the current Regulations are not remade and no new regulations are made to replace them. The Amendment Act 2019 remains in place and becomes the sole regulatory instrument for children’s services out of scope of the NQF. </w:t>
      </w:r>
    </w:p>
    <w:p w14:paraId="56FF554A" w14:textId="645C1F88" w:rsidR="00C01E92" w:rsidRPr="000107A9" w:rsidRDefault="006C6752" w:rsidP="00C01E92">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t>T</w:t>
      </w:r>
      <w:r w:rsidR="00C01E92" w:rsidRPr="000107A9">
        <w:rPr>
          <w:rFonts w:asciiTheme="minorHAnsi" w:hAnsiTheme="minorHAnsi" w:cstheme="minorHAnsi"/>
          <w:sz w:val="22"/>
          <w:szCs w:val="22"/>
        </w:rPr>
        <w:t xml:space="preserve">he base case would be represented by the position set out in </w:t>
      </w:r>
      <w:r w:rsidR="00C01E92" w:rsidRPr="000107A9">
        <w:rPr>
          <w:rFonts w:asciiTheme="minorHAnsi" w:hAnsiTheme="minorHAnsi" w:cstheme="minorHAnsi"/>
          <w:sz w:val="22"/>
          <w:szCs w:val="22"/>
        </w:rPr>
        <w:fldChar w:fldCharType="begin"/>
      </w:r>
      <w:r w:rsidR="00C01E92" w:rsidRPr="000107A9">
        <w:rPr>
          <w:rFonts w:asciiTheme="minorHAnsi" w:hAnsiTheme="minorHAnsi" w:cstheme="minorHAnsi"/>
          <w:sz w:val="22"/>
          <w:szCs w:val="22"/>
        </w:rPr>
        <w:instrText xml:space="preserve"> REF _Ref14977422 \h  \* MERGEFORMAT </w:instrText>
      </w:r>
      <w:r w:rsidR="00C01E92" w:rsidRPr="000107A9">
        <w:rPr>
          <w:rFonts w:asciiTheme="minorHAnsi" w:hAnsiTheme="minorHAnsi" w:cstheme="minorHAnsi"/>
          <w:sz w:val="22"/>
          <w:szCs w:val="22"/>
        </w:rPr>
      </w:r>
      <w:r w:rsidR="00C01E92"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 xml:space="preserve">Table </w:t>
      </w:r>
      <w:r w:rsidR="00493211" w:rsidRPr="00493211">
        <w:rPr>
          <w:rFonts w:asciiTheme="minorHAnsi" w:hAnsiTheme="minorHAnsi" w:cstheme="minorHAnsi"/>
          <w:noProof/>
          <w:sz w:val="22"/>
          <w:szCs w:val="22"/>
        </w:rPr>
        <w:t>2</w:t>
      </w:r>
      <w:r w:rsidR="00C01E92" w:rsidRPr="000107A9">
        <w:rPr>
          <w:rFonts w:asciiTheme="minorHAnsi" w:hAnsiTheme="minorHAnsi" w:cstheme="minorHAnsi"/>
          <w:sz w:val="22"/>
          <w:szCs w:val="22"/>
        </w:rPr>
        <w:fldChar w:fldCharType="end"/>
      </w:r>
      <w:r w:rsidR="00C01E92" w:rsidRPr="000107A9">
        <w:rPr>
          <w:rFonts w:asciiTheme="minorHAnsi" w:hAnsiTheme="minorHAnsi" w:cstheme="minorHAnsi"/>
          <w:sz w:val="22"/>
          <w:szCs w:val="22"/>
        </w:rPr>
        <w:t>.</w:t>
      </w:r>
    </w:p>
    <w:p w14:paraId="1C77CD3B" w14:textId="0FBFBEAB" w:rsidR="00C01E92" w:rsidRPr="000107A9" w:rsidRDefault="00C01E92" w:rsidP="00F7569F">
      <w:pPr>
        <w:pStyle w:val="Caption"/>
      </w:pPr>
      <w:bookmarkStart w:id="91" w:name="_Ref14977422"/>
      <w:bookmarkStart w:id="92" w:name="_Toc15979354"/>
      <w:bookmarkStart w:id="93" w:name="_Toc21010868"/>
      <w:bookmarkStart w:id="94" w:name="_Toc32592785"/>
      <w:r w:rsidRPr="000107A9">
        <w:t xml:space="preserve">Table </w:t>
      </w:r>
      <w:r w:rsidRPr="000107A9">
        <w:fldChar w:fldCharType="begin"/>
      </w:r>
      <w:r w:rsidRPr="000107A9">
        <w:rPr>
          <w:noProof/>
        </w:rPr>
        <w:instrText xml:space="preserve"> SEQ Table \* ARABIC </w:instrText>
      </w:r>
      <w:r w:rsidRPr="000107A9">
        <w:fldChar w:fldCharType="separate"/>
      </w:r>
      <w:r w:rsidR="00493211">
        <w:rPr>
          <w:noProof/>
        </w:rPr>
        <w:t>2</w:t>
      </w:r>
      <w:r w:rsidRPr="000107A9">
        <w:fldChar w:fldCharType="end"/>
      </w:r>
      <w:bookmarkEnd w:id="91"/>
      <w:r w:rsidR="00F7569F">
        <w:t xml:space="preserve"> Base C</w:t>
      </w:r>
      <w:r w:rsidRPr="000107A9">
        <w:t>ase</w:t>
      </w:r>
      <w:r w:rsidR="00F7569F">
        <w:t>:</w:t>
      </w:r>
      <w:r w:rsidRPr="000107A9">
        <w:t xml:space="preserve"> Regulatory position if the Regulations are not remade</w:t>
      </w:r>
      <w:bookmarkEnd w:id="92"/>
      <w:bookmarkEnd w:id="93"/>
      <w:bookmarkEnd w:id="94"/>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Caption w:val="Table heading"/>
      </w:tblPr>
      <w:tblGrid>
        <w:gridCol w:w="2334"/>
        <w:gridCol w:w="7288"/>
      </w:tblGrid>
      <w:tr w:rsidR="00C01E92" w:rsidRPr="00AA6603" w14:paraId="41F5100C" w14:textId="77777777" w:rsidTr="00AA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tcBorders>
              <w:right w:val="none" w:sz="0" w:space="0" w:color="auto"/>
            </w:tcBorders>
            <w:hideMark/>
          </w:tcPr>
          <w:p w14:paraId="3B08FFA4" w14:textId="77777777" w:rsidR="00C01E92" w:rsidRPr="00AA6603" w:rsidRDefault="00C01E92" w:rsidP="00090AF4">
            <w:pPr>
              <w:spacing w:after="60"/>
              <w:rPr>
                <w:rStyle w:val="Strong"/>
                <w:rFonts w:cstheme="minorHAnsi"/>
                <w:b/>
                <w:szCs w:val="22"/>
              </w:rPr>
            </w:pPr>
            <w:r w:rsidRPr="00AA6603">
              <w:rPr>
                <w:rStyle w:val="Strong"/>
                <w:rFonts w:cstheme="minorHAnsi"/>
                <w:b/>
                <w:szCs w:val="22"/>
              </w:rPr>
              <w:t>Subject</w:t>
            </w:r>
          </w:p>
        </w:tc>
        <w:tc>
          <w:tcPr>
            <w:tcW w:w="3787" w:type="pct"/>
            <w:tcBorders>
              <w:left w:val="none" w:sz="0" w:space="0" w:color="auto"/>
            </w:tcBorders>
            <w:hideMark/>
          </w:tcPr>
          <w:p w14:paraId="6343FAB0" w14:textId="77777777" w:rsidR="00C01E92" w:rsidRPr="00AA6603" w:rsidRDefault="00C01E92" w:rsidP="00090AF4">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A6603">
              <w:rPr>
                <w:rStyle w:val="Strong"/>
                <w:rFonts w:cstheme="minorHAnsi"/>
                <w:b/>
                <w:szCs w:val="22"/>
              </w:rPr>
              <w:t>Base case</w:t>
            </w:r>
          </w:p>
        </w:tc>
      </w:tr>
      <w:tr w:rsidR="00C01E92" w:rsidRPr="00AA6603" w14:paraId="6571B9AE" w14:textId="77777777" w:rsidTr="00AA6603">
        <w:tc>
          <w:tcPr>
            <w:cnfStyle w:val="001000000000" w:firstRow="0" w:lastRow="0" w:firstColumn="1" w:lastColumn="0" w:oddVBand="0" w:evenVBand="0" w:oddHBand="0" w:evenHBand="0" w:firstRowFirstColumn="0" w:firstRowLastColumn="0" w:lastRowFirstColumn="0" w:lastRowLastColumn="0"/>
            <w:tcW w:w="1213" w:type="pct"/>
            <w:hideMark/>
          </w:tcPr>
          <w:p w14:paraId="71757B97" w14:textId="77777777" w:rsidR="00C01E92" w:rsidRPr="00AA6603" w:rsidRDefault="00C01E92" w:rsidP="00090AF4">
            <w:pPr>
              <w:spacing w:after="60"/>
              <w:rPr>
                <w:rStyle w:val="Strong"/>
                <w:rFonts w:cstheme="minorHAnsi"/>
                <w:b w:val="0"/>
                <w:szCs w:val="22"/>
              </w:rPr>
            </w:pPr>
            <w:r w:rsidRPr="00AA6603">
              <w:rPr>
                <w:rStyle w:val="Strong"/>
                <w:rFonts w:cstheme="minorHAnsi"/>
                <w:b w:val="0"/>
                <w:szCs w:val="22"/>
              </w:rPr>
              <w:t>Approval applications</w:t>
            </w:r>
          </w:p>
        </w:tc>
        <w:tc>
          <w:tcPr>
            <w:tcW w:w="3787" w:type="pct"/>
            <w:hideMark/>
          </w:tcPr>
          <w:p w14:paraId="43134AE3" w14:textId="77777777" w:rsidR="00C01E92" w:rsidRPr="00AA6603" w:rsidRDefault="00C01E92" w:rsidP="00090AF4">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Act states that a person may apply to the Regulatory Authority for a provider approval,</w:t>
            </w:r>
            <w:r w:rsidRPr="00AA6603">
              <w:rPr>
                <w:rStyle w:val="FootnoteReference"/>
                <w:rFonts w:ascii="Arial Narrow" w:hAnsi="Arial Narrow" w:cstheme="minorHAnsi"/>
                <w:color w:val="auto"/>
                <w:sz w:val="22"/>
                <w:szCs w:val="22"/>
              </w:rPr>
              <w:footnoteReference w:id="20"/>
            </w:r>
            <w:r w:rsidRPr="00AA6603">
              <w:rPr>
                <w:rFonts w:ascii="Arial Narrow" w:hAnsi="Arial Narrow" w:cstheme="minorHAnsi"/>
                <w:color w:val="auto"/>
                <w:sz w:val="22"/>
                <w:szCs w:val="22"/>
              </w:rPr>
              <w:t xml:space="preserve"> and that an approved provider may apply for a service approval.</w:t>
            </w:r>
            <w:r w:rsidRPr="00AA6603">
              <w:rPr>
                <w:rStyle w:val="FootnoteReference"/>
                <w:rFonts w:ascii="Arial Narrow" w:hAnsi="Arial Narrow" w:cstheme="minorHAnsi"/>
                <w:color w:val="auto"/>
                <w:sz w:val="22"/>
                <w:szCs w:val="22"/>
              </w:rPr>
              <w:footnoteReference w:id="21"/>
            </w:r>
            <w:r w:rsidRPr="00AA6603">
              <w:rPr>
                <w:rFonts w:ascii="Arial Narrow" w:hAnsi="Arial Narrow" w:cstheme="minorHAnsi"/>
                <w:color w:val="auto"/>
                <w:sz w:val="22"/>
                <w:szCs w:val="22"/>
              </w:rPr>
              <w:t xml:space="preserve"> It is an offence to operate a children’s service without a service approval.</w:t>
            </w:r>
            <w:r w:rsidRPr="00AA6603">
              <w:rPr>
                <w:rStyle w:val="FootnoteReference"/>
                <w:rFonts w:ascii="Arial Narrow" w:hAnsi="Arial Narrow" w:cstheme="minorHAnsi"/>
                <w:color w:val="auto"/>
                <w:sz w:val="22"/>
                <w:szCs w:val="22"/>
              </w:rPr>
              <w:footnoteReference w:id="22"/>
            </w:r>
          </w:p>
          <w:p w14:paraId="562CCA32" w14:textId="77777777" w:rsidR="00C01E92" w:rsidRPr="00AA6603" w:rsidRDefault="00C01E92" w:rsidP="00090AF4">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Fonts w:cstheme="minorHAnsi"/>
                <w:szCs w:val="22"/>
              </w:rPr>
              <w:t>The Act states that approval applications must be in writing, contain the relevant prescribed information, and be accompanied by the prescribed fee.</w:t>
            </w:r>
            <w:r w:rsidRPr="00AA6603">
              <w:rPr>
                <w:rStyle w:val="FootnoteReference"/>
                <w:rFonts w:cstheme="minorHAnsi"/>
                <w:color w:val="auto"/>
                <w:sz w:val="22"/>
                <w:szCs w:val="22"/>
              </w:rPr>
              <w:footnoteReference w:id="23"/>
            </w:r>
          </w:p>
          <w:p w14:paraId="0F55B0F1" w14:textId="77777777" w:rsidR="00C01E92" w:rsidRPr="00AA6603" w:rsidRDefault="00C01E92" w:rsidP="00090AF4">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6C6752">
              <w:rPr>
                <w:rFonts w:ascii="Arial Narrow" w:hAnsi="Arial Narrow" w:cstheme="minorHAnsi"/>
                <w:b/>
                <w:color w:val="auto"/>
                <w:sz w:val="22"/>
                <w:szCs w:val="22"/>
              </w:rPr>
              <w:t>Without regulations</w:t>
            </w:r>
            <w:r w:rsidRPr="00AA6603">
              <w:rPr>
                <w:rFonts w:ascii="Arial Narrow" w:hAnsi="Arial Narrow" w:cstheme="minorHAnsi"/>
                <w:color w:val="auto"/>
                <w:sz w:val="22"/>
                <w:szCs w:val="22"/>
              </w:rPr>
              <w:t>, there would be no specific details regarding ‘relevant prescribed information’ and the ‘accompanied prescribed fee’. Without a fee amount specified, no fee could be charged.</w:t>
            </w:r>
          </w:p>
        </w:tc>
      </w:tr>
      <w:tr w:rsidR="00C01E92" w:rsidRPr="00AA6603" w14:paraId="723B2D44" w14:textId="77777777" w:rsidTr="00AA6603">
        <w:tc>
          <w:tcPr>
            <w:cnfStyle w:val="001000000000" w:firstRow="0" w:lastRow="0" w:firstColumn="1" w:lastColumn="0" w:oddVBand="0" w:evenVBand="0" w:oddHBand="0" w:evenHBand="0" w:firstRowFirstColumn="0" w:firstRowLastColumn="0" w:lastRowFirstColumn="0" w:lastRowLastColumn="0"/>
            <w:tcW w:w="1213" w:type="pct"/>
            <w:hideMark/>
          </w:tcPr>
          <w:p w14:paraId="56ED47E3" w14:textId="77777777" w:rsidR="00C01E92" w:rsidRPr="00AA6603" w:rsidRDefault="00C01E92" w:rsidP="00090AF4">
            <w:pPr>
              <w:spacing w:after="60"/>
              <w:rPr>
                <w:rStyle w:val="Strong"/>
                <w:rFonts w:cstheme="minorHAnsi"/>
                <w:b w:val="0"/>
                <w:szCs w:val="22"/>
              </w:rPr>
            </w:pPr>
            <w:r w:rsidRPr="00AA6603">
              <w:rPr>
                <w:rStyle w:val="Strong"/>
                <w:rFonts w:cstheme="minorHAnsi"/>
                <w:b w:val="0"/>
                <w:szCs w:val="22"/>
              </w:rPr>
              <w:lastRenderedPageBreak/>
              <w:t xml:space="preserve">Operation of children’s services: health and welfare of children; equipment and facilities </w:t>
            </w:r>
          </w:p>
        </w:tc>
        <w:tc>
          <w:tcPr>
            <w:tcW w:w="3787" w:type="pct"/>
            <w:hideMark/>
          </w:tcPr>
          <w:p w14:paraId="67EBBD15" w14:textId="77777777" w:rsidR="00C01E92" w:rsidRPr="00AA6603" w:rsidRDefault="00C01E92" w:rsidP="00090AF4">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Act includes offence provisions which set out penalties for failure to comply with certain operating standards. These include general provisions requiring service providers to protect children in their care from harm and hazards</w:t>
            </w:r>
            <w:r w:rsidRPr="00AA6603">
              <w:rPr>
                <w:rStyle w:val="FootnoteReference"/>
                <w:rFonts w:ascii="Arial Narrow" w:hAnsi="Arial Narrow" w:cstheme="minorHAnsi"/>
                <w:color w:val="auto"/>
                <w:sz w:val="22"/>
                <w:szCs w:val="22"/>
              </w:rPr>
              <w:footnoteReference w:id="24"/>
            </w:r>
            <w:r w:rsidRPr="00AA6603">
              <w:rPr>
                <w:rFonts w:ascii="Arial Narrow" w:hAnsi="Arial Narrow" w:cstheme="minorHAnsi"/>
                <w:color w:val="auto"/>
                <w:sz w:val="22"/>
                <w:szCs w:val="22"/>
              </w:rPr>
              <w:t xml:space="preserve"> and to adequately supervise children at all times.</w:t>
            </w:r>
            <w:r w:rsidRPr="00AA6603">
              <w:rPr>
                <w:rStyle w:val="FootnoteReference"/>
                <w:rFonts w:ascii="Arial Narrow" w:hAnsi="Arial Narrow" w:cstheme="minorHAnsi"/>
                <w:color w:val="auto"/>
                <w:sz w:val="22"/>
                <w:szCs w:val="22"/>
              </w:rPr>
              <w:footnoteReference w:id="25"/>
            </w:r>
            <w:r w:rsidRPr="00AA6603">
              <w:rPr>
                <w:rFonts w:ascii="Arial Narrow" w:hAnsi="Arial Narrow" w:cstheme="minorHAnsi"/>
                <w:color w:val="auto"/>
                <w:sz w:val="22"/>
                <w:szCs w:val="22"/>
              </w:rPr>
              <w:t xml:space="preserve"> Several of these refer to ‘prescribed information’, to be provided for in regulations.</w:t>
            </w:r>
          </w:p>
          <w:p w14:paraId="59C1C4DD" w14:textId="77777777" w:rsidR="00C01E92" w:rsidRPr="00AA6603" w:rsidRDefault="00C01E92" w:rsidP="00090AF4">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Act states that service providers must ensure:</w:t>
            </w:r>
          </w:p>
          <w:p w14:paraId="79AA443F" w14:textId="77777777" w:rsidR="00C01E92" w:rsidRPr="00AA6603" w:rsidRDefault="00C01E92" w:rsidP="004F4E5D">
            <w:pPr>
              <w:pStyle w:val="ListBullet"/>
              <w:numPr>
                <w:ilvl w:val="0"/>
                <w:numId w:val="19"/>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that services do not operate without a nominated supervisor, and that each nominated supervisor meets prescribed minimum requirements</w:t>
            </w:r>
            <w:r w:rsidRPr="00AA6603">
              <w:rPr>
                <w:rStyle w:val="FootnoteReference"/>
                <w:rFonts w:ascii="Arial Narrow" w:hAnsi="Arial Narrow" w:cstheme="minorHAnsi"/>
                <w:color w:val="auto"/>
                <w:sz w:val="22"/>
                <w:szCs w:val="22"/>
              </w:rPr>
              <w:footnoteReference w:id="26"/>
            </w:r>
          </w:p>
          <w:p w14:paraId="14092FA8" w14:textId="77777777" w:rsidR="00C01E92" w:rsidRPr="00AA6603" w:rsidRDefault="00C01E92" w:rsidP="004F4E5D">
            <w:pPr>
              <w:pStyle w:val="ListBullet"/>
              <w:numPr>
                <w:ilvl w:val="0"/>
                <w:numId w:val="19"/>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that the number of educators present when children are at the service, and their qualifications, meet the prescribed requirements</w:t>
            </w:r>
            <w:r w:rsidRPr="00AA6603">
              <w:rPr>
                <w:rStyle w:val="FootnoteReference"/>
                <w:rFonts w:ascii="Arial Narrow" w:hAnsi="Arial Narrow" w:cstheme="minorHAnsi"/>
                <w:color w:val="auto"/>
                <w:sz w:val="22"/>
                <w:szCs w:val="22"/>
              </w:rPr>
              <w:footnoteReference w:id="27"/>
            </w:r>
          </w:p>
          <w:p w14:paraId="3F7602CB" w14:textId="77777777" w:rsidR="00C01E92" w:rsidRPr="00AA6603" w:rsidRDefault="00C01E92" w:rsidP="004F4E5D">
            <w:pPr>
              <w:pStyle w:val="ListBullet"/>
              <w:numPr>
                <w:ilvl w:val="0"/>
                <w:numId w:val="19"/>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that prescribed information about the provider’s approvals, nominated supervisor, any waivers held by the service, and any other prescribed matters is clearly visible</w:t>
            </w:r>
            <w:r w:rsidRPr="00AA6603">
              <w:rPr>
                <w:rStyle w:val="FootnoteReference"/>
                <w:rFonts w:ascii="Arial Narrow" w:hAnsi="Arial Narrow" w:cstheme="minorHAnsi"/>
                <w:color w:val="auto"/>
                <w:sz w:val="22"/>
                <w:szCs w:val="22"/>
              </w:rPr>
              <w:footnoteReference w:id="28"/>
            </w:r>
          </w:p>
          <w:p w14:paraId="2D55F984" w14:textId="77777777" w:rsidR="00C01E92" w:rsidRPr="00AA6603" w:rsidRDefault="00C01E92" w:rsidP="004F4E5D">
            <w:pPr>
              <w:pStyle w:val="ListBullet"/>
              <w:numPr>
                <w:ilvl w:val="0"/>
                <w:numId w:val="19"/>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that prescribed documents are available for inspection</w:t>
            </w:r>
            <w:r w:rsidRPr="00AA6603">
              <w:rPr>
                <w:rStyle w:val="FootnoteReference"/>
                <w:rFonts w:ascii="Arial Narrow" w:hAnsi="Arial Narrow" w:cstheme="minorHAnsi"/>
                <w:color w:val="auto"/>
                <w:sz w:val="22"/>
                <w:szCs w:val="22"/>
              </w:rPr>
              <w:footnoteReference w:id="29"/>
            </w:r>
          </w:p>
          <w:p w14:paraId="565219A3" w14:textId="77777777" w:rsidR="00C01E92" w:rsidRPr="00AA6603" w:rsidRDefault="00C01E92" w:rsidP="00090AF4">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Act further states that service providers must notify the Regulatory Authority of certain circumstances within the prescribed period, and of certain other prescribed information.</w:t>
            </w:r>
            <w:r w:rsidRPr="00AA6603">
              <w:rPr>
                <w:rStyle w:val="FootnoteReference"/>
                <w:rFonts w:ascii="Arial Narrow" w:hAnsi="Arial Narrow" w:cstheme="minorHAnsi"/>
                <w:color w:val="auto"/>
                <w:sz w:val="22"/>
                <w:szCs w:val="22"/>
              </w:rPr>
              <w:footnoteReference w:id="30"/>
            </w:r>
            <w:r w:rsidRPr="00AA6603">
              <w:rPr>
                <w:rFonts w:ascii="Arial Narrow" w:hAnsi="Arial Narrow" w:cstheme="minorHAnsi"/>
                <w:color w:val="auto"/>
                <w:sz w:val="22"/>
                <w:szCs w:val="22"/>
              </w:rPr>
              <w:t xml:space="preserve"> </w:t>
            </w:r>
          </w:p>
          <w:p w14:paraId="26AE7681" w14:textId="67E8D7FC" w:rsidR="00C01E92" w:rsidRPr="00AA6603" w:rsidRDefault="00C01E92" w:rsidP="00090AF4">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Regulations currently set out these prescribed details, along with outlining other operat</w:t>
            </w:r>
            <w:r w:rsidR="00F7569F" w:rsidRPr="00AA6603">
              <w:rPr>
                <w:rFonts w:ascii="Arial Narrow" w:hAnsi="Arial Narrow" w:cstheme="minorHAnsi"/>
                <w:color w:val="auto"/>
                <w:sz w:val="22"/>
                <w:szCs w:val="22"/>
              </w:rPr>
              <w:t>ional</w:t>
            </w:r>
            <w:r w:rsidRPr="00AA6603">
              <w:rPr>
                <w:rFonts w:ascii="Arial Narrow" w:hAnsi="Arial Narrow" w:cstheme="minorHAnsi"/>
                <w:color w:val="auto"/>
                <w:sz w:val="22"/>
                <w:szCs w:val="22"/>
              </w:rPr>
              <w:t xml:space="preserve"> requirements to ensure services are operating at an acceptable standard.</w:t>
            </w:r>
          </w:p>
          <w:p w14:paraId="0E05091C" w14:textId="77777777" w:rsidR="00C01E92" w:rsidRPr="00AA6603" w:rsidRDefault="00C01E92" w:rsidP="00090AF4">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6C6752">
              <w:rPr>
                <w:rFonts w:ascii="Arial Narrow" w:hAnsi="Arial Narrow" w:cstheme="minorHAnsi"/>
                <w:b/>
                <w:color w:val="auto"/>
                <w:sz w:val="22"/>
                <w:szCs w:val="22"/>
              </w:rPr>
              <w:t>Without regulations</w:t>
            </w:r>
            <w:r w:rsidRPr="00AA6603">
              <w:rPr>
                <w:rFonts w:ascii="Arial Narrow" w:hAnsi="Arial Narrow" w:cstheme="minorHAnsi"/>
                <w:color w:val="auto"/>
                <w:sz w:val="22"/>
                <w:szCs w:val="22"/>
              </w:rPr>
              <w:t xml:space="preserve"> although the obligations under the Act would remain, there would be no detail informing service providers of what they must do to meet their obligations under the Act. </w:t>
            </w:r>
          </w:p>
        </w:tc>
      </w:tr>
      <w:tr w:rsidR="00C01E92" w:rsidRPr="00AA6603" w14:paraId="30F62F3C" w14:textId="77777777" w:rsidTr="00AA6603">
        <w:tc>
          <w:tcPr>
            <w:cnfStyle w:val="001000000000" w:firstRow="0" w:lastRow="0" w:firstColumn="1" w:lastColumn="0" w:oddVBand="0" w:evenVBand="0" w:oddHBand="0" w:evenHBand="0" w:firstRowFirstColumn="0" w:firstRowLastColumn="0" w:lastRowFirstColumn="0" w:lastRowLastColumn="0"/>
            <w:tcW w:w="1213" w:type="pct"/>
          </w:tcPr>
          <w:p w14:paraId="63448F73" w14:textId="77777777" w:rsidR="00C01E92" w:rsidRPr="00AA6603" w:rsidRDefault="00C01E92" w:rsidP="00090AF4">
            <w:pPr>
              <w:spacing w:after="60"/>
              <w:rPr>
                <w:rStyle w:val="Strong"/>
                <w:rFonts w:cstheme="minorHAnsi"/>
                <w:b w:val="0"/>
                <w:szCs w:val="22"/>
              </w:rPr>
            </w:pPr>
            <w:r w:rsidRPr="00AA6603">
              <w:rPr>
                <w:rStyle w:val="Strong"/>
                <w:rFonts w:cstheme="minorHAnsi"/>
                <w:b w:val="0"/>
                <w:szCs w:val="22"/>
              </w:rPr>
              <w:t>Registers and record-keeping</w:t>
            </w:r>
          </w:p>
        </w:tc>
        <w:tc>
          <w:tcPr>
            <w:tcW w:w="3787" w:type="pct"/>
          </w:tcPr>
          <w:p w14:paraId="58401175" w14:textId="77777777" w:rsidR="00C01E92" w:rsidRPr="00AA6603" w:rsidRDefault="00C01E92" w:rsidP="00090AF4">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Act requires the Secretary to keep registers of approved providers and services, containing the prescribed information.</w:t>
            </w:r>
            <w:r w:rsidRPr="00AA6603">
              <w:rPr>
                <w:rStyle w:val="FootnoteReference"/>
                <w:rFonts w:ascii="Arial Narrow" w:hAnsi="Arial Narrow" w:cstheme="minorHAnsi"/>
                <w:color w:val="auto"/>
                <w:sz w:val="22"/>
                <w:szCs w:val="22"/>
              </w:rPr>
              <w:footnoteReference w:id="31"/>
            </w:r>
            <w:r w:rsidRPr="00AA6603">
              <w:rPr>
                <w:rFonts w:ascii="Arial Narrow" w:hAnsi="Arial Narrow" w:cstheme="minorHAnsi"/>
                <w:color w:val="auto"/>
                <w:sz w:val="22"/>
                <w:szCs w:val="22"/>
              </w:rPr>
              <w:t xml:space="preserve"> </w:t>
            </w:r>
          </w:p>
          <w:p w14:paraId="2CEA97D0" w14:textId="77777777" w:rsidR="00C01E92" w:rsidRPr="00AA6603" w:rsidRDefault="00C01E92" w:rsidP="00090AF4">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The Act states that it is an offence for providers not to keep ‘the prescribed documents’ available for inspection by the Department officers.</w:t>
            </w:r>
            <w:r w:rsidRPr="00AA6603">
              <w:rPr>
                <w:rStyle w:val="FootnoteReference"/>
                <w:rFonts w:ascii="Arial Narrow" w:hAnsi="Arial Narrow" w:cstheme="minorHAnsi"/>
                <w:color w:val="auto"/>
                <w:sz w:val="22"/>
                <w:szCs w:val="22"/>
              </w:rPr>
              <w:footnoteReference w:id="32"/>
            </w:r>
            <w:r w:rsidRPr="00AA6603">
              <w:rPr>
                <w:rFonts w:ascii="Arial Narrow" w:hAnsi="Arial Narrow" w:cstheme="minorHAnsi"/>
                <w:sz w:val="22"/>
                <w:szCs w:val="22"/>
              </w:rPr>
              <w:t xml:space="preserve"> </w:t>
            </w:r>
          </w:p>
          <w:p w14:paraId="3ECEC607" w14:textId="77777777" w:rsidR="00C01E92" w:rsidRPr="00AA6603" w:rsidRDefault="00C01E92" w:rsidP="00090AF4">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The Regulations set out the information to be contained in the register and the documents to be kept by providers: attendance records, child enrolment records, medication records, an accident record and a staff record.</w:t>
            </w:r>
            <w:r w:rsidRPr="00AA6603">
              <w:rPr>
                <w:rStyle w:val="FootnoteReference"/>
                <w:rFonts w:ascii="Arial Narrow" w:hAnsi="Arial Narrow" w:cstheme="minorHAnsi"/>
                <w:color w:val="auto"/>
                <w:sz w:val="22"/>
                <w:szCs w:val="22"/>
              </w:rPr>
              <w:footnoteReference w:id="33"/>
            </w:r>
            <w:r w:rsidRPr="00AA6603">
              <w:rPr>
                <w:rFonts w:ascii="Arial Narrow" w:hAnsi="Arial Narrow" w:cstheme="minorHAnsi"/>
                <w:sz w:val="22"/>
                <w:szCs w:val="22"/>
              </w:rPr>
              <w:t xml:space="preserve"> </w:t>
            </w:r>
          </w:p>
          <w:p w14:paraId="1D8FCE9D" w14:textId="77777777" w:rsidR="00C01E92" w:rsidRPr="00AA6603" w:rsidRDefault="00C01E92" w:rsidP="00090AF4">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C6752">
              <w:rPr>
                <w:rFonts w:ascii="Arial Narrow" w:hAnsi="Arial Narrow" w:cstheme="minorHAnsi"/>
                <w:b/>
                <w:sz w:val="22"/>
                <w:szCs w:val="22"/>
              </w:rPr>
              <w:t>Without regulations</w:t>
            </w:r>
            <w:r w:rsidRPr="00AA6603">
              <w:rPr>
                <w:rFonts w:ascii="Arial Narrow" w:hAnsi="Arial Narrow" w:cstheme="minorHAnsi"/>
                <w:sz w:val="22"/>
                <w:szCs w:val="22"/>
              </w:rPr>
              <w:t xml:space="preserve">, there would be no prescribed guidance to service providers on the information to be recorded. The Department has the power under the Act to request information, and would exercise this power as required. </w:t>
            </w:r>
          </w:p>
        </w:tc>
      </w:tr>
      <w:tr w:rsidR="00C01E92" w:rsidRPr="00AA6603" w14:paraId="51584BE1" w14:textId="77777777" w:rsidTr="00AA6603">
        <w:tc>
          <w:tcPr>
            <w:cnfStyle w:val="001000000000" w:firstRow="0" w:lastRow="0" w:firstColumn="1" w:lastColumn="0" w:oddVBand="0" w:evenVBand="0" w:oddHBand="0" w:evenHBand="0" w:firstRowFirstColumn="0" w:firstRowLastColumn="0" w:lastRowFirstColumn="0" w:lastRowLastColumn="0"/>
            <w:tcW w:w="1213" w:type="pct"/>
          </w:tcPr>
          <w:p w14:paraId="6F7ECE3C" w14:textId="7A4B826E" w:rsidR="00C01E92" w:rsidRPr="00AA6603" w:rsidRDefault="005A6B33" w:rsidP="00090AF4">
            <w:pPr>
              <w:spacing w:after="60"/>
              <w:rPr>
                <w:rStyle w:val="Strong"/>
                <w:rFonts w:cstheme="minorHAnsi"/>
                <w:b w:val="0"/>
                <w:szCs w:val="22"/>
              </w:rPr>
            </w:pPr>
            <w:r>
              <w:rPr>
                <w:rStyle w:val="Strong"/>
                <w:rFonts w:cstheme="minorHAnsi"/>
                <w:b w:val="0"/>
                <w:szCs w:val="22"/>
              </w:rPr>
              <w:t>Complaints and serious incidents</w:t>
            </w:r>
          </w:p>
        </w:tc>
        <w:tc>
          <w:tcPr>
            <w:tcW w:w="3787" w:type="pct"/>
          </w:tcPr>
          <w:p w14:paraId="6EBAD1E6" w14:textId="77777777" w:rsidR="00C01E92" w:rsidRPr="00AA6603" w:rsidRDefault="00C01E92" w:rsidP="00090AF4">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Act requires service providers to notify the Secretary of any complaints alleging that a serious incident has occurred or that the Act has been contravened within the prescribed period.</w:t>
            </w:r>
            <w:r w:rsidRPr="00AA6603">
              <w:rPr>
                <w:rStyle w:val="FootnoteReference"/>
                <w:rFonts w:ascii="Arial Narrow" w:hAnsi="Arial Narrow" w:cstheme="minorHAnsi"/>
                <w:color w:val="auto"/>
                <w:sz w:val="22"/>
                <w:szCs w:val="22"/>
              </w:rPr>
              <w:footnoteReference w:id="34"/>
            </w:r>
          </w:p>
          <w:p w14:paraId="1013595F" w14:textId="2A226096" w:rsidR="00C01E92" w:rsidRPr="00AA6603" w:rsidRDefault="006C6752" w:rsidP="00090AF4">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Pr>
                <w:rFonts w:ascii="Arial Narrow" w:hAnsi="Arial Narrow" w:cstheme="minorHAnsi"/>
                <w:b/>
                <w:color w:val="auto"/>
                <w:sz w:val="22"/>
                <w:szCs w:val="22"/>
              </w:rPr>
              <w:lastRenderedPageBreak/>
              <w:t>Without regulation</w:t>
            </w:r>
            <w:r w:rsidR="00C01E92" w:rsidRPr="00AA6603">
              <w:rPr>
                <w:rFonts w:ascii="Arial Narrow" w:hAnsi="Arial Narrow" w:cstheme="minorHAnsi"/>
                <w:color w:val="auto"/>
                <w:sz w:val="22"/>
                <w:szCs w:val="22"/>
              </w:rPr>
              <w:t xml:space="preserve">, there would be no regulatory time limit on notifying the Secretary about these issues. </w:t>
            </w:r>
          </w:p>
        </w:tc>
      </w:tr>
    </w:tbl>
    <w:p w14:paraId="4363E3AF" w14:textId="2560EDEB"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lastRenderedPageBreak/>
        <w:t xml:space="preserve">While the </w:t>
      </w:r>
      <w:r w:rsidR="006C6752" w:rsidRPr="000107A9">
        <w:rPr>
          <w:rFonts w:asciiTheme="minorHAnsi" w:hAnsiTheme="minorHAnsi" w:cstheme="minorHAnsi"/>
          <w:sz w:val="22"/>
          <w:szCs w:val="22"/>
        </w:rPr>
        <w:t xml:space="preserve">Base Case </w:t>
      </w:r>
      <w:r w:rsidRPr="000107A9">
        <w:rPr>
          <w:rFonts w:asciiTheme="minorHAnsi" w:hAnsiTheme="minorHAnsi" w:cstheme="minorHAnsi"/>
          <w:sz w:val="22"/>
          <w:szCs w:val="22"/>
        </w:rPr>
        <w:t xml:space="preserve">is a mandatory inclusion in the set of options, it is not a desirable option as many of the provisions in the Act refer to, and rely on, additional details prescribed in the Regulations. If current regulations are not remade or no new regulations made to replace them, the specificity and particulars of the Act would not be provided, leaving the sector vulnerable to non-compliance and/or misunderstanding the requirements of the Act. For this reason, the </w:t>
      </w:r>
      <w:r w:rsidR="002C1F3A">
        <w:rPr>
          <w:rFonts w:asciiTheme="minorHAnsi" w:hAnsiTheme="minorHAnsi" w:cstheme="minorHAnsi"/>
          <w:sz w:val="22"/>
          <w:szCs w:val="22"/>
        </w:rPr>
        <w:t>Base Case</w:t>
      </w:r>
      <w:r w:rsidRPr="000107A9">
        <w:rPr>
          <w:rFonts w:asciiTheme="minorHAnsi" w:hAnsiTheme="minorHAnsi" w:cstheme="minorHAnsi"/>
          <w:sz w:val="22"/>
          <w:szCs w:val="22"/>
        </w:rPr>
        <w:t xml:space="preserve"> is provided a</w:t>
      </w:r>
      <w:r w:rsidR="002C1F3A">
        <w:rPr>
          <w:rFonts w:asciiTheme="minorHAnsi" w:hAnsiTheme="minorHAnsi" w:cstheme="minorHAnsi"/>
          <w:sz w:val="22"/>
          <w:szCs w:val="22"/>
        </w:rPr>
        <w:t>s a</w:t>
      </w:r>
      <w:r w:rsidRPr="000107A9">
        <w:rPr>
          <w:rFonts w:asciiTheme="minorHAnsi" w:hAnsiTheme="minorHAnsi" w:cstheme="minorHAnsi"/>
          <w:sz w:val="22"/>
          <w:szCs w:val="22"/>
        </w:rPr>
        <w:t xml:space="preserve"> basis for comparison, but is not itself analysed as a potential option for implementation.</w:t>
      </w:r>
    </w:p>
    <w:p w14:paraId="6A228E75" w14:textId="32B74BC6" w:rsidR="00C01E92" w:rsidRPr="000107A9" w:rsidRDefault="00B03351" w:rsidP="00A87A06">
      <w:pPr>
        <w:pStyle w:val="Heading2"/>
      </w:pPr>
      <w:bookmarkStart w:id="95" w:name="_Toc21010893"/>
      <w:bookmarkStart w:id="96" w:name="_Toc21678842"/>
      <w:bookmarkStart w:id="97" w:name="_Ref25751639"/>
      <w:bookmarkStart w:id="98" w:name="_Ref25769696"/>
      <w:bookmarkStart w:id="99" w:name="_Toc30669614"/>
      <w:bookmarkStart w:id="100" w:name="_Toc32936869"/>
      <w:r>
        <w:t xml:space="preserve">5.2 </w:t>
      </w:r>
      <w:r w:rsidR="00C01E92" w:rsidRPr="000107A9">
        <w:t>Regulatory options</w:t>
      </w:r>
      <w:bookmarkEnd w:id="95"/>
      <w:bookmarkEnd w:id="96"/>
      <w:bookmarkEnd w:id="97"/>
      <w:bookmarkEnd w:id="98"/>
      <w:bookmarkEnd w:id="99"/>
      <w:bookmarkEnd w:id="100"/>
    </w:p>
    <w:p w14:paraId="4AC00F32" w14:textId="68904C73" w:rsidR="00C01E92" w:rsidRPr="000107A9" w:rsidRDefault="006C6752" w:rsidP="00C01E92">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t>The</w:t>
      </w:r>
      <w:r w:rsidR="00C01E92" w:rsidRPr="000107A9">
        <w:rPr>
          <w:rFonts w:asciiTheme="minorHAnsi" w:hAnsiTheme="minorHAnsi" w:cstheme="minorHAnsi"/>
          <w:sz w:val="22"/>
          <w:szCs w:val="22"/>
        </w:rPr>
        <w:t xml:space="preserve"> two main regulatory options </w:t>
      </w:r>
      <w:r>
        <w:rPr>
          <w:rFonts w:asciiTheme="minorHAnsi" w:hAnsiTheme="minorHAnsi" w:cstheme="minorHAnsi"/>
          <w:sz w:val="22"/>
          <w:szCs w:val="22"/>
        </w:rPr>
        <w:t>outlined in the RIS are</w:t>
      </w:r>
      <w:r w:rsidR="00C01E92" w:rsidRPr="000107A9">
        <w:rPr>
          <w:rFonts w:asciiTheme="minorHAnsi" w:hAnsiTheme="minorHAnsi" w:cstheme="minorHAnsi"/>
          <w:sz w:val="22"/>
          <w:szCs w:val="22"/>
        </w:rPr>
        <w:t xml:space="preserve"> ‘Status Quo’ and ‘Alignment’.</w:t>
      </w:r>
    </w:p>
    <w:p w14:paraId="4513D232" w14:textId="6050A92B" w:rsidR="00C01E92" w:rsidRPr="000107A9" w:rsidRDefault="004047D6" w:rsidP="00C01E92">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t>The Status Quo</w:t>
      </w:r>
      <w:r w:rsidR="00C01E92" w:rsidRPr="000107A9">
        <w:rPr>
          <w:rFonts w:asciiTheme="minorHAnsi" w:hAnsiTheme="minorHAnsi" w:cstheme="minorHAnsi"/>
          <w:sz w:val="22"/>
          <w:szCs w:val="22"/>
        </w:rPr>
        <w:t xml:space="preserve"> option refers to the scenario where the regulations are remade exactly as they are currently. It is included to provide a point of comparison with any chan</w:t>
      </w:r>
      <w:r>
        <w:rPr>
          <w:rFonts w:asciiTheme="minorHAnsi" w:hAnsiTheme="minorHAnsi" w:cstheme="minorHAnsi"/>
          <w:sz w:val="22"/>
          <w:szCs w:val="22"/>
        </w:rPr>
        <w:t>ges in the proposed Regulations and</w:t>
      </w:r>
      <w:r w:rsidRPr="000107A9">
        <w:rPr>
          <w:rFonts w:asciiTheme="minorHAnsi" w:hAnsiTheme="minorHAnsi" w:cstheme="minorHAnsi"/>
          <w:sz w:val="22"/>
          <w:szCs w:val="22"/>
        </w:rPr>
        <w:t xml:space="preserve"> </w:t>
      </w:r>
      <w:r>
        <w:rPr>
          <w:rFonts w:asciiTheme="minorHAnsi" w:hAnsiTheme="minorHAnsi" w:cstheme="minorHAnsi"/>
          <w:sz w:val="22"/>
          <w:szCs w:val="22"/>
        </w:rPr>
        <w:t>uses</w:t>
      </w:r>
      <w:r w:rsidRPr="000107A9">
        <w:rPr>
          <w:rFonts w:asciiTheme="minorHAnsi" w:hAnsiTheme="minorHAnsi" w:cstheme="minorHAnsi"/>
          <w:sz w:val="22"/>
          <w:szCs w:val="22"/>
        </w:rPr>
        <w:t xml:space="preserve"> the terminology of the existing CS Regulations and the CS Act 1996.</w:t>
      </w:r>
    </w:p>
    <w:p w14:paraId="0465632B" w14:textId="06B4278C"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As the CS Act has recently been amended to align it with the N</w:t>
      </w:r>
      <w:r w:rsidR="004047D6">
        <w:rPr>
          <w:rFonts w:asciiTheme="minorHAnsi" w:hAnsiTheme="minorHAnsi" w:cstheme="minorHAnsi"/>
          <w:sz w:val="22"/>
          <w:szCs w:val="22"/>
        </w:rPr>
        <w:t>ational Law, where appropriate</w:t>
      </w:r>
      <w:r w:rsidRPr="000107A9">
        <w:rPr>
          <w:rFonts w:asciiTheme="minorHAnsi" w:hAnsiTheme="minorHAnsi" w:cstheme="minorHAnsi"/>
          <w:sz w:val="22"/>
          <w:szCs w:val="22"/>
        </w:rPr>
        <w:t>, new terminology and requirements have been introduced (see Appendix 10.3) and feature in the Alignment option presented in this RIS. The Alignment option includes a transitional period for existing services to</w:t>
      </w:r>
      <w:r w:rsidR="00926537">
        <w:rPr>
          <w:rFonts w:asciiTheme="minorHAnsi" w:hAnsiTheme="minorHAnsi" w:cstheme="minorHAnsi"/>
          <w:sz w:val="22"/>
          <w:szCs w:val="22"/>
        </w:rPr>
        <w:t xml:space="preserve"> allow time to</w:t>
      </w:r>
      <w:r w:rsidRPr="000107A9">
        <w:rPr>
          <w:rFonts w:asciiTheme="minorHAnsi" w:hAnsiTheme="minorHAnsi" w:cstheme="minorHAnsi"/>
          <w:sz w:val="22"/>
          <w:szCs w:val="22"/>
        </w:rPr>
        <w:t xml:space="preserve"> adjust to new requirements. </w:t>
      </w:r>
      <w:r w:rsidRPr="00410B86">
        <w:rPr>
          <w:rFonts w:asciiTheme="minorHAnsi" w:hAnsiTheme="minorHAnsi" w:cstheme="minorHAnsi"/>
          <w:sz w:val="22"/>
          <w:szCs w:val="22"/>
        </w:rPr>
        <w:t xml:space="preserve">The transitional provisions in the proposed Regulations are discussed at </w:t>
      </w:r>
      <w:r w:rsidR="00926537" w:rsidRPr="00410B86">
        <w:rPr>
          <w:rFonts w:asciiTheme="minorHAnsi" w:hAnsiTheme="minorHAnsi" w:cstheme="minorHAnsi"/>
          <w:sz w:val="22"/>
          <w:szCs w:val="22"/>
        </w:rPr>
        <w:t>section 9.</w:t>
      </w:r>
    </w:p>
    <w:p w14:paraId="6CBE88A9" w14:textId="77777777" w:rsidR="004047D6"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w:t>
      </w:r>
      <w:r w:rsidRPr="000107A9">
        <w:rPr>
          <w:rFonts w:asciiTheme="minorHAnsi" w:hAnsiTheme="minorHAnsi" w:cstheme="minorHAnsi"/>
          <w:sz w:val="22"/>
          <w:szCs w:val="22"/>
          <w:lang w:val="en-US"/>
        </w:rPr>
        <w:t xml:space="preserve">proposed Regulations provide the </w:t>
      </w:r>
      <w:r w:rsidRPr="000107A9">
        <w:rPr>
          <w:rFonts w:asciiTheme="minorHAnsi" w:hAnsiTheme="minorHAnsi" w:cstheme="minorHAnsi"/>
          <w:b/>
          <w:sz w:val="22"/>
          <w:szCs w:val="22"/>
          <w:lang w:val="en-US"/>
        </w:rPr>
        <w:t>operational detail</w:t>
      </w:r>
      <w:r w:rsidRPr="000107A9">
        <w:rPr>
          <w:rFonts w:asciiTheme="minorHAnsi" w:hAnsiTheme="minorHAnsi" w:cstheme="minorHAnsi"/>
          <w:sz w:val="22"/>
          <w:szCs w:val="22"/>
          <w:lang w:val="en-US"/>
        </w:rPr>
        <w:t xml:space="preserve"> to support the Amendment Act. A key objective of the proposed Regulations is to </w:t>
      </w:r>
      <w:r w:rsidRPr="000107A9">
        <w:rPr>
          <w:rFonts w:asciiTheme="minorHAnsi" w:hAnsiTheme="minorHAnsi" w:cstheme="minorHAnsi"/>
          <w:b/>
          <w:sz w:val="22"/>
          <w:szCs w:val="22"/>
          <w:lang w:val="en-US"/>
        </w:rPr>
        <w:t>align</w:t>
      </w:r>
      <w:r w:rsidRPr="000107A9">
        <w:rPr>
          <w:rFonts w:asciiTheme="minorHAnsi" w:hAnsiTheme="minorHAnsi" w:cstheme="minorHAnsi"/>
          <w:sz w:val="22"/>
          <w:szCs w:val="22"/>
        </w:rPr>
        <w:t xml:space="preserve"> to the NQF (where appropriate) and </w:t>
      </w:r>
      <w:r w:rsidRPr="000107A9">
        <w:rPr>
          <w:rFonts w:asciiTheme="minorHAnsi" w:hAnsiTheme="minorHAnsi" w:cstheme="minorHAnsi"/>
          <w:b/>
          <w:sz w:val="22"/>
          <w:szCs w:val="22"/>
        </w:rPr>
        <w:t>simplify</w:t>
      </w:r>
      <w:r w:rsidRPr="000107A9">
        <w:rPr>
          <w:rFonts w:asciiTheme="minorHAnsi" w:hAnsiTheme="minorHAnsi" w:cstheme="minorHAnsi"/>
          <w:sz w:val="22"/>
          <w:szCs w:val="22"/>
        </w:rPr>
        <w:t xml:space="preserve"> regulatory arrangements for service providers to ensure more consistent minimum standards an</w:t>
      </w:r>
      <w:r w:rsidR="004047D6">
        <w:rPr>
          <w:rFonts w:asciiTheme="minorHAnsi" w:hAnsiTheme="minorHAnsi" w:cstheme="minorHAnsi"/>
          <w:sz w:val="22"/>
          <w:szCs w:val="22"/>
        </w:rPr>
        <w:t>d reduce administrative burden.</w:t>
      </w:r>
    </w:p>
    <w:p w14:paraId="409A0E16" w14:textId="39BD0E54" w:rsidR="00C01E92" w:rsidRDefault="004047D6" w:rsidP="00C01E92">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t>A</w:t>
      </w:r>
      <w:r w:rsidR="00C01E92" w:rsidRPr="000107A9">
        <w:rPr>
          <w:rFonts w:asciiTheme="minorHAnsi" w:hAnsiTheme="minorHAnsi" w:cstheme="minorHAnsi"/>
          <w:sz w:val="22"/>
          <w:szCs w:val="22"/>
        </w:rPr>
        <w:t xml:space="preserve"> discussion about alternative, non-regulatory opti</w:t>
      </w:r>
      <w:r>
        <w:rPr>
          <w:rFonts w:asciiTheme="minorHAnsi" w:hAnsiTheme="minorHAnsi" w:cstheme="minorHAnsi"/>
          <w:sz w:val="22"/>
          <w:szCs w:val="22"/>
        </w:rPr>
        <w:t>ons is provided in section 5.3.</w:t>
      </w:r>
    </w:p>
    <w:p w14:paraId="24DB72E0" w14:textId="173F6064" w:rsidR="004047D6" w:rsidRDefault="004047D6" w:rsidP="00C01E92">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t xml:space="preserve">The key </w:t>
      </w:r>
      <w:r w:rsidRPr="004047D6">
        <w:rPr>
          <w:rFonts w:asciiTheme="minorHAnsi" w:hAnsiTheme="minorHAnsi" w:cstheme="minorHAnsi"/>
          <w:b/>
          <w:sz w:val="22"/>
          <w:szCs w:val="22"/>
        </w:rPr>
        <w:t>regulatory areas</w:t>
      </w:r>
      <w:r>
        <w:rPr>
          <w:rFonts w:asciiTheme="minorHAnsi" w:hAnsiTheme="minorHAnsi" w:cstheme="minorHAnsi"/>
          <w:sz w:val="22"/>
          <w:szCs w:val="22"/>
        </w:rPr>
        <w:t xml:space="preserve"> discussed in the RIS are:</w:t>
      </w:r>
    </w:p>
    <w:p w14:paraId="7561A00F" w14:textId="34C2282F" w:rsidR="004047D6" w:rsidRDefault="004047D6" w:rsidP="002806C5">
      <w:pPr>
        <w:pStyle w:val="EYBodytextwithparaspace"/>
        <w:numPr>
          <w:ilvl w:val="0"/>
          <w:numId w:val="105"/>
        </w:numPr>
        <w:spacing w:before="120" w:after="120"/>
        <w:rPr>
          <w:rFonts w:asciiTheme="minorHAnsi" w:hAnsiTheme="minorHAnsi" w:cstheme="minorHAnsi"/>
          <w:sz w:val="22"/>
          <w:szCs w:val="22"/>
        </w:rPr>
      </w:pPr>
      <w:r>
        <w:rPr>
          <w:rFonts w:asciiTheme="minorHAnsi" w:hAnsiTheme="minorHAnsi" w:cstheme="minorHAnsi"/>
          <w:sz w:val="22"/>
          <w:szCs w:val="22"/>
        </w:rPr>
        <w:t>Approval applications</w:t>
      </w:r>
    </w:p>
    <w:p w14:paraId="178C69EB" w14:textId="33F01737" w:rsidR="004047D6" w:rsidRDefault="004047D6" w:rsidP="002806C5">
      <w:pPr>
        <w:pStyle w:val="EYBodytextwithparaspace"/>
        <w:numPr>
          <w:ilvl w:val="0"/>
          <w:numId w:val="105"/>
        </w:numPr>
        <w:spacing w:before="120" w:after="120"/>
        <w:rPr>
          <w:rFonts w:asciiTheme="minorHAnsi" w:hAnsiTheme="minorHAnsi" w:cstheme="minorHAnsi"/>
          <w:sz w:val="22"/>
          <w:szCs w:val="22"/>
        </w:rPr>
      </w:pPr>
      <w:r>
        <w:rPr>
          <w:rFonts w:asciiTheme="minorHAnsi" w:hAnsiTheme="minorHAnsi" w:cstheme="minorHAnsi"/>
          <w:sz w:val="22"/>
          <w:szCs w:val="22"/>
        </w:rPr>
        <w:t>Services approvals</w:t>
      </w:r>
    </w:p>
    <w:p w14:paraId="1CB77871" w14:textId="15E36EB5" w:rsidR="004047D6" w:rsidRDefault="004047D6" w:rsidP="002806C5">
      <w:pPr>
        <w:pStyle w:val="EYBodytextwithparaspace"/>
        <w:numPr>
          <w:ilvl w:val="0"/>
          <w:numId w:val="105"/>
        </w:numPr>
        <w:spacing w:before="120" w:after="120"/>
        <w:rPr>
          <w:rFonts w:asciiTheme="minorHAnsi" w:hAnsiTheme="minorHAnsi" w:cstheme="minorHAnsi"/>
          <w:sz w:val="22"/>
          <w:szCs w:val="22"/>
        </w:rPr>
      </w:pPr>
      <w:r>
        <w:rPr>
          <w:rFonts w:asciiTheme="minorHAnsi" w:hAnsiTheme="minorHAnsi" w:cstheme="minorHAnsi"/>
          <w:sz w:val="22"/>
          <w:szCs w:val="22"/>
        </w:rPr>
        <w:t>Staffing (ratios and qualifications)</w:t>
      </w:r>
    </w:p>
    <w:p w14:paraId="4B0E90CE" w14:textId="70760C7F" w:rsidR="004047D6" w:rsidRDefault="004047D6" w:rsidP="002806C5">
      <w:pPr>
        <w:pStyle w:val="EYBodytextwithparaspace"/>
        <w:numPr>
          <w:ilvl w:val="0"/>
          <w:numId w:val="105"/>
        </w:numPr>
        <w:spacing w:before="120" w:after="120"/>
        <w:rPr>
          <w:rFonts w:asciiTheme="minorHAnsi" w:hAnsiTheme="minorHAnsi" w:cstheme="minorHAnsi"/>
          <w:sz w:val="22"/>
          <w:szCs w:val="22"/>
        </w:rPr>
      </w:pPr>
      <w:r>
        <w:rPr>
          <w:rFonts w:asciiTheme="minorHAnsi" w:hAnsiTheme="minorHAnsi" w:cstheme="minorHAnsi"/>
          <w:sz w:val="22"/>
          <w:szCs w:val="22"/>
        </w:rPr>
        <w:t>Safety, health and wellbeing of children</w:t>
      </w:r>
    </w:p>
    <w:p w14:paraId="7BCA4A09" w14:textId="276AF1CD" w:rsidR="004047D6" w:rsidRDefault="004047D6" w:rsidP="002806C5">
      <w:pPr>
        <w:pStyle w:val="EYBodytextwithparaspace"/>
        <w:numPr>
          <w:ilvl w:val="0"/>
          <w:numId w:val="105"/>
        </w:numPr>
        <w:spacing w:before="120" w:after="120"/>
        <w:rPr>
          <w:rFonts w:asciiTheme="minorHAnsi" w:hAnsiTheme="minorHAnsi" w:cstheme="minorHAnsi"/>
          <w:sz w:val="22"/>
          <w:szCs w:val="22"/>
        </w:rPr>
      </w:pPr>
      <w:r>
        <w:rPr>
          <w:rFonts w:asciiTheme="minorHAnsi" w:hAnsiTheme="minorHAnsi" w:cstheme="minorHAnsi"/>
          <w:sz w:val="22"/>
          <w:szCs w:val="22"/>
        </w:rPr>
        <w:t>Equipment and facilities</w:t>
      </w:r>
    </w:p>
    <w:p w14:paraId="4CCB0589" w14:textId="2F4BDEA1" w:rsidR="004047D6" w:rsidRDefault="005A6B33" w:rsidP="002806C5">
      <w:pPr>
        <w:pStyle w:val="EYBodytextwithparaspace"/>
        <w:numPr>
          <w:ilvl w:val="0"/>
          <w:numId w:val="105"/>
        </w:numPr>
        <w:spacing w:before="120" w:after="120"/>
        <w:rPr>
          <w:rFonts w:asciiTheme="minorHAnsi" w:hAnsiTheme="minorHAnsi" w:cstheme="minorHAnsi"/>
          <w:sz w:val="22"/>
          <w:szCs w:val="22"/>
        </w:rPr>
      </w:pPr>
      <w:r>
        <w:rPr>
          <w:rFonts w:asciiTheme="minorHAnsi" w:hAnsiTheme="minorHAnsi" w:cstheme="minorHAnsi"/>
          <w:sz w:val="22"/>
          <w:szCs w:val="22"/>
        </w:rPr>
        <w:t>Complaints and serious incidents</w:t>
      </w:r>
    </w:p>
    <w:p w14:paraId="2139D6EC" w14:textId="4B2F618B" w:rsidR="004047D6" w:rsidRDefault="004047D6" w:rsidP="002806C5">
      <w:pPr>
        <w:pStyle w:val="EYBodytextwithparaspace"/>
        <w:numPr>
          <w:ilvl w:val="0"/>
          <w:numId w:val="105"/>
        </w:numPr>
        <w:spacing w:before="120" w:after="120"/>
        <w:rPr>
          <w:rFonts w:asciiTheme="minorHAnsi" w:hAnsiTheme="minorHAnsi" w:cstheme="minorHAnsi"/>
          <w:sz w:val="22"/>
          <w:szCs w:val="22"/>
        </w:rPr>
      </w:pPr>
      <w:r>
        <w:rPr>
          <w:rFonts w:asciiTheme="minorHAnsi" w:hAnsiTheme="minorHAnsi" w:cstheme="minorHAnsi"/>
          <w:sz w:val="22"/>
          <w:szCs w:val="22"/>
        </w:rPr>
        <w:t>Registers and record-keeping</w:t>
      </w:r>
    </w:p>
    <w:p w14:paraId="73BDF61F" w14:textId="3E861EAC" w:rsidR="004047D6" w:rsidRDefault="004047D6" w:rsidP="002806C5">
      <w:pPr>
        <w:pStyle w:val="EYBodytextwithparaspace"/>
        <w:numPr>
          <w:ilvl w:val="0"/>
          <w:numId w:val="105"/>
        </w:numPr>
        <w:spacing w:before="120" w:after="120"/>
        <w:rPr>
          <w:rFonts w:asciiTheme="minorHAnsi" w:hAnsiTheme="minorHAnsi" w:cstheme="minorHAnsi"/>
          <w:sz w:val="22"/>
          <w:szCs w:val="22"/>
        </w:rPr>
      </w:pPr>
      <w:r>
        <w:rPr>
          <w:rFonts w:asciiTheme="minorHAnsi" w:hAnsiTheme="minorHAnsi" w:cstheme="minorHAnsi"/>
          <w:sz w:val="22"/>
          <w:szCs w:val="22"/>
        </w:rPr>
        <w:t>Fees</w:t>
      </w:r>
    </w:p>
    <w:p w14:paraId="3A538580" w14:textId="11EBDF8C" w:rsidR="004047D6" w:rsidRPr="000107A9" w:rsidRDefault="004047D6" w:rsidP="002806C5">
      <w:pPr>
        <w:pStyle w:val="EYBodytextwithparaspace"/>
        <w:numPr>
          <w:ilvl w:val="0"/>
          <w:numId w:val="105"/>
        </w:numPr>
        <w:spacing w:before="120" w:after="120"/>
        <w:rPr>
          <w:rFonts w:asciiTheme="minorHAnsi" w:hAnsiTheme="minorHAnsi" w:cstheme="minorHAnsi"/>
          <w:sz w:val="22"/>
          <w:szCs w:val="22"/>
        </w:rPr>
      </w:pPr>
      <w:r>
        <w:rPr>
          <w:rFonts w:asciiTheme="minorHAnsi" w:hAnsiTheme="minorHAnsi" w:cstheme="minorHAnsi"/>
          <w:sz w:val="22"/>
          <w:szCs w:val="22"/>
        </w:rPr>
        <w:t xml:space="preserve">Exemptions </w:t>
      </w:r>
      <w:r w:rsidR="00215B6D">
        <w:rPr>
          <w:rFonts w:asciiTheme="minorHAnsi" w:hAnsiTheme="minorHAnsi" w:cstheme="minorHAnsi"/>
          <w:sz w:val="22"/>
          <w:szCs w:val="22"/>
        </w:rPr>
        <w:t>or</w:t>
      </w:r>
      <w:r>
        <w:rPr>
          <w:rFonts w:asciiTheme="minorHAnsi" w:hAnsiTheme="minorHAnsi" w:cstheme="minorHAnsi"/>
          <w:sz w:val="22"/>
          <w:szCs w:val="22"/>
        </w:rPr>
        <w:t xml:space="preserve"> waivers</w:t>
      </w:r>
    </w:p>
    <w:p w14:paraId="711B34EF" w14:textId="2E107CE7" w:rsidR="00C01E92" w:rsidRPr="00FE43F9" w:rsidRDefault="00C01E92" w:rsidP="00FE43F9">
      <w:pPr>
        <w:pStyle w:val="Heading3"/>
      </w:pPr>
      <w:bookmarkStart w:id="101" w:name="_Toc32936870"/>
      <w:r w:rsidRPr="00FE43F9">
        <w:t xml:space="preserve">A. </w:t>
      </w:r>
      <w:r w:rsidR="00F7569F">
        <w:t>A</w:t>
      </w:r>
      <w:r w:rsidRPr="00FE43F9">
        <w:t>pproval applications</w:t>
      </w:r>
      <w:bookmarkEnd w:id="101"/>
    </w:p>
    <w:p w14:paraId="3BCAB7F3" w14:textId="77777777" w:rsidR="00C01E92" w:rsidRPr="000107A9" w:rsidRDefault="00C01E92" w:rsidP="00C01E92">
      <w:pPr>
        <w:spacing w:before="120"/>
        <w:rPr>
          <w:rFonts w:cstheme="minorHAnsi"/>
          <w:b/>
          <w:szCs w:val="22"/>
        </w:rPr>
      </w:pPr>
      <w:r w:rsidRPr="000107A9">
        <w:rPr>
          <w:rFonts w:cstheme="minorHAnsi"/>
          <w:b/>
          <w:szCs w:val="22"/>
        </w:rPr>
        <w:t>Option A.1. Status Quo</w:t>
      </w:r>
    </w:p>
    <w:p w14:paraId="6AFFBA52" w14:textId="5415AB1B" w:rsidR="00C01E92" w:rsidRPr="000107A9" w:rsidRDefault="004047D6" w:rsidP="00C01E92">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t>The Status Quo</w:t>
      </w:r>
      <w:r w:rsidR="00C01E92" w:rsidRPr="000107A9">
        <w:rPr>
          <w:rFonts w:asciiTheme="minorHAnsi" w:hAnsiTheme="minorHAnsi" w:cstheme="minorHAnsi"/>
          <w:sz w:val="22"/>
          <w:szCs w:val="22"/>
        </w:rPr>
        <w:t xml:space="preserve"> option </w:t>
      </w:r>
      <w:r>
        <w:rPr>
          <w:rFonts w:asciiTheme="minorHAnsi" w:hAnsiTheme="minorHAnsi" w:cstheme="minorHAnsi"/>
          <w:sz w:val="22"/>
          <w:szCs w:val="22"/>
        </w:rPr>
        <w:t xml:space="preserve">is not considered </w:t>
      </w:r>
      <w:r w:rsidR="00C01E92" w:rsidRPr="000107A9">
        <w:rPr>
          <w:rFonts w:asciiTheme="minorHAnsi" w:hAnsiTheme="minorHAnsi" w:cstheme="minorHAnsi"/>
          <w:sz w:val="22"/>
          <w:szCs w:val="22"/>
        </w:rPr>
        <w:t>for provider and service approvals of the Regulations. Changes to the language and structure of the Amendment Act where approvals is concerned</w:t>
      </w:r>
      <w:r>
        <w:rPr>
          <w:rFonts w:asciiTheme="minorHAnsi" w:hAnsiTheme="minorHAnsi" w:cstheme="minorHAnsi"/>
          <w:sz w:val="22"/>
          <w:szCs w:val="22"/>
        </w:rPr>
        <w:t xml:space="preserve"> </w:t>
      </w:r>
      <w:r w:rsidRPr="000107A9">
        <w:rPr>
          <w:rFonts w:asciiTheme="minorHAnsi" w:hAnsiTheme="minorHAnsi" w:cstheme="minorHAnsi"/>
          <w:sz w:val="22"/>
          <w:szCs w:val="22"/>
        </w:rPr>
        <w:t>(formerly licensing)</w:t>
      </w:r>
      <w:r w:rsidR="00C01E92" w:rsidRPr="000107A9">
        <w:rPr>
          <w:rFonts w:asciiTheme="minorHAnsi" w:hAnsiTheme="minorHAnsi" w:cstheme="minorHAnsi"/>
          <w:sz w:val="22"/>
          <w:szCs w:val="22"/>
        </w:rPr>
        <w:t xml:space="preserve">, mean this part of the Regulations are essential for the Act and the Regulations to function together. Assessing the process as it was is no longer relevant nor does it provide a meaningful basis for comparison with the base case option. </w:t>
      </w:r>
    </w:p>
    <w:p w14:paraId="6F9BBBD8" w14:textId="77777777" w:rsidR="00C01E92" w:rsidRPr="000107A9" w:rsidRDefault="00C01E92" w:rsidP="00C01E92">
      <w:pPr>
        <w:spacing w:before="120"/>
        <w:rPr>
          <w:rFonts w:cstheme="minorHAnsi"/>
          <w:b/>
          <w:szCs w:val="22"/>
        </w:rPr>
      </w:pPr>
      <w:r w:rsidRPr="000107A9">
        <w:rPr>
          <w:rFonts w:cstheme="minorHAnsi"/>
          <w:b/>
          <w:szCs w:val="22"/>
        </w:rPr>
        <w:lastRenderedPageBreak/>
        <w:t>Option A.2. Alignment</w:t>
      </w:r>
    </w:p>
    <w:p w14:paraId="44824893"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following table sets out the information included in the proposed Regulations to support the sections of the Act relating to provider and service approvals. In addition to prescribing information for prospective providers’ initial applications, the Regulations also include detail to support provisions of the Act relating to the death or incapacity of approved </w:t>
      </w:r>
      <w:r w:rsidRPr="00B03351">
        <w:rPr>
          <w:rFonts w:asciiTheme="minorHAnsi" w:hAnsiTheme="minorHAnsi" w:cstheme="minorHAnsi"/>
          <w:sz w:val="22"/>
          <w:szCs w:val="22"/>
        </w:rPr>
        <w:t>providers.</w:t>
      </w:r>
      <w:r w:rsidRPr="00B03351">
        <w:rPr>
          <w:rStyle w:val="FootnoteReference"/>
          <w:rFonts w:asciiTheme="minorHAnsi" w:hAnsiTheme="minorHAnsi" w:cstheme="minorHAnsi"/>
          <w:color w:val="auto"/>
          <w:sz w:val="22"/>
          <w:szCs w:val="22"/>
        </w:rPr>
        <w:footnoteReference w:id="35"/>
      </w:r>
      <w:r w:rsidRPr="00B03351">
        <w:rPr>
          <w:rFonts w:asciiTheme="minorHAnsi" w:hAnsiTheme="minorHAnsi" w:cstheme="minorHAnsi"/>
          <w:sz w:val="22"/>
          <w:szCs w:val="22"/>
        </w:rPr>
        <w:t xml:space="preserve"> This </w:t>
      </w:r>
      <w:r w:rsidRPr="000107A9">
        <w:rPr>
          <w:rFonts w:asciiTheme="minorHAnsi" w:hAnsiTheme="minorHAnsi" w:cstheme="minorHAnsi"/>
          <w:sz w:val="22"/>
          <w:szCs w:val="22"/>
        </w:rPr>
        <w:t>table also sets out the conditions on service approvals and the Department’s powers in granting or refusing applications for service approval as included in the proposed Regulations.</w:t>
      </w:r>
    </w:p>
    <w:p w14:paraId="55271A06" w14:textId="4C5B687B" w:rsidR="00C01E92" w:rsidRPr="000107A9" w:rsidRDefault="00C01E92" w:rsidP="00F7569F">
      <w:pPr>
        <w:pStyle w:val="Caption"/>
      </w:pPr>
      <w:bookmarkStart w:id="102" w:name="_Toc32592786"/>
      <w:r w:rsidRPr="000107A9">
        <w:t xml:space="preserve">Table </w:t>
      </w:r>
      <w:r w:rsidRPr="000107A9">
        <w:fldChar w:fldCharType="begin"/>
      </w:r>
      <w:r w:rsidRPr="000107A9">
        <w:instrText xml:space="preserve"> SEQ Table \* ARABIC </w:instrText>
      </w:r>
      <w:r w:rsidRPr="000107A9">
        <w:fldChar w:fldCharType="separate"/>
      </w:r>
      <w:r w:rsidR="00493211">
        <w:rPr>
          <w:noProof/>
        </w:rPr>
        <w:t>3</w:t>
      </w:r>
      <w:r w:rsidRPr="000107A9">
        <w:fldChar w:fldCharType="end"/>
      </w:r>
      <w:r w:rsidR="00F7569F">
        <w:t xml:space="preserve"> </w:t>
      </w:r>
      <w:r w:rsidRPr="000107A9">
        <w:t>Option A.2. Alignment – Approval applications</w:t>
      </w:r>
      <w:bookmarkEnd w:id="102"/>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965"/>
        <w:gridCol w:w="7657"/>
      </w:tblGrid>
      <w:tr w:rsidR="00C01E92" w:rsidRPr="00AA6603" w14:paraId="6809073B" w14:textId="77777777" w:rsidTr="00AA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Borders>
              <w:right w:val="none" w:sz="0" w:space="0" w:color="auto"/>
            </w:tcBorders>
            <w:hideMark/>
          </w:tcPr>
          <w:p w14:paraId="581E443A" w14:textId="77777777" w:rsidR="00C01E92" w:rsidRPr="00AA6603" w:rsidRDefault="00C01E92" w:rsidP="00C44242">
            <w:pPr>
              <w:spacing w:after="60"/>
              <w:rPr>
                <w:rStyle w:val="Strong"/>
                <w:rFonts w:cstheme="minorHAnsi"/>
                <w:b/>
                <w:szCs w:val="22"/>
              </w:rPr>
            </w:pPr>
            <w:r w:rsidRPr="00AA6603">
              <w:rPr>
                <w:rStyle w:val="Strong"/>
                <w:rFonts w:cstheme="minorHAnsi"/>
                <w:b/>
                <w:szCs w:val="22"/>
              </w:rPr>
              <w:t>Subject</w:t>
            </w:r>
          </w:p>
        </w:tc>
        <w:tc>
          <w:tcPr>
            <w:tcW w:w="3979" w:type="pct"/>
            <w:tcBorders>
              <w:left w:val="none" w:sz="0" w:space="0" w:color="auto"/>
            </w:tcBorders>
            <w:hideMark/>
          </w:tcPr>
          <w:p w14:paraId="1C2C3C11" w14:textId="77777777" w:rsidR="00C01E92" w:rsidRPr="00AA6603" w:rsidRDefault="00C01E92" w:rsidP="00C44242">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A6603">
              <w:rPr>
                <w:rStyle w:val="Strong"/>
                <w:rFonts w:cstheme="minorHAnsi"/>
                <w:b/>
                <w:szCs w:val="22"/>
              </w:rPr>
              <w:t>Details in the Regulations</w:t>
            </w:r>
          </w:p>
        </w:tc>
      </w:tr>
      <w:tr w:rsidR="00C01E92" w:rsidRPr="00AA6603" w14:paraId="37CA777F" w14:textId="77777777" w:rsidTr="00AA6603">
        <w:tc>
          <w:tcPr>
            <w:cnfStyle w:val="001000000000" w:firstRow="0" w:lastRow="0" w:firstColumn="1" w:lastColumn="0" w:oddVBand="0" w:evenVBand="0" w:oddHBand="0" w:evenHBand="0" w:firstRowFirstColumn="0" w:firstRowLastColumn="0" w:lastRowFirstColumn="0" w:lastRowLastColumn="0"/>
            <w:tcW w:w="1021" w:type="pct"/>
          </w:tcPr>
          <w:p w14:paraId="3D673EF8" w14:textId="77777777" w:rsidR="00C01E92" w:rsidRPr="00AA6603" w:rsidRDefault="00C01E92" w:rsidP="00C44242">
            <w:pPr>
              <w:spacing w:after="60"/>
              <w:rPr>
                <w:rStyle w:val="Strong"/>
                <w:rFonts w:cstheme="minorHAnsi"/>
                <w:b w:val="0"/>
                <w:color w:val="53565A"/>
                <w:szCs w:val="22"/>
              </w:rPr>
            </w:pPr>
            <w:r w:rsidRPr="00AA6603">
              <w:rPr>
                <w:rStyle w:val="Strong"/>
                <w:rFonts w:cstheme="minorHAnsi"/>
                <w:b w:val="0"/>
                <w:szCs w:val="22"/>
              </w:rPr>
              <w:t>Provider approval: initial application</w:t>
            </w:r>
          </w:p>
        </w:tc>
        <w:tc>
          <w:tcPr>
            <w:tcW w:w="3979" w:type="pct"/>
          </w:tcPr>
          <w:p w14:paraId="3CE79672" w14:textId="77777777" w:rsidR="00C01E92" w:rsidRPr="00AA6603" w:rsidRDefault="00C01E92" w:rsidP="00C44242">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Information to be included with an application by an individual:</w:t>
            </w:r>
          </w:p>
          <w:p w14:paraId="1B8371E7" w14:textId="77777777" w:rsidR="00C01E92" w:rsidRPr="00AA6603" w:rsidRDefault="00C01E92" w:rsidP="00C44242">
            <w:pPr>
              <w:pStyle w:val="ListBullet"/>
              <w:numPr>
                <w:ilvl w:val="0"/>
                <w:numId w:val="33"/>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applicant’s full name, residential address and contact details</w:t>
            </w:r>
          </w:p>
          <w:p w14:paraId="1CB56045" w14:textId="77777777" w:rsidR="00C01E92" w:rsidRPr="00AA6603" w:rsidRDefault="00C01E92" w:rsidP="00C44242">
            <w:pPr>
              <w:pStyle w:val="ListBullet"/>
              <w:numPr>
                <w:ilvl w:val="0"/>
                <w:numId w:val="33"/>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applicant’s date and place of birth</w:t>
            </w:r>
          </w:p>
          <w:p w14:paraId="753AF721" w14:textId="77777777" w:rsidR="00C01E92" w:rsidRPr="00AA6603" w:rsidRDefault="00C01E92" w:rsidP="00C44242">
            <w:pPr>
              <w:pStyle w:val="ListBullet"/>
              <w:numPr>
                <w:ilvl w:val="0"/>
                <w:numId w:val="33"/>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 xml:space="preserve">Proof of the applicant’s identity </w:t>
            </w:r>
          </w:p>
          <w:p w14:paraId="72279270" w14:textId="77777777" w:rsidR="00C01E92" w:rsidRPr="00AA6603" w:rsidRDefault="00C01E92" w:rsidP="00C44242">
            <w:pPr>
              <w:pStyle w:val="ListBullet"/>
              <w:numPr>
                <w:ilvl w:val="0"/>
                <w:numId w:val="33"/>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Previous service statement made by the applicant (if applicable)</w:t>
            </w:r>
          </w:p>
          <w:p w14:paraId="7329D0CA" w14:textId="77777777" w:rsidR="00C01E92" w:rsidRPr="00AA6603" w:rsidRDefault="00C01E92" w:rsidP="00C44242">
            <w:pPr>
              <w:pStyle w:val="ListBullet"/>
              <w:numPr>
                <w:ilvl w:val="0"/>
                <w:numId w:val="33"/>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applicant’s working with children check, if held</w:t>
            </w:r>
          </w:p>
          <w:p w14:paraId="263BCA33" w14:textId="77777777" w:rsidR="00C01E92" w:rsidRPr="00AA6603" w:rsidRDefault="00C01E92" w:rsidP="00C44242">
            <w:pPr>
              <w:pStyle w:val="ListBullet"/>
              <w:numPr>
                <w:ilvl w:val="0"/>
                <w:numId w:val="33"/>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applicant’s current teacher registration, if held</w:t>
            </w:r>
          </w:p>
          <w:p w14:paraId="5EC8C0E5" w14:textId="77777777" w:rsidR="00C01E92" w:rsidRPr="00AA6603" w:rsidRDefault="00C01E92" w:rsidP="00C44242">
            <w:pPr>
              <w:pStyle w:val="ListBullet"/>
              <w:numPr>
                <w:ilvl w:val="0"/>
                <w:numId w:val="33"/>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applicant’s criminal record check from within the last 6 months</w:t>
            </w:r>
          </w:p>
          <w:p w14:paraId="569CFE23" w14:textId="77777777" w:rsidR="00C01E92" w:rsidRPr="00AA6603" w:rsidRDefault="00C01E92" w:rsidP="00C44242">
            <w:pPr>
              <w:pStyle w:val="ListBullet"/>
              <w:numPr>
                <w:ilvl w:val="0"/>
                <w:numId w:val="33"/>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An overseas criminal history statement by the applicant if they have lived or worked overseas in the past 3 years</w:t>
            </w:r>
          </w:p>
          <w:p w14:paraId="5FCE6299" w14:textId="77777777" w:rsidR="00C01E92" w:rsidRPr="00AA6603" w:rsidRDefault="00C01E92" w:rsidP="00C44242">
            <w:pPr>
              <w:pStyle w:val="ListBullet"/>
              <w:numPr>
                <w:ilvl w:val="0"/>
                <w:numId w:val="33"/>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A disciplinary proceedings statement made by the applicant</w:t>
            </w:r>
          </w:p>
          <w:p w14:paraId="0BA97847" w14:textId="77777777" w:rsidR="00C01E92" w:rsidRPr="00AA6603" w:rsidRDefault="00C01E92" w:rsidP="00C44242">
            <w:pPr>
              <w:pStyle w:val="ListBullet"/>
              <w:numPr>
                <w:ilvl w:val="0"/>
                <w:numId w:val="33"/>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A bankruptcy declaration made by the applicant</w:t>
            </w:r>
          </w:p>
          <w:p w14:paraId="7F77F675" w14:textId="77777777" w:rsidR="00C01E92" w:rsidRPr="00AA6603" w:rsidRDefault="00C01E92" w:rsidP="00C44242">
            <w:pPr>
              <w:pStyle w:val="ListBullet"/>
              <w:numPr>
                <w:ilvl w:val="0"/>
                <w:numId w:val="0"/>
              </w:numPr>
              <w:ind w:left="360" w:hanging="360"/>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Information to be included with an application by a corporation, etc.:</w:t>
            </w:r>
          </w:p>
          <w:p w14:paraId="3836EF53" w14:textId="77777777" w:rsidR="00C01E92" w:rsidRPr="00AA6603" w:rsidRDefault="00C01E92" w:rsidP="00C44242">
            <w:pPr>
              <w:pStyle w:val="ListBullet"/>
              <w:numPr>
                <w:ilvl w:val="0"/>
                <w:numId w:val="33"/>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applicant’s name and any trading name</w:t>
            </w:r>
          </w:p>
          <w:p w14:paraId="2E8810B4" w14:textId="77777777" w:rsidR="00C01E92" w:rsidRPr="00AA6603" w:rsidRDefault="00C01E92" w:rsidP="00C44242">
            <w:pPr>
              <w:pStyle w:val="ListBullet"/>
              <w:numPr>
                <w:ilvl w:val="0"/>
                <w:numId w:val="33"/>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street and postal addresses of the applicant’s principal office</w:t>
            </w:r>
          </w:p>
          <w:p w14:paraId="34F5A328" w14:textId="77777777" w:rsidR="00C01E92" w:rsidRPr="00AA6603" w:rsidRDefault="00C01E92" w:rsidP="00C44242">
            <w:pPr>
              <w:pStyle w:val="ListBullet"/>
              <w:numPr>
                <w:ilvl w:val="0"/>
                <w:numId w:val="33"/>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name and contact details of a contact person for the application</w:t>
            </w:r>
          </w:p>
          <w:p w14:paraId="4E81003C" w14:textId="77777777" w:rsidR="00C01E92" w:rsidRPr="00AA6603" w:rsidRDefault="00C01E92" w:rsidP="00C44242">
            <w:pPr>
              <w:pStyle w:val="ListBullet"/>
              <w:numPr>
                <w:ilvl w:val="0"/>
                <w:numId w:val="33"/>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Documentary evidence of the applicant’s legal status and its constitution</w:t>
            </w:r>
          </w:p>
          <w:p w14:paraId="45F2DB4F" w14:textId="77777777" w:rsidR="00C01E92" w:rsidRPr="00AA6603" w:rsidRDefault="00C01E92" w:rsidP="00C44242">
            <w:pPr>
              <w:pStyle w:val="ListBullet"/>
              <w:numPr>
                <w:ilvl w:val="0"/>
                <w:numId w:val="33"/>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Financial declaration about the applicant</w:t>
            </w:r>
          </w:p>
          <w:p w14:paraId="10D4338E" w14:textId="77777777" w:rsidR="00C01E92" w:rsidRPr="00AA6603" w:rsidRDefault="00C01E92" w:rsidP="00C44242">
            <w:pPr>
              <w:pStyle w:val="ListBullet"/>
              <w:numPr>
                <w:ilvl w:val="0"/>
                <w:numId w:val="33"/>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For each individual who will be a person with management or control of a service: the same information as required for an individual applicant above</w:t>
            </w:r>
          </w:p>
        </w:tc>
      </w:tr>
      <w:tr w:rsidR="00C01E92" w:rsidRPr="00AA6603" w14:paraId="2C0D8A90" w14:textId="77777777" w:rsidTr="00AA6603">
        <w:tc>
          <w:tcPr>
            <w:cnfStyle w:val="001000000000" w:firstRow="0" w:lastRow="0" w:firstColumn="1" w:lastColumn="0" w:oddVBand="0" w:evenVBand="0" w:oddHBand="0" w:evenHBand="0" w:firstRowFirstColumn="0" w:firstRowLastColumn="0" w:lastRowFirstColumn="0" w:lastRowLastColumn="0"/>
            <w:tcW w:w="1021" w:type="pct"/>
          </w:tcPr>
          <w:p w14:paraId="6D5723B8" w14:textId="77777777" w:rsidR="00C01E92" w:rsidRPr="00AA6603" w:rsidRDefault="00C01E92" w:rsidP="00C44242">
            <w:pPr>
              <w:spacing w:after="60"/>
              <w:rPr>
                <w:rStyle w:val="Strong"/>
                <w:rFonts w:cstheme="minorHAnsi"/>
                <w:b w:val="0"/>
                <w:szCs w:val="22"/>
              </w:rPr>
            </w:pPr>
            <w:r w:rsidRPr="00AA6603">
              <w:rPr>
                <w:rStyle w:val="Strong"/>
                <w:rFonts w:cstheme="minorHAnsi"/>
                <w:b w:val="0"/>
                <w:szCs w:val="22"/>
              </w:rPr>
              <w:t>Provider approval: amendment</w:t>
            </w:r>
          </w:p>
        </w:tc>
        <w:tc>
          <w:tcPr>
            <w:tcW w:w="3979" w:type="pct"/>
          </w:tcPr>
          <w:p w14:paraId="430228DA" w14:textId="77777777" w:rsidR="00C01E92" w:rsidRPr="00AA6603" w:rsidRDefault="00C01E92" w:rsidP="00C44242">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Information to be included in an application for amendment:</w:t>
            </w:r>
          </w:p>
          <w:p w14:paraId="44E61953" w14:textId="77777777" w:rsidR="00C01E92" w:rsidRPr="00AA6603" w:rsidRDefault="00C01E92" w:rsidP="00C44242">
            <w:pPr>
              <w:pStyle w:val="ListBullet"/>
              <w:numPr>
                <w:ilvl w:val="0"/>
                <w:numId w:val="31"/>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applicant’s full name and provider approval number</w:t>
            </w:r>
          </w:p>
          <w:p w14:paraId="4A664EBB" w14:textId="77777777" w:rsidR="00C01E92" w:rsidRPr="00AA6603" w:rsidRDefault="00C01E92" w:rsidP="00C44242">
            <w:pPr>
              <w:pStyle w:val="ListBullet"/>
              <w:numPr>
                <w:ilvl w:val="0"/>
                <w:numId w:val="31"/>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name and contact details for a contact person for the application</w:t>
            </w:r>
          </w:p>
          <w:p w14:paraId="51E74402" w14:textId="77777777" w:rsidR="00C01E92" w:rsidRPr="00AA6603" w:rsidRDefault="00C01E92" w:rsidP="00C44242">
            <w:pPr>
              <w:pStyle w:val="ListBullet"/>
              <w:numPr>
                <w:ilvl w:val="0"/>
                <w:numId w:val="31"/>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Details of the desired amendment</w:t>
            </w:r>
          </w:p>
          <w:p w14:paraId="3028E608" w14:textId="77777777" w:rsidR="00C01E92" w:rsidRPr="00AA6603" w:rsidRDefault="00C01E92" w:rsidP="00C44242">
            <w:pPr>
              <w:pStyle w:val="ListBullet"/>
              <w:numPr>
                <w:ilvl w:val="0"/>
                <w:numId w:val="31"/>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Sufficient information or documentation to support the application</w:t>
            </w:r>
          </w:p>
        </w:tc>
      </w:tr>
      <w:tr w:rsidR="00C01E92" w:rsidRPr="00AA6603" w14:paraId="3FA4C540" w14:textId="77777777" w:rsidTr="00AA6603">
        <w:tc>
          <w:tcPr>
            <w:cnfStyle w:val="001000000000" w:firstRow="0" w:lastRow="0" w:firstColumn="1" w:lastColumn="0" w:oddVBand="0" w:evenVBand="0" w:oddHBand="0" w:evenHBand="0" w:firstRowFirstColumn="0" w:firstRowLastColumn="0" w:lastRowFirstColumn="0" w:lastRowLastColumn="0"/>
            <w:tcW w:w="1021" w:type="pct"/>
          </w:tcPr>
          <w:p w14:paraId="1E897EFF" w14:textId="77777777" w:rsidR="00C01E92" w:rsidRPr="00AA6603" w:rsidRDefault="00C01E92" w:rsidP="00C44242">
            <w:pPr>
              <w:spacing w:after="60"/>
              <w:rPr>
                <w:rStyle w:val="Strong"/>
                <w:rFonts w:cstheme="minorHAnsi"/>
                <w:b w:val="0"/>
                <w:szCs w:val="22"/>
              </w:rPr>
            </w:pPr>
            <w:r w:rsidRPr="00AA6603">
              <w:rPr>
                <w:rStyle w:val="Strong"/>
                <w:rFonts w:cstheme="minorHAnsi"/>
                <w:b w:val="0"/>
                <w:szCs w:val="22"/>
              </w:rPr>
              <w:t>Provider approval: voluntary suspension</w:t>
            </w:r>
          </w:p>
        </w:tc>
        <w:tc>
          <w:tcPr>
            <w:tcW w:w="3979" w:type="pct"/>
          </w:tcPr>
          <w:p w14:paraId="1BD9B775" w14:textId="77777777" w:rsidR="00C01E92" w:rsidRPr="00AA6603" w:rsidRDefault="00C01E92" w:rsidP="00C44242">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Information to be included in an application for voluntary suspension:</w:t>
            </w:r>
          </w:p>
          <w:p w14:paraId="0A5FCD89" w14:textId="77777777" w:rsidR="00C01E92" w:rsidRPr="00AA6603" w:rsidRDefault="00C01E92" w:rsidP="00C44242">
            <w:pPr>
              <w:pStyle w:val="ListBullet"/>
              <w:numPr>
                <w:ilvl w:val="0"/>
                <w:numId w:val="32"/>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applicant’s full name and provider approval number</w:t>
            </w:r>
          </w:p>
          <w:p w14:paraId="185CC5EE" w14:textId="77777777" w:rsidR="00C01E92" w:rsidRPr="00AA6603" w:rsidRDefault="00C01E92" w:rsidP="00C44242">
            <w:pPr>
              <w:pStyle w:val="ListBullet"/>
              <w:numPr>
                <w:ilvl w:val="0"/>
                <w:numId w:val="32"/>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 xml:space="preserve">The name and contact details of a contact person for the application </w:t>
            </w:r>
          </w:p>
          <w:p w14:paraId="3A22080A" w14:textId="77777777" w:rsidR="00C01E92" w:rsidRPr="00AA6603" w:rsidRDefault="00C01E92" w:rsidP="00C44242">
            <w:pPr>
              <w:pStyle w:val="ListBullet"/>
              <w:numPr>
                <w:ilvl w:val="0"/>
                <w:numId w:val="32"/>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lastRenderedPageBreak/>
              <w:t>Reasons for the suspension</w:t>
            </w:r>
          </w:p>
          <w:p w14:paraId="469B3389" w14:textId="77777777" w:rsidR="00C01E92" w:rsidRPr="00AA6603" w:rsidRDefault="00C01E92" w:rsidP="00C44242">
            <w:pPr>
              <w:pStyle w:val="ListBullet"/>
              <w:numPr>
                <w:ilvl w:val="0"/>
                <w:numId w:val="32"/>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Proposed date and duration of the suspension</w:t>
            </w:r>
          </w:p>
          <w:p w14:paraId="4B14E8AF" w14:textId="77777777" w:rsidR="00C01E92" w:rsidRPr="00AA6603" w:rsidRDefault="00C01E92" w:rsidP="00C44242">
            <w:pPr>
              <w:pStyle w:val="ListBullet"/>
              <w:numPr>
                <w:ilvl w:val="0"/>
                <w:numId w:val="32"/>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What is intended to happen to each service operated by the approved provider</w:t>
            </w:r>
          </w:p>
          <w:p w14:paraId="7C2F5A36" w14:textId="77777777" w:rsidR="00C01E92" w:rsidRPr="00AA6603" w:rsidRDefault="00C01E92" w:rsidP="00C44242">
            <w:pPr>
              <w:pStyle w:val="ListBullet"/>
              <w:numPr>
                <w:ilvl w:val="0"/>
                <w:numId w:val="32"/>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Statement indicating affected parents have been notified in accordance with the Act</w:t>
            </w:r>
          </w:p>
        </w:tc>
      </w:tr>
      <w:tr w:rsidR="00C01E92" w:rsidRPr="00AA6603" w14:paraId="4F5762B8" w14:textId="77777777" w:rsidTr="00AA6603">
        <w:tc>
          <w:tcPr>
            <w:cnfStyle w:val="001000000000" w:firstRow="0" w:lastRow="0" w:firstColumn="1" w:lastColumn="0" w:oddVBand="0" w:evenVBand="0" w:oddHBand="0" w:evenHBand="0" w:firstRowFirstColumn="0" w:firstRowLastColumn="0" w:lastRowFirstColumn="0" w:lastRowLastColumn="0"/>
            <w:tcW w:w="1021" w:type="pct"/>
          </w:tcPr>
          <w:p w14:paraId="2F2FF700" w14:textId="77777777" w:rsidR="00C01E92" w:rsidRPr="00AA6603" w:rsidRDefault="00C01E92" w:rsidP="00C44242">
            <w:pPr>
              <w:spacing w:after="60"/>
              <w:rPr>
                <w:rStyle w:val="Strong"/>
                <w:rFonts w:cstheme="minorHAnsi"/>
                <w:b w:val="0"/>
                <w:szCs w:val="22"/>
              </w:rPr>
            </w:pPr>
            <w:r w:rsidRPr="00AA6603">
              <w:rPr>
                <w:rStyle w:val="Strong"/>
                <w:rFonts w:cstheme="minorHAnsi"/>
                <w:b w:val="0"/>
                <w:szCs w:val="22"/>
              </w:rPr>
              <w:lastRenderedPageBreak/>
              <w:t>Provider approval: death of approved provider</w:t>
            </w:r>
          </w:p>
        </w:tc>
        <w:tc>
          <w:tcPr>
            <w:tcW w:w="3979" w:type="pct"/>
          </w:tcPr>
          <w:p w14:paraId="5E23912B" w14:textId="77777777" w:rsidR="00C01E92" w:rsidRPr="00AA6603" w:rsidRDefault="00C01E92" w:rsidP="00C44242">
            <w:pPr>
              <w:pStyle w:val="ListBullet"/>
              <w:numPr>
                <w:ilvl w:val="0"/>
                <w:numId w:val="0"/>
              </w:numPr>
              <w:ind w:left="360" w:hanging="360"/>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Information to be included with an application by an individual executor:</w:t>
            </w:r>
          </w:p>
          <w:p w14:paraId="1584F41E" w14:textId="77777777" w:rsidR="00C01E92" w:rsidRPr="00AA6603" w:rsidRDefault="00C01E92" w:rsidP="00C44242">
            <w:pPr>
              <w:pStyle w:val="ListBullet"/>
              <w:numPr>
                <w:ilvl w:val="0"/>
                <w:numId w:val="33"/>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Information to be included in individual applications as above</w:t>
            </w:r>
          </w:p>
          <w:p w14:paraId="2895E00B" w14:textId="77777777" w:rsidR="00C01E92" w:rsidRPr="00AA6603" w:rsidRDefault="00C01E92" w:rsidP="00C44242">
            <w:pPr>
              <w:pStyle w:val="ListBullet"/>
              <w:numPr>
                <w:ilvl w:val="0"/>
                <w:numId w:val="33"/>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approved provider’s full name and approval number</w:t>
            </w:r>
          </w:p>
          <w:p w14:paraId="18C0C1DE" w14:textId="77777777" w:rsidR="00C01E92" w:rsidRPr="00AA6603" w:rsidRDefault="00C01E92" w:rsidP="00C44242">
            <w:pPr>
              <w:pStyle w:val="ListBullet"/>
              <w:numPr>
                <w:ilvl w:val="0"/>
                <w:numId w:val="33"/>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date and certificate of death for the approved provider</w:t>
            </w:r>
          </w:p>
          <w:p w14:paraId="35DA1A25" w14:textId="77777777" w:rsidR="00C01E92" w:rsidRPr="00AA6603" w:rsidRDefault="00C01E92" w:rsidP="00C44242">
            <w:pPr>
              <w:pStyle w:val="ListBullet"/>
              <w:numPr>
                <w:ilvl w:val="0"/>
                <w:numId w:val="33"/>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proposed duration of the approval (max. 6 months)</w:t>
            </w:r>
          </w:p>
          <w:p w14:paraId="0B29D5A3" w14:textId="77777777" w:rsidR="00C01E92" w:rsidRPr="00AA6603" w:rsidRDefault="00C01E92" w:rsidP="00C44242">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Information to be included with an application by an executor corporation, etc. in the event of an approved provider’s death:</w:t>
            </w:r>
          </w:p>
          <w:p w14:paraId="5EF579AC" w14:textId="77777777" w:rsidR="00C01E92" w:rsidRPr="00AA6603" w:rsidRDefault="00C01E92" w:rsidP="00C44242">
            <w:pPr>
              <w:pStyle w:val="ListBullet"/>
              <w:numPr>
                <w:ilvl w:val="0"/>
                <w:numId w:val="33"/>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Information to be included in non-individual applications as above</w:t>
            </w:r>
          </w:p>
          <w:p w14:paraId="0A49A2D0" w14:textId="77777777" w:rsidR="00C01E92" w:rsidRPr="00AA6603" w:rsidRDefault="00C01E92" w:rsidP="00C44242">
            <w:pPr>
              <w:pStyle w:val="ListBullet"/>
              <w:numPr>
                <w:ilvl w:val="0"/>
                <w:numId w:val="33"/>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approved provider’s full name and approval number</w:t>
            </w:r>
          </w:p>
          <w:p w14:paraId="45F7CB8C" w14:textId="77777777" w:rsidR="00C01E92" w:rsidRPr="00AA6603" w:rsidRDefault="00C01E92" w:rsidP="00C44242">
            <w:pPr>
              <w:pStyle w:val="ListBullet"/>
              <w:numPr>
                <w:ilvl w:val="0"/>
                <w:numId w:val="33"/>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date and certificate of death for the approved provider</w:t>
            </w:r>
          </w:p>
          <w:p w14:paraId="4E48865C" w14:textId="77777777" w:rsidR="00C01E92" w:rsidRPr="00AA6603" w:rsidRDefault="00C01E92" w:rsidP="00C44242">
            <w:pPr>
              <w:pStyle w:val="ListBullet"/>
              <w:numPr>
                <w:ilvl w:val="0"/>
                <w:numId w:val="33"/>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proposed duration of the approval (max. 6 months)</w:t>
            </w:r>
          </w:p>
        </w:tc>
      </w:tr>
      <w:tr w:rsidR="00C01E92" w:rsidRPr="00AA6603" w14:paraId="0A638483" w14:textId="77777777" w:rsidTr="00AA6603">
        <w:tc>
          <w:tcPr>
            <w:cnfStyle w:val="001000000000" w:firstRow="0" w:lastRow="0" w:firstColumn="1" w:lastColumn="0" w:oddVBand="0" w:evenVBand="0" w:oddHBand="0" w:evenHBand="0" w:firstRowFirstColumn="0" w:firstRowLastColumn="0" w:lastRowFirstColumn="0" w:lastRowLastColumn="0"/>
            <w:tcW w:w="1021" w:type="pct"/>
          </w:tcPr>
          <w:p w14:paraId="66730AE0" w14:textId="77777777" w:rsidR="00C01E92" w:rsidRPr="00AA6603" w:rsidRDefault="00C01E92" w:rsidP="00C44242">
            <w:pPr>
              <w:spacing w:after="60"/>
              <w:rPr>
                <w:rStyle w:val="Strong"/>
                <w:rFonts w:cstheme="minorHAnsi"/>
                <w:b w:val="0"/>
                <w:szCs w:val="22"/>
              </w:rPr>
            </w:pPr>
            <w:r w:rsidRPr="00AA6603">
              <w:rPr>
                <w:rStyle w:val="Strong"/>
                <w:rFonts w:cstheme="minorHAnsi"/>
                <w:b w:val="0"/>
                <w:szCs w:val="22"/>
              </w:rPr>
              <w:t>Provider approval: incapacity</w:t>
            </w:r>
          </w:p>
        </w:tc>
        <w:tc>
          <w:tcPr>
            <w:tcW w:w="3979" w:type="pct"/>
          </w:tcPr>
          <w:p w14:paraId="66753200" w14:textId="77777777" w:rsidR="00C01E92" w:rsidRPr="00AA6603" w:rsidRDefault="00C01E92" w:rsidP="00C44242">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Information to be included with an application by an individual (legal representative or guardian):</w:t>
            </w:r>
          </w:p>
          <w:p w14:paraId="390C2927" w14:textId="77777777" w:rsidR="00C01E92" w:rsidRPr="00AA6603" w:rsidRDefault="00C01E92" w:rsidP="00C44242">
            <w:pPr>
              <w:pStyle w:val="ListBullet"/>
              <w:numPr>
                <w:ilvl w:val="0"/>
                <w:numId w:val="33"/>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Information to be included in individual applications as above</w:t>
            </w:r>
          </w:p>
          <w:p w14:paraId="2293A060" w14:textId="77777777" w:rsidR="00C01E92" w:rsidRPr="00AA6603" w:rsidRDefault="00C01E92" w:rsidP="00C44242">
            <w:pPr>
              <w:pStyle w:val="ListBullet"/>
              <w:numPr>
                <w:ilvl w:val="0"/>
                <w:numId w:val="33"/>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approved provider’s full name and approval number</w:t>
            </w:r>
          </w:p>
          <w:p w14:paraId="147C493C" w14:textId="77777777" w:rsidR="00C01E92" w:rsidRPr="00AA6603" w:rsidRDefault="00C01E92" w:rsidP="00C44242">
            <w:pPr>
              <w:pStyle w:val="ListBullet"/>
              <w:numPr>
                <w:ilvl w:val="0"/>
                <w:numId w:val="33"/>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proposed duration of the approval (max. 6 months)</w:t>
            </w:r>
          </w:p>
          <w:p w14:paraId="7F124BC6" w14:textId="77777777" w:rsidR="00C01E92" w:rsidRPr="00AA6603" w:rsidRDefault="00C01E92" w:rsidP="00C44242">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Information to be included with an application by a corporation, etc. (legal representative or guardian):</w:t>
            </w:r>
          </w:p>
          <w:p w14:paraId="7BF1E7FB" w14:textId="77777777" w:rsidR="00C01E92" w:rsidRPr="00AA6603" w:rsidRDefault="00C01E92" w:rsidP="00C44242">
            <w:pPr>
              <w:pStyle w:val="ListBullet"/>
              <w:numPr>
                <w:ilvl w:val="0"/>
                <w:numId w:val="33"/>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Information to be included in non-individual applications as above</w:t>
            </w:r>
          </w:p>
          <w:p w14:paraId="0A5D8E89" w14:textId="77777777" w:rsidR="00C01E92" w:rsidRPr="00AA6603" w:rsidRDefault="00C01E92" w:rsidP="00C44242">
            <w:pPr>
              <w:pStyle w:val="ListBullet"/>
              <w:numPr>
                <w:ilvl w:val="0"/>
                <w:numId w:val="33"/>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approved provider’s full name and approval number</w:t>
            </w:r>
          </w:p>
          <w:p w14:paraId="4231C51B" w14:textId="77777777" w:rsidR="00C01E92" w:rsidRPr="00AA6603" w:rsidRDefault="00C01E92" w:rsidP="00C44242">
            <w:pPr>
              <w:pStyle w:val="ListBullet"/>
              <w:numPr>
                <w:ilvl w:val="0"/>
                <w:numId w:val="33"/>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proposed duration of the approval (max. 6 months)</w:t>
            </w:r>
          </w:p>
        </w:tc>
      </w:tr>
      <w:tr w:rsidR="00C01E92" w:rsidRPr="00AA6603" w14:paraId="7411129C" w14:textId="77777777" w:rsidTr="00AA6603">
        <w:tc>
          <w:tcPr>
            <w:cnfStyle w:val="001000000000" w:firstRow="0" w:lastRow="0" w:firstColumn="1" w:lastColumn="0" w:oddVBand="0" w:evenVBand="0" w:oddHBand="0" w:evenHBand="0" w:firstRowFirstColumn="0" w:firstRowLastColumn="0" w:lastRowFirstColumn="0" w:lastRowLastColumn="0"/>
            <w:tcW w:w="1021" w:type="pct"/>
          </w:tcPr>
          <w:p w14:paraId="26DF580E" w14:textId="77777777" w:rsidR="00C01E92" w:rsidRPr="00AA6603" w:rsidRDefault="00C01E92" w:rsidP="00C44242">
            <w:pPr>
              <w:spacing w:after="60"/>
              <w:rPr>
                <w:rStyle w:val="Strong"/>
                <w:rFonts w:cstheme="minorHAnsi"/>
                <w:b w:val="0"/>
                <w:szCs w:val="22"/>
              </w:rPr>
            </w:pPr>
            <w:r w:rsidRPr="00AA6603">
              <w:rPr>
                <w:rStyle w:val="Strong"/>
                <w:rFonts w:cstheme="minorHAnsi"/>
                <w:b w:val="0"/>
                <w:szCs w:val="22"/>
              </w:rPr>
              <w:t>Service approval: initial application</w:t>
            </w:r>
          </w:p>
        </w:tc>
        <w:tc>
          <w:tcPr>
            <w:tcW w:w="3979" w:type="pct"/>
          </w:tcPr>
          <w:p w14:paraId="6141C8FB" w14:textId="77777777" w:rsidR="00C01E92" w:rsidRPr="00AA6603" w:rsidRDefault="00C01E92" w:rsidP="00C44242">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Fonts w:cstheme="minorHAnsi"/>
                <w:szCs w:val="22"/>
              </w:rPr>
              <w:t>Information to be included with an application for a children’s service:</w:t>
            </w:r>
          </w:p>
          <w:p w14:paraId="33C8325B" w14:textId="77777777" w:rsidR="00C01E92" w:rsidRPr="00AA6603" w:rsidRDefault="00C01E92" w:rsidP="00C44242">
            <w:pPr>
              <w:pStyle w:val="ListBullet"/>
              <w:numPr>
                <w:ilvl w:val="0"/>
                <w:numId w:val="21"/>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applicant’s full name and provider approval number</w:t>
            </w:r>
          </w:p>
          <w:p w14:paraId="2240997D" w14:textId="77777777" w:rsidR="00C01E92" w:rsidRPr="00AA6603" w:rsidRDefault="00C01E92" w:rsidP="00C44242">
            <w:pPr>
              <w:pStyle w:val="ListBullet"/>
              <w:numPr>
                <w:ilvl w:val="0"/>
                <w:numId w:val="21"/>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name of the proposed service and contact details if known</w:t>
            </w:r>
          </w:p>
          <w:p w14:paraId="234D0E61" w14:textId="77777777" w:rsidR="00C01E92" w:rsidRPr="00AA6603" w:rsidRDefault="00C01E92" w:rsidP="00C44242">
            <w:pPr>
              <w:pStyle w:val="ListBullet"/>
              <w:numPr>
                <w:ilvl w:val="0"/>
                <w:numId w:val="21"/>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proposed date the service will commence operation</w:t>
            </w:r>
          </w:p>
          <w:p w14:paraId="5E2D5B08" w14:textId="77777777" w:rsidR="00C01E92" w:rsidRPr="00AA6603" w:rsidRDefault="00C01E92" w:rsidP="00C44242">
            <w:pPr>
              <w:pStyle w:val="ListBullet"/>
              <w:numPr>
                <w:ilvl w:val="0"/>
                <w:numId w:val="21"/>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 xml:space="preserve">The proposed ages and maximum number of children to be cared for </w:t>
            </w:r>
          </w:p>
          <w:p w14:paraId="0D0A19CD" w14:textId="77777777" w:rsidR="00C01E92" w:rsidRPr="00AA6603" w:rsidRDefault="00C01E92" w:rsidP="00C44242">
            <w:pPr>
              <w:pStyle w:val="ListBullet"/>
              <w:numPr>
                <w:ilvl w:val="0"/>
                <w:numId w:val="21"/>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proposed hours and days of operation of service</w:t>
            </w:r>
          </w:p>
          <w:p w14:paraId="578C836B" w14:textId="77777777" w:rsidR="00C01E92" w:rsidRPr="00AA6603" w:rsidRDefault="00C01E92" w:rsidP="00C44242">
            <w:pPr>
              <w:pStyle w:val="ListBullet"/>
              <w:numPr>
                <w:ilvl w:val="0"/>
                <w:numId w:val="21"/>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Description of the nature of the service</w:t>
            </w:r>
          </w:p>
          <w:p w14:paraId="449A97AE" w14:textId="77777777" w:rsidR="00C01E92" w:rsidRPr="00AA6603" w:rsidRDefault="00C01E92" w:rsidP="00C44242">
            <w:pPr>
              <w:pStyle w:val="ListBullet"/>
              <w:numPr>
                <w:ilvl w:val="0"/>
                <w:numId w:val="21"/>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Statement that the applicant has prepared the prescribed policies</w:t>
            </w:r>
          </w:p>
          <w:p w14:paraId="79B9D90E" w14:textId="77777777" w:rsidR="00C01E92" w:rsidRPr="00AA6603" w:rsidRDefault="00C01E92" w:rsidP="00C44242">
            <w:pPr>
              <w:pStyle w:val="ListBullet"/>
              <w:numPr>
                <w:ilvl w:val="0"/>
                <w:numId w:val="21"/>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full name and contact details of nominated supervisor(s)</w:t>
            </w:r>
          </w:p>
          <w:p w14:paraId="69C8EF09" w14:textId="77777777" w:rsidR="00C01E92" w:rsidRPr="00AA6603" w:rsidRDefault="00C01E92" w:rsidP="00C44242">
            <w:pPr>
              <w:pStyle w:val="ListBullet"/>
              <w:numPr>
                <w:ilvl w:val="0"/>
                <w:numId w:val="21"/>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location and street address of proposed premises</w:t>
            </w:r>
          </w:p>
          <w:p w14:paraId="5C871D56" w14:textId="77777777" w:rsidR="00C01E92" w:rsidRPr="00AA6603" w:rsidRDefault="00C01E92" w:rsidP="00C44242">
            <w:pPr>
              <w:pStyle w:val="ListBullet"/>
              <w:numPr>
                <w:ilvl w:val="0"/>
                <w:numId w:val="21"/>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Plans prepared by a building practitioner showing:</w:t>
            </w:r>
          </w:p>
          <w:p w14:paraId="467D49C1" w14:textId="77777777" w:rsidR="00C01E92" w:rsidRPr="00AA6603" w:rsidRDefault="00C01E92" w:rsidP="00C44242">
            <w:pPr>
              <w:pStyle w:val="ListBullet"/>
              <w:numPr>
                <w:ilvl w:val="1"/>
                <w:numId w:val="21"/>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Location of all buildings, structures, outdoor play areas and shaded areas</w:t>
            </w:r>
          </w:p>
          <w:p w14:paraId="4F833EF7" w14:textId="77777777" w:rsidR="00C01E92" w:rsidRPr="00AA6603" w:rsidRDefault="00C01E92" w:rsidP="00C44242">
            <w:pPr>
              <w:pStyle w:val="ListBullet"/>
              <w:numPr>
                <w:ilvl w:val="1"/>
                <w:numId w:val="21"/>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Location of all entries, exits, gates and fences (specifying type)</w:t>
            </w:r>
          </w:p>
          <w:p w14:paraId="79135900" w14:textId="77777777" w:rsidR="00C01E92" w:rsidRPr="00AA6603" w:rsidRDefault="00C01E92" w:rsidP="00C44242">
            <w:pPr>
              <w:pStyle w:val="ListBullet"/>
              <w:numPr>
                <w:ilvl w:val="1"/>
                <w:numId w:val="21"/>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Location of toilet, washing, nappy changing and food preparation areas</w:t>
            </w:r>
          </w:p>
          <w:p w14:paraId="764A5BF1" w14:textId="77777777" w:rsidR="00C01E92" w:rsidRPr="00AA6603" w:rsidRDefault="00C01E92" w:rsidP="00C44242">
            <w:pPr>
              <w:pStyle w:val="ListBullet"/>
              <w:numPr>
                <w:ilvl w:val="1"/>
                <w:numId w:val="21"/>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lastRenderedPageBreak/>
              <w:t>Boundaries of the premises</w:t>
            </w:r>
          </w:p>
          <w:p w14:paraId="1DB63200" w14:textId="77777777" w:rsidR="00C01E92" w:rsidRPr="00AA6603" w:rsidRDefault="00C01E92" w:rsidP="00C44242">
            <w:pPr>
              <w:pStyle w:val="ListBullet"/>
              <w:numPr>
                <w:ilvl w:val="1"/>
                <w:numId w:val="21"/>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Landscape or landscaping plans for outdoor play spaces</w:t>
            </w:r>
          </w:p>
          <w:p w14:paraId="71A8F0CE" w14:textId="77777777" w:rsidR="00C01E92" w:rsidRPr="00AA6603" w:rsidRDefault="00C01E92" w:rsidP="00C44242">
            <w:pPr>
              <w:pStyle w:val="ListBullet"/>
              <w:numPr>
                <w:ilvl w:val="1"/>
                <w:numId w:val="21"/>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Floor plan indicating unencumbered indoor and outdoor spaces for children, and their calculated areas</w:t>
            </w:r>
          </w:p>
          <w:p w14:paraId="792B019F" w14:textId="77777777" w:rsidR="00C01E92" w:rsidRPr="00AA6603" w:rsidRDefault="00C01E92" w:rsidP="00C44242">
            <w:pPr>
              <w:pStyle w:val="ListBullet"/>
              <w:numPr>
                <w:ilvl w:val="1"/>
                <w:numId w:val="21"/>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Elevation plans</w:t>
            </w:r>
          </w:p>
          <w:p w14:paraId="01EA3B75" w14:textId="77777777" w:rsidR="00C01E92" w:rsidRPr="00AA6603" w:rsidRDefault="00C01E92" w:rsidP="00C44242">
            <w:pPr>
              <w:pStyle w:val="ListBullet"/>
              <w:numPr>
                <w:ilvl w:val="0"/>
                <w:numId w:val="21"/>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If located at a premises with access to a swimming pool, a water safety policy</w:t>
            </w:r>
          </w:p>
          <w:p w14:paraId="11F7B360" w14:textId="77777777" w:rsidR="00C01E92" w:rsidRPr="00AA6603" w:rsidRDefault="00C01E92" w:rsidP="00C44242">
            <w:pPr>
              <w:pStyle w:val="ListBullet"/>
              <w:numPr>
                <w:ilvl w:val="0"/>
                <w:numId w:val="21"/>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Soil assessment OR statement of previous soil assessment and results OR a statement that to the best of its knowledge the site history does not indicate a danger to children</w:t>
            </w:r>
          </w:p>
          <w:p w14:paraId="66A9225F" w14:textId="77777777" w:rsidR="00C01E92" w:rsidRPr="00AA6603" w:rsidRDefault="00C01E92" w:rsidP="00C44242">
            <w:pPr>
              <w:pStyle w:val="ListBullet"/>
              <w:numPr>
                <w:ilvl w:val="0"/>
                <w:numId w:val="21"/>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Planning permit if required by local laws</w:t>
            </w:r>
          </w:p>
          <w:p w14:paraId="019885B6" w14:textId="77777777" w:rsidR="00C01E92" w:rsidRPr="00AA6603" w:rsidRDefault="00C01E92" w:rsidP="00C44242">
            <w:pPr>
              <w:pStyle w:val="ListBullet"/>
              <w:numPr>
                <w:ilvl w:val="0"/>
                <w:numId w:val="21"/>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Evidence of right to occupy premises</w:t>
            </w:r>
          </w:p>
          <w:p w14:paraId="534E3982" w14:textId="77777777" w:rsidR="00C01E92" w:rsidRPr="00AA6603" w:rsidRDefault="00C01E92" w:rsidP="00C44242">
            <w:pPr>
              <w:pStyle w:val="ListBullet"/>
              <w:numPr>
                <w:ilvl w:val="0"/>
                <w:numId w:val="21"/>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Unless premises is a school, occupancy permit, building certificate OR statement by building practitioner that the premises complies with planning law</w:t>
            </w:r>
          </w:p>
          <w:p w14:paraId="7B011860" w14:textId="77777777" w:rsidR="00C01E92" w:rsidRPr="00AA6603" w:rsidRDefault="00C01E92" w:rsidP="00C44242">
            <w:pPr>
              <w:pStyle w:val="ListBullet"/>
              <w:numPr>
                <w:ilvl w:val="0"/>
                <w:numId w:val="0"/>
              </w:numPr>
              <w:ind w:left="360"/>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Secretary may determine that the requirements for plans, soil assessments or planning permit do not apply to services to be located at registered schools or in cases where the application relates to the relocation of an approved children’s service.</w:t>
            </w:r>
          </w:p>
        </w:tc>
      </w:tr>
      <w:tr w:rsidR="00C01E92" w:rsidRPr="00AA6603" w14:paraId="765644D6" w14:textId="77777777" w:rsidTr="00AA6603">
        <w:tc>
          <w:tcPr>
            <w:cnfStyle w:val="001000000000" w:firstRow="0" w:lastRow="0" w:firstColumn="1" w:lastColumn="0" w:oddVBand="0" w:evenVBand="0" w:oddHBand="0" w:evenHBand="0" w:firstRowFirstColumn="0" w:firstRowLastColumn="0" w:lastRowFirstColumn="0" w:lastRowLastColumn="0"/>
            <w:tcW w:w="1021" w:type="pct"/>
          </w:tcPr>
          <w:p w14:paraId="4E03CEB3" w14:textId="77777777" w:rsidR="00C01E92" w:rsidRPr="00AA6603" w:rsidRDefault="00C01E92" w:rsidP="00C44242">
            <w:pPr>
              <w:spacing w:after="60"/>
              <w:rPr>
                <w:rStyle w:val="Strong"/>
                <w:rFonts w:cstheme="minorHAnsi"/>
                <w:b w:val="0"/>
                <w:szCs w:val="22"/>
              </w:rPr>
            </w:pPr>
            <w:r w:rsidRPr="00AA6603">
              <w:rPr>
                <w:rStyle w:val="Strong"/>
                <w:rFonts w:cstheme="minorHAnsi"/>
                <w:b w:val="0"/>
                <w:szCs w:val="22"/>
              </w:rPr>
              <w:lastRenderedPageBreak/>
              <w:t>Service approval: conditions</w:t>
            </w:r>
            <w:r w:rsidRPr="00AA6603">
              <w:rPr>
                <w:rFonts w:cstheme="minorHAnsi"/>
                <w:szCs w:val="22"/>
              </w:rPr>
              <w:t>*</w:t>
            </w:r>
          </w:p>
        </w:tc>
        <w:tc>
          <w:tcPr>
            <w:tcW w:w="3979" w:type="pct"/>
          </w:tcPr>
          <w:p w14:paraId="031D95C1" w14:textId="77777777" w:rsidR="00C01E92" w:rsidRPr="00AA6603" w:rsidRDefault="00C01E92" w:rsidP="00C44242">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Fonts w:cstheme="minorHAnsi"/>
                <w:szCs w:val="22"/>
              </w:rPr>
              <w:t>The following conditions are prescribed to apply to service approvals:</w:t>
            </w:r>
          </w:p>
          <w:p w14:paraId="2106AFBB" w14:textId="77777777" w:rsidR="00C01E92" w:rsidRPr="00AA6603" w:rsidRDefault="00C01E92" w:rsidP="00C44242">
            <w:pPr>
              <w:pStyle w:val="ListParagraph"/>
              <w:numPr>
                <w:ilvl w:val="0"/>
                <w:numId w:val="34"/>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Fonts w:cstheme="minorHAnsi"/>
                <w:szCs w:val="22"/>
              </w:rPr>
              <w:t>Approved providers must hold insurance in respect of each service: either</w:t>
            </w:r>
          </w:p>
          <w:p w14:paraId="18906FA1" w14:textId="77777777" w:rsidR="00C01E92" w:rsidRPr="00AA6603" w:rsidRDefault="00C01E92" w:rsidP="00C44242">
            <w:pPr>
              <w:pStyle w:val="ListParagraph"/>
              <w:numPr>
                <w:ilvl w:val="1"/>
                <w:numId w:val="34"/>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Fonts w:cstheme="minorHAnsi"/>
                <w:szCs w:val="22"/>
              </w:rPr>
              <w:t>current policy providing adequate cover against public liability with a minimum cover of $10m, or</w:t>
            </w:r>
          </w:p>
          <w:p w14:paraId="78174408" w14:textId="77777777" w:rsidR="00C01E92" w:rsidRPr="00AA6603" w:rsidRDefault="00C01E92" w:rsidP="00C44242">
            <w:pPr>
              <w:pStyle w:val="ListParagraph"/>
              <w:numPr>
                <w:ilvl w:val="1"/>
                <w:numId w:val="34"/>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Fonts w:cstheme="minorHAnsi"/>
                <w:szCs w:val="22"/>
              </w:rPr>
              <w:t xml:space="preserve">a policy of insurance or indemnity against public liability provided by the Government </w:t>
            </w:r>
          </w:p>
          <w:p w14:paraId="2F99F13A" w14:textId="77777777" w:rsidR="00C01E92" w:rsidRPr="00AA6603" w:rsidRDefault="00C01E92" w:rsidP="00C44242">
            <w:pPr>
              <w:pStyle w:val="ListParagraph"/>
              <w:numPr>
                <w:ilvl w:val="0"/>
                <w:numId w:val="34"/>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Fonts w:cstheme="minorHAnsi"/>
                <w:szCs w:val="22"/>
              </w:rPr>
              <w:t>Approved providers/services continue to be entitled to occupy the premises</w:t>
            </w:r>
          </w:p>
          <w:p w14:paraId="3FC7FD89" w14:textId="77777777" w:rsidR="00C01E92" w:rsidRPr="00AA6603" w:rsidRDefault="00C01E92" w:rsidP="00C44242">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i/>
                <w:sz w:val="22"/>
                <w:szCs w:val="22"/>
              </w:rPr>
            </w:pPr>
            <w:r w:rsidRPr="00AA6603">
              <w:rPr>
                <w:rFonts w:ascii="Arial Narrow" w:hAnsi="Arial Narrow" w:cstheme="minorHAnsi"/>
                <w:i/>
                <w:sz w:val="22"/>
                <w:szCs w:val="22"/>
              </w:rPr>
              <w:t>[*New requirement either not in or without equivalent in the current Regulations]</w:t>
            </w:r>
          </w:p>
        </w:tc>
      </w:tr>
      <w:tr w:rsidR="00C01E92" w:rsidRPr="00AA6603" w14:paraId="2EB9B008" w14:textId="77777777" w:rsidTr="00AA6603">
        <w:tc>
          <w:tcPr>
            <w:cnfStyle w:val="001000000000" w:firstRow="0" w:lastRow="0" w:firstColumn="1" w:lastColumn="0" w:oddVBand="0" w:evenVBand="0" w:oddHBand="0" w:evenHBand="0" w:firstRowFirstColumn="0" w:firstRowLastColumn="0" w:lastRowFirstColumn="0" w:lastRowLastColumn="0"/>
            <w:tcW w:w="1021" w:type="pct"/>
          </w:tcPr>
          <w:p w14:paraId="669BBE4D" w14:textId="77777777" w:rsidR="00C01E92" w:rsidRPr="00AA6603" w:rsidRDefault="00C01E92" w:rsidP="00C44242">
            <w:pPr>
              <w:spacing w:after="60"/>
              <w:rPr>
                <w:rStyle w:val="Strong"/>
                <w:rFonts w:cstheme="minorHAnsi"/>
                <w:b w:val="0"/>
                <w:szCs w:val="22"/>
              </w:rPr>
            </w:pPr>
            <w:r w:rsidRPr="00AA6603">
              <w:rPr>
                <w:rStyle w:val="Strong"/>
                <w:rFonts w:cstheme="minorHAnsi"/>
                <w:b w:val="0"/>
                <w:szCs w:val="22"/>
              </w:rPr>
              <w:t>Service approval: amendment</w:t>
            </w:r>
          </w:p>
        </w:tc>
        <w:tc>
          <w:tcPr>
            <w:tcW w:w="3979" w:type="pct"/>
          </w:tcPr>
          <w:p w14:paraId="7FE073D9" w14:textId="77777777" w:rsidR="00C01E92" w:rsidRPr="00AA6603" w:rsidRDefault="00C01E92" w:rsidP="00C44242">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Fonts w:cstheme="minorHAnsi"/>
                <w:szCs w:val="22"/>
              </w:rPr>
              <w:t>Information to be included with an application to amend:</w:t>
            </w:r>
          </w:p>
          <w:p w14:paraId="60C950E7" w14:textId="77777777" w:rsidR="00C01E92" w:rsidRPr="00AA6603" w:rsidRDefault="00C01E92" w:rsidP="00C44242">
            <w:pPr>
              <w:pStyle w:val="ListParagraph"/>
              <w:numPr>
                <w:ilvl w:val="0"/>
                <w:numId w:val="35"/>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Fonts w:cstheme="minorHAnsi"/>
                <w:szCs w:val="22"/>
              </w:rPr>
              <w:t>The service’s name and service approval number</w:t>
            </w:r>
          </w:p>
          <w:p w14:paraId="26319E89" w14:textId="77777777" w:rsidR="00C01E92" w:rsidRPr="00AA6603" w:rsidRDefault="00C01E92" w:rsidP="00C44242">
            <w:pPr>
              <w:pStyle w:val="ListParagraph"/>
              <w:numPr>
                <w:ilvl w:val="0"/>
                <w:numId w:val="35"/>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Fonts w:cstheme="minorHAnsi"/>
                <w:szCs w:val="22"/>
              </w:rPr>
              <w:t>The name and contact details of application contact person</w:t>
            </w:r>
          </w:p>
          <w:p w14:paraId="589BC7D5" w14:textId="77777777" w:rsidR="00C01E92" w:rsidRPr="00AA6603" w:rsidRDefault="00C01E92" w:rsidP="00C44242">
            <w:pPr>
              <w:pStyle w:val="ListParagraph"/>
              <w:numPr>
                <w:ilvl w:val="0"/>
                <w:numId w:val="35"/>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Fonts w:cstheme="minorHAnsi"/>
                <w:szCs w:val="22"/>
              </w:rPr>
              <w:t>Details of amendment applied for</w:t>
            </w:r>
          </w:p>
          <w:p w14:paraId="6B4E1CF4" w14:textId="77777777" w:rsidR="00C01E92" w:rsidRPr="00AA6603" w:rsidRDefault="00C01E92" w:rsidP="00C44242">
            <w:pPr>
              <w:pStyle w:val="ListBullet"/>
              <w:numPr>
                <w:ilvl w:val="0"/>
                <w:numId w:val="35"/>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Sufficient information or documentation to support the application</w:t>
            </w:r>
          </w:p>
        </w:tc>
      </w:tr>
      <w:tr w:rsidR="00C01E92" w:rsidRPr="00AA6603" w14:paraId="60FAD146" w14:textId="77777777" w:rsidTr="00AA6603">
        <w:tc>
          <w:tcPr>
            <w:cnfStyle w:val="001000000000" w:firstRow="0" w:lastRow="0" w:firstColumn="1" w:lastColumn="0" w:oddVBand="0" w:evenVBand="0" w:oddHBand="0" w:evenHBand="0" w:firstRowFirstColumn="0" w:firstRowLastColumn="0" w:lastRowFirstColumn="0" w:lastRowLastColumn="0"/>
            <w:tcW w:w="1021" w:type="pct"/>
          </w:tcPr>
          <w:p w14:paraId="24A2F242" w14:textId="77777777" w:rsidR="00C01E92" w:rsidRPr="00AA6603" w:rsidRDefault="00C01E92" w:rsidP="00C44242">
            <w:pPr>
              <w:spacing w:after="60"/>
              <w:rPr>
                <w:rStyle w:val="Strong"/>
                <w:rFonts w:cstheme="minorHAnsi"/>
                <w:b w:val="0"/>
                <w:szCs w:val="22"/>
              </w:rPr>
            </w:pPr>
            <w:r w:rsidRPr="00AA6603">
              <w:rPr>
                <w:rStyle w:val="Strong"/>
                <w:rFonts w:cstheme="minorHAnsi"/>
                <w:b w:val="0"/>
                <w:szCs w:val="22"/>
              </w:rPr>
              <w:t>Service approval: new nominated supervisor</w:t>
            </w:r>
          </w:p>
        </w:tc>
        <w:tc>
          <w:tcPr>
            <w:tcW w:w="3979" w:type="pct"/>
          </w:tcPr>
          <w:p w14:paraId="1A348F2B" w14:textId="77777777" w:rsidR="00C01E92" w:rsidRPr="00AA6603" w:rsidRDefault="00C01E92" w:rsidP="00C44242">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Fonts w:cstheme="minorHAnsi"/>
                <w:szCs w:val="22"/>
              </w:rPr>
              <w:t>A notice that a new supervisor has been nominated must include:</w:t>
            </w:r>
          </w:p>
          <w:p w14:paraId="6D651925" w14:textId="77777777" w:rsidR="00C01E92" w:rsidRPr="00AA6603" w:rsidRDefault="00C01E92" w:rsidP="002806C5">
            <w:pPr>
              <w:pStyle w:val="ListParagraph"/>
              <w:numPr>
                <w:ilvl w:val="0"/>
                <w:numId w:val="42"/>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Fonts w:cstheme="minorHAnsi"/>
                <w:szCs w:val="22"/>
              </w:rPr>
              <w:t>The name and service approval number of the service</w:t>
            </w:r>
          </w:p>
          <w:p w14:paraId="5A8286F1" w14:textId="77777777" w:rsidR="00C01E92" w:rsidRPr="00AA6603" w:rsidRDefault="00C01E92" w:rsidP="002806C5">
            <w:pPr>
              <w:pStyle w:val="ListParagraph"/>
              <w:numPr>
                <w:ilvl w:val="0"/>
                <w:numId w:val="42"/>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Fonts w:cstheme="minorHAnsi"/>
                <w:szCs w:val="22"/>
              </w:rPr>
              <w:t>The name and contact details of a contact person for the application</w:t>
            </w:r>
          </w:p>
          <w:p w14:paraId="5C7FB7F8" w14:textId="77777777" w:rsidR="00C01E92" w:rsidRPr="00AA6603" w:rsidRDefault="00C01E92" w:rsidP="002806C5">
            <w:pPr>
              <w:pStyle w:val="ListParagraph"/>
              <w:numPr>
                <w:ilvl w:val="0"/>
                <w:numId w:val="42"/>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Fonts w:cstheme="minorHAnsi"/>
                <w:szCs w:val="22"/>
              </w:rPr>
              <w:t>The full name and contact details of the new supervisor</w:t>
            </w:r>
          </w:p>
          <w:p w14:paraId="2AC19EEE" w14:textId="77777777" w:rsidR="00C01E92" w:rsidRPr="00AA6603" w:rsidRDefault="00C01E92" w:rsidP="002806C5">
            <w:pPr>
              <w:pStyle w:val="ListParagraph"/>
              <w:numPr>
                <w:ilvl w:val="0"/>
                <w:numId w:val="42"/>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Fonts w:cstheme="minorHAnsi"/>
                <w:szCs w:val="22"/>
              </w:rPr>
              <w:t>The date on which the new supervisor commenced work</w:t>
            </w:r>
          </w:p>
        </w:tc>
      </w:tr>
      <w:tr w:rsidR="00C01E92" w:rsidRPr="00AA6603" w14:paraId="201A4661" w14:textId="77777777" w:rsidTr="00AA6603">
        <w:tc>
          <w:tcPr>
            <w:cnfStyle w:val="001000000000" w:firstRow="0" w:lastRow="0" w:firstColumn="1" w:lastColumn="0" w:oddVBand="0" w:evenVBand="0" w:oddHBand="0" w:evenHBand="0" w:firstRowFirstColumn="0" w:firstRowLastColumn="0" w:lastRowFirstColumn="0" w:lastRowLastColumn="0"/>
            <w:tcW w:w="1021" w:type="pct"/>
          </w:tcPr>
          <w:p w14:paraId="113B48D8" w14:textId="77777777" w:rsidR="00C01E92" w:rsidRPr="00AA6603" w:rsidRDefault="00C01E92" w:rsidP="00C44242">
            <w:pPr>
              <w:spacing w:after="60"/>
              <w:rPr>
                <w:rStyle w:val="Strong"/>
                <w:rFonts w:cstheme="minorHAnsi"/>
                <w:b w:val="0"/>
                <w:szCs w:val="22"/>
              </w:rPr>
            </w:pPr>
            <w:r w:rsidRPr="00AA6603">
              <w:rPr>
                <w:rStyle w:val="Strong"/>
                <w:rFonts w:cstheme="minorHAnsi"/>
                <w:b w:val="0"/>
                <w:szCs w:val="22"/>
              </w:rPr>
              <w:t>Service approval: transfer</w:t>
            </w:r>
          </w:p>
        </w:tc>
        <w:tc>
          <w:tcPr>
            <w:tcW w:w="3979" w:type="pct"/>
          </w:tcPr>
          <w:p w14:paraId="2A6634DA" w14:textId="77777777" w:rsidR="00C01E92" w:rsidRPr="00AA6603" w:rsidRDefault="00C01E92" w:rsidP="00C44242">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Fonts w:cstheme="minorHAnsi"/>
                <w:szCs w:val="22"/>
              </w:rPr>
              <w:t>Information to be included with a notice of transfer:</w:t>
            </w:r>
          </w:p>
          <w:p w14:paraId="2E065362" w14:textId="77777777" w:rsidR="00C01E92" w:rsidRPr="00AA6603" w:rsidRDefault="00C01E92" w:rsidP="00C44242">
            <w:pPr>
              <w:pStyle w:val="ListParagraph"/>
              <w:numPr>
                <w:ilvl w:val="0"/>
                <w:numId w:val="36"/>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Fonts w:cstheme="minorHAnsi"/>
                <w:szCs w:val="22"/>
              </w:rPr>
              <w:t>The name and service approval number of the service</w:t>
            </w:r>
          </w:p>
          <w:p w14:paraId="43B99551" w14:textId="77777777" w:rsidR="00C01E92" w:rsidRPr="00AA6603" w:rsidRDefault="00C01E92" w:rsidP="00C44242">
            <w:pPr>
              <w:pStyle w:val="ListParagraph"/>
              <w:numPr>
                <w:ilvl w:val="0"/>
                <w:numId w:val="36"/>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Fonts w:cstheme="minorHAnsi"/>
                <w:szCs w:val="22"/>
              </w:rPr>
              <w:t>The transferring approved provider’s name, contact details and provider approval number</w:t>
            </w:r>
          </w:p>
          <w:p w14:paraId="41A21F8A" w14:textId="77777777" w:rsidR="00C01E92" w:rsidRPr="00AA6603" w:rsidRDefault="00C01E92" w:rsidP="00C44242">
            <w:pPr>
              <w:pStyle w:val="ListParagraph"/>
              <w:numPr>
                <w:ilvl w:val="0"/>
                <w:numId w:val="36"/>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Fonts w:cstheme="minorHAnsi"/>
                <w:szCs w:val="22"/>
              </w:rPr>
              <w:t>The receiving approved provider’s name, contact details and provider approval number</w:t>
            </w:r>
          </w:p>
          <w:p w14:paraId="03A0C62E" w14:textId="77777777" w:rsidR="00C01E92" w:rsidRPr="00AA6603" w:rsidRDefault="00C01E92" w:rsidP="00C44242">
            <w:pPr>
              <w:pStyle w:val="ListParagraph"/>
              <w:numPr>
                <w:ilvl w:val="0"/>
                <w:numId w:val="36"/>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Fonts w:cstheme="minorHAnsi"/>
                <w:szCs w:val="22"/>
              </w:rPr>
              <w:lastRenderedPageBreak/>
              <w:t>The date on which the transfer is intended to take effect</w:t>
            </w:r>
          </w:p>
          <w:p w14:paraId="49DF8C68" w14:textId="77777777" w:rsidR="00C01E92" w:rsidRPr="00AA6603" w:rsidRDefault="00C01E92" w:rsidP="00C44242">
            <w:pPr>
              <w:pStyle w:val="ListParagraph"/>
              <w:numPr>
                <w:ilvl w:val="0"/>
                <w:numId w:val="36"/>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Fonts w:cstheme="minorHAnsi"/>
                <w:szCs w:val="22"/>
              </w:rPr>
              <w:t>Details of any proposed changes to the service</w:t>
            </w:r>
          </w:p>
        </w:tc>
      </w:tr>
      <w:tr w:rsidR="00C01E92" w:rsidRPr="00AA6603" w14:paraId="07D6D70A" w14:textId="77777777" w:rsidTr="00AA6603">
        <w:tc>
          <w:tcPr>
            <w:cnfStyle w:val="001000000000" w:firstRow="0" w:lastRow="0" w:firstColumn="1" w:lastColumn="0" w:oddVBand="0" w:evenVBand="0" w:oddHBand="0" w:evenHBand="0" w:firstRowFirstColumn="0" w:firstRowLastColumn="0" w:lastRowFirstColumn="0" w:lastRowLastColumn="0"/>
            <w:tcW w:w="1021" w:type="pct"/>
          </w:tcPr>
          <w:p w14:paraId="2B0AAD7D" w14:textId="77777777" w:rsidR="00C01E92" w:rsidRPr="00AA6603" w:rsidRDefault="00C01E92" w:rsidP="00C44242">
            <w:pPr>
              <w:spacing w:after="60"/>
              <w:rPr>
                <w:rStyle w:val="Strong"/>
                <w:rFonts w:cstheme="minorHAnsi"/>
                <w:b w:val="0"/>
                <w:szCs w:val="22"/>
              </w:rPr>
            </w:pPr>
            <w:r w:rsidRPr="00AA6603">
              <w:rPr>
                <w:rStyle w:val="Strong"/>
                <w:rFonts w:cstheme="minorHAnsi"/>
                <w:b w:val="0"/>
                <w:szCs w:val="22"/>
              </w:rPr>
              <w:lastRenderedPageBreak/>
              <w:t>Service approvals: voluntary suspension</w:t>
            </w:r>
          </w:p>
        </w:tc>
        <w:tc>
          <w:tcPr>
            <w:tcW w:w="3979" w:type="pct"/>
          </w:tcPr>
          <w:p w14:paraId="53AE5B5E" w14:textId="77777777" w:rsidR="00C01E92" w:rsidRPr="00AA6603" w:rsidRDefault="00C01E92" w:rsidP="00C44242">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Information to be included in an application for voluntary suspension:</w:t>
            </w:r>
          </w:p>
          <w:p w14:paraId="62F3FF83" w14:textId="77777777" w:rsidR="00C01E92" w:rsidRPr="00AA6603" w:rsidRDefault="00C01E92" w:rsidP="00C44242">
            <w:pPr>
              <w:pStyle w:val="ListBullet"/>
              <w:numPr>
                <w:ilvl w:val="0"/>
                <w:numId w:val="32"/>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name and service approval number of the service</w:t>
            </w:r>
          </w:p>
          <w:p w14:paraId="459E20AD" w14:textId="77777777" w:rsidR="00C01E92" w:rsidRPr="00AA6603" w:rsidRDefault="00C01E92" w:rsidP="00C44242">
            <w:pPr>
              <w:pStyle w:val="ListBullet"/>
              <w:numPr>
                <w:ilvl w:val="0"/>
                <w:numId w:val="32"/>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 xml:space="preserve">The name and contact details of a contact person for the application </w:t>
            </w:r>
          </w:p>
          <w:p w14:paraId="5E586FC0" w14:textId="77777777" w:rsidR="00C01E92" w:rsidRPr="00AA6603" w:rsidRDefault="00C01E92" w:rsidP="00C44242">
            <w:pPr>
              <w:pStyle w:val="ListBullet"/>
              <w:numPr>
                <w:ilvl w:val="0"/>
                <w:numId w:val="32"/>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Reasons for the suspension</w:t>
            </w:r>
          </w:p>
          <w:p w14:paraId="01C40FF7" w14:textId="77777777" w:rsidR="00C01E92" w:rsidRPr="00AA6603" w:rsidRDefault="00C01E92" w:rsidP="00C44242">
            <w:pPr>
              <w:pStyle w:val="ListBullet"/>
              <w:numPr>
                <w:ilvl w:val="0"/>
                <w:numId w:val="32"/>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proposed date and duration of the suspension</w:t>
            </w:r>
          </w:p>
          <w:p w14:paraId="59A529D5" w14:textId="77777777" w:rsidR="00C01E92" w:rsidRPr="00AA6603" w:rsidRDefault="00C01E92" w:rsidP="00C44242">
            <w:pPr>
              <w:pStyle w:val="ListBullet"/>
              <w:numPr>
                <w:ilvl w:val="0"/>
                <w:numId w:val="32"/>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What is intended to happen to each service operated by the provider</w:t>
            </w:r>
          </w:p>
          <w:p w14:paraId="3042A593" w14:textId="77777777" w:rsidR="00C01E92" w:rsidRPr="00AA6603" w:rsidRDefault="00C01E92" w:rsidP="00C44242">
            <w:pPr>
              <w:pStyle w:val="ListBullet"/>
              <w:numPr>
                <w:ilvl w:val="0"/>
                <w:numId w:val="32"/>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 xml:space="preserve">Statement indicating affected parents have been notified </w:t>
            </w:r>
          </w:p>
        </w:tc>
      </w:tr>
      <w:tr w:rsidR="00C01E92" w:rsidRPr="00AA6603" w14:paraId="1F56DA6B" w14:textId="77777777" w:rsidTr="00AA6603">
        <w:tc>
          <w:tcPr>
            <w:cnfStyle w:val="001000000000" w:firstRow="0" w:lastRow="0" w:firstColumn="1" w:lastColumn="0" w:oddVBand="0" w:evenVBand="0" w:oddHBand="0" w:evenHBand="0" w:firstRowFirstColumn="0" w:firstRowLastColumn="0" w:lastRowFirstColumn="0" w:lastRowLastColumn="0"/>
            <w:tcW w:w="1021" w:type="pct"/>
          </w:tcPr>
          <w:p w14:paraId="58045DEB" w14:textId="77777777" w:rsidR="00C01E92" w:rsidRPr="00AA6603" w:rsidRDefault="00C01E92" w:rsidP="00C44242">
            <w:pPr>
              <w:spacing w:after="60"/>
              <w:rPr>
                <w:rStyle w:val="Strong"/>
                <w:rFonts w:cstheme="minorHAnsi"/>
                <w:b w:val="0"/>
                <w:szCs w:val="22"/>
              </w:rPr>
            </w:pPr>
            <w:r w:rsidRPr="00AA6603">
              <w:rPr>
                <w:rStyle w:val="Strong"/>
                <w:rFonts w:cstheme="minorHAnsi"/>
                <w:b w:val="0"/>
                <w:szCs w:val="22"/>
              </w:rPr>
              <w:t>Service approval: matters the Department must consider</w:t>
            </w:r>
          </w:p>
        </w:tc>
        <w:tc>
          <w:tcPr>
            <w:tcW w:w="3979" w:type="pct"/>
          </w:tcPr>
          <w:p w14:paraId="3A93DE8E" w14:textId="77777777" w:rsidR="00C01E92" w:rsidRPr="00AA6603" w:rsidRDefault="00C01E92" w:rsidP="00C44242">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Department must have regard to the following matters in determining applications for service approvals:</w:t>
            </w:r>
          </w:p>
          <w:p w14:paraId="55CDD3CA" w14:textId="77777777" w:rsidR="00C01E92" w:rsidRPr="00AA6603" w:rsidRDefault="00C01E92" w:rsidP="002806C5">
            <w:pPr>
              <w:pStyle w:val="ListBullet"/>
              <w:numPr>
                <w:ilvl w:val="0"/>
                <w:numId w:val="47"/>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Any suspension of the applicant’s provider approval</w:t>
            </w:r>
          </w:p>
          <w:p w14:paraId="5442BCEE" w14:textId="77777777" w:rsidR="00C01E92" w:rsidRPr="00AA6603" w:rsidRDefault="00C01E92" w:rsidP="002806C5">
            <w:pPr>
              <w:pStyle w:val="ListBullet"/>
              <w:numPr>
                <w:ilvl w:val="0"/>
                <w:numId w:val="47"/>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Any conditions on the applicant’s provider approval</w:t>
            </w:r>
          </w:p>
        </w:tc>
      </w:tr>
      <w:tr w:rsidR="00C01E92" w:rsidRPr="00AA6603" w14:paraId="70F6A0A8" w14:textId="77777777" w:rsidTr="00AA6603">
        <w:tc>
          <w:tcPr>
            <w:cnfStyle w:val="001000000000" w:firstRow="0" w:lastRow="0" w:firstColumn="1" w:lastColumn="0" w:oddVBand="0" w:evenVBand="0" w:oddHBand="0" w:evenHBand="0" w:firstRowFirstColumn="0" w:firstRowLastColumn="0" w:lastRowFirstColumn="0" w:lastRowLastColumn="0"/>
            <w:tcW w:w="1021" w:type="pct"/>
          </w:tcPr>
          <w:p w14:paraId="6205FA2F" w14:textId="77777777" w:rsidR="00C01E92" w:rsidRPr="00AA6603" w:rsidRDefault="00C01E92" w:rsidP="00C44242">
            <w:pPr>
              <w:spacing w:after="60"/>
              <w:rPr>
                <w:rStyle w:val="Strong"/>
                <w:rFonts w:cstheme="minorHAnsi"/>
                <w:b w:val="0"/>
                <w:szCs w:val="22"/>
              </w:rPr>
            </w:pPr>
            <w:r w:rsidRPr="00AA6603">
              <w:rPr>
                <w:rStyle w:val="Strong"/>
                <w:rFonts w:cstheme="minorHAnsi"/>
                <w:b w:val="0"/>
                <w:szCs w:val="22"/>
              </w:rPr>
              <w:t>Service approval: grounds for refusal</w:t>
            </w:r>
          </w:p>
        </w:tc>
        <w:tc>
          <w:tcPr>
            <w:tcW w:w="3979" w:type="pct"/>
          </w:tcPr>
          <w:p w14:paraId="1A5BC993" w14:textId="77777777" w:rsidR="00C01E92" w:rsidRPr="00AA6603" w:rsidRDefault="00C01E92" w:rsidP="00C44242">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Department may refuse to grant a service approval on the following grounds:</w:t>
            </w:r>
          </w:p>
          <w:p w14:paraId="4E50C07A" w14:textId="77777777" w:rsidR="00C01E92" w:rsidRPr="00AA6603" w:rsidRDefault="00C01E92" w:rsidP="002806C5">
            <w:pPr>
              <w:pStyle w:val="ListBullet"/>
              <w:numPr>
                <w:ilvl w:val="0"/>
                <w:numId w:val="48"/>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Department is not satisfied the applicant can operate the proposed service in a way that meets the legal requirements</w:t>
            </w:r>
          </w:p>
          <w:p w14:paraId="0AF4EB61" w14:textId="77777777" w:rsidR="00C01E92" w:rsidRPr="00AA6603" w:rsidRDefault="00C01E92" w:rsidP="002806C5">
            <w:pPr>
              <w:pStyle w:val="ListBullet"/>
              <w:numPr>
                <w:ilvl w:val="0"/>
                <w:numId w:val="48"/>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AA6603">
              <w:rPr>
                <w:rFonts w:ascii="Arial Narrow" w:hAnsi="Arial Narrow" w:cstheme="minorHAnsi"/>
                <w:color w:val="auto"/>
                <w:sz w:val="22"/>
                <w:szCs w:val="22"/>
              </w:rPr>
              <w:t>The Department is not satisfied the applicant is entitled to occupy the proposed service premises</w:t>
            </w:r>
          </w:p>
        </w:tc>
      </w:tr>
    </w:tbl>
    <w:p w14:paraId="407E449E" w14:textId="3022F6DE" w:rsidR="00C01E92" w:rsidRPr="000107A9" w:rsidRDefault="00C01E92" w:rsidP="00FE43F9">
      <w:pPr>
        <w:pStyle w:val="Heading3"/>
      </w:pPr>
      <w:bookmarkStart w:id="103" w:name="_Toc32936871"/>
      <w:r w:rsidRPr="000107A9">
        <w:t xml:space="preserve">B. </w:t>
      </w:r>
      <w:r w:rsidR="00F7569F">
        <w:t>S</w:t>
      </w:r>
      <w:r w:rsidRPr="000107A9">
        <w:t>ervice approval</w:t>
      </w:r>
      <w:r w:rsidR="00247217">
        <w:t xml:space="preserve"> type</w:t>
      </w:r>
      <w:bookmarkEnd w:id="103"/>
    </w:p>
    <w:p w14:paraId="471B3757" w14:textId="77777777" w:rsidR="00C01E92" w:rsidRPr="000107A9" w:rsidRDefault="00C01E92" w:rsidP="00C01E92">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b/>
          <w:sz w:val="22"/>
          <w:szCs w:val="22"/>
        </w:rPr>
        <w:t>Option B.1. Status Quo</w:t>
      </w:r>
    </w:p>
    <w:p w14:paraId="7B412C29" w14:textId="665959F7" w:rsidR="00C44242" w:rsidRPr="00C44242" w:rsidRDefault="00C01E92" w:rsidP="00336EBF">
      <w:pPr>
        <w:pStyle w:val="EYBodytextwithparaspace"/>
        <w:spacing w:before="120" w:after="120"/>
        <w:rPr>
          <w:rStyle w:val="Strong"/>
          <w:rFonts w:cstheme="minorHAnsi"/>
          <w:szCs w:val="22"/>
        </w:rPr>
      </w:pPr>
      <w:r w:rsidRPr="000107A9">
        <w:rPr>
          <w:rFonts w:asciiTheme="minorHAnsi" w:hAnsiTheme="minorHAnsi" w:cstheme="minorHAnsi"/>
          <w:sz w:val="22"/>
          <w:szCs w:val="22"/>
        </w:rPr>
        <w:t>Under this option, seven licence types a</w:t>
      </w:r>
      <w:r w:rsidR="00F7569F">
        <w:rPr>
          <w:rFonts w:asciiTheme="minorHAnsi" w:hAnsiTheme="minorHAnsi" w:cstheme="minorHAnsi"/>
          <w:sz w:val="22"/>
          <w:szCs w:val="22"/>
        </w:rPr>
        <w:t xml:space="preserve">re specified in the Regulations as </w:t>
      </w:r>
      <w:r w:rsidR="00C44242">
        <w:rPr>
          <w:rFonts w:asciiTheme="minorHAnsi" w:hAnsiTheme="minorHAnsi" w:cstheme="minorHAnsi"/>
          <w:sz w:val="22"/>
          <w:szCs w:val="22"/>
        </w:rPr>
        <w:t>detail</w:t>
      </w:r>
      <w:r w:rsidR="00410B86">
        <w:rPr>
          <w:rFonts w:asciiTheme="minorHAnsi" w:hAnsiTheme="minorHAnsi" w:cstheme="minorHAnsi"/>
          <w:sz w:val="22"/>
          <w:szCs w:val="22"/>
        </w:rPr>
        <w:t>ed</w:t>
      </w:r>
      <w:r w:rsidR="00C44242">
        <w:rPr>
          <w:rFonts w:asciiTheme="minorHAnsi" w:hAnsiTheme="minorHAnsi" w:cstheme="minorHAnsi"/>
          <w:sz w:val="22"/>
          <w:szCs w:val="22"/>
        </w:rPr>
        <w:t xml:space="preserve"> in </w:t>
      </w:r>
      <w:r w:rsidR="00F7569F">
        <w:rPr>
          <w:rFonts w:asciiTheme="minorHAnsi" w:hAnsiTheme="minorHAnsi" w:cstheme="minorHAnsi"/>
          <w:sz w:val="22"/>
          <w:szCs w:val="22"/>
        </w:rPr>
        <w:t xml:space="preserve">Table </w:t>
      </w:r>
      <w:r w:rsidR="00C44242">
        <w:rPr>
          <w:rFonts w:asciiTheme="minorHAnsi" w:hAnsiTheme="minorHAnsi" w:cstheme="minorHAnsi"/>
          <w:sz w:val="22"/>
          <w:szCs w:val="22"/>
        </w:rPr>
        <w:t>1, section 3 and summarised here</w:t>
      </w:r>
      <w:r w:rsidR="00A82662">
        <w:rPr>
          <w:rFonts w:asciiTheme="minorHAnsi" w:hAnsiTheme="minorHAnsi" w:cstheme="minorHAnsi"/>
          <w:sz w:val="22"/>
          <w:szCs w:val="22"/>
        </w:rPr>
        <w:t xml:space="preserve">. </w:t>
      </w:r>
      <w:r w:rsidR="00C44242" w:rsidRPr="00C44242">
        <w:rPr>
          <w:rFonts w:cstheme="minorHAnsi"/>
          <w:szCs w:val="22"/>
        </w:rPr>
        <w:t>Standard service</w:t>
      </w:r>
    </w:p>
    <w:p w14:paraId="0E480D9E" w14:textId="77777777" w:rsidR="00C44242" w:rsidRPr="00C44242" w:rsidRDefault="00C44242" w:rsidP="002806C5">
      <w:pPr>
        <w:pStyle w:val="EYBodytextwithparaspace"/>
        <w:numPr>
          <w:ilvl w:val="0"/>
          <w:numId w:val="99"/>
        </w:numPr>
        <w:spacing w:before="120" w:after="120"/>
        <w:rPr>
          <w:rStyle w:val="Strong"/>
          <w:rFonts w:asciiTheme="minorHAnsi" w:hAnsiTheme="minorHAnsi" w:cstheme="minorHAnsi"/>
          <w:bCs w:val="0"/>
          <w:sz w:val="22"/>
          <w:szCs w:val="22"/>
        </w:rPr>
      </w:pPr>
      <w:r w:rsidRPr="00C44242">
        <w:rPr>
          <w:rFonts w:asciiTheme="minorHAnsi" w:hAnsiTheme="minorHAnsi" w:cstheme="minorHAnsi"/>
          <w:sz w:val="22"/>
          <w:szCs w:val="22"/>
        </w:rPr>
        <w:t>School holidays care service</w:t>
      </w:r>
    </w:p>
    <w:p w14:paraId="7D3F2F73" w14:textId="77777777" w:rsidR="00C44242" w:rsidRPr="00C44242" w:rsidRDefault="00C44242" w:rsidP="002806C5">
      <w:pPr>
        <w:pStyle w:val="EYBodytextwithparaspace"/>
        <w:numPr>
          <w:ilvl w:val="0"/>
          <w:numId w:val="99"/>
        </w:numPr>
        <w:spacing w:before="120" w:after="120"/>
        <w:rPr>
          <w:rStyle w:val="Strong"/>
          <w:rFonts w:asciiTheme="minorHAnsi" w:hAnsiTheme="minorHAnsi" w:cstheme="minorHAnsi"/>
          <w:bCs w:val="0"/>
          <w:sz w:val="22"/>
          <w:szCs w:val="22"/>
        </w:rPr>
      </w:pPr>
      <w:r w:rsidRPr="00C44242">
        <w:rPr>
          <w:rFonts w:asciiTheme="minorHAnsi" w:hAnsiTheme="minorHAnsi" w:cstheme="minorHAnsi"/>
          <w:sz w:val="22"/>
          <w:szCs w:val="22"/>
        </w:rPr>
        <w:t>Limited Hours type 1</w:t>
      </w:r>
    </w:p>
    <w:p w14:paraId="7C0C52CC" w14:textId="77777777" w:rsidR="00C44242" w:rsidRPr="00C44242" w:rsidRDefault="00C44242" w:rsidP="002806C5">
      <w:pPr>
        <w:pStyle w:val="EYBodytextwithparaspace"/>
        <w:numPr>
          <w:ilvl w:val="0"/>
          <w:numId w:val="99"/>
        </w:numPr>
        <w:spacing w:before="120" w:after="120"/>
        <w:rPr>
          <w:rStyle w:val="Strong"/>
          <w:rFonts w:asciiTheme="minorHAnsi" w:hAnsiTheme="minorHAnsi" w:cstheme="minorHAnsi"/>
          <w:bCs w:val="0"/>
          <w:sz w:val="22"/>
          <w:szCs w:val="22"/>
        </w:rPr>
      </w:pPr>
      <w:r w:rsidRPr="00C44242">
        <w:rPr>
          <w:rFonts w:asciiTheme="minorHAnsi" w:hAnsiTheme="minorHAnsi" w:cstheme="minorHAnsi"/>
          <w:sz w:val="22"/>
          <w:szCs w:val="22"/>
        </w:rPr>
        <w:t>Limited Hours type 2</w:t>
      </w:r>
    </w:p>
    <w:p w14:paraId="7FD15E68" w14:textId="77777777" w:rsidR="00C44242" w:rsidRPr="00C44242" w:rsidRDefault="00C44242" w:rsidP="002806C5">
      <w:pPr>
        <w:pStyle w:val="EYBodytextwithparaspace"/>
        <w:numPr>
          <w:ilvl w:val="0"/>
          <w:numId w:val="99"/>
        </w:numPr>
        <w:spacing w:before="120" w:after="120"/>
        <w:rPr>
          <w:rStyle w:val="Strong"/>
          <w:rFonts w:asciiTheme="minorHAnsi" w:hAnsiTheme="minorHAnsi" w:cstheme="minorHAnsi"/>
          <w:bCs w:val="0"/>
          <w:sz w:val="22"/>
          <w:szCs w:val="22"/>
        </w:rPr>
      </w:pPr>
      <w:r w:rsidRPr="00C44242">
        <w:rPr>
          <w:rFonts w:asciiTheme="minorHAnsi" w:hAnsiTheme="minorHAnsi" w:cstheme="minorHAnsi"/>
          <w:sz w:val="22"/>
          <w:szCs w:val="22"/>
        </w:rPr>
        <w:t>Short-term type 1</w:t>
      </w:r>
    </w:p>
    <w:p w14:paraId="1E1FB731" w14:textId="77777777" w:rsidR="00C44242" w:rsidRPr="00C44242" w:rsidRDefault="00C44242" w:rsidP="002806C5">
      <w:pPr>
        <w:pStyle w:val="EYBodytextwithparaspace"/>
        <w:numPr>
          <w:ilvl w:val="0"/>
          <w:numId w:val="99"/>
        </w:numPr>
        <w:spacing w:before="120" w:after="120"/>
        <w:rPr>
          <w:rStyle w:val="Strong"/>
          <w:rFonts w:asciiTheme="minorHAnsi" w:hAnsiTheme="minorHAnsi" w:cstheme="minorHAnsi"/>
          <w:bCs w:val="0"/>
          <w:sz w:val="22"/>
          <w:szCs w:val="22"/>
        </w:rPr>
      </w:pPr>
      <w:r w:rsidRPr="00C44242">
        <w:rPr>
          <w:rFonts w:asciiTheme="minorHAnsi" w:hAnsiTheme="minorHAnsi" w:cstheme="minorHAnsi"/>
          <w:sz w:val="22"/>
          <w:szCs w:val="22"/>
        </w:rPr>
        <w:t>Short-term type 2</w:t>
      </w:r>
    </w:p>
    <w:p w14:paraId="08C6E9A3" w14:textId="643ADFD7" w:rsidR="002A1A9C" w:rsidRPr="00336EBF" w:rsidRDefault="00C44242" w:rsidP="002A1A9C">
      <w:pPr>
        <w:pStyle w:val="EYBodytextwithparaspace"/>
        <w:numPr>
          <w:ilvl w:val="0"/>
          <w:numId w:val="99"/>
        </w:numPr>
        <w:spacing w:before="120" w:after="120"/>
        <w:rPr>
          <w:rFonts w:asciiTheme="minorHAnsi" w:hAnsiTheme="minorHAnsi" w:cstheme="minorHAnsi"/>
          <w:b/>
          <w:sz w:val="22"/>
          <w:szCs w:val="22"/>
        </w:rPr>
      </w:pPr>
      <w:r w:rsidRPr="00C44242">
        <w:rPr>
          <w:rFonts w:asciiTheme="minorHAnsi" w:hAnsiTheme="minorHAnsi" w:cstheme="minorHAnsi"/>
          <w:sz w:val="22"/>
          <w:szCs w:val="22"/>
        </w:rPr>
        <w:t>Integrated service</w:t>
      </w:r>
    </w:p>
    <w:p w14:paraId="38FD7D9D" w14:textId="77777777" w:rsidR="00336EBF" w:rsidRDefault="00336EBF" w:rsidP="00336EBF">
      <w:pPr>
        <w:pStyle w:val="EYBodytextwithparaspace"/>
        <w:spacing w:before="120" w:after="120"/>
        <w:rPr>
          <w:rFonts w:asciiTheme="minorHAnsi" w:hAnsiTheme="minorHAnsi" w:cstheme="minorHAnsi"/>
          <w:sz w:val="22"/>
          <w:szCs w:val="22"/>
        </w:rPr>
      </w:pPr>
      <w:r w:rsidRPr="00514C50">
        <w:rPr>
          <w:rFonts w:asciiTheme="minorHAnsi" w:hAnsiTheme="minorHAnsi" w:cstheme="minorHAnsi"/>
          <w:sz w:val="22"/>
          <w:szCs w:val="22"/>
        </w:rPr>
        <w:t>The RIS does not consider a status quo option for this area as the amendments to the language and structure of the Act regarding licensing and approvals necessitates that this part of the regulations change in order for the Act and Regulations to function together.</w:t>
      </w:r>
    </w:p>
    <w:p w14:paraId="40731946" w14:textId="6E53C88C" w:rsidR="00C01E92" w:rsidRPr="000107A9" w:rsidRDefault="00C01E92" w:rsidP="00C01E92">
      <w:pPr>
        <w:spacing w:before="120"/>
        <w:rPr>
          <w:rFonts w:cstheme="minorHAnsi"/>
          <w:b/>
          <w:szCs w:val="22"/>
        </w:rPr>
      </w:pPr>
      <w:r w:rsidRPr="000107A9">
        <w:rPr>
          <w:rFonts w:cstheme="minorHAnsi"/>
          <w:b/>
          <w:szCs w:val="22"/>
        </w:rPr>
        <w:t>Option B.2. Alignment</w:t>
      </w:r>
    </w:p>
    <w:p w14:paraId="1A9D74BD" w14:textId="0FDFD891" w:rsidR="00C01E92"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Under this option, the proposed Regulations prescribe either </w:t>
      </w:r>
      <w:r w:rsidRPr="000107A9">
        <w:rPr>
          <w:rFonts w:asciiTheme="minorHAnsi" w:hAnsiTheme="minorHAnsi" w:cstheme="minorHAnsi"/>
          <w:b/>
          <w:sz w:val="22"/>
          <w:szCs w:val="22"/>
        </w:rPr>
        <w:t>Limited Hours</w:t>
      </w:r>
      <w:r w:rsidRPr="000107A9">
        <w:rPr>
          <w:rFonts w:asciiTheme="minorHAnsi" w:hAnsiTheme="minorHAnsi" w:cstheme="minorHAnsi"/>
          <w:sz w:val="22"/>
          <w:szCs w:val="22"/>
        </w:rPr>
        <w:t xml:space="preserve"> service approval</w:t>
      </w:r>
      <w:r w:rsidR="00247217">
        <w:rPr>
          <w:rFonts w:asciiTheme="minorHAnsi" w:hAnsiTheme="minorHAnsi" w:cstheme="minorHAnsi"/>
          <w:sz w:val="22"/>
          <w:szCs w:val="22"/>
        </w:rPr>
        <w:t xml:space="preserve"> type</w:t>
      </w:r>
      <w:r w:rsidRPr="000107A9">
        <w:rPr>
          <w:rFonts w:asciiTheme="minorHAnsi" w:hAnsiTheme="minorHAnsi" w:cstheme="minorHAnsi"/>
          <w:sz w:val="22"/>
          <w:szCs w:val="22"/>
        </w:rPr>
        <w:t xml:space="preserve"> or </w:t>
      </w:r>
      <w:r w:rsidRPr="000107A9">
        <w:rPr>
          <w:rFonts w:asciiTheme="minorHAnsi" w:hAnsiTheme="minorHAnsi" w:cstheme="minorHAnsi"/>
          <w:b/>
          <w:sz w:val="22"/>
          <w:szCs w:val="22"/>
        </w:rPr>
        <w:t>Occasional Care</w:t>
      </w:r>
      <w:r w:rsidRPr="000107A9">
        <w:rPr>
          <w:rFonts w:asciiTheme="minorHAnsi" w:hAnsiTheme="minorHAnsi" w:cstheme="minorHAnsi"/>
          <w:sz w:val="22"/>
          <w:szCs w:val="22"/>
        </w:rPr>
        <w:t xml:space="preserve"> service approval</w:t>
      </w:r>
      <w:r w:rsidR="00247217">
        <w:rPr>
          <w:rFonts w:asciiTheme="minorHAnsi" w:hAnsiTheme="minorHAnsi" w:cstheme="minorHAnsi"/>
          <w:sz w:val="22"/>
          <w:szCs w:val="22"/>
        </w:rPr>
        <w:t xml:space="preserve"> type</w:t>
      </w:r>
      <w:r w:rsidRPr="000107A9">
        <w:rPr>
          <w:rFonts w:asciiTheme="minorHAnsi" w:hAnsiTheme="minorHAnsi" w:cstheme="minorHAnsi"/>
          <w:sz w:val="22"/>
          <w:szCs w:val="22"/>
        </w:rPr>
        <w:t xml:space="preserve"> aligned to the NQF (streamlined from the previous seven licence types). These are described in </w:t>
      </w: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_Ref22123067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 xml:space="preserve">Table </w:t>
      </w:r>
      <w:r w:rsidR="00493211" w:rsidRPr="00493211">
        <w:rPr>
          <w:rFonts w:asciiTheme="minorHAnsi" w:hAnsiTheme="minorHAnsi" w:cstheme="minorHAnsi"/>
          <w:noProof/>
          <w:sz w:val="22"/>
          <w:szCs w:val="22"/>
        </w:rPr>
        <w:t>4</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and further detail about transitional provisions that will apply are provided in </w:t>
      </w:r>
      <w:r w:rsidR="00C44242">
        <w:rPr>
          <w:rFonts w:asciiTheme="minorHAnsi" w:hAnsiTheme="minorHAnsi" w:cstheme="minorHAnsi"/>
          <w:sz w:val="22"/>
          <w:szCs w:val="22"/>
        </w:rPr>
        <w:t>Appendix 10.1</w:t>
      </w:r>
      <w:r w:rsidRPr="000107A9">
        <w:rPr>
          <w:rFonts w:asciiTheme="minorHAnsi" w:hAnsiTheme="minorHAnsi" w:cstheme="minorHAnsi"/>
          <w:sz w:val="22"/>
          <w:szCs w:val="22"/>
        </w:rPr>
        <w:t>.</w:t>
      </w:r>
    </w:p>
    <w:p w14:paraId="25943620" w14:textId="04F76861" w:rsidR="00C01E92" w:rsidRPr="000107A9" w:rsidRDefault="00C01E92" w:rsidP="00F7569F">
      <w:pPr>
        <w:pStyle w:val="Caption"/>
      </w:pPr>
      <w:bookmarkStart w:id="104" w:name="_Ref22123067"/>
      <w:bookmarkStart w:id="105" w:name="_Toc21010870"/>
      <w:bookmarkStart w:id="106" w:name="_Toc32592787"/>
      <w:r w:rsidRPr="000107A9">
        <w:lastRenderedPageBreak/>
        <w:t xml:space="preserve">Table </w:t>
      </w:r>
      <w:r w:rsidRPr="000107A9">
        <w:fldChar w:fldCharType="begin"/>
      </w:r>
      <w:r w:rsidRPr="000107A9">
        <w:instrText xml:space="preserve"> SEQ Table \* ARABIC </w:instrText>
      </w:r>
      <w:r w:rsidRPr="000107A9">
        <w:fldChar w:fldCharType="separate"/>
      </w:r>
      <w:r w:rsidR="00493211">
        <w:rPr>
          <w:noProof/>
        </w:rPr>
        <w:t>4</w:t>
      </w:r>
      <w:r w:rsidRPr="000107A9">
        <w:fldChar w:fldCharType="end"/>
      </w:r>
      <w:bookmarkEnd w:id="104"/>
      <w:r w:rsidR="00F7569F">
        <w:t xml:space="preserve"> </w:t>
      </w:r>
      <w:r w:rsidRPr="000107A9">
        <w:t>O</w:t>
      </w:r>
      <w:r w:rsidR="00247217">
        <w:t>ption B.2. Alignment – Service a</w:t>
      </w:r>
      <w:r w:rsidRPr="000107A9">
        <w:t>pproval</w:t>
      </w:r>
      <w:bookmarkEnd w:id="105"/>
      <w:r w:rsidR="00247217">
        <w:t xml:space="preserve"> type</w:t>
      </w:r>
      <w:bookmarkEnd w:id="106"/>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2405"/>
        <w:gridCol w:w="7217"/>
      </w:tblGrid>
      <w:tr w:rsidR="00C01E92" w:rsidRPr="00AA6603" w14:paraId="418886BA" w14:textId="77777777" w:rsidTr="00AA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right w:val="none" w:sz="0" w:space="0" w:color="auto"/>
            </w:tcBorders>
            <w:hideMark/>
          </w:tcPr>
          <w:p w14:paraId="41ED3DB2" w14:textId="084661C4" w:rsidR="00C01E92" w:rsidRPr="00AA6603" w:rsidRDefault="00C01E92" w:rsidP="00C44242">
            <w:pPr>
              <w:spacing w:after="60"/>
              <w:rPr>
                <w:rStyle w:val="Strong"/>
                <w:rFonts w:cstheme="minorHAnsi"/>
                <w:b/>
                <w:szCs w:val="22"/>
              </w:rPr>
            </w:pPr>
            <w:r w:rsidRPr="00AA6603">
              <w:rPr>
                <w:rStyle w:val="Strong"/>
                <w:rFonts w:cstheme="minorHAnsi"/>
                <w:b/>
                <w:szCs w:val="22"/>
              </w:rPr>
              <w:t>Service Approval</w:t>
            </w:r>
            <w:r w:rsidR="00247217">
              <w:rPr>
                <w:rStyle w:val="Strong"/>
                <w:rFonts w:cstheme="minorHAnsi"/>
                <w:b/>
                <w:szCs w:val="22"/>
              </w:rPr>
              <w:t xml:space="preserve"> Type</w:t>
            </w:r>
          </w:p>
        </w:tc>
        <w:tc>
          <w:tcPr>
            <w:tcW w:w="3750" w:type="pct"/>
            <w:tcBorders>
              <w:left w:val="none" w:sz="0" w:space="0" w:color="auto"/>
            </w:tcBorders>
            <w:hideMark/>
          </w:tcPr>
          <w:p w14:paraId="4564A7DC" w14:textId="77777777" w:rsidR="00C01E92" w:rsidRPr="00AA6603" w:rsidRDefault="00C01E92" w:rsidP="00C44242">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A6603">
              <w:rPr>
                <w:rStyle w:val="Strong"/>
                <w:rFonts w:cstheme="minorHAnsi"/>
                <w:b/>
                <w:szCs w:val="22"/>
              </w:rPr>
              <w:t>Details in the Regulations</w:t>
            </w:r>
          </w:p>
        </w:tc>
      </w:tr>
      <w:tr w:rsidR="00B03351" w:rsidRPr="00AA6603" w14:paraId="3E6482F9" w14:textId="77777777" w:rsidTr="00AA6603">
        <w:tc>
          <w:tcPr>
            <w:cnfStyle w:val="001000000000" w:firstRow="0" w:lastRow="0" w:firstColumn="1" w:lastColumn="0" w:oddVBand="0" w:evenVBand="0" w:oddHBand="0" w:evenHBand="0" w:firstRowFirstColumn="0" w:firstRowLastColumn="0" w:lastRowFirstColumn="0" w:lastRowLastColumn="0"/>
            <w:tcW w:w="1250" w:type="pct"/>
          </w:tcPr>
          <w:p w14:paraId="2DA56550" w14:textId="77777777" w:rsidR="00C01E92" w:rsidRPr="00AA6603" w:rsidRDefault="00C01E92" w:rsidP="00C44242">
            <w:pPr>
              <w:pStyle w:val="EYBodytextwithparaspace"/>
              <w:spacing w:after="60"/>
              <w:rPr>
                <w:rFonts w:ascii="Arial Narrow" w:hAnsi="Arial Narrow" w:cstheme="minorHAnsi"/>
                <w:sz w:val="22"/>
                <w:szCs w:val="22"/>
              </w:rPr>
            </w:pPr>
            <w:r w:rsidRPr="00AA6603">
              <w:rPr>
                <w:rFonts w:ascii="Arial Narrow" w:hAnsi="Arial Narrow" w:cstheme="minorHAnsi"/>
                <w:sz w:val="22"/>
                <w:szCs w:val="22"/>
              </w:rPr>
              <w:t>Limited Hours</w:t>
            </w:r>
          </w:p>
        </w:tc>
        <w:tc>
          <w:tcPr>
            <w:tcW w:w="3750" w:type="pct"/>
          </w:tcPr>
          <w:p w14:paraId="3D2C7C70" w14:textId="77777777" w:rsidR="00C01E92" w:rsidRPr="00AA6603" w:rsidRDefault="00C01E92" w:rsidP="00C44242">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Cares for each child for not more than 3 hours per day, for up to 6 hours per week</w:t>
            </w:r>
          </w:p>
          <w:p w14:paraId="6EAEAE60" w14:textId="77777777" w:rsidR="00C01E92" w:rsidRPr="00AA6603" w:rsidRDefault="00C01E92" w:rsidP="00C44242">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i/>
                <w:sz w:val="22"/>
                <w:szCs w:val="22"/>
              </w:rPr>
            </w:pPr>
            <w:r w:rsidRPr="00AA6603">
              <w:rPr>
                <w:rFonts w:ascii="Arial Narrow" w:hAnsi="Arial Narrow" w:cstheme="minorHAnsi"/>
                <w:i/>
                <w:sz w:val="22"/>
                <w:szCs w:val="22"/>
              </w:rPr>
              <w:t>(Could include former Limited Hours (type 1) and Short-term (type 2) licence types)</w:t>
            </w:r>
          </w:p>
        </w:tc>
      </w:tr>
      <w:tr w:rsidR="00B03351" w:rsidRPr="00AA6603" w14:paraId="7334262B" w14:textId="77777777" w:rsidTr="00AA6603">
        <w:tc>
          <w:tcPr>
            <w:cnfStyle w:val="001000000000" w:firstRow="0" w:lastRow="0" w:firstColumn="1" w:lastColumn="0" w:oddVBand="0" w:evenVBand="0" w:oddHBand="0" w:evenHBand="0" w:firstRowFirstColumn="0" w:firstRowLastColumn="0" w:lastRowFirstColumn="0" w:lastRowLastColumn="0"/>
            <w:tcW w:w="1250" w:type="pct"/>
          </w:tcPr>
          <w:p w14:paraId="31016C17" w14:textId="7211076E" w:rsidR="00C01E92" w:rsidRPr="00AA6603" w:rsidRDefault="00C01E92" w:rsidP="00247217">
            <w:pPr>
              <w:pStyle w:val="EYBodytextwithparaspace"/>
              <w:spacing w:after="60"/>
              <w:rPr>
                <w:rFonts w:ascii="Arial Narrow" w:hAnsi="Arial Narrow" w:cstheme="minorHAnsi"/>
                <w:sz w:val="22"/>
                <w:szCs w:val="22"/>
              </w:rPr>
            </w:pPr>
            <w:r w:rsidRPr="00AA6603">
              <w:rPr>
                <w:rFonts w:ascii="Arial Narrow" w:hAnsi="Arial Narrow" w:cstheme="minorHAnsi"/>
                <w:sz w:val="22"/>
                <w:szCs w:val="22"/>
              </w:rPr>
              <w:t xml:space="preserve">Occasional </w:t>
            </w:r>
            <w:r w:rsidR="00247217">
              <w:rPr>
                <w:rFonts w:ascii="Arial Narrow" w:hAnsi="Arial Narrow" w:cstheme="minorHAnsi"/>
                <w:sz w:val="22"/>
                <w:szCs w:val="22"/>
              </w:rPr>
              <w:t>C</w:t>
            </w:r>
            <w:r w:rsidRPr="00AA6603">
              <w:rPr>
                <w:rFonts w:ascii="Arial Narrow" w:hAnsi="Arial Narrow" w:cstheme="minorHAnsi"/>
                <w:sz w:val="22"/>
                <w:szCs w:val="22"/>
              </w:rPr>
              <w:t>are</w:t>
            </w:r>
          </w:p>
        </w:tc>
        <w:tc>
          <w:tcPr>
            <w:tcW w:w="3750" w:type="pct"/>
          </w:tcPr>
          <w:p w14:paraId="1E9C7BD5" w14:textId="2D3E7579" w:rsidR="00C01E92" w:rsidRPr="00AA6603" w:rsidRDefault="00C01E92" w:rsidP="00C44242">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All other services would be fall under this service approval</w:t>
            </w:r>
            <w:r w:rsidR="00247217">
              <w:rPr>
                <w:rFonts w:ascii="Arial Narrow" w:hAnsi="Arial Narrow" w:cstheme="minorHAnsi"/>
                <w:sz w:val="22"/>
                <w:szCs w:val="22"/>
              </w:rPr>
              <w:t xml:space="preserve"> type</w:t>
            </w:r>
          </w:p>
          <w:p w14:paraId="74476D2C" w14:textId="77777777" w:rsidR="00C01E92" w:rsidRPr="00AA6603" w:rsidRDefault="00C01E92" w:rsidP="00C44242">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i/>
                <w:sz w:val="22"/>
                <w:szCs w:val="22"/>
              </w:rPr>
            </w:pPr>
            <w:r w:rsidRPr="00AA6603">
              <w:rPr>
                <w:rFonts w:ascii="Arial Narrow" w:hAnsi="Arial Narrow" w:cstheme="minorHAnsi"/>
                <w:i/>
                <w:sz w:val="22"/>
                <w:szCs w:val="22"/>
              </w:rPr>
              <w:t>(Could include former Standard, Short-term (type 1), Limited Hours (type 2) and school holiday care licence types)</w:t>
            </w:r>
          </w:p>
        </w:tc>
      </w:tr>
    </w:tbl>
    <w:p w14:paraId="32A9431F" w14:textId="7D2FA999" w:rsidR="00C01E92" w:rsidRPr="000107A9" w:rsidRDefault="00C01E92" w:rsidP="00FE43F9">
      <w:pPr>
        <w:pStyle w:val="Heading3"/>
      </w:pPr>
      <w:bookmarkStart w:id="107" w:name="_Toc32936872"/>
      <w:r w:rsidRPr="000107A9">
        <w:t xml:space="preserve">C. </w:t>
      </w:r>
      <w:r w:rsidR="00C44242">
        <w:t>S</w:t>
      </w:r>
      <w:r w:rsidRPr="000107A9">
        <w:t>taffing</w:t>
      </w:r>
      <w:bookmarkEnd w:id="107"/>
    </w:p>
    <w:p w14:paraId="2280CDB6" w14:textId="77777777" w:rsidR="00C01E92" w:rsidRPr="000107A9" w:rsidRDefault="00C01E92" w:rsidP="00C01E92">
      <w:pPr>
        <w:spacing w:before="120"/>
        <w:rPr>
          <w:rFonts w:cstheme="minorHAnsi"/>
          <w:b/>
          <w:szCs w:val="22"/>
        </w:rPr>
      </w:pPr>
      <w:r w:rsidRPr="000107A9">
        <w:rPr>
          <w:rFonts w:cstheme="minorHAnsi"/>
          <w:b/>
          <w:szCs w:val="22"/>
        </w:rPr>
        <w:t>Option C.1. Status Quo</w:t>
      </w:r>
    </w:p>
    <w:p w14:paraId="4260839A"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Under this option, information relating to staffing numbers and qualifications is included in the Regulations to support the relevant sections of the CS Act. The current Regulations use the following terminology to describe staff working with children in children’s services: employee, staff member, qualified staff member, teaching staff member and volunteer, and these have been used in the description of this option for clarity and consistency.</w:t>
      </w:r>
    </w:p>
    <w:p w14:paraId="2822D3B4" w14:textId="476A19F2" w:rsidR="002957C1" w:rsidRDefault="00C01E92" w:rsidP="002957C1">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See Appendix 10.3 for further details about changes to terminology in the Amendment Act.</w:t>
      </w:r>
    </w:p>
    <w:p w14:paraId="6800A365" w14:textId="098F1F42" w:rsidR="00C01E92" w:rsidRPr="00AA6603" w:rsidRDefault="00C01E92" w:rsidP="00AA6603">
      <w:pPr>
        <w:pStyle w:val="Caption"/>
      </w:pPr>
      <w:bookmarkStart w:id="108" w:name="_Toc32592788"/>
      <w:r w:rsidRPr="00AA6603">
        <w:t xml:space="preserve">Table </w:t>
      </w:r>
      <w:r w:rsidRPr="00AA6603">
        <w:fldChar w:fldCharType="begin"/>
      </w:r>
      <w:r w:rsidRPr="00AA6603">
        <w:instrText xml:space="preserve"> SEQ Table \* ARABIC </w:instrText>
      </w:r>
      <w:r w:rsidRPr="00AA6603">
        <w:fldChar w:fldCharType="separate"/>
      </w:r>
      <w:r w:rsidR="00493211">
        <w:rPr>
          <w:noProof/>
        </w:rPr>
        <w:t>5</w:t>
      </w:r>
      <w:r w:rsidRPr="00AA6603">
        <w:fldChar w:fldCharType="end"/>
      </w:r>
      <w:r w:rsidRPr="00AA6603">
        <w:t xml:space="preserve"> Option C.1. Status Quo </w:t>
      </w:r>
      <w:r w:rsidR="002957C1" w:rsidRPr="00AA6603">
        <w:t>–</w:t>
      </w:r>
      <w:r w:rsidRPr="00AA6603">
        <w:t xml:space="preserve"> Staffing</w:t>
      </w:r>
      <w:bookmarkEnd w:id="108"/>
    </w:p>
    <w:tbl>
      <w:tblPr>
        <w:tblStyle w:val="TableGrid"/>
        <w:tblW w:w="9634" w:type="dxa"/>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2122"/>
        <w:gridCol w:w="1422"/>
        <w:gridCol w:w="2410"/>
        <w:gridCol w:w="1701"/>
        <w:gridCol w:w="1962"/>
        <w:gridCol w:w="17"/>
      </w:tblGrid>
      <w:tr w:rsidR="00E47842" w:rsidRPr="00AA6603" w14:paraId="776B799A" w14:textId="77777777" w:rsidTr="00AA6603">
        <w:trPr>
          <w:gridAfter w:val="1"/>
          <w:cnfStyle w:val="100000000000" w:firstRow="1" w:lastRow="0" w:firstColumn="0" w:lastColumn="0" w:oddVBand="0" w:evenVBand="0" w:oddHBand="0"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2122" w:type="dxa"/>
            <w:tcBorders>
              <w:right w:val="none" w:sz="0" w:space="0" w:color="auto"/>
            </w:tcBorders>
          </w:tcPr>
          <w:p w14:paraId="21E5701A" w14:textId="527903FF" w:rsidR="00E47842" w:rsidRPr="00AA6603" w:rsidRDefault="00E47842" w:rsidP="00611DD6">
            <w:pPr>
              <w:pStyle w:val="EYBodytextwithparaspace"/>
              <w:spacing w:after="60"/>
              <w:rPr>
                <w:rFonts w:ascii="Arial Narrow" w:hAnsi="Arial Narrow" w:cstheme="minorHAnsi"/>
                <w:b w:val="0"/>
                <w:sz w:val="22"/>
                <w:szCs w:val="22"/>
              </w:rPr>
            </w:pPr>
            <w:r w:rsidRPr="00AA6603">
              <w:rPr>
                <w:rStyle w:val="Strong"/>
                <w:rFonts w:ascii="Arial Narrow" w:hAnsi="Arial Narrow" w:cstheme="minorHAnsi"/>
                <w:b/>
                <w:sz w:val="22"/>
                <w:szCs w:val="22"/>
              </w:rPr>
              <w:t>Subject</w:t>
            </w:r>
          </w:p>
        </w:tc>
        <w:tc>
          <w:tcPr>
            <w:tcW w:w="7495" w:type="dxa"/>
            <w:gridSpan w:val="4"/>
            <w:tcBorders>
              <w:left w:val="none" w:sz="0" w:space="0" w:color="auto"/>
            </w:tcBorders>
          </w:tcPr>
          <w:p w14:paraId="7A0A47A5" w14:textId="59579976" w:rsidR="00E47842" w:rsidRPr="00AA6603" w:rsidRDefault="00E47842" w:rsidP="00611DD6">
            <w:pPr>
              <w:pStyle w:val="EYBodytextwithparaspace"/>
              <w:spacing w:after="60"/>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sz w:val="22"/>
                <w:szCs w:val="22"/>
              </w:rPr>
            </w:pPr>
            <w:r w:rsidRPr="00AA6603">
              <w:rPr>
                <w:rStyle w:val="Strong"/>
                <w:rFonts w:ascii="Arial Narrow" w:hAnsi="Arial Narrow" w:cstheme="minorHAnsi"/>
                <w:b/>
                <w:sz w:val="22"/>
                <w:szCs w:val="22"/>
              </w:rPr>
              <w:t>Details in the Regulations</w:t>
            </w:r>
          </w:p>
        </w:tc>
      </w:tr>
      <w:tr w:rsidR="00E47842" w:rsidRPr="00AA6603" w14:paraId="4B6293FE" w14:textId="77777777" w:rsidTr="00AA6603">
        <w:trPr>
          <w:gridAfter w:val="1"/>
          <w:wAfter w:w="17" w:type="dxa"/>
        </w:trPr>
        <w:tc>
          <w:tcPr>
            <w:cnfStyle w:val="001000000000" w:firstRow="0" w:lastRow="0" w:firstColumn="1" w:lastColumn="0" w:oddVBand="0" w:evenVBand="0" w:oddHBand="0" w:evenHBand="0" w:firstRowFirstColumn="0" w:firstRowLastColumn="0" w:lastRowFirstColumn="0" w:lastRowLastColumn="0"/>
            <w:tcW w:w="2122" w:type="dxa"/>
          </w:tcPr>
          <w:p w14:paraId="0BE6E045" w14:textId="160CC54E" w:rsidR="00E47842" w:rsidRPr="00AA6603" w:rsidRDefault="00E47842" w:rsidP="00611DD6">
            <w:pPr>
              <w:pStyle w:val="EYBodytextwithparaspace"/>
              <w:spacing w:after="60"/>
              <w:rPr>
                <w:rFonts w:ascii="Arial Narrow" w:hAnsi="Arial Narrow" w:cstheme="minorHAnsi"/>
                <w:sz w:val="22"/>
                <w:szCs w:val="22"/>
              </w:rPr>
            </w:pPr>
            <w:r w:rsidRPr="00AA6603">
              <w:rPr>
                <w:rFonts w:ascii="Arial Narrow" w:hAnsi="Arial Narrow" w:cstheme="minorHAnsi"/>
                <w:sz w:val="22"/>
                <w:szCs w:val="22"/>
              </w:rPr>
              <w:t>Terminology</w:t>
            </w:r>
          </w:p>
        </w:tc>
        <w:tc>
          <w:tcPr>
            <w:tcW w:w="7495" w:type="dxa"/>
            <w:gridSpan w:val="4"/>
          </w:tcPr>
          <w:p w14:paraId="63D51539" w14:textId="77777777" w:rsidR="00E47842" w:rsidRPr="00AA6603" w:rsidRDefault="00E47842" w:rsidP="002806C5">
            <w:pPr>
              <w:pStyle w:val="ListParagraph"/>
              <w:numPr>
                <w:ilvl w:val="0"/>
                <w:numId w:val="38"/>
              </w:numPr>
              <w:shd w:val="clear" w:color="auto" w:fill="F2F2F2" w:themeFill="background1" w:themeFillShade="F2"/>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Staff member (any person employed at a service who is educating and caring for children and is not a volunteer and must hold at least a Certificate III qualification)</w:t>
            </w:r>
          </w:p>
          <w:p w14:paraId="009C1DD4" w14:textId="77777777" w:rsidR="00E47842" w:rsidRPr="00AA6603" w:rsidRDefault="00E47842" w:rsidP="002806C5">
            <w:pPr>
              <w:pStyle w:val="ListParagraph"/>
              <w:numPr>
                <w:ilvl w:val="0"/>
                <w:numId w:val="38"/>
              </w:numPr>
              <w:shd w:val="clear" w:color="auto" w:fill="F2F2F2" w:themeFill="background1" w:themeFillShade="F2"/>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Qualified staff member (holds a diploma level qualification or above)</w:t>
            </w:r>
          </w:p>
          <w:p w14:paraId="0030F3A2" w14:textId="77777777" w:rsidR="00E47842" w:rsidRPr="00AA6603" w:rsidRDefault="00E47842" w:rsidP="002806C5">
            <w:pPr>
              <w:pStyle w:val="ListParagraph"/>
              <w:numPr>
                <w:ilvl w:val="0"/>
                <w:numId w:val="38"/>
              </w:numPr>
              <w:shd w:val="clear" w:color="auto" w:fill="F2F2F2" w:themeFill="background1" w:themeFillShade="F2"/>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Teaching staff member (holds an early childhood teaching degree level qualification or above)</w:t>
            </w:r>
          </w:p>
          <w:p w14:paraId="3336763B" w14:textId="70FF485E" w:rsidR="00E47842" w:rsidRPr="00AA6603" w:rsidRDefault="00E47842" w:rsidP="002806C5">
            <w:pPr>
              <w:pStyle w:val="EYBodytextwithparaspace"/>
              <w:numPr>
                <w:ilvl w:val="0"/>
                <w:numId w:val="38"/>
              </w:numPr>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Style w:val="Strong"/>
                <w:rFonts w:ascii="Arial Narrow" w:hAnsi="Arial Narrow" w:cstheme="minorHAnsi"/>
                <w:b w:val="0"/>
                <w:sz w:val="22"/>
                <w:szCs w:val="22"/>
              </w:rPr>
              <w:t>Volunteer (person caring for or educating children in a voluntary or honorary capacity)</w:t>
            </w:r>
          </w:p>
        </w:tc>
      </w:tr>
      <w:tr w:rsidR="00E47842" w:rsidRPr="00AA6603" w14:paraId="2DF2525D" w14:textId="77777777" w:rsidTr="00AA6603">
        <w:trPr>
          <w:gridAfter w:val="1"/>
          <w:wAfter w:w="17" w:type="dxa"/>
        </w:trPr>
        <w:tc>
          <w:tcPr>
            <w:cnfStyle w:val="001000000000" w:firstRow="0" w:lastRow="0" w:firstColumn="1" w:lastColumn="0" w:oddVBand="0" w:evenVBand="0" w:oddHBand="0" w:evenHBand="0" w:firstRowFirstColumn="0" w:firstRowLastColumn="0" w:lastRowFirstColumn="0" w:lastRowLastColumn="0"/>
            <w:tcW w:w="2122" w:type="dxa"/>
          </w:tcPr>
          <w:p w14:paraId="279A85F2" w14:textId="02FA0719" w:rsidR="00E47842" w:rsidRPr="00AA6603" w:rsidRDefault="00E47842" w:rsidP="00611DD6">
            <w:pPr>
              <w:pStyle w:val="EYBodytextwithparaspace"/>
              <w:spacing w:after="60"/>
              <w:rPr>
                <w:rFonts w:ascii="Arial Narrow" w:hAnsi="Arial Narrow" w:cstheme="minorHAnsi"/>
                <w:sz w:val="22"/>
                <w:szCs w:val="22"/>
              </w:rPr>
            </w:pPr>
            <w:r w:rsidRPr="00AA6603">
              <w:rPr>
                <w:rFonts w:ascii="Arial Narrow" w:hAnsi="Arial Narrow" w:cstheme="minorHAnsi"/>
                <w:sz w:val="22"/>
                <w:szCs w:val="22"/>
              </w:rPr>
              <w:t>Qualifications</w:t>
            </w:r>
          </w:p>
        </w:tc>
        <w:tc>
          <w:tcPr>
            <w:tcW w:w="7495" w:type="dxa"/>
            <w:gridSpan w:val="4"/>
          </w:tcPr>
          <w:p w14:paraId="0C884489" w14:textId="77777777" w:rsidR="00E47842" w:rsidRPr="00AA6603" w:rsidRDefault="00E47842" w:rsidP="00611DD6">
            <w:pPr>
              <w:shd w:val="clear" w:color="auto" w:fill="F2F2F2" w:themeFill="background1" w:themeFillShade="F2"/>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Staff members responsible for the education and care of children</w:t>
            </w:r>
          </w:p>
          <w:p w14:paraId="62B9E5A7" w14:textId="77777777" w:rsidR="00E47842" w:rsidRPr="00AA6603" w:rsidRDefault="00E47842" w:rsidP="002806C5">
            <w:pPr>
              <w:pStyle w:val="ListParagraph"/>
              <w:numPr>
                <w:ilvl w:val="0"/>
                <w:numId w:val="38"/>
              </w:numPr>
              <w:shd w:val="clear" w:color="auto" w:fill="F2F2F2" w:themeFill="background1" w:themeFillShade="F2"/>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All staff members must hold at least a Certificate III</w:t>
            </w:r>
          </w:p>
          <w:p w14:paraId="10AC261E" w14:textId="77777777" w:rsidR="00E47842" w:rsidRPr="00AA6603" w:rsidRDefault="00E47842" w:rsidP="002806C5">
            <w:pPr>
              <w:pStyle w:val="ListParagraph"/>
              <w:numPr>
                <w:ilvl w:val="0"/>
                <w:numId w:val="38"/>
              </w:numPr>
              <w:shd w:val="clear" w:color="auto" w:fill="F2F2F2" w:themeFill="background1" w:themeFillShade="F2"/>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For children under 3, at least 1 in 3 staff members must hold a Diploma or above</w:t>
            </w:r>
          </w:p>
          <w:p w14:paraId="373EF656" w14:textId="77777777" w:rsidR="00E47842" w:rsidRPr="00AA6603" w:rsidRDefault="00E47842" w:rsidP="002806C5">
            <w:pPr>
              <w:pStyle w:val="ListParagraph"/>
              <w:numPr>
                <w:ilvl w:val="0"/>
                <w:numId w:val="38"/>
              </w:numPr>
              <w:shd w:val="clear" w:color="auto" w:fill="F2F2F2" w:themeFill="background1" w:themeFillShade="F2"/>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For children aged 3 and over, at least 1 in 2 staff members must hold a Diploma or above</w:t>
            </w:r>
          </w:p>
          <w:p w14:paraId="057D05E1" w14:textId="77777777" w:rsidR="00E47842" w:rsidRPr="00AA6603" w:rsidRDefault="00E47842" w:rsidP="002806C5">
            <w:pPr>
              <w:pStyle w:val="ListParagraph"/>
              <w:numPr>
                <w:ilvl w:val="0"/>
                <w:numId w:val="38"/>
              </w:numPr>
              <w:shd w:val="clear" w:color="auto" w:fill="F2F2F2" w:themeFill="background1" w:themeFillShade="F2"/>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Services holding a Limited Hours type 1 and Short-term type 2 licence do not have to engage Diploma qualified staff</w:t>
            </w:r>
          </w:p>
          <w:p w14:paraId="28574AE7" w14:textId="4D4B3CA6" w:rsidR="00E47842" w:rsidRPr="00AA6603" w:rsidRDefault="00E47842" w:rsidP="00611DD6">
            <w:pPr>
              <w:shd w:val="clear" w:color="auto" w:fill="F2F2F2" w:themeFill="background1" w:themeFillShade="F2"/>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Early Childhood Teachers</w:t>
            </w:r>
            <w:r w:rsidR="00410B86">
              <w:rPr>
                <w:rStyle w:val="Strong"/>
                <w:rFonts w:cstheme="minorHAnsi"/>
                <w:b w:val="0"/>
                <w:szCs w:val="22"/>
              </w:rPr>
              <w:t xml:space="preserve"> (only required for services holding a Standard licence)</w:t>
            </w:r>
          </w:p>
          <w:p w14:paraId="37E1424E" w14:textId="77777777" w:rsidR="00E47842" w:rsidRPr="00AA6603" w:rsidRDefault="00E47842" w:rsidP="002806C5">
            <w:pPr>
              <w:pStyle w:val="ListParagraph"/>
              <w:numPr>
                <w:ilvl w:val="0"/>
                <w:numId w:val="38"/>
              </w:numPr>
              <w:shd w:val="clear" w:color="auto" w:fill="F2F2F2" w:themeFill="background1" w:themeFillShade="F2"/>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Early childhood teachers hold at least a degree level qualification</w:t>
            </w:r>
          </w:p>
          <w:p w14:paraId="2ADFCB94" w14:textId="77777777" w:rsidR="00410B86" w:rsidRDefault="00E47842" w:rsidP="002806C5">
            <w:pPr>
              <w:pStyle w:val="ListParagraph"/>
              <w:numPr>
                <w:ilvl w:val="0"/>
                <w:numId w:val="38"/>
              </w:numPr>
              <w:shd w:val="clear" w:color="auto" w:fill="F2F2F2" w:themeFill="background1" w:themeFillShade="F2"/>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 xml:space="preserve">Services holding a Standard licence approved to care for </w:t>
            </w:r>
            <w:r w:rsidRPr="00410B86">
              <w:rPr>
                <w:rStyle w:val="Strong"/>
                <w:rFonts w:cstheme="minorHAnsi"/>
                <w:b w:val="0"/>
                <w:szCs w:val="22"/>
                <w:u w:val="single"/>
              </w:rPr>
              <w:t>fewer than 25 children</w:t>
            </w:r>
            <w:r w:rsidRPr="00AA6603">
              <w:rPr>
                <w:rStyle w:val="Strong"/>
                <w:rFonts w:cstheme="minorHAnsi"/>
                <w:b w:val="0"/>
                <w:szCs w:val="22"/>
              </w:rPr>
              <w:t xml:space="preserve"> must have access to at least one early childhood teacher for at least 20% of the time the service is operating</w:t>
            </w:r>
          </w:p>
          <w:p w14:paraId="6E116F93" w14:textId="6D0D1B5E" w:rsidR="00E47842" w:rsidRPr="00410B86" w:rsidRDefault="00E47842" w:rsidP="002806C5">
            <w:pPr>
              <w:pStyle w:val="ListParagraph"/>
              <w:numPr>
                <w:ilvl w:val="0"/>
                <w:numId w:val="38"/>
              </w:numPr>
              <w:shd w:val="clear" w:color="auto" w:fill="F2F2F2" w:themeFill="background1" w:themeFillShade="F2"/>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bCs/>
                <w:szCs w:val="22"/>
              </w:rPr>
            </w:pPr>
            <w:r w:rsidRPr="00410B86">
              <w:rPr>
                <w:rFonts w:cstheme="minorHAnsi"/>
                <w:szCs w:val="22"/>
              </w:rPr>
              <w:t xml:space="preserve">Services holding a Standard licence approved to care for </w:t>
            </w:r>
            <w:r w:rsidRPr="00410B86">
              <w:rPr>
                <w:rFonts w:cstheme="minorHAnsi"/>
                <w:szCs w:val="22"/>
                <w:u w:val="single"/>
              </w:rPr>
              <w:t>25 or more children</w:t>
            </w:r>
            <w:r w:rsidRPr="00410B86">
              <w:rPr>
                <w:rFonts w:cstheme="minorHAnsi"/>
                <w:szCs w:val="22"/>
              </w:rPr>
              <w:t xml:space="preserve"> must ensure an Early Childhood Teacher for at least the </w:t>
            </w:r>
            <w:proofErr w:type="gramStart"/>
            <w:r w:rsidRPr="00410B86">
              <w:rPr>
                <w:rFonts w:cstheme="minorHAnsi"/>
                <w:szCs w:val="22"/>
              </w:rPr>
              <w:t>lesser</w:t>
            </w:r>
            <w:proofErr w:type="gramEnd"/>
            <w:r w:rsidRPr="00410B86">
              <w:rPr>
                <w:rFonts w:cstheme="minorHAnsi"/>
                <w:szCs w:val="22"/>
              </w:rPr>
              <w:t xml:space="preserve"> of 50% of the operating hours or 20 hours a week.</w:t>
            </w:r>
          </w:p>
        </w:tc>
      </w:tr>
      <w:tr w:rsidR="00E47842" w:rsidRPr="00AA6603" w14:paraId="1676249B" w14:textId="77777777" w:rsidTr="00AA6603">
        <w:trPr>
          <w:gridAfter w:val="1"/>
          <w:wAfter w:w="17" w:type="dxa"/>
        </w:trPr>
        <w:tc>
          <w:tcPr>
            <w:cnfStyle w:val="001000000000" w:firstRow="0" w:lastRow="0" w:firstColumn="1" w:lastColumn="0" w:oddVBand="0" w:evenVBand="0" w:oddHBand="0" w:evenHBand="0" w:firstRowFirstColumn="0" w:firstRowLastColumn="0" w:lastRowFirstColumn="0" w:lastRowLastColumn="0"/>
            <w:tcW w:w="2122" w:type="dxa"/>
          </w:tcPr>
          <w:p w14:paraId="2315695C" w14:textId="4CEF01AE" w:rsidR="00E47842" w:rsidRPr="00AA6603" w:rsidRDefault="00E47842" w:rsidP="00611DD6">
            <w:pPr>
              <w:pStyle w:val="EYBodytextwithparaspace"/>
              <w:spacing w:after="60"/>
              <w:rPr>
                <w:rFonts w:ascii="Arial Narrow" w:hAnsi="Arial Narrow" w:cstheme="minorHAnsi"/>
                <w:sz w:val="22"/>
                <w:szCs w:val="22"/>
              </w:rPr>
            </w:pPr>
            <w:r w:rsidRPr="00AA6603">
              <w:rPr>
                <w:rFonts w:ascii="Arial Narrow" w:hAnsi="Arial Narrow" w:cstheme="minorHAnsi"/>
                <w:sz w:val="22"/>
                <w:szCs w:val="22"/>
              </w:rPr>
              <w:lastRenderedPageBreak/>
              <w:t>Minimum staff</w:t>
            </w:r>
          </w:p>
        </w:tc>
        <w:tc>
          <w:tcPr>
            <w:tcW w:w="7495" w:type="dxa"/>
            <w:gridSpan w:val="4"/>
          </w:tcPr>
          <w:p w14:paraId="064B7CED" w14:textId="77777777" w:rsidR="00E47842" w:rsidRPr="00AA6603" w:rsidRDefault="00E47842" w:rsidP="00611DD6">
            <w:pPr>
              <w:shd w:val="clear" w:color="auto" w:fill="F2F2F2" w:themeFill="background1" w:themeFillShade="F2"/>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School holidays care services licensed to care for no more than 15 children and located in a rural or remote area must ensure that a staff member is on duty whenever children are in attendance, and that one other adult is at or near the premises and able to attend immediately.</w:t>
            </w:r>
          </w:p>
          <w:p w14:paraId="0777B562" w14:textId="19045197" w:rsidR="00E47842" w:rsidRPr="00AA6603" w:rsidRDefault="00E47842" w:rsidP="00611DD6">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Style w:val="Strong"/>
                <w:rFonts w:ascii="Arial Narrow" w:hAnsi="Arial Narrow" w:cstheme="minorHAnsi"/>
                <w:b w:val="0"/>
                <w:sz w:val="22"/>
                <w:szCs w:val="22"/>
              </w:rPr>
              <w:t>All other services must ensure that at least two staff members are on duty whenever children are in attendance.</w:t>
            </w:r>
          </w:p>
        </w:tc>
      </w:tr>
      <w:tr w:rsidR="00BC4184" w:rsidRPr="00AA6603" w14:paraId="4B51A534" w14:textId="77777777" w:rsidTr="00AA6603">
        <w:tc>
          <w:tcPr>
            <w:cnfStyle w:val="001000000000" w:firstRow="0" w:lastRow="0" w:firstColumn="1" w:lastColumn="0" w:oddVBand="0" w:evenVBand="0" w:oddHBand="0" w:evenHBand="0" w:firstRowFirstColumn="0" w:firstRowLastColumn="0" w:lastRowFirstColumn="0" w:lastRowLastColumn="0"/>
            <w:tcW w:w="2122" w:type="dxa"/>
            <w:vMerge w:val="restart"/>
          </w:tcPr>
          <w:p w14:paraId="57EA87B4" w14:textId="77777777" w:rsidR="00C01E92" w:rsidRPr="00AA6603" w:rsidRDefault="00C01E92" w:rsidP="00611DD6">
            <w:pPr>
              <w:spacing w:after="60"/>
              <w:rPr>
                <w:rStyle w:val="Strong"/>
                <w:rFonts w:cstheme="minorHAnsi"/>
                <w:b w:val="0"/>
                <w:szCs w:val="22"/>
              </w:rPr>
            </w:pPr>
            <w:r w:rsidRPr="00AA6603">
              <w:rPr>
                <w:rFonts w:eastAsia="Times New Roman"/>
                <w:lang w:val="en-AU"/>
              </w:rPr>
              <w:t>Staff to child ratios</w:t>
            </w:r>
          </w:p>
        </w:tc>
        <w:tc>
          <w:tcPr>
            <w:tcW w:w="7512" w:type="dxa"/>
            <w:gridSpan w:val="5"/>
          </w:tcPr>
          <w:p w14:paraId="5B64F681"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The following staff to child ratios are required under the Regulations. Different ratios apply for staff qualified to a Certificate III or Diploma level.</w:t>
            </w:r>
          </w:p>
        </w:tc>
      </w:tr>
      <w:tr w:rsidR="00BC4184" w:rsidRPr="00AA6603" w14:paraId="0A217856" w14:textId="77777777" w:rsidTr="00AA6603">
        <w:tc>
          <w:tcPr>
            <w:cnfStyle w:val="001000000000" w:firstRow="0" w:lastRow="0" w:firstColumn="1" w:lastColumn="0" w:oddVBand="0" w:evenVBand="0" w:oddHBand="0" w:evenHBand="0" w:firstRowFirstColumn="0" w:firstRowLastColumn="0" w:lastRowFirstColumn="0" w:lastRowLastColumn="0"/>
            <w:tcW w:w="2122" w:type="dxa"/>
            <w:vMerge/>
          </w:tcPr>
          <w:p w14:paraId="163B9CC7" w14:textId="77777777" w:rsidR="00C01E92" w:rsidRPr="00AA6603" w:rsidRDefault="00C01E92" w:rsidP="00611DD6">
            <w:pPr>
              <w:spacing w:after="60"/>
              <w:rPr>
                <w:rStyle w:val="Strong"/>
                <w:rFonts w:cstheme="minorHAnsi"/>
                <w:b w:val="0"/>
                <w:i/>
                <w:szCs w:val="22"/>
              </w:rPr>
            </w:pPr>
          </w:p>
        </w:tc>
        <w:tc>
          <w:tcPr>
            <w:tcW w:w="1422" w:type="dxa"/>
            <w:shd w:val="clear" w:color="auto" w:fill="004EA8" w:themeFill="accent1"/>
          </w:tcPr>
          <w:p w14:paraId="07FA2C74"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color w:val="FFFFFF" w:themeColor="background1"/>
                <w:szCs w:val="22"/>
              </w:rPr>
            </w:pPr>
            <w:r w:rsidRPr="00AA6603">
              <w:rPr>
                <w:rStyle w:val="Strong"/>
                <w:rFonts w:cstheme="minorHAnsi"/>
                <w:b w:val="0"/>
                <w:color w:val="FFFFFF" w:themeColor="background1"/>
                <w:szCs w:val="22"/>
              </w:rPr>
              <w:t>Licence type</w:t>
            </w:r>
          </w:p>
        </w:tc>
        <w:tc>
          <w:tcPr>
            <w:tcW w:w="2410" w:type="dxa"/>
            <w:shd w:val="clear" w:color="auto" w:fill="004EA8" w:themeFill="accent1"/>
          </w:tcPr>
          <w:p w14:paraId="23880D6C"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color w:val="FFFFFF" w:themeColor="background1"/>
                <w:szCs w:val="22"/>
              </w:rPr>
            </w:pPr>
            <w:r w:rsidRPr="00AA6603">
              <w:rPr>
                <w:rStyle w:val="Strong"/>
                <w:rFonts w:cstheme="minorHAnsi"/>
                <w:b w:val="0"/>
                <w:color w:val="FFFFFF" w:themeColor="background1"/>
                <w:szCs w:val="22"/>
              </w:rPr>
              <w:t>Staff qualification</w:t>
            </w:r>
          </w:p>
        </w:tc>
        <w:tc>
          <w:tcPr>
            <w:tcW w:w="1701" w:type="dxa"/>
            <w:shd w:val="clear" w:color="auto" w:fill="004EA8" w:themeFill="accent1"/>
          </w:tcPr>
          <w:p w14:paraId="3577B350"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color w:val="FFFFFF" w:themeColor="background1"/>
                <w:szCs w:val="22"/>
              </w:rPr>
            </w:pPr>
            <w:r w:rsidRPr="00AA6603">
              <w:rPr>
                <w:rStyle w:val="Strong"/>
                <w:rFonts w:cstheme="minorHAnsi"/>
                <w:b w:val="0"/>
                <w:color w:val="FFFFFF" w:themeColor="background1"/>
                <w:szCs w:val="22"/>
              </w:rPr>
              <w:t>Ratio Under 3yo</w:t>
            </w:r>
          </w:p>
        </w:tc>
        <w:tc>
          <w:tcPr>
            <w:tcW w:w="1979" w:type="dxa"/>
            <w:gridSpan w:val="2"/>
            <w:shd w:val="clear" w:color="auto" w:fill="004EA8" w:themeFill="accent1"/>
          </w:tcPr>
          <w:p w14:paraId="4C26DE0D"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color w:val="FFFFFF" w:themeColor="background1"/>
                <w:szCs w:val="22"/>
              </w:rPr>
            </w:pPr>
            <w:bookmarkStart w:id="109" w:name="_Hlk25661116"/>
            <w:r w:rsidRPr="00AA6603">
              <w:rPr>
                <w:rStyle w:val="Strong"/>
                <w:rFonts w:cstheme="minorHAnsi"/>
                <w:b w:val="0"/>
                <w:color w:val="FFFFFF" w:themeColor="background1"/>
                <w:szCs w:val="22"/>
              </w:rPr>
              <w:t>Ratio 3yo and above</w:t>
            </w:r>
            <w:bookmarkEnd w:id="109"/>
          </w:p>
        </w:tc>
      </w:tr>
      <w:tr w:rsidR="00BC4184" w:rsidRPr="00AA6603" w14:paraId="0E806E18" w14:textId="77777777" w:rsidTr="00AA6603">
        <w:tc>
          <w:tcPr>
            <w:cnfStyle w:val="001000000000" w:firstRow="0" w:lastRow="0" w:firstColumn="1" w:lastColumn="0" w:oddVBand="0" w:evenVBand="0" w:oddHBand="0" w:evenHBand="0" w:firstRowFirstColumn="0" w:firstRowLastColumn="0" w:lastRowFirstColumn="0" w:lastRowLastColumn="0"/>
            <w:tcW w:w="2122" w:type="dxa"/>
            <w:vMerge/>
          </w:tcPr>
          <w:p w14:paraId="41122607" w14:textId="77777777" w:rsidR="00C01E92" w:rsidRPr="00AA6603" w:rsidRDefault="00C01E92" w:rsidP="00611DD6">
            <w:pPr>
              <w:spacing w:after="60"/>
              <w:rPr>
                <w:rStyle w:val="Strong"/>
                <w:rFonts w:cstheme="minorHAnsi"/>
                <w:b w:val="0"/>
                <w:szCs w:val="22"/>
              </w:rPr>
            </w:pPr>
          </w:p>
        </w:tc>
        <w:tc>
          <w:tcPr>
            <w:tcW w:w="1422" w:type="dxa"/>
            <w:vMerge w:val="restart"/>
          </w:tcPr>
          <w:p w14:paraId="7049A984"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Standard</w:t>
            </w:r>
          </w:p>
        </w:tc>
        <w:tc>
          <w:tcPr>
            <w:tcW w:w="2410" w:type="dxa"/>
          </w:tcPr>
          <w:p w14:paraId="54F91806"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i/>
                <w:szCs w:val="22"/>
              </w:rPr>
              <w:t>Staff – Cert III</w:t>
            </w:r>
          </w:p>
        </w:tc>
        <w:tc>
          <w:tcPr>
            <w:tcW w:w="1701" w:type="dxa"/>
          </w:tcPr>
          <w:p w14:paraId="731B8DBF"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1:4</w:t>
            </w:r>
          </w:p>
        </w:tc>
        <w:tc>
          <w:tcPr>
            <w:tcW w:w="1979" w:type="dxa"/>
            <w:gridSpan w:val="2"/>
          </w:tcPr>
          <w:p w14:paraId="0319C3FD"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1:15</w:t>
            </w:r>
          </w:p>
        </w:tc>
      </w:tr>
      <w:tr w:rsidR="00BC4184" w:rsidRPr="00AA6603" w14:paraId="6076CEF6" w14:textId="77777777" w:rsidTr="00AA6603">
        <w:tc>
          <w:tcPr>
            <w:cnfStyle w:val="001000000000" w:firstRow="0" w:lastRow="0" w:firstColumn="1" w:lastColumn="0" w:oddVBand="0" w:evenVBand="0" w:oddHBand="0" w:evenHBand="0" w:firstRowFirstColumn="0" w:firstRowLastColumn="0" w:lastRowFirstColumn="0" w:lastRowLastColumn="0"/>
            <w:tcW w:w="2122" w:type="dxa"/>
            <w:vMerge/>
          </w:tcPr>
          <w:p w14:paraId="700C5680" w14:textId="77777777" w:rsidR="00C01E92" w:rsidRPr="00AA6603" w:rsidRDefault="00C01E92" w:rsidP="00611DD6">
            <w:pPr>
              <w:spacing w:after="60"/>
              <w:rPr>
                <w:rStyle w:val="Strong"/>
                <w:rFonts w:cstheme="minorHAnsi"/>
                <w:b w:val="0"/>
                <w:szCs w:val="22"/>
              </w:rPr>
            </w:pPr>
          </w:p>
        </w:tc>
        <w:tc>
          <w:tcPr>
            <w:tcW w:w="1422" w:type="dxa"/>
            <w:vMerge/>
          </w:tcPr>
          <w:p w14:paraId="245F5DCB"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p>
        </w:tc>
        <w:tc>
          <w:tcPr>
            <w:tcW w:w="2410" w:type="dxa"/>
          </w:tcPr>
          <w:p w14:paraId="799E00CC"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i/>
                <w:szCs w:val="22"/>
              </w:rPr>
              <w:t>Qualified Staff – Diploma</w:t>
            </w:r>
          </w:p>
        </w:tc>
        <w:tc>
          <w:tcPr>
            <w:tcW w:w="1701" w:type="dxa"/>
          </w:tcPr>
          <w:p w14:paraId="3D9179F6"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1:12</w:t>
            </w:r>
          </w:p>
        </w:tc>
        <w:tc>
          <w:tcPr>
            <w:tcW w:w="1979" w:type="dxa"/>
            <w:gridSpan w:val="2"/>
          </w:tcPr>
          <w:p w14:paraId="1100A2EB"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1:30</w:t>
            </w:r>
          </w:p>
        </w:tc>
      </w:tr>
      <w:tr w:rsidR="00BC4184" w:rsidRPr="00AA6603" w14:paraId="300AE64A" w14:textId="77777777" w:rsidTr="00AA6603">
        <w:tc>
          <w:tcPr>
            <w:cnfStyle w:val="001000000000" w:firstRow="0" w:lastRow="0" w:firstColumn="1" w:lastColumn="0" w:oddVBand="0" w:evenVBand="0" w:oddHBand="0" w:evenHBand="0" w:firstRowFirstColumn="0" w:firstRowLastColumn="0" w:lastRowFirstColumn="0" w:lastRowLastColumn="0"/>
            <w:tcW w:w="2122" w:type="dxa"/>
            <w:vMerge/>
          </w:tcPr>
          <w:p w14:paraId="48EE990B" w14:textId="77777777" w:rsidR="00C01E92" w:rsidRPr="00AA6603" w:rsidRDefault="00C01E92" w:rsidP="00611DD6">
            <w:pPr>
              <w:spacing w:after="60"/>
              <w:rPr>
                <w:rStyle w:val="Strong"/>
                <w:rFonts w:cstheme="minorHAnsi"/>
                <w:b w:val="0"/>
                <w:szCs w:val="22"/>
              </w:rPr>
            </w:pPr>
          </w:p>
        </w:tc>
        <w:tc>
          <w:tcPr>
            <w:tcW w:w="1422" w:type="dxa"/>
            <w:vMerge w:val="restart"/>
          </w:tcPr>
          <w:p w14:paraId="0472277F"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Limited hours type 1</w:t>
            </w:r>
          </w:p>
        </w:tc>
        <w:tc>
          <w:tcPr>
            <w:tcW w:w="2410" w:type="dxa"/>
          </w:tcPr>
          <w:p w14:paraId="2A61E737"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i/>
                <w:szCs w:val="22"/>
              </w:rPr>
            </w:pPr>
            <w:r w:rsidRPr="00AA6603">
              <w:rPr>
                <w:rStyle w:val="Strong"/>
                <w:rFonts w:cstheme="minorHAnsi"/>
                <w:b w:val="0"/>
                <w:i/>
                <w:szCs w:val="22"/>
              </w:rPr>
              <w:t>Staff – Cert III or volunteer</w:t>
            </w:r>
          </w:p>
        </w:tc>
        <w:tc>
          <w:tcPr>
            <w:tcW w:w="1701" w:type="dxa"/>
          </w:tcPr>
          <w:p w14:paraId="08EFE5AD"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Fonts w:cstheme="minorHAnsi"/>
                <w:szCs w:val="22"/>
              </w:rPr>
              <w:t>1:5</w:t>
            </w:r>
          </w:p>
        </w:tc>
        <w:tc>
          <w:tcPr>
            <w:tcW w:w="1979" w:type="dxa"/>
            <w:gridSpan w:val="2"/>
          </w:tcPr>
          <w:p w14:paraId="764AD644"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Fonts w:cstheme="minorHAnsi"/>
                <w:szCs w:val="22"/>
              </w:rPr>
              <w:t>1:15</w:t>
            </w:r>
          </w:p>
        </w:tc>
      </w:tr>
      <w:tr w:rsidR="00BC4184" w:rsidRPr="00AA6603" w14:paraId="73368B23" w14:textId="77777777" w:rsidTr="00AA6603">
        <w:tc>
          <w:tcPr>
            <w:cnfStyle w:val="001000000000" w:firstRow="0" w:lastRow="0" w:firstColumn="1" w:lastColumn="0" w:oddVBand="0" w:evenVBand="0" w:oddHBand="0" w:evenHBand="0" w:firstRowFirstColumn="0" w:firstRowLastColumn="0" w:lastRowFirstColumn="0" w:lastRowLastColumn="0"/>
            <w:tcW w:w="2122" w:type="dxa"/>
            <w:vMerge/>
          </w:tcPr>
          <w:p w14:paraId="2D317AD4" w14:textId="77777777" w:rsidR="00C01E92" w:rsidRPr="00AA6603" w:rsidRDefault="00C01E92" w:rsidP="00611DD6">
            <w:pPr>
              <w:spacing w:after="60"/>
              <w:rPr>
                <w:rStyle w:val="Strong"/>
                <w:rFonts w:cstheme="minorHAnsi"/>
                <w:b w:val="0"/>
                <w:i/>
                <w:szCs w:val="22"/>
              </w:rPr>
            </w:pPr>
          </w:p>
        </w:tc>
        <w:tc>
          <w:tcPr>
            <w:tcW w:w="1422" w:type="dxa"/>
            <w:vMerge/>
          </w:tcPr>
          <w:p w14:paraId="5E41D79A"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i/>
                <w:szCs w:val="22"/>
              </w:rPr>
            </w:pPr>
          </w:p>
        </w:tc>
        <w:tc>
          <w:tcPr>
            <w:tcW w:w="2410" w:type="dxa"/>
          </w:tcPr>
          <w:p w14:paraId="1EF91ED1"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i/>
                <w:szCs w:val="22"/>
              </w:rPr>
              <w:t>Qualified Staff – Diploma</w:t>
            </w:r>
          </w:p>
        </w:tc>
        <w:tc>
          <w:tcPr>
            <w:tcW w:w="1701" w:type="dxa"/>
          </w:tcPr>
          <w:p w14:paraId="561FF2AB"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Fonts w:cstheme="minorHAnsi"/>
                <w:szCs w:val="22"/>
              </w:rPr>
              <w:t>Not required</w:t>
            </w:r>
          </w:p>
        </w:tc>
        <w:tc>
          <w:tcPr>
            <w:tcW w:w="1979" w:type="dxa"/>
            <w:gridSpan w:val="2"/>
          </w:tcPr>
          <w:p w14:paraId="22AD738C"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Fonts w:cstheme="minorHAnsi"/>
                <w:szCs w:val="22"/>
              </w:rPr>
              <w:t>Not required</w:t>
            </w:r>
          </w:p>
        </w:tc>
      </w:tr>
      <w:tr w:rsidR="00BC4184" w:rsidRPr="00AA6603" w14:paraId="185FA21D" w14:textId="77777777" w:rsidTr="00AA6603">
        <w:tc>
          <w:tcPr>
            <w:cnfStyle w:val="001000000000" w:firstRow="0" w:lastRow="0" w:firstColumn="1" w:lastColumn="0" w:oddVBand="0" w:evenVBand="0" w:oddHBand="0" w:evenHBand="0" w:firstRowFirstColumn="0" w:firstRowLastColumn="0" w:lastRowFirstColumn="0" w:lastRowLastColumn="0"/>
            <w:tcW w:w="2122" w:type="dxa"/>
            <w:vMerge/>
          </w:tcPr>
          <w:p w14:paraId="0E84B049" w14:textId="77777777" w:rsidR="00C01E92" w:rsidRPr="00AA6603" w:rsidRDefault="00C01E92" w:rsidP="00611DD6">
            <w:pPr>
              <w:spacing w:after="60"/>
              <w:rPr>
                <w:rStyle w:val="Strong"/>
                <w:rFonts w:cstheme="minorHAnsi"/>
                <w:b w:val="0"/>
                <w:bCs w:val="0"/>
                <w:szCs w:val="22"/>
              </w:rPr>
            </w:pPr>
          </w:p>
        </w:tc>
        <w:tc>
          <w:tcPr>
            <w:tcW w:w="1422" w:type="dxa"/>
            <w:vMerge w:val="restart"/>
          </w:tcPr>
          <w:p w14:paraId="136B89A9"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i/>
                <w:szCs w:val="22"/>
              </w:rPr>
            </w:pPr>
            <w:r w:rsidRPr="00AA6603">
              <w:rPr>
                <w:rStyle w:val="Strong"/>
                <w:rFonts w:cstheme="minorHAnsi"/>
                <w:b w:val="0"/>
                <w:szCs w:val="22"/>
              </w:rPr>
              <w:t>Limited hours type 2</w:t>
            </w:r>
          </w:p>
        </w:tc>
        <w:tc>
          <w:tcPr>
            <w:tcW w:w="2410" w:type="dxa"/>
          </w:tcPr>
          <w:p w14:paraId="1F8CC128"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i/>
                <w:szCs w:val="22"/>
              </w:rPr>
              <w:t>Staff – Cert III or volunteer</w:t>
            </w:r>
          </w:p>
        </w:tc>
        <w:tc>
          <w:tcPr>
            <w:tcW w:w="1701" w:type="dxa"/>
          </w:tcPr>
          <w:p w14:paraId="75DAEE2D"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Fonts w:cstheme="minorHAnsi"/>
                <w:szCs w:val="22"/>
              </w:rPr>
              <w:t>1:5</w:t>
            </w:r>
          </w:p>
        </w:tc>
        <w:tc>
          <w:tcPr>
            <w:tcW w:w="1979" w:type="dxa"/>
            <w:gridSpan w:val="2"/>
          </w:tcPr>
          <w:p w14:paraId="6AF01B99"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Fonts w:cstheme="minorHAnsi"/>
                <w:szCs w:val="22"/>
              </w:rPr>
              <w:t>1:15</w:t>
            </w:r>
          </w:p>
        </w:tc>
      </w:tr>
      <w:tr w:rsidR="00BC4184" w:rsidRPr="00AA6603" w14:paraId="3687D3CC" w14:textId="77777777" w:rsidTr="00AA6603">
        <w:tc>
          <w:tcPr>
            <w:cnfStyle w:val="001000000000" w:firstRow="0" w:lastRow="0" w:firstColumn="1" w:lastColumn="0" w:oddVBand="0" w:evenVBand="0" w:oddHBand="0" w:evenHBand="0" w:firstRowFirstColumn="0" w:firstRowLastColumn="0" w:lastRowFirstColumn="0" w:lastRowLastColumn="0"/>
            <w:tcW w:w="2122" w:type="dxa"/>
            <w:vMerge/>
          </w:tcPr>
          <w:p w14:paraId="27DAEACF" w14:textId="77777777" w:rsidR="00C01E92" w:rsidRPr="00AA6603" w:rsidRDefault="00C01E92" w:rsidP="00611DD6">
            <w:pPr>
              <w:spacing w:after="60"/>
              <w:rPr>
                <w:rStyle w:val="Strong"/>
                <w:rFonts w:cstheme="minorHAnsi"/>
                <w:b w:val="0"/>
                <w:bCs w:val="0"/>
                <w:szCs w:val="22"/>
              </w:rPr>
            </w:pPr>
          </w:p>
        </w:tc>
        <w:tc>
          <w:tcPr>
            <w:tcW w:w="1422" w:type="dxa"/>
            <w:vMerge/>
          </w:tcPr>
          <w:p w14:paraId="146ECA7D" w14:textId="77777777" w:rsidR="00C01E92" w:rsidRPr="00AA6603" w:rsidRDefault="00C01E92" w:rsidP="00611DD6">
            <w:pPr>
              <w:pStyle w:val="EYBodytextwithparaspace"/>
              <w:spacing w:after="60"/>
              <w:cnfStyle w:val="000000000000" w:firstRow="0" w:lastRow="0" w:firstColumn="0" w:lastColumn="0" w:oddVBand="0" w:evenVBand="0" w:oddHBand="0" w:evenHBand="0" w:firstRowFirstColumn="0" w:firstRowLastColumn="0" w:lastRowFirstColumn="0" w:lastRowLastColumn="0"/>
              <w:rPr>
                <w:rStyle w:val="Strong"/>
                <w:rFonts w:ascii="Arial Narrow" w:hAnsi="Arial Narrow" w:cstheme="minorHAnsi"/>
                <w:b w:val="0"/>
                <w:bCs w:val="0"/>
                <w:sz w:val="22"/>
                <w:szCs w:val="22"/>
              </w:rPr>
            </w:pPr>
          </w:p>
        </w:tc>
        <w:tc>
          <w:tcPr>
            <w:tcW w:w="2410" w:type="dxa"/>
          </w:tcPr>
          <w:p w14:paraId="795AD53B"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Fonts w:cstheme="minorHAnsi"/>
                <w:i/>
                <w:szCs w:val="22"/>
              </w:rPr>
            </w:pPr>
            <w:r w:rsidRPr="00AA6603">
              <w:rPr>
                <w:rStyle w:val="Strong"/>
                <w:rFonts w:cstheme="minorHAnsi"/>
                <w:b w:val="0"/>
                <w:i/>
                <w:szCs w:val="22"/>
              </w:rPr>
              <w:t>Qualified Staff – Diploma</w:t>
            </w:r>
          </w:p>
        </w:tc>
        <w:tc>
          <w:tcPr>
            <w:tcW w:w="1701" w:type="dxa"/>
          </w:tcPr>
          <w:p w14:paraId="2CB31EA3"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Fonts w:cstheme="minorHAnsi"/>
                <w:szCs w:val="22"/>
              </w:rPr>
              <w:t>1:15</w:t>
            </w:r>
          </w:p>
        </w:tc>
        <w:tc>
          <w:tcPr>
            <w:tcW w:w="1979" w:type="dxa"/>
            <w:gridSpan w:val="2"/>
          </w:tcPr>
          <w:p w14:paraId="6EAB23C3"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Fonts w:cstheme="minorHAnsi"/>
                <w:szCs w:val="22"/>
              </w:rPr>
              <w:t>1:30</w:t>
            </w:r>
          </w:p>
        </w:tc>
      </w:tr>
      <w:tr w:rsidR="00BC4184" w:rsidRPr="00AA6603" w14:paraId="29603EAA" w14:textId="77777777" w:rsidTr="00AA6603">
        <w:tc>
          <w:tcPr>
            <w:cnfStyle w:val="001000000000" w:firstRow="0" w:lastRow="0" w:firstColumn="1" w:lastColumn="0" w:oddVBand="0" w:evenVBand="0" w:oddHBand="0" w:evenHBand="0" w:firstRowFirstColumn="0" w:firstRowLastColumn="0" w:lastRowFirstColumn="0" w:lastRowLastColumn="0"/>
            <w:tcW w:w="2122" w:type="dxa"/>
            <w:vMerge/>
          </w:tcPr>
          <w:p w14:paraId="13D4F894" w14:textId="77777777" w:rsidR="00C01E92" w:rsidRPr="00AA6603" w:rsidRDefault="00C01E92" w:rsidP="00611DD6">
            <w:pPr>
              <w:spacing w:after="60"/>
              <w:rPr>
                <w:rFonts w:cstheme="minorHAnsi"/>
                <w:szCs w:val="22"/>
              </w:rPr>
            </w:pPr>
          </w:p>
        </w:tc>
        <w:tc>
          <w:tcPr>
            <w:tcW w:w="1422" w:type="dxa"/>
            <w:vMerge w:val="restart"/>
          </w:tcPr>
          <w:p w14:paraId="6C50F378"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Fonts w:cstheme="minorHAnsi"/>
                <w:szCs w:val="22"/>
              </w:rPr>
              <w:t>Short term type 1</w:t>
            </w:r>
          </w:p>
        </w:tc>
        <w:tc>
          <w:tcPr>
            <w:tcW w:w="2410" w:type="dxa"/>
          </w:tcPr>
          <w:p w14:paraId="78993B26"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Style w:val="Strong"/>
                <w:rFonts w:cstheme="minorHAnsi"/>
                <w:b w:val="0"/>
                <w:i/>
                <w:szCs w:val="22"/>
              </w:rPr>
              <w:t>Staff – Cert III or volunteer</w:t>
            </w:r>
          </w:p>
        </w:tc>
        <w:tc>
          <w:tcPr>
            <w:tcW w:w="1701" w:type="dxa"/>
          </w:tcPr>
          <w:p w14:paraId="297F2B0D"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Fonts w:cstheme="minorHAnsi"/>
                <w:szCs w:val="22"/>
              </w:rPr>
              <w:t>1:5</w:t>
            </w:r>
          </w:p>
        </w:tc>
        <w:tc>
          <w:tcPr>
            <w:tcW w:w="1979" w:type="dxa"/>
            <w:gridSpan w:val="2"/>
          </w:tcPr>
          <w:p w14:paraId="0EA34A26"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Fonts w:cstheme="minorHAnsi"/>
                <w:szCs w:val="22"/>
              </w:rPr>
              <w:t>1:15</w:t>
            </w:r>
          </w:p>
        </w:tc>
      </w:tr>
      <w:tr w:rsidR="00BC4184" w:rsidRPr="00AA6603" w14:paraId="03194DE4" w14:textId="77777777" w:rsidTr="00AA6603">
        <w:tc>
          <w:tcPr>
            <w:cnfStyle w:val="001000000000" w:firstRow="0" w:lastRow="0" w:firstColumn="1" w:lastColumn="0" w:oddVBand="0" w:evenVBand="0" w:oddHBand="0" w:evenHBand="0" w:firstRowFirstColumn="0" w:firstRowLastColumn="0" w:lastRowFirstColumn="0" w:lastRowLastColumn="0"/>
            <w:tcW w:w="2122" w:type="dxa"/>
            <w:vMerge/>
          </w:tcPr>
          <w:p w14:paraId="6C50D5B3" w14:textId="77777777" w:rsidR="00C01E92" w:rsidRPr="00AA6603" w:rsidRDefault="00C01E92" w:rsidP="00611DD6">
            <w:pPr>
              <w:spacing w:after="60"/>
              <w:rPr>
                <w:rStyle w:val="Strong"/>
                <w:rFonts w:cstheme="minorHAnsi"/>
                <w:b w:val="0"/>
                <w:szCs w:val="22"/>
              </w:rPr>
            </w:pPr>
          </w:p>
        </w:tc>
        <w:tc>
          <w:tcPr>
            <w:tcW w:w="1422" w:type="dxa"/>
            <w:vMerge/>
          </w:tcPr>
          <w:p w14:paraId="74231AFA"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p>
        </w:tc>
        <w:tc>
          <w:tcPr>
            <w:tcW w:w="2410" w:type="dxa"/>
          </w:tcPr>
          <w:p w14:paraId="01CED8D8"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Style w:val="Strong"/>
                <w:rFonts w:cstheme="minorHAnsi"/>
                <w:b w:val="0"/>
                <w:i/>
                <w:szCs w:val="22"/>
              </w:rPr>
              <w:t>Qualified Staff – Diploma</w:t>
            </w:r>
          </w:p>
        </w:tc>
        <w:tc>
          <w:tcPr>
            <w:tcW w:w="1701" w:type="dxa"/>
          </w:tcPr>
          <w:p w14:paraId="776178DC"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Fonts w:cstheme="minorHAnsi"/>
                <w:szCs w:val="22"/>
              </w:rPr>
              <w:t>1:15</w:t>
            </w:r>
          </w:p>
        </w:tc>
        <w:tc>
          <w:tcPr>
            <w:tcW w:w="1979" w:type="dxa"/>
            <w:gridSpan w:val="2"/>
          </w:tcPr>
          <w:p w14:paraId="71667812"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Fonts w:cstheme="minorHAnsi"/>
                <w:szCs w:val="22"/>
              </w:rPr>
              <w:t>1:30</w:t>
            </w:r>
          </w:p>
        </w:tc>
      </w:tr>
      <w:tr w:rsidR="00BC4184" w:rsidRPr="00AA6603" w14:paraId="37CC74F2" w14:textId="77777777" w:rsidTr="00AA6603">
        <w:tc>
          <w:tcPr>
            <w:cnfStyle w:val="001000000000" w:firstRow="0" w:lastRow="0" w:firstColumn="1" w:lastColumn="0" w:oddVBand="0" w:evenVBand="0" w:oddHBand="0" w:evenHBand="0" w:firstRowFirstColumn="0" w:firstRowLastColumn="0" w:lastRowFirstColumn="0" w:lastRowLastColumn="0"/>
            <w:tcW w:w="2122" w:type="dxa"/>
            <w:vMerge/>
          </w:tcPr>
          <w:p w14:paraId="7CCDE756" w14:textId="77777777" w:rsidR="00C01E92" w:rsidRPr="00AA6603" w:rsidRDefault="00C01E92" w:rsidP="00611DD6">
            <w:pPr>
              <w:spacing w:after="60"/>
              <w:rPr>
                <w:rStyle w:val="Strong"/>
                <w:rFonts w:cstheme="minorHAnsi"/>
                <w:b w:val="0"/>
                <w:szCs w:val="22"/>
              </w:rPr>
            </w:pPr>
          </w:p>
        </w:tc>
        <w:tc>
          <w:tcPr>
            <w:tcW w:w="1422" w:type="dxa"/>
            <w:vMerge w:val="restart"/>
          </w:tcPr>
          <w:p w14:paraId="0230C157"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Short term type 2</w:t>
            </w:r>
          </w:p>
        </w:tc>
        <w:tc>
          <w:tcPr>
            <w:tcW w:w="2410" w:type="dxa"/>
          </w:tcPr>
          <w:p w14:paraId="2375CACC"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Style w:val="Strong"/>
                <w:rFonts w:cstheme="minorHAnsi"/>
                <w:b w:val="0"/>
                <w:i/>
                <w:szCs w:val="22"/>
              </w:rPr>
              <w:t>Staff – Cert III or volunteer</w:t>
            </w:r>
          </w:p>
        </w:tc>
        <w:tc>
          <w:tcPr>
            <w:tcW w:w="1701" w:type="dxa"/>
          </w:tcPr>
          <w:p w14:paraId="78F1C3AF"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Fonts w:cstheme="minorHAnsi"/>
                <w:szCs w:val="22"/>
              </w:rPr>
              <w:t>1:5</w:t>
            </w:r>
          </w:p>
        </w:tc>
        <w:tc>
          <w:tcPr>
            <w:tcW w:w="1979" w:type="dxa"/>
            <w:gridSpan w:val="2"/>
          </w:tcPr>
          <w:p w14:paraId="6DECFDAB"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Fonts w:cstheme="minorHAnsi"/>
                <w:szCs w:val="22"/>
              </w:rPr>
              <w:t>1:15</w:t>
            </w:r>
          </w:p>
        </w:tc>
      </w:tr>
      <w:tr w:rsidR="00BC4184" w:rsidRPr="00AA6603" w14:paraId="4CD8FA3F" w14:textId="77777777" w:rsidTr="00AA6603">
        <w:tc>
          <w:tcPr>
            <w:cnfStyle w:val="001000000000" w:firstRow="0" w:lastRow="0" w:firstColumn="1" w:lastColumn="0" w:oddVBand="0" w:evenVBand="0" w:oddHBand="0" w:evenHBand="0" w:firstRowFirstColumn="0" w:firstRowLastColumn="0" w:lastRowFirstColumn="0" w:lastRowLastColumn="0"/>
            <w:tcW w:w="2122" w:type="dxa"/>
            <w:vMerge/>
          </w:tcPr>
          <w:p w14:paraId="39AF2A14" w14:textId="77777777" w:rsidR="00C01E92" w:rsidRPr="00AA6603" w:rsidRDefault="00C01E92" w:rsidP="00611DD6">
            <w:pPr>
              <w:spacing w:after="60"/>
              <w:rPr>
                <w:rStyle w:val="Strong"/>
                <w:rFonts w:cstheme="minorHAnsi"/>
                <w:b w:val="0"/>
                <w:szCs w:val="22"/>
              </w:rPr>
            </w:pPr>
          </w:p>
        </w:tc>
        <w:tc>
          <w:tcPr>
            <w:tcW w:w="1422" w:type="dxa"/>
            <w:vMerge/>
          </w:tcPr>
          <w:p w14:paraId="0FEE03A8"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p>
        </w:tc>
        <w:tc>
          <w:tcPr>
            <w:tcW w:w="2410" w:type="dxa"/>
          </w:tcPr>
          <w:p w14:paraId="390EF4F6"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Style w:val="Strong"/>
                <w:rFonts w:cstheme="minorHAnsi"/>
                <w:b w:val="0"/>
                <w:i/>
                <w:szCs w:val="22"/>
              </w:rPr>
              <w:t>Qualified Staff – Diploma</w:t>
            </w:r>
          </w:p>
        </w:tc>
        <w:tc>
          <w:tcPr>
            <w:tcW w:w="1701" w:type="dxa"/>
          </w:tcPr>
          <w:p w14:paraId="0DD84C4D"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Fonts w:cstheme="minorHAnsi"/>
                <w:szCs w:val="22"/>
              </w:rPr>
              <w:t>1:30 (if over 16 children)</w:t>
            </w:r>
          </w:p>
        </w:tc>
        <w:tc>
          <w:tcPr>
            <w:tcW w:w="1979" w:type="dxa"/>
            <w:gridSpan w:val="2"/>
          </w:tcPr>
          <w:p w14:paraId="3DF3CBA9"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Fonts w:cstheme="minorHAnsi"/>
                <w:szCs w:val="22"/>
              </w:rPr>
              <w:t>1:30 (if over 16 children)</w:t>
            </w:r>
          </w:p>
        </w:tc>
      </w:tr>
      <w:tr w:rsidR="00BC4184" w:rsidRPr="00AA6603" w14:paraId="604736FD" w14:textId="77777777" w:rsidTr="00AA6603">
        <w:tc>
          <w:tcPr>
            <w:cnfStyle w:val="001000000000" w:firstRow="0" w:lastRow="0" w:firstColumn="1" w:lastColumn="0" w:oddVBand="0" w:evenVBand="0" w:oddHBand="0" w:evenHBand="0" w:firstRowFirstColumn="0" w:firstRowLastColumn="0" w:lastRowFirstColumn="0" w:lastRowLastColumn="0"/>
            <w:tcW w:w="2122" w:type="dxa"/>
            <w:vMerge/>
          </w:tcPr>
          <w:p w14:paraId="3B051349" w14:textId="77777777" w:rsidR="00C01E92" w:rsidRPr="00AA6603" w:rsidRDefault="00C01E92" w:rsidP="00611DD6">
            <w:pPr>
              <w:spacing w:after="60"/>
              <w:rPr>
                <w:rFonts w:cstheme="minorHAnsi"/>
                <w:i/>
                <w:szCs w:val="22"/>
              </w:rPr>
            </w:pPr>
          </w:p>
        </w:tc>
        <w:tc>
          <w:tcPr>
            <w:tcW w:w="1422" w:type="dxa"/>
            <w:vMerge w:val="restart"/>
          </w:tcPr>
          <w:p w14:paraId="4CC1AD89"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Fonts w:cstheme="minorHAnsi"/>
                <w:i/>
                <w:szCs w:val="22"/>
              </w:rPr>
            </w:pPr>
            <w:r w:rsidRPr="00AA6603">
              <w:rPr>
                <w:rFonts w:cstheme="minorHAnsi"/>
                <w:i/>
                <w:szCs w:val="22"/>
              </w:rPr>
              <w:t>School holiday care</w:t>
            </w:r>
          </w:p>
        </w:tc>
        <w:tc>
          <w:tcPr>
            <w:tcW w:w="2410" w:type="dxa"/>
          </w:tcPr>
          <w:p w14:paraId="3D2B4EB1"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Style w:val="Strong"/>
                <w:rFonts w:cstheme="minorHAnsi"/>
                <w:b w:val="0"/>
                <w:i/>
                <w:szCs w:val="22"/>
              </w:rPr>
              <w:t>Staff – Cert III</w:t>
            </w:r>
          </w:p>
        </w:tc>
        <w:tc>
          <w:tcPr>
            <w:tcW w:w="1701" w:type="dxa"/>
          </w:tcPr>
          <w:p w14:paraId="4176A1AF"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Style w:val="Strong"/>
                <w:rFonts w:cstheme="minorHAnsi"/>
                <w:b w:val="0"/>
                <w:szCs w:val="22"/>
              </w:rPr>
              <w:t>N/A</w:t>
            </w:r>
          </w:p>
        </w:tc>
        <w:tc>
          <w:tcPr>
            <w:tcW w:w="1979" w:type="dxa"/>
            <w:gridSpan w:val="2"/>
          </w:tcPr>
          <w:p w14:paraId="7F25980D"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A6603">
              <w:rPr>
                <w:rStyle w:val="Strong"/>
                <w:rFonts w:cstheme="minorHAnsi"/>
                <w:b w:val="0"/>
                <w:szCs w:val="22"/>
              </w:rPr>
              <w:t>1:15 (school age)</w:t>
            </w:r>
          </w:p>
        </w:tc>
      </w:tr>
      <w:tr w:rsidR="00BC4184" w:rsidRPr="00AA6603" w14:paraId="651B0C25" w14:textId="77777777" w:rsidTr="00AA6603">
        <w:tc>
          <w:tcPr>
            <w:cnfStyle w:val="001000000000" w:firstRow="0" w:lastRow="0" w:firstColumn="1" w:lastColumn="0" w:oddVBand="0" w:evenVBand="0" w:oddHBand="0" w:evenHBand="0" w:firstRowFirstColumn="0" w:firstRowLastColumn="0" w:lastRowFirstColumn="0" w:lastRowLastColumn="0"/>
            <w:tcW w:w="2122" w:type="dxa"/>
            <w:vMerge/>
          </w:tcPr>
          <w:p w14:paraId="271562F3" w14:textId="77777777" w:rsidR="00C01E92" w:rsidRPr="00AA6603" w:rsidRDefault="00C01E92" w:rsidP="00611DD6">
            <w:pPr>
              <w:spacing w:after="60"/>
              <w:rPr>
                <w:rFonts w:cstheme="minorHAnsi"/>
                <w:i/>
                <w:szCs w:val="22"/>
              </w:rPr>
            </w:pPr>
          </w:p>
        </w:tc>
        <w:tc>
          <w:tcPr>
            <w:tcW w:w="1422" w:type="dxa"/>
            <w:vMerge/>
          </w:tcPr>
          <w:p w14:paraId="7A81D259"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Fonts w:cstheme="minorHAnsi"/>
                <w:i/>
                <w:szCs w:val="22"/>
              </w:rPr>
            </w:pPr>
          </w:p>
        </w:tc>
        <w:tc>
          <w:tcPr>
            <w:tcW w:w="2410" w:type="dxa"/>
          </w:tcPr>
          <w:p w14:paraId="616FAADF"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i/>
                <w:szCs w:val="22"/>
              </w:rPr>
            </w:pPr>
            <w:r w:rsidRPr="00AA6603">
              <w:rPr>
                <w:rStyle w:val="Strong"/>
                <w:rFonts w:cstheme="minorHAnsi"/>
                <w:b w:val="0"/>
                <w:i/>
                <w:szCs w:val="22"/>
              </w:rPr>
              <w:t>Qualified Staff – Diploma</w:t>
            </w:r>
          </w:p>
        </w:tc>
        <w:tc>
          <w:tcPr>
            <w:tcW w:w="1701" w:type="dxa"/>
          </w:tcPr>
          <w:p w14:paraId="13FB27AC"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N/A</w:t>
            </w:r>
          </w:p>
        </w:tc>
        <w:tc>
          <w:tcPr>
            <w:tcW w:w="1979" w:type="dxa"/>
            <w:gridSpan w:val="2"/>
          </w:tcPr>
          <w:p w14:paraId="252DB239" w14:textId="77777777" w:rsidR="00C01E92" w:rsidRPr="00AA6603" w:rsidRDefault="00C01E92" w:rsidP="00611DD6">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1:30 (school age)</w:t>
            </w:r>
          </w:p>
        </w:tc>
      </w:tr>
    </w:tbl>
    <w:p w14:paraId="59ADE6AB" w14:textId="2F1A7F5B" w:rsidR="00C01E92" w:rsidRPr="000107A9" w:rsidRDefault="00C01E92" w:rsidP="00C01E92">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b/>
          <w:sz w:val="22"/>
          <w:szCs w:val="22"/>
        </w:rPr>
        <w:t>Option C.2. Alignment</w:t>
      </w:r>
    </w:p>
    <w:p w14:paraId="7F77184A" w14:textId="7F21583E"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In this option, the prescribed requirements for minimum staff numbers, qualifications and ratios have been updated to align with the equivalent requirements under the National Regulations (where appropriate). In this option, the terminology of the Amendment Act is used (for more detail, refer to Appendix 10.</w:t>
      </w:r>
      <w:r w:rsidR="00AA6603">
        <w:rPr>
          <w:rFonts w:asciiTheme="minorHAnsi" w:hAnsiTheme="minorHAnsi" w:cstheme="minorHAnsi"/>
          <w:sz w:val="22"/>
          <w:szCs w:val="22"/>
        </w:rPr>
        <w:t>3</w:t>
      </w:r>
      <w:r w:rsidRPr="000107A9">
        <w:rPr>
          <w:rFonts w:asciiTheme="minorHAnsi" w:hAnsiTheme="minorHAnsi" w:cstheme="minorHAnsi"/>
          <w:sz w:val="22"/>
          <w:szCs w:val="22"/>
        </w:rPr>
        <w:t>).</w:t>
      </w:r>
    </w:p>
    <w:p w14:paraId="16EBDDD9" w14:textId="3B8ADF3E" w:rsidR="00C01E92" w:rsidRPr="00AA6603" w:rsidRDefault="00C01E92" w:rsidP="00AA6603">
      <w:pPr>
        <w:pStyle w:val="Caption"/>
      </w:pPr>
      <w:bookmarkStart w:id="110" w:name="_Toc32592789"/>
      <w:r w:rsidRPr="00AA6603">
        <w:t xml:space="preserve">Table </w:t>
      </w:r>
      <w:r w:rsidRPr="00AA6603">
        <w:fldChar w:fldCharType="begin"/>
      </w:r>
      <w:r w:rsidRPr="00AA6603">
        <w:instrText xml:space="preserve"> SEQ Table \* ARABIC </w:instrText>
      </w:r>
      <w:r w:rsidRPr="00AA6603">
        <w:fldChar w:fldCharType="separate"/>
      </w:r>
      <w:r w:rsidR="00493211">
        <w:rPr>
          <w:noProof/>
        </w:rPr>
        <w:t>6</w:t>
      </w:r>
      <w:r w:rsidRPr="00AA6603">
        <w:fldChar w:fldCharType="end"/>
      </w:r>
      <w:r w:rsidRPr="00AA6603">
        <w:t xml:space="preserve"> Option C.2. Alignment - Staffing</w:t>
      </w:r>
      <w:bookmarkEnd w:id="110"/>
      <w:r w:rsidRPr="00AA6603">
        <w:t xml:space="preserve"> </w:t>
      </w:r>
    </w:p>
    <w:tbl>
      <w:tblPr>
        <w:tblStyle w:val="TableGrid"/>
        <w:tblW w:w="5006"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969"/>
        <w:gridCol w:w="2112"/>
        <w:gridCol w:w="1967"/>
        <w:gridCol w:w="1792"/>
        <w:gridCol w:w="1784"/>
        <w:gridCol w:w="10"/>
      </w:tblGrid>
      <w:tr w:rsidR="00C01E92" w:rsidRPr="00AA6603" w14:paraId="436D2F20" w14:textId="77777777" w:rsidTr="00AA6603">
        <w:trPr>
          <w:gridAfter w:val="1"/>
          <w:cnfStyle w:val="100000000000" w:firstRow="1" w:lastRow="0" w:firstColumn="0" w:lastColumn="0" w:oddVBand="0" w:evenVBand="0" w:oddHBand="0" w:evenHBand="0" w:firstRowFirstColumn="0" w:firstRowLastColumn="0" w:lastRowFirstColumn="0" w:lastRowLastColumn="0"/>
          <w:wAfter w:w="10" w:type="dxa"/>
        </w:trPr>
        <w:tc>
          <w:tcPr>
            <w:cnfStyle w:val="001000000000" w:firstRow="0" w:lastRow="0" w:firstColumn="1" w:lastColumn="0" w:oddVBand="0" w:evenVBand="0" w:oddHBand="0" w:evenHBand="0" w:firstRowFirstColumn="0" w:firstRowLastColumn="0" w:lastRowFirstColumn="0" w:lastRowLastColumn="0"/>
            <w:tcW w:w="1022" w:type="pct"/>
            <w:tcBorders>
              <w:right w:val="none" w:sz="0" w:space="0" w:color="auto"/>
            </w:tcBorders>
            <w:hideMark/>
          </w:tcPr>
          <w:p w14:paraId="71AA972F" w14:textId="77777777" w:rsidR="00C01E92" w:rsidRPr="00AA6603" w:rsidRDefault="00C01E92" w:rsidP="00090AF4">
            <w:pPr>
              <w:spacing w:after="60"/>
              <w:rPr>
                <w:rStyle w:val="Strong"/>
                <w:rFonts w:cstheme="minorHAnsi"/>
                <w:b/>
                <w:szCs w:val="22"/>
              </w:rPr>
            </w:pPr>
            <w:r w:rsidRPr="00AA6603">
              <w:rPr>
                <w:rStyle w:val="Strong"/>
                <w:rFonts w:cstheme="minorHAnsi"/>
                <w:b/>
                <w:szCs w:val="22"/>
              </w:rPr>
              <w:t>Subject</w:t>
            </w:r>
          </w:p>
        </w:tc>
        <w:tc>
          <w:tcPr>
            <w:tcW w:w="3973" w:type="pct"/>
            <w:gridSpan w:val="4"/>
            <w:tcBorders>
              <w:left w:val="none" w:sz="0" w:space="0" w:color="auto"/>
            </w:tcBorders>
            <w:hideMark/>
          </w:tcPr>
          <w:p w14:paraId="3876DF9C" w14:textId="77777777" w:rsidR="00C01E92" w:rsidRPr="00AA6603" w:rsidRDefault="00C01E92" w:rsidP="00090AF4">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A6603">
              <w:rPr>
                <w:rStyle w:val="Strong"/>
                <w:rFonts w:cstheme="minorHAnsi"/>
                <w:b/>
                <w:szCs w:val="22"/>
              </w:rPr>
              <w:t>Details in the Regulations</w:t>
            </w:r>
          </w:p>
        </w:tc>
      </w:tr>
      <w:tr w:rsidR="00C01E92" w:rsidRPr="00AA6603" w14:paraId="0CF75C63" w14:textId="77777777" w:rsidTr="00AA6603">
        <w:trPr>
          <w:gridAfter w:val="1"/>
          <w:wAfter w:w="10" w:type="dxa"/>
          <w:trHeight w:val="300"/>
        </w:trPr>
        <w:tc>
          <w:tcPr>
            <w:cnfStyle w:val="001000000000" w:firstRow="0" w:lastRow="0" w:firstColumn="1" w:lastColumn="0" w:oddVBand="0" w:evenVBand="0" w:oddHBand="0" w:evenHBand="0" w:firstRowFirstColumn="0" w:firstRowLastColumn="0" w:lastRowFirstColumn="0" w:lastRowLastColumn="0"/>
            <w:tcW w:w="1022" w:type="pct"/>
          </w:tcPr>
          <w:p w14:paraId="4EB5B517" w14:textId="77777777" w:rsidR="00C01E92" w:rsidRPr="00AA6603" w:rsidRDefault="00C01E92" w:rsidP="00090AF4">
            <w:pPr>
              <w:spacing w:after="60"/>
              <w:rPr>
                <w:rStyle w:val="Strong"/>
                <w:rFonts w:cstheme="minorHAnsi"/>
                <w:b w:val="0"/>
                <w:szCs w:val="22"/>
              </w:rPr>
            </w:pPr>
            <w:r w:rsidRPr="00AA6603">
              <w:rPr>
                <w:rFonts w:eastAsia="Times New Roman"/>
                <w:bCs/>
                <w:lang w:val="en-AU"/>
              </w:rPr>
              <w:t>Terminology</w:t>
            </w:r>
          </w:p>
        </w:tc>
        <w:tc>
          <w:tcPr>
            <w:tcW w:w="3973" w:type="pct"/>
            <w:gridSpan w:val="4"/>
          </w:tcPr>
          <w:p w14:paraId="2BF124B9" w14:textId="77777777" w:rsidR="00C01E92" w:rsidRPr="00AA6603" w:rsidRDefault="00C01E92" w:rsidP="004F4E5D">
            <w:pPr>
              <w:pStyle w:val="ListParagraph"/>
              <w:numPr>
                <w:ilvl w:val="0"/>
                <w:numId w:val="28"/>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Staff member (any person employed at a service except a nominated supervisor)</w:t>
            </w:r>
          </w:p>
          <w:p w14:paraId="5D1AA03A" w14:textId="77777777" w:rsidR="00C01E92" w:rsidRPr="00AA6603" w:rsidRDefault="00C01E92" w:rsidP="004F4E5D">
            <w:pPr>
              <w:pStyle w:val="ListParagraph"/>
              <w:numPr>
                <w:ilvl w:val="0"/>
                <w:numId w:val="28"/>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Educator (an individual who provides education and care for children as part of a children’s service)</w:t>
            </w:r>
          </w:p>
          <w:p w14:paraId="6181B4CC" w14:textId="77777777" w:rsidR="00C01E92" w:rsidRPr="00AA6603" w:rsidRDefault="00C01E92" w:rsidP="004F4E5D">
            <w:pPr>
              <w:pStyle w:val="ListParagraph"/>
              <w:numPr>
                <w:ilvl w:val="0"/>
                <w:numId w:val="28"/>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lastRenderedPageBreak/>
              <w:t>Early childhood teacher</w:t>
            </w:r>
          </w:p>
          <w:p w14:paraId="4801ED3F" w14:textId="77777777" w:rsidR="00C01E92" w:rsidRPr="00AA6603" w:rsidRDefault="00C01E92" w:rsidP="004F4E5D">
            <w:pPr>
              <w:pStyle w:val="ListParagraph"/>
              <w:numPr>
                <w:ilvl w:val="0"/>
                <w:numId w:val="28"/>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Volunteer (person educating or caring for children in a voluntary or honorary capacity)</w:t>
            </w:r>
          </w:p>
        </w:tc>
      </w:tr>
      <w:tr w:rsidR="00C01E92" w:rsidRPr="00AA6603" w14:paraId="195B29FC" w14:textId="77777777" w:rsidTr="00AA6603">
        <w:trPr>
          <w:trHeight w:val="300"/>
        </w:trPr>
        <w:tc>
          <w:tcPr>
            <w:cnfStyle w:val="001000000000" w:firstRow="0" w:lastRow="0" w:firstColumn="1" w:lastColumn="0" w:oddVBand="0" w:evenVBand="0" w:oddHBand="0" w:evenHBand="0" w:firstRowFirstColumn="0" w:firstRowLastColumn="0" w:lastRowFirstColumn="0" w:lastRowLastColumn="0"/>
            <w:tcW w:w="1022" w:type="pct"/>
          </w:tcPr>
          <w:p w14:paraId="56EC031C" w14:textId="77777777" w:rsidR="00C01E92" w:rsidRPr="00AA6603" w:rsidRDefault="00C01E92" w:rsidP="00090AF4">
            <w:pPr>
              <w:spacing w:after="60"/>
              <w:rPr>
                <w:rStyle w:val="Strong"/>
                <w:rFonts w:cstheme="minorHAnsi"/>
                <w:b w:val="0"/>
                <w:szCs w:val="22"/>
              </w:rPr>
            </w:pPr>
            <w:r w:rsidRPr="00AA6603">
              <w:rPr>
                <w:rFonts w:eastAsia="Times New Roman"/>
                <w:lang w:val="en-AU"/>
              </w:rPr>
              <w:lastRenderedPageBreak/>
              <w:t xml:space="preserve">Qualifications </w:t>
            </w:r>
          </w:p>
        </w:tc>
        <w:tc>
          <w:tcPr>
            <w:tcW w:w="3978" w:type="pct"/>
            <w:gridSpan w:val="5"/>
          </w:tcPr>
          <w:p w14:paraId="37402A34" w14:textId="77777777" w:rsidR="00C01E92" w:rsidRPr="00AA6603" w:rsidRDefault="00C01E92" w:rsidP="00090AF4">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For services with an occasional care service approval:</w:t>
            </w:r>
          </w:p>
          <w:p w14:paraId="339FEF59" w14:textId="77777777" w:rsidR="00C01E92" w:rsidRPr="00AA6603" w:rsidRDefault="00C01E92" w:rsidP="004F4E5D">
            <w:pPr>
              <w:pStyle w:val="ListParagraph"/>
              <w:numPr>
                <w:ilvl w:val="0"/>
                <w:numId w:val="29"/>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All educators must hold or be ‘actively working towards’</w:t>
            </w:r>
            <w:r w:rsidRPr="00AA6603">
              <w:rPr>
                <w:rStyle w:val="FootnoteReference"/>
                <w:rFonts w:cstheme="minorHAnsi"/>
                <w:bCs/>
                <w:color w:val="auto"/>
                <w:sz w:val="22"/>
                <w:szCs w:val="22"/>
              </w:rPr>
              <w:footnoteReference w:id="36"/>
            </w:r>
            <w:r w:rsidRPr="00AA6603">
              <w:rPr>
                <w:rStyle w:val="Strong"/>
                <w:rFonts w:cstheme="minorHAnsi"/>
                <w:b w:val="0"/>
                <w:szCs w:val="22"/>
              </w:rPr>
              <w:t xml:space="preserve"> at least a Certificate III to be counted in staffing ratios</w:t>
            </w:r>
          </w:p>
          <w:p w14:paraId="19ADF6BC" w14:textId="77777777" w:rsidR="00C01E92" w:rsidRPr="00AA6603" w:rsidRDefault="00C01E92" w:rsidP="004F4E5D">
            <w:pPr>
              <w:pStyle w:val="ListParagraph"/>
              <w:numPr>
                <w:ilvl w:val="0"/>
                <w:numId w:val="29"/>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At least 50 per cent of educators (calculated across the service) must hold or be ‘actively working towards’ at least a Diploma</w:t>
            </w:r>
          </w:p>
          <w:p w14:paraId="41DF5620" w14:textId="77777777" w:rsidR="00C01E92" w:rsidRPr="00AA6603" w:rsidRDefault="00C01E92" w:rsidP="004F4E5D">
            <w:pPr>
              <w:pStyle w:val="ListParagraph"/>
              <w:numPr>
                <w:ilvl w:val="0"/>
                <w:numId w:val="29"/>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Educators who have not yet commenced study can be counted in ratios during a probationary period of three months prior to their enrolment in at least a Certificate III qualification</w:t>
            </w:r>
          </w:p>
          <w:p w14:paraId="2FF7DC92" w14:textId="77777777" w:rsidR="00C01E92" w:rsidRPr="00AA6603" w:rsidRDefault="00C01E92" w:rsidP="00090AF4">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 xml:space="preserve">For services with an occasional care service approval providing care to any child for over 30 hours per week, in addition to the above: </w:t>
            </w:r>
          </w:p>
          <w:p w14:paraId="52D5A9CD" w14:textId="77777777" w:rsidR="00C01E92" w:rsidRPr="00AA6603" w:rsidRDefault="00C01E92" w:rsidP="004F4E5D">
            <w:pPr>
              <w:pStyle w:val="ListParagraph"/>
              <w:numPr>
                <w:ilvl w:val="0"/>
                <w:numId w:val="30"/>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An early childhood teacher must be employed</w:t>
            </w:r>
          </w:p>
          <w:p w14:paraId="69DFF25D" w14:textId="77777777" w:rsidR="00C01E92" w:rsidRPr="00AA6603" w:rsidRDefault="00C01E92" w:rsidP="00090AF4">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For services with a limited hours service approval:</w:t>
            </w:r>
          </w:p>
          <w:p w14:paraId="4F61D245" w14:textId="77777777" w:rsidR="00C01E92" w:rsidRPr="00AA6603" w:rsidRDefault="00C01E92" w:rsidP="004F4E5D">
            <w:pPr>
              <w:pStyle w:val="ListParagraph"/>
              <w:numPr>
                <w:ilvl w:val="0"/>
                <w:numId w:val="37"/>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All educators must hold a complete Certificate III</w:t>
            </w:r>
          </w:p>
          <w:p w14:paraId="76CC7DE6" w14:textId="77777777" w:rsidR="00C01E92" w:rsidRPr="00AA6603" w:rsidRDefault="00C01E92" w:rsidP="004F4E5D">
            <w:pPr>
              <w:pStyle w:val="ListParagraph"/>
              <w:numPr>
                <w:ilvl w:val="0"/>
                <w:numId w:val="37"/>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There is no requirement to employ diploma qualified educators or an early childhood teacher</w:t>
            </w:r>
          </w:p>
          <w:p w14:paraId="1E06E2C8" w14:textId="77777777" w:rsidR="00C01E92" w:rsidRPr="00AA6603" w:rsidRDefault="00C01E92" w:rsidP="00090AF4">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For all services:</w:t>
            </w:r>
          </w:p>
          <w:p w14:paraId="0936E0CF" w14:textId="77777777" w:rsidR="00C01E92" w:rsidRPr="00AA6603" w:rsidRDefault="00C01E92" w:rsidP="004F4E5D">
            <w:pPr>
              <w:pStyle w:val="ListParagraph"/>
              <w:numPr>
                <w:ilvl w:val="0"/>
                <w:numId w:val="37"/>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Volunteers may be in attendance and may be counted in the ratios provided the volunteer holds, or is ‘actively working towards’ a relevant approved early childhood qualification.</w:t>
            </w:r>
          </w:p>
        </w:tc>
      </w:tr>
      <w:tr w:rsidR="00C01E92" w:rsidRPr="00AA6603" w14:paraId="6CAF3DD1" w14:textId="77777777" w:rsidTr="00AA6603">
        <w:trPr>
          <w:trHeight w:val="300"/>
        </w:trPr>
        <w:tc>
          <w:tcPr>
            <w:cnfStyle w:val="001000000000" w:firstRow="0" w:lastRow="0" w:firstColumn="1" w:lastColumn="0" w:oddVBand="0" w:evenVBand="0" w:oddHBand="0" w:evenHBand="0" w:firstRowFirstColumn="0" w:firstRowLastColumn="0" w:lastRowFirstColumn="0" w:lastRowLastColumn="0"/>
            <w:tcW w:w="1022" w:type="pct"/>
          </w:tcPr>
          <w:p w14:paraId="596678A5" w14:textId="77777777" w:rsidR="00C01E92" w:rsidRPr="00AA6603" w:rsidRDefault="00C01E92" w:rsidP="00090AF4">
            <w:pPr>
              <w:spacing w:after="60"/>
              <w:rPr>
                <w:rFonts w:eastAsia="Times New Roman"/>
                <w:bCs/>
                <w:lang w:val="en-AU"/>
              </w:rPr>
            </w:pPr>
            <w:r w:rsidRPr="00AA6603">
              <w:rPr>
                <w:rFonts w:eastAsia="Times New Roman"/>
                <w:bCs/>
                <w:lang w:val="en-AU"/>
              </w:rPr>
              <w:t>Minimum number of staff</w:t>
            </w:r>
          </w:p>
        </w:tc>
        <w:tc>
          <w:tcPr>
            <w:tcW w:w="3978" w:type="pct"/>
            <w:gridSpan w:val="5"/>
          </w:tcPr>
          <w:p w14:paraId="4B2F3273" w14:textId="77777777" w:rsidR="00C01E92" w:rsidRPr="00AA6603" w:rsidRDefault="00C01E92" w:rsidP="00090AF4">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All services must ensure that at least one educator is on duty whenever children are in attendance.</w:t>
            </w:r>
          </w:p>
        </w:tc>
      </w:tr>
      <w:tr w:rsidR="00C01E92" w:rsidRPr="00AA6603" w14:paraId="6765248F" w14:textId="77777777" w:rsidTr="00AA6603">
        <w:trPr>
          <w:trHeight w:val="300"/>
        </w:trPr>
        <w:tc>
          <w:tcPr>
            <w:cnfStyle w:val="001000000000" w:firstRow="0" w:lastRow="0" w:firstColumn="1" w:lastColumn="0" w:oddVBand="0" w:evenVBand="0" w:oddHBand="0" w:evenHBand="0" w:firstRowFirstColumn="0" w:firstRowLastColumn="0" w:lastRowFirstColumn="0" w:lastRowLastColumn="0"/>
            <w:tcW w:w="1022" w:type="pct"/>
            <w:vMerge w:val="restart"/>
          </w:tcPr>
          <w:p w14:paraId="19E3652D" w14:textId="77777777" w:rsidR="00C01E92" w:rsidRPr="00AA6603" w:rsidRDefault="00C01E92" w:rsidP="00090AF4">
            <w:pPr>
              <w:spacing w:after="60"/>
              <w:rPr>
                <w:rFonts w:eastAsia="Times New Roman"/>
                <w:bCs/>
                <w:lang w:val="en-AU"/>
              </w:rPr>
            </w:pPr>
            <w:r w:rsidRPr="00AA6603">
              <w:rPr>
                <w:rFonts w:eastAsia="Times New Roman"/>
                <w:bCs/>
                <w:lang w:val="en-AU"/>
              </w:rPr>
              <w:t>Staff to child ratios</w:t>
            </w:r>
          </w:p>
        </w:tc>
        <w:tc>
          <w:tcPr>
            <w:tcW w:w="3978" w:type="pct"/>
            <w:gridSpan w:val="5"/>
          </w:tcPr>
          <w:p w14:paraId="43AD38B4" w14:textId="77777777" w:rsidR="00C01E92" w:rsidRPr="00AA6603" w:rsidRDefault="00C01E92" w:rsidP="00090AF4">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The following staff to child ratios would be required:</w:t>
            </w:r>
          </w:p>
        </w:tc>
      </w:tr>
      <w:tr w:rsidR="00C01E92" w:rsidRPr="00AA6603" w14:paraId="27446356" w14:textId="77777777" w:rsidTr="00AA6603">
        <w:trPr>
          <w:trHeight w:val="300"/>
        </w:trPr>
        <w:tc>
          <w:tcPr>
            <w:cnfStyle w:val="001000000000" w:firstRow="0" w:lastRow="0" w:firstColumn="1" w:lastColumn="0" w:oddVBand="0" w:evenVBand="0" w:oddHBand="0" w:evenHBand="0" w:firstRowFirstColumn="0" w:firstRowLastColumn="0" w:lastRowFirstColumn="0" w:lastRowLastColumn="0"/>
            <w:tcW w:w="1022" w:type="pct"/>
            <w:vMerge/>
          </w:tcPr>
          <w:p w14:paraId="2E38739E" w14:textId="77777777" w:rsidR="00C01E92" w:rsidRPr="00AA6603" w:rsidRDefault="00C01E92" w:rsidP="00090AF4">
            <w:pPr>
              <w:spacing w:after="60"/>
              <w:rPr>
                <w:rStyle w:val="Strong"/>
                <w:rFonts w:cstheme="minorHAnsi"/>
                <w:b w:val="0"/>
                <w:szCs w:val="22"/>
              </w:rPr>
            </w:pPr>
          </w:p>
        </w:tc>
        <w:tc>
          <w:tcPr>
            <w:tcW w:w="1096" w:type="pct"/>
            <w:shd w:val="clear" w:color="auto" w:fill="004EA8" w:themeFill="accent1"/>
          </w:tcPr>
          <w:p w14:paraId="46B83CEE" w14:textId="77777777" w:rsidR="00C01E92" w:rsidRPr="00AA6603" w:rsidRDefault="00C01E92" w:rsidP="00090AF4">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color w:val="FFFFFF" w:themeColor="background1"/>
                <w:szCs w:val="22"/>
              </w:rPr>
            </w:pPr>
            <w:r w:rsidRPr="00AA6603">
              <w:rPr>
                <w:rStyle w:val="Strong"/>
                <w:rFonts w:cstheme="minorHAnsi"/>
                <w:b w:val="0"/>
                <w:color w:val="FFFFFF" w:themeColor="background1"/>
                <w:szCs w:val="22"/>
              </w:rPr>
              <w:t>All services</w:t>
            </w:r>
          </w:p>
        </w:tc>
        <w:tc>
          <w:tcPr>
            <w:tcW w:w="1021" w:type="pct"/>
            <w:shd w:val="clear" w:color="auto" w:fill="004EA8" w:themeFill="accent1"/>
          </w:tcPr>
          <w:p w14:paraId="250649B5" w14:textId="77777777" w:rsidR="00C01E92" w:rsidRPr="00AA6603" w:rsidRDefault="00C01E92" w:rsidP="00090AF4">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color w:val="FFFFFF" w:themeColor="background1"/>
                <w:szCs w:val="22"/>
              </w:rPr>
            </w:pPr>
            <w:r w:rsidRPr="00AA6603">
              <w:rPr>
                <w:rStyle w:val="Strong"/>
                <w:rFonts w:cstheme="minorHAnsi"/>
                <w:b w:val="0"/>
                <w:color w:val="FFFFFF" w:themeColor="background1"/>
                <w:szCs w:val="22"/>
              </w:rPr>
              <w:t>Under 36 months</w:t>
            </w:r>
          </w:p>
        </w:tc>
        <w:tc>
          <w:tcPr>
            <w:tcW w:w="930" w:type="pct"/>
            <w:shd w:val="clear" w:color="auto" w:fill="004EA8" w:themeFill="accent1"/>
          </w:tcPr>
          <w:p w14:paraId="7D467706" w14:textId="77777777" w:rsidR="00C01E92" w:rsidRPr="00AA6603" w:rsidRDefault="00C01E92" w:rsidP="00090AF4">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color w:val="FFFFFF" w:themeColor="background1"/>
                <w:szCs w:val="22"/>
              </w:rPr>
            </w:pPr>
            <w:r w:rsidRPr="00AA6603">
              <w:rPr>
                <w:rStyle w:val="Strong"/>
                <w:rFonts w:cstheme="minorHAnsi"/>
                <w:b w:val="0"/>
                <w:color w:val="FFFFFF" w:themeColor="background1"/>
                <w:szCs w:val="22"/>
              </w:rPr>
              <w:t>36 months or over</w:t>
            </w:r>
          </w:p>
        </w:tc>
        <w:tc>
          <w:tcPr>
            <w:tcW w:w="931" w:type="pct"/>
            <w:gridSpan w:val="2"/>
            <w:shd w:val="clear" w:color="auto" w:fill="004EA8" w:themeFill="accent1"/>
          </w:tcPr>
          <w:p w14:paraId="13510BF5" w14:textId="77777777" w:rsidR="00C01E92" w:rsidRPr="00AA6603" w:rsidRDefault="00C01E92" w:rsidP="00090AF4">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color w:val="FFFFFF" w:themeColor="background1"/>
                <w:szCs w:val="22"/>
              </w:rPr>
            </w:pPr>
            <w:r w:rsidRPr="00AA6603">
              <w:rPr>
                <w:rStyle w:val="Strong"/>
                <w:rFonts w:cstheme="minorHAnsi"/>
                <w:b w:val="0"/>
                <w:color w:val="FFFFFF" w:themeColor="background1"/>
                <w:szCs w:val="22"/>
              </w:rPr>
              <w:t>School age</w:t>
            </w:r>
          </w:p>
        </w:tc>
      </w:tr>
      <w:tr w:rsidR="00C01E92" w:rsidRPr="00AA6603" w14:paraId="58038C5F" w14:textId="77777777" w:rsidTr="00AA6603">
        <w:trPr>
          <w:trHeight w:val="90"/>
        </w:trPr>
        <w:tc>
          <w:tcPr>
            <w:cnfStyle w:val="001000000000" w:firstRow="0" w:lastRow="0" w:firstColumn="1" w:lastColumn="0" w:oddVBand="0" w:evenVBand="0" w:oddHBand="0" w:evenHBand="0" w:firstRowFirstColumn="0" w:firstRowLastColumn="0" w:lastRowFirstColumn="0" w:lastRowLastColumn="0"/>
            <w:tcW w:w="1022" w:type="pct"/>
            <w:vMerge/>
          </w:tcPr>
          <w:p w14:paraId="05A3AFF7" w14:textId="77777777" w:rsidR="00C01E92" w:rsidRPr="00AA6603" w:rsidRDefault="00C01E92" w:rsidP="00090AF4">
            <w:pPr>
              <w:spacing w:after="60"/>
              <w:rPr>
                <w:rStyle w:val="Strong"/>
                <w:rFonts w:cstheme="minorHAnsi"/>
                <w:b w:val="0"/>
                <w:szCs w:val="22"/>
              </w:rPr>
            </w:pPr>
          </w:p>
        </w:tc>
        <w:tc>
          <w:tcPr>
            <w:tcW w:w="1096" w:type="pct"/>
          </w:tcPr>
          <w:p w14:paraId="73A24269" w14:textId="77777777" w:rsidR="00C01E92" w:rsidRPr="00AA6603" w:rsidRDefault="00C01E92" w:rsidP="00090AF4">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i/>
                <w:szCs w:val="22"/>
              </w:rPr>
            </w:pPr>
            <w:r w:rsidRPr="00AA6603">
              <w:rPr>
                <w:rStyle w:val="Strong"/>
                <w:rFonts w:cstheme="minorHAnsi"/>
                <w:b w:val="0"/>
                <w:i/>
                <w:szCs w:val="22"/>
              </w:rPr>
              <w:t>Educator</w:t>
            </w:r>
          </w:p>
        </w:tc>
        <w:tc>
          <w:tcPr>
            <w:tcW w:w="1021" w:type="pct"/>
          </w:tcPr>
          <w:p w14:paraId="32DAB260" w14:textId="77777777" w:rsidR="00C01E92" w:rsidRPr="00AA6603" w:rsidRDefault="00C01E92" w:rsidP="00090AF4">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1:4</w:t>
            </w:r>
          </w:p>
        </w:tc>
        <w:tc>
          <w:tcPr>
            <w:tcW w:w="930" w:type="pct"/>
          </w:tcPr>
          <w:p w14:paraId="0AF9ED03" w14:textId="77777777" w:rsidR="00C01E92" w:rsidRPr="00AA6603" w:rsidRDefault="00C01E92" w:rsidP="00090AF4">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1:11</w:t>
            </w:r>
          </w:p>
        </w:tc>
        <w:tc>
          <w:tcPr>
            <w:tcW w:w="931" w:type="pct"/>
            <w:gridSpan w:val="2"/>
          </w:tcPr>
          <w:p w14:paraId="3106414A" w14:textId="77777777" w:rsidR="00C01E92" w:rsidRPr="00AA6603" w:rsidRDefault="00C01E92" w:rsidP="00090AF4">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1:15</w:t>
            </w:r>
          </w:p>
        </w:tc>
      </w:tr>
    </w:tbl>
    <w:p w14:paraId="1B2D0636" w14:textId="4359349C" w:rsidR="00C01E92" w:rsidRPr="000107A9" w:rsidRDefault="00C01E92" w:rsidP="00FE43F9">
      <w:pPr>
        <w:pStyle w:val="Heading3"/>
      </w:pPr>
      <w:bookmarkStart w:id="111" w:name="_Toc32936873"/>
      <w:r w:rsidRPr="000107A9">
        <w:t xml:space="preserve">D. </w:t>
      </w:r>
      <w:r w:rsidR="00AA6603">
        <w:t>S</w:t>
      </w:r>
      <w:r w:rsidRPr="000107A9">
        <w:t>afety, health and wellbeing of children</w:t>
      </w:r>
      <w:bookmarkEnd w:id="111"/>
    </w:p>
    <w:p w14:paraId="2953F619" w14:textId="77777777" w:rsidR="00C01E92" w:rsidRPr="000107A9" w:rsidRDefault="00C01E92" w:rsidP="00C01E92">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b/>
          <w:sz w:val="22"/>
          <w:szCs w:val="22"/>
        </w:rPr>
        <w:t>Option D.1. Status Quo</w:t>
      </w:r>
    </w:p>
    <w:p w14:paraId="1514E491"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Under this option, the Regulations include standalone requirements designed to promote the safety, health and wellbeing of children attending services.</w:t>
      </w:r>
    </w:p>
    <w:p w14:paraId="5D62B8DE" w14:textId="77777777" w:rsidR="00514C50" w:rsidRDefault="00514C50">
      <w:pPr>
        <w:spacing w:after="0"/>
        <w:rPr>
          <w:rFonts w:ascii="Arial Narrow" w:eastAsia="Times New Roman" w:hAnsi="Arial Narrow" w:cs="Times New Roman"/>
          <w:bCs/>
          <w:color w:val="000000" w:themeColor="text1"/>
          <w:szCs w:val="18"/>
          <w:lang w:val="en-AU"/>
        </w:rPr>
      </w:pPr>
      <w:r>
        <w:br w:type="page"/>
      </w:r>
    </w:p>
    <w:p w14:paraId="5D914D17" w14:textId="5288E8E9" w:rsidR="00C01E92" w:rsidRPr="000107A9" w:rsidRDefault="00C01E92" w:rsidP="00F7569F">
      <w:pPr>
        <w:pStyle w:val="Caption"/>
      </w:pPr>
      <w:bookmarkStart w:id="112" w:name="_Toc32592790"/>
      <w:r w:rsidRPr="000107A9">
        <w:lastRenderedPageBreak/>
        <w:t xml:space="preserve">Table </w:t>
      </w:r>
      <w:r w:rsidRPr="000107A9">
        <w:fldChar w:fldCharType="begin"/>
      </w:r>
      <w:r w:rsidRPr="000107A9">
        <w:instrText xml:space="preserve"> SEQ Table \* ARABIC </w:instrText>
      </w:r>
      <w:r w:rsidRPr="000107A9">
        <w:fldChar w:fldCharType="separate"/>
      </w:r>
      <w:r w:rsidR="00493211">
        <w:rPr>
          <w:noProof/>
        </w:rPr>
        <w:t>7</w:t>
      </w:r>
      <w:r w:rsidRPr="000107A9">
        <w:fldChar w:fldCharType="end"/>
      </w:r>
      <w:r w:rsidRPr="000107A9">
        <w:t xml:space="preserve"> Option D.1. Status Quo – Safety, Health and Wellbeing</w:t>
      </w:r>
      <w:r w:rsidR="00247217">
        <w:t xml:space="preserve"> of children</w:t>
      </w:r>
      <w:bookmarkEnd w:id="112"/>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969"/>
        <w:gridCol w:w="7653"/>
      </w:tblGrid>
      <w:tr w:rsidR="00C01E92" w:rsidRPr="00AA6603" w14:paraId="615CBBF7" w14:textId="77777777" w:rsidTr="00071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pct"/>
            <w:tcBorders>
              <w:bottom w:val="single" w:sz="4" w:space="0" w:color="004EA8" w:themeColor="accent1"/>
              <w:right w:val="none" w:sz="0" w:space="0" w:color="auto"/>
            </w:tcBorders>
            <w:hideMark/>
          </w:tcPr>
          <w:p w14:paraId="2A4750F6" w14:textId="77777777" w:rsidR="00C01E92" w:rsidRPr="00AA6603" w:rsidRDefault="00C01E92" w:rsidP="00AA6603">
            <w:pPr>
              <w:spacing w:after="60"/>
              <w:rPr>
                <w:rStyle w:val="Strong"/>
                <w:rFonts w:cstheme="minorHAnsi"/>
                <w:b/>
                <w:szCs w:val="22"/>
              </w:rPr>
            </w:pPr>
            <w:r w:rsidRPr="00AA6603">
              <w:rPr>
                <w:rStyle w:val="Strong"/>
                <w:rFonts w:cstheme="minorHAnsi"/>
                <w:b/>
                <w:szCs w:val="22"/>
              </w:rPr>
              <w:t>Subject</w:t>
            </w:r>
          </w:p>
        </w:tc>
        <w:tc>
          <w:tcPr>
            <w:tcW w:w="3977" w:type="pct"/>
            <w:tcBorders>
              <w:left w:val="none" w:sz="0" w:space="0" w:color="auto"/>
              <w:bottom w:val="single" w:sz="4" w:space="0" w:color="004EA8" w:themeColor="accent1"/>
            </w:tcBorders>
            <w:hideMark/>
          </w:tcPr>
          <w:p w14:paraId="0CF9AC89" w14:textId="77777777" w:rsidR="00C01E92" w:rsidRPr="00AA6603" w:rsidRDefault="00C01E92" w:rsidP="00AA6603">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A6603">
              <w:rPr>
                <w:rStyle w:val="Strong"/>
                <w:rFonts w:cstheme="minorHAnsi"/>
                <w:b/>
                <w:szCs w:val="22"/>
              </w:rPr>
              <w:t>Details in the Regulations</w:t>
            </w:r>
          </w:p>
        </w:tc>
      </w:tr>
      <w:tr w:rsidR="00C01E92" w:rsidRPr="00376BA7" w14:paraId="6B578785" w14:textId="77777777" w:rsidTr="00071545">
        <w:tc>
          <w:tcPr>
            <w:cnfStyle w:val="001000000000" w:firstRow="0" w:lastRow="0" w:firstColumn="1" w:lastColumn="0" w:oddVBand="0" w:evenVBand="0" w:oddHBand="0" w:evenHBand="0" w:firstRowFirstColumn="0" w:firstRowLastColumn="0" w:lastRowFirstColumn="0" w:lastRowLastColumn="0"/>
            <w:tcW w:w="1023" w:type="pct"/>
            <w:tcBorders>
              <w:bottom w:val="single" w:sz="4" w:space="0" w:color="004EA8" w:themeColor="accent1"/>
            </w:tcBorders>
          </w:tcPr>
          <w:p w14:paraId="3DA3D569" w14:textId="77777777" w:rsidR="00C01E92" w:rsidRPr="00AA6603" w:rsidRDefault="00C01E92" w:rsidP="00AA6603">
            <w:pPr>
              <w:spacing w:after="60"/>
              <w:rPr>
                <w:rStyle w:val="Strong"/>
                <w:rFonts w:cstheme="minorHAnsi"/>
                <w:b w:val="0"/>
                <w:szCs w:val="22"/>
              </w:rPr>
            </w:pPr>
            <w:r w:rsidRPr="00AA6603">
              <w:rPr>
                <w:rStyle w:val="Strong"/>
                <w:rFonts w:cstheme="minorHAnsi"/>
                <w:b w:val="0"/>
                <w:szCs w:val="22"/>
              </w:rPr>
              <w:t>Safety, health and wellbeing of children</w:t>
            </w:r>
          </w:p>
        </w:tc>
        <w:tc>
          <w:tcPr>
            <w:tcW w:w="3977" w:type="pct"/>
            <w:tcBorders>
              <w:bottom w:val="single" w:sz="4" w:space="0" w:color="004EA8" w:themeColor="accent1"/>
            </w:tcBorders>
          </w:tcPr>
          <w:p w14:paraId="513EFF73" w14:textId="77777777" w:rsidR="00C01E92" w:rsidRPr="00AA6603" w:rsidRDefault="00C01E92" w:rsidP="00AA6603">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Service providers are required to ensure that:</w:t>
            </w:r>
          </w:p>
          <w:p w14:paraId="78DAC49A" w14:textId="77777777" w:rsidR="00C01E92" w:rsidRPr="00AA6603" w:rsidRDefault="00C01E92" w:rsidP="00AA6603">
            <w:pPr>
              <w:pStyle w:val="EYBodytextwithparaspace"/>
              <w:numPr>
                <w:ilvl w:val="0"/>
                <w:numId w:val="20"/>
              </w:numPr>
              <w:spacing w:after="60"/>
              <w:ind w:left="460" w:hanging="283"/>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parents and guardians are able to access the service premises and exchange information with staff about their children</w:t>
            </w:r>
          </w:p>
          <w:p w14:paraId="7BB54260" w14:textId="77777777" w:rsidR="00C01E92" w:rsidRPr="00AA6603" w:rsidRDefault="00C01E92" w:rsidP="00AA6603">
            <w:pPr>
              <w:pStyle w:val="EYBodytextwithparaspace"/>
              <w:numPr>
                <w:ilvl w:val="0"/>
                <w:numId w:val="20"/>
              </w:numPr>
              <w:spacing w:after="60"/>
              <w:ind w:left="460" w:hanging="283"/>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children are not given into the care of any person without lawful authority to collect them from the service</w:t>
            </w:r>
          </w:p>
          <w:p w14:paraId="73C05595" w14:textId="77777777" w:rsidR="00C01E92" w:rsidRPr="00AA6603" w:rsidRDefault="00C01E92" w:rsidP="00AA6603">
            <w:pPr>
              <w:pStyle w:val="EYBodytextwithparaspace"/>
              <w:numPr>
                <w:ilvl w:val="0"/>
                <w:numId w:val="20"/>
              </w:numPr>
              <w:spacing w:after="60"/>
              <w:ind w:left="460" w:hanging="283"/>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service staff don’t take children on excursions without lawful authorisation (as detailed in the Regulation)</w:t>
            </w:r>
          </w:p>
          <w:p w14:paraId="34A026F2" w14:textId="77777777" w:rsidR="00C01E92" w:rsidRPr="00AA6603" w:rsidRDefault="00C01E92" w:rsidP="00AA6603">
            <w:pPr>
              <w:pStyle w:val="EYBodytextwithparaspace"/>
              <w:numPr>
                <w:ilvl w:val="0"/>
                <w:numId w:val="20"/>
              </w:numPr>
              <w:spacing w:after="60"/>
              <w:ind w:left="460" w:hanging="283"/>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staff members taking children on excursions are properly equipped and have conducted a risk assessment</w:t>
            </w:r>
          </w:p>
          <w:p w14:paraId="7F02E874" w14:textId="77777777" w:rsidR="00C01E92" w:rsidRPr="00AA6603" w:rsidRDefault="00C01E92" w:rsidP="00AA6603">
            <w:pPr>
              <w:pStyle w:val="EYBodytextwithparaspace"/>
              <w:numPr>
                <w:ilvl w:val="0"/>
                <w:numId w:val="20"/>
              </w:numPr>
              <w:spacing w:after="60"/>
              <w:ind w:left="460" w:hanging="283"/>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emergency procedures are developed and practised by staff and volunteers</w:t>
            </w:r>
          </w:p>
          <w:p w14:paraId="2D9CA27A" w14:textId="77777777" w:rsidR="00C01E92" w:rsidRPr="00AA6603" w:rsidRDefault="00C01E92" w:rsidP="00AA6603">
            <w:pPr>
              <w:pStyle w:val="EYBodytextwithparaspace"/>
              <w:numPr>
                <w:ilvl w:val="0"/>
                <w:numId w:val="20"/>
              </w:numPr>
              <w:spacing w:after="60"/>
              <w:ind w:left="460" w:hanging="283"/>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staff have ready access to a telephone</w:t>
            </w:r>
          </w:p>
          <w:p w14:paraId="6D11F15E" w14:textId="77777777" w:rsidR="00C01E92" w:rsidRPr="00AA6603" w:rsidRDefault="00C01E92" w:rsidP="00AA6603">
            <w:pPr>
              <w:pStyle w:val="EYBodytextwithparaspace"/>
              <w:numPr>
                <w:ilvl w:val="0"/>
                <w:numId w:val="20"/>
              </w:numPr>
              <w:spacing w:after="60"/>
              <w:ind w:left="460" w:hanging="283"/>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the personal hygiene needs of children are attended to as soon as practicable</w:t>
            </w:r>
            <w:r w:rsidRPr="00AA6603">
              <w:rPr>
                <w:rStyle w:val="FootnoteReference"/>
                <w:rFonts w:ascii="Arial Narrow" w:hAnsi="Arial Narrow" w:cstheme="minorHAnsi"/>
                <w:color w:val="auto"/>
                <w:sz w:val="22"/>
                <w:szCs w:val="22"/>
              </w:rPr>
              <w:footnoteReference w:id="37"/>
            </w:r>
          </w:p>
          <w:p w14:paraId="64659530" w14:textId="77777777" w:rsidR="00C01E92" w:rsidRPr="00AA6603" w:rsidRDefault="00C01E92" w:rsidP="00AA6603">
            <w:pPr>
              <w:pStyle w:val="EYBodytextwithparaspace"/>
              <w:numPr>
                <w:ilvl w:val="0"/>
                <w:numId w:val="20"/>
              </w:numPr>
              <w:spacing w:after="60"/>
              <w:ind w:left="460" w:hanging="283"/>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children have access to fresh drinking water</w:t>
            </w:r>
          </w:p>
          <w:p w14:paraId="28193DF6" w14:textId="77777777" w:rsidR="00C01E92" w:rsidRPr="00AA6603" w:rsidRDefault="00C01E92" w:rsidP="00AA6603">
            <w:pPr>
              <w:pStyle w:val="EYBodytextwithparaspace"/>
              <w:numPr>
                <w:ilvl w:val="0"/>
                <w:numId w:val="20"/>
              </w:numPr>
              <w:spacing w:after="60"/>
              <w:ind w:left="460" w:hanging="283"/>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suitable, regular and uncontaminated food and beverages are provided</w:t>
            </w:r>
          </w:p>
          <w:p w14:paraId="6B6AD2F1" w14:textId="77777777" w:rsidR="00C01E92" w:rsidRPr="00AA6603" w:rsidRDefault="00C01E92" w:rsidP="00AA6603">
            <w:pPr>
              <w:pStyle w:val="EYBodytextwithparaspace"/>
              <w:numPr>
                <w:ilvl w:val="0"/>
                <w:numId w:val="20"/>
              </w:numPr>
              <w:spacing w:after="60"/>
              <w:ind w:left="460" w:hanging="283"/>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if food is served, a weekly menu is displayed and the food is nutritious, varied and adequate in quantity</w:t>
            </w:r>
          </w:p>
          <w:p w14:paraId="7C2B59D0" w14:textId="77777777" w:rsidR="00C01E92" w:rsidRPr="00AA6603" w:rsidRDefault="00C01E92" w:rsidP="00AA6603">
            <w:pPr>
              <w:pStyle w:val="EYBodytextwithparaspace"/>
              <w:numPr>
                <w:ilvl w:val="0"/>
                <w:numId w:val="20"/>
              </w:numPr>
              <w:spacing w:after="60"/>
              <w:ind w:left="460" w:hanging="283"/>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children are cared for in a smoke-free environment</w:t>
            </w:r>
          </w:p>
          <w:p w14:paraId="262180EB" w14:textId="77777777" w:rsidR="00C01E92" w:rsidRPr="00AA6603" w:rsidRDefault="00C01E92" w:rsidP="00AA6603">
            <w:pPr>
              <w:pStyle w:val="EYBodytextwithparaspace"/>
              <w:numPr>
                <w:ilvl w:val="0"/>
                <w:numId w:val="20"/>
              </w:numPr>
              <w:spacing w:after="60"/>
              <w:ind w:left="460" w:hanging="283"/>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there is a first aid kit at the premises and appropriate first aid is provided</w:t>
            </w:r>
          </w:p>
          <w:p w14:paraId="6E5B70B0" w14:textId="77777777" w:rsidR="00C01E92" w:rsidRPr="00AA6603" w:rsidRDefault="00C01E92" w:rsidP="00AA6603">
            <w:pPr>
              <w:pStyle w:val="EYBodytextwithparaspace"/>
              <w:numPr>
                <w:ilvl w:val="0"/>
                <w:numId w:val="20"/>
              </w:numPr>
              <w:spacing w:after="60"/>
              <w:ind w:left="460" w:hanging="283"/>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the service has an anaphylaxis management policy including:</w:t>
            </w:r>
          </w:p>
          <w:p w14:paraId="44FF0E6B" w14:textId="77777777" w:rsidR="00C01E92" w:rsidRPr="00AA6603" w:rsidRDefault="00C01E92" w:rsidP="00AA6603">
            <w:pPr>
              <w:pStyle w:val="EYBodytextwithparaspace"/>
              <w:numPr>
                <w:ilvl w:val="1"/>
                <w:numId w:val="20"/>
              </w:numPr>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procedures for training staff</w:t>
            </w:r>
          </w:p>
          <w:p w14:paraId="07D8E9BA" w14:textId="5FC290D7" w:rsidR="00C01E92" w:rsidRPr="00AA6603" w:rsidRDefault="00C01E92" w:rsidP="00AA6603">
            <w:pPr>
              <w:pStyle w:val="EYBodytextwithparaspace"/>
              <w:numPr>
                <w:ilvl w:val="1"/>
                <w:numId w:val="20"/>
              </w:numPr>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 xml:space="preserve">practices and policies to ensure compliance with requirements around keeping allergy records and management plans, relevant staff training, displaying notice that a child at risk of anaphylaxis attends the service and management and </w:t>
            </w:r>
            <w:r w:rsidR="00410B86">
              <w:rPr>
                <w:rFonts w:ascii="Arial Narrow" w:hAnsi="Arial Narrow" w:cstheme="minorHAnsi"/>
                <w:sz w:val="22"/>
                <w:szCs w:val="22"/>
              </w:rPr>
              <w:t>ad</w:t>
            </w:r>
            <w:r w:rsidRPr="00AA6603">
              <w:rPr>
                <w:rFonts w:ascii="Arial Narrow" w:hAnsi="Arial Narrow" w:cstheme="minorHAnsi"/>
                <w:sz w:val="22"/>
                <w:szCs w:val="22"/>
              </w:rPr>
              <w:t>ministration of medicine</w:t>
            </w:r>
          </w:p>
          <w:p w14:paraId="278B49A8" w14:textId="77777777" w:rsidR="00C01E92" w:rsidRPr="00AA6603" w:rsidRDefault="00C01E92" w:rsidP="00AA6603">
            <w:pPr>
              <w:pStyle w:val="EYBodytextwithparaspace"/>
              <w:numPr>
                <w:ilvl w:val="1"/>
                <w:numId w:val="20"/>
              </w:numPr>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requirement that risk minimisation plans for each affected child have been developed by the service in consultation with the child’s parents, which includes:</w:t>
            </w:r>
          </w:p>
          <w:p w14:paraId="259577A4" w14:textId="77777777" w:rsidR="00C01E92" w:rsidRPr="00AA6603" w:rsidRDefault="00C01E92" w:rsidP="00AA6603">
            <w:pPr>
              <w:pStyle w:val="EYBodytextwithparaspace"/>
              <w:numPr>
                <w:ilvl w:val="2"/>
                <w:numId w:val="20"/>
              </w:numPr>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an assessment of the risks of anaphylaxis to the child at the service and how those risks can be minimised, reviewed and documented</w:t>
            </w:r>
          </w:p>
          <w:p w14:paraId="721B9E99" w14:textId="77777777" w:rsidR="00C01E92" w:rsidRPr="00AA6603" w:rsidRDefault="00C01E92" w:rsidP="00AA6603">
            <w:pPr>
              <w:pStyle w:val="EYBodytextwithparaspace"/>
              <w:numPr>
                <w:ilvl w:val="2"/>
                <w:numId w:val="20"/>
              </w:numPr>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practices and procedures to minimise those risks</w:t>
            </w:r>
          </w:p>
          <w:p w14:paraId="28A0537D" w14:textId="77777777" w:rsidR="00C01E92" w:rsidRPr="00AA6603" w:rsidRDefault="00C01E92" w:rsidP="00AA6603">
            <w:pPr>
              <w:pStyle w:val="EYBodytextwithparaspace"/>
              <w:numPr>
                <w:ilvl w:val="2"/>
                <w:numId w:val="20"/>
              </w:numPr>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practices and procedures regarding the safe handling and preparation of food (if relevant)</w:t>
            </w:r>
          </w:p>
          <w:p w14:paraId="29AF9849" w14:textId="77777777" w:rsidR="00C01E92" w:rsidRPr="00AA6603" w:rsidRDefault="00C01E92" w:rsidP="00AA6603">
            <w:pPr>
              <w:pStyle w:val="EYBodytextwithparaspace"/>
              <w:numPr>
                <w:ilvl w:val="2"/>
                <w:numId w:val="20"/>
              </w:numPr>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practices and procedures for ensuring that all parents and guardians of children at the service are notified of the known allergens and risk minimisation strategies</w:t>
            </w:r>
          </w:p>
          <w:p w14:paraId="5071F2FF" w14:textId="77777777" w:rsidR="00C01E92" w:rsidRPr="00AA6603" w:rsidRDefault="00C01E92" w:rsidP="00AA6603">
            <w:pPr>
              <w:pStyle w:val="EYBodytextwithparaspace"/>
              <w:numPr>
                <w:ilvl w:val="2"/>
                <w:numId w:val="20"/>
              </w:numPr>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means to ensure each staff member can identify the child and is familiar with their allergies, medical management plan and the location of their medicine</w:t>
            </w:r>
          </w:p>
          <w:p w14:paraId="4AC9761F" w14:textId="77777777" w:rsidR="00410B86" w:rsidRPr="00AA6603" w:rsidRDefault="00410B86" w:rsidP="00410B86">
            <w:pPr>
              <w:pStyle w:val="EYBodytextwithparaspace"/>
              <w:numPr>
                <w:ilvl w:val="1"/>
                <w:numId w:val="20"/>
              </w:numPr>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lastRenderedPageBreak/>
              <w:t>requirement that the service obtain a medical management plan from the parents of each relevant child, which:</w:t>
            </w:r>
          </w:p>
          <w:p w14:paraId="2DC5535D" w14:textId="77777777" w:rsidR="00410B86" w:rsidRPr="00AA6603" w:rsidRDefault="00410B86" w:rsidP="00410B86">
            <w:pPr>
              <w:pStyle w:val="EYBodytextwithparaspace"/>
              <w:numPr>
                <w:ilvl w:val="2"/>
                <w:numId w:val="20"/>
              </w:numPr>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is individualised to the child</w:t>
            </w:r>
          </w:p>
          <w:p w14:paraId="061BD0EF" w14:textId="77777777" w:rsidR="00410B86" w:rsidRPr="00AA6603" w:rsidRDefault="00410B86" w:rsidP="00410B86">
            <w:pPr>
              <w:pStyle w:val="EYBodytextwithparaspace"/>
              <w:numPr>
                <w:ilvl w:val="2"/>
                <w:numId w:val="20"/>
              </w:numPr>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is signed by the child’s treating doctor</w:t>
            </w:r>
          </w:p>
          <w:p w14:paraId="742B1280" w14:textId="77777777" w:rsidR="00410B86" w:rsidRPr="00AA6603" w:rsidRDefault="00410B86" w:rsidP="00410B86">
            <w:pPr>
              <w:pStyle w:val="EYBodytextwithparaspace"/>
              <w:numPr>
                <w:ilvl w:val="2"/>
                <w:numId w:val="20"/>
              </w:numPr>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describes the child’s prescribed medication</w:t>
            </w:r>
          </w:p>
          <w:p w14:paraId="3371A2C0" w14:textId="77777777" w:rsidR="00410B86" w:rsidRPr="00AA6603" w:rsidRDefault="00410B86" w:rsidP="00410B86">
            <w:pPr>
              <w:pStyle w:val="EYBodytextwithparaspace"/>
              <w:numPr>
                <w:ilvl w:val="1"/>
                <w:numId w:val="20"/>
              </w:numPr>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requirement that the management plan must be followed for any child who has an anaphylactic episode at the service</w:t>
            </w:r>
          </w:p>
          <w:p w14:paraId="297D691B" w14:textId="77777777" w:rsidR="00410B86" w:rsidRPr="00AA6603" w:rsidRDefault="00410B86" w:rsidP="00410B86">
            <w:pPr>
              <w:pStyle w:val="EYBodytextwithparaspace"/>
              <w:numPr>
                <w:ilvl w:val="1"/>
                <w:numId w:val="20"/>
              </w:numPr>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a communication plan, including policies to ensure that:</w:t>
            </w:r>
          </w:p>
          <w:p w14:paraId="4B3603FB" w14:textId="77777777" w:rsidR="00410B86" w:rsidRPr="00AA6603" w:rsidRDefault="00410B86" w:rsidP="00410B86">
            <w:pPr>
              <w:pStyle w:val="EYBodytextwithparaspace"/>
              <w:numPr>
                <w:ilvl w:val="2"/>
                <w:numId w:val="20"/>
              </w:numPr>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all staff and parents or guardians of children at the service are informed about anaphylaxis management at the service</w:t>
            </w:r>
          </w:p>
          <w:p w14:paraId="72437F7C" w14:textId="77777777" w:rsidR="00410B86" w:rsidRPr="00AA6603" w:rsidRDefault="00410B86" w:rsidP="00410B86">
            <w:pPr>
              <w:pStyle w:val="EYBodytextwithparaspace"/>
              <w:numPr>
                <w:ilvl w:val="2"/>
                <w:numId w:val="20"/>
              </w:numPr>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a parent or guardian of a child at risk of anaphylaxis can communicate with staff about any changes required to the child’s risk minimisation and medical management plans</w:t>
            </w:r>
          </w:p>
          <w:p w14:paraId="1C62B9F3" w14:textId="77777777" w:rsidR="00410B86" w:rsidRDefault="00410B86" w:rsidP="00071545">
            <w:pPr>
              <w:pStyle w:val="EYBodytextwithparaspace"/>
              <w:numPr>
                <w:ilvl w:val="0"/>
                <w:numId w:val="20"/>
              </w:numPr>
              <w:spacing w:after="60"/>
              <w:ind w:left="460" w:hanging="283"/>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all staff are familiar with the risk minimisation and medical management plans of all relevant children at the service</w:t>
            </w:r>
          </w:p>
          <w:p w14:paraId="12EE2DC8" w14:textId="77777777" w:rsidR="00071545" w:rsidRPr="00AA6603" w:rsidRDefault="00071545" w:rsidP="00071545">
            <w:pPr>
              <w:pStyle w:val="EYBodytextwithparaspace"/>
              <w:numPr>
                <w:ilvl w:val="0"/>
                <w:numId w:val="20"/>
              </w:numPr>
              <w:spacing w:after="60"/>
              <w:ind w:left="460" w:hanging="283"/>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all staff members counted in staff to child ratios or as part of the minimum staff number requirement have completed training in:</w:t>
            </w:r>
          </w:p>
          <w:p w14:paraId="565F2054" w14:textId="77777777" w:rsidR="00071545" w:rsidRPr="00AA6603" w:rsidRDefault="00071545" w:rsidP="00071545">
            <w:pPr>
              <w:pStyle w:val="EYBodytextwithparaspace"/>
              <w:numPr>
                <w:ilvl w:val="1"/>
                <w:numId w:val="20"/>
              </w:numPr>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First aid</w:t>
            </w:r>
          </w:p>
          <w:p w14:paraId="1A682C15" w14:textId="77777777" w:rsidR="00071545" w:rsidRPr="00AA6603" w:rsidRDefault="00071545" w:rsidP="00071545">
            <w:pPr>
              <w:pStyle w:val="EYBodytextwithparaspace"/>
              <w:numPr>
                <w:ilvl w:val="1"/>
                <w:numId w:val="20"/>
              </w:numPr>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Anaphylaxis management</w:t>
            </w:r>
          </w:p>
          <w:p w14:paraId="296FD4E2" w14:textId="77777777" w:rsidR="00071545" w:rsidRPr="00AA6603" w:rsidRDefault="00071545" w:rsidP="00071545">
            <w:pPr>
              <w:pStyle w:val="EYBodytextwithparaspace"/>
              <w:numPr>
                <w:ilvl w:val="1"/>
                <w:numId w:val="20"/>
              </w:numPr>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Administration of the adrenaline auto-injection device</w:t>
            </w:r>
          </w:p>
          <w:p w14:paraId="42469EDE" w14:textId="77777777" w:rsidR="00071545" w:rsidRPr="00AA6603" w:rsidRDefault="00071545" w:rsidP="00071545">
            <w:pPr>
              <w:pStyle w:val="EYBodytextwithparaspace"/>
              <w:numPr>
                <w:ilvl w:val="1"/>
                <w:numId w:val="20"/>
              </w:numPr>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CPR</w:t>
            </w:r>
          </w:p>
          <w:p w14:paraId="2A499067" w14:textId="77777777" w:rsidR="00071545" w:rsidRPr="00AA6603" w:rsidRDefault="00071545" w:rsidP="00071545">
            <w:pPr>
              <w:pStyle w:val="EYBodytextwithparaspace"/>
              <w:numPr>
                <w:ilvl w:val="0"/>
                <w:numId w:val="20"/>
              </w:numPr>
              <w:spacing w:after="60"/>
              <w:ind w:left="460" w:hanging="283"/>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Fonts w:ascii="Arial Narrow" w:hAnsi="Arial Narrow" w:cstheme="minorHAnsi"/>
                <w:sz w:val="22"/>
                <w:szCs w:val="22"/>
              </w:rPr>
              <w:t>parents are notified as soon as practicable if their child becomes sick or is injured</w:t>
            </w:r>
          </w:p>
          <w:p w14:paraId="3E840F9B" w14:textId="63358C84" w:rsidR="00071545" w:rsidRPr="00AA6603" w:rsidRDefault="00071545" w:rsidP="00071545">
            <w:pPr>
              <w:pStyle w:val="EYBodytextwithparaspace"/>
              <w:numPr>
                <w:ilvl w:val="0"/>
                <w:numId w:val="20"/>
              </w:numPr>
              <w:spacing w:after="60"/>
              <w:ind w:left="460" w:hanging="283"/>
              <w:cnfStyle w:val="000000000000" w:firstRow="0" w:lastRow="0" w:firstColumn="0" w:lastColumn="0" w:oddVBand="0" w:evenVBand="0" w:oddHBand="0" w:evenHBand="0" w:firstRowFirstColumn="0" w:firstRowLastColumn="0" w:lastRowFirstColumn="0" w:lastRowLastColumn="0"/>
              <w:rPr>
                <w:rStyle w:val="Strong"/>
                <w:rFonts w:ascii="Arial Narrow" w:hAnsi="Arial Narrow" w:cstheme="minorHAnsi"/>
                <w:b w:val="0"/>
                <w:bCs w:val="0"/>
                <w:sz w:val="22"/>
                <w:szCs w:val="22"/>
              </w:rPr>
            </w:pPr>
            <w:r w:rsidRPr="00AA6603">
              <w:rPr>
                <w:rFonts w:ascii="Arial Narrow" w:hAnsi="Arial Narrow" w:cstheme="minorHAnsi"/>
                <w:sz w:val="22"/>
                <w:szCs w:val="22"/>
              </w:rPr>
              <w:t>parents are notified of any infectious disease which occurs</w:t>
            </w:r>
          </w:p>
        </w:tc>
      </w:tr>
    </w:tbl>
    <w:p w14:paraId="6EC6E2FA" w14:textId="77777777" w:rsidR="00C01E92" w:rsidRPr="000107A9" w:rsidRDefault="00C01E92" w:rsidP="00C01E92">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b/>
          <w:sz w:val="22"/>
          <w:szCs w:val="22"/>
        </w:rPr>
        <w:lastRenderedPageBreak/>
        <w:t>Option D.2. Alignment</w:t>
      </w:r>
    </w:p>
    <w:p w14:paraId="4277D21F" w14:textId="1E2B4FBC" w:rsidR="00475999" w:rsidRDefault="00C01E92" w:rsidP="00475999">
      <w:pPr>
        <w:pStyle w:val="EYBodytextwithparaspace"/>
        <w:spacing w:before="120" w:after="120"/>
        <w:rPr>
          <w:rFonts w:asciiTheme="minorHAnsi" w:hAnsiTheme="minorHAnsi" w:cstheme="minorHAnsi"/>
          <w:sz w:val="22"/>
          <w:szCs w:val="22"/>
        </w:rPr>
      </w:pPr>
      <w:bookmarkStart w:id="113" w:name="_Hlk22630578"/>
      <w:r w:rsidRPr="000107A9">
        <w:rPr>
          <w:rFonts w:asciiTheme="minorHAnsi" w:hAnsiTheme="minorHAnsi" w:cstheme="minorHAnsi"/>
          <w:sz w:val="22"/>
          <w:szCs w:val="22"/>
        </w:rPr>
        <w:t xml:space="preserve">Under this option, services are required to abide by the same regulatory requirements as outlined in Option D.1. Status Quo with four substantive changes, as outlined in </w:t>
      </w:r>
      <w:r w:rsidR="00AA6603">
        <w:rPr>
          <w:rFonts w:asciiTheme="minorHAnsi" w:hAnsiTheme="minorHAnsi" w:cstheme="minorHAnsi"/>
          <w:sz w:val="22"/>
          <w:szCs w:val="22"/>
        </w:rPr>
        <w:t>Table 8</w:t>
      </w:r>
      <w:r w:rsidRPr="000107A9">
        <w:rPr>
          <w:rFonts w:asciiTheme="minorHAnsi" w:hAnsiTheme="minorHAnsi" w:cstheme="minorHAnsi"/>
          <w:sz w:val="22"/>
          <w:szCs w:val="22"/>
        </w:rPr>
        <w:t xml:space="preserve"> below. </w:t>
      </w:r>
      <w:bookmarkStart w:id="114" w:name="_Ref24547716"/>
      <w:bookmarkEnd w:id="113"/>
    </w:p>
    <w:p w14:paraId="62C73646" w14:textId="52FAB115" w:rsidR="00C01E92" w:rsidRPr="00AA6603" w:rsidRDefault="00C01E92" w:rsidP="00AA6603">
      <w:pPr>
        <w:pStyle w:val="Caption"/>
      </w:pPr>
      <w:bookmarkStart w:id="115" w:name="_Toc32592791"/>
      <w:r w:rsidRPr="00AA6603">
        <w:t xml:space="preserve">Table </w:t>
      </w:r>
      <w:r w:rsidRPr="00AA6603">
        <w:fldChar w:fldCharType="begin"/>
      </w:r>
      <w:r w:rsidRPr="00AA6603">
        <w:instrText xml:space="preserve"> SEQ Table \* ARABIC </w:instrText>
      </w:r>
      <w:r w:rsidRPr="00AA6603">
        <w:fldChar w:fldCharType="separate"/>
      </w:r>
      <w:r w:rsidR="00493211">
        <w:rPr>
          <w:noProof/>
        </w:rPr>
        <w:t>8</w:t>
      </w:r>
      <w:r w:rsidRPr="00AA6603">
        <w:fldChar w:fldCharType="end"/>
      </w:r>
      <w:bookmarkEnd w:id="114"/>
      <w:r w:rsidR="00AA6603">
        <w:t xml:space="preserve"> </w:t>
      </w:r>
      <w:r w:rsidRPr="00AA6603">
        <w:t>Option D.2. Alignment – Safety, health and wellbeing</w:t>
      </w:r>
      <w:r w:rsidR="00247217">
        <w:t xml:space="preserve"> of children</w:t>
      </w:r>
      <w:bookmarkEnd w:id="115"/>
    </w:p>
    <w:tbl>
      <w:tblPr>
        <w:tblStyle w:val="TableGrid"/>
        <w:tblW w:w="0" w:type="auto"/>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2263"/>
        <w:gridCol w:w="7359"/>
      </w:tblGrid>
      <w:tr w:rsidR="00475999" w:rsidRPr="00AA6603" w14:paraId="13CA0DA4" w14:textId="77777777" w:rsidTr="00AA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one" w:sz="0" w:space="0" w:color="auto"/>
            </w:tcBorders>
          </w:tcPr>
          <w:p w14:paraId="5D19C854" w14:textId="294AAA92" w:rsidR="00475999" w:rsidRPr="00AA6603" w:rsidRDefault="00475999" w:rsidP="00AA6603">
            <w:pPr>
              <w:pStyle w:val="EYBodytextwithparaspace"/>
              <w:spacing w:after="60"/>
              <w:rPr>
                <w:rFonts w:ascii="Arial Narrow" w:hAnsi="Arial Narrow" w:cstheme="minorHAnsi"/>
                <w:b w:val="0"/>
                <w:sz w:val="22"/>
                <w:szCs w:val="22"/>
              </w:rPr>
            </w:pPr>
            <w:r w:rsidRPr="00AA6603">
              <w:rPr>
                <w:rStyle w:val="Strong"/>
                <w:rFonts w:ascii="Arial Narrow" w:hAnsi="Arial Narrow" w:cstheme="minorHAnsi"/>
                <w:b/>
                <w:sz w:val="22"/>
                <w:szCs w:val="22"/>
              </w:rPr>
              <w:t>Subject</w:t>
            </w:r>
          </w:p>
        </w:tc>
        <w:tc>
          <w:tcPr>
            <w:tcW w:w="7359" w:type="dxa"/>
            <w:tcBorders>
              <w:left w:val="none" w:sz="0" w:space="0" w:color="auto"/>
            </w:tcBorders>
          </w:tcPr>
          <w:p w14:paraId="412717D5" w14:textId="307E7935" w:rsidR="00475999" w:rsidRPr="00AA6603" w:rsidRDefault="00475999" w:rsidP="00AA6603">
            <w:pPr>
              <w:pStyle w:val="EYBodytextwithparaspace"/>
              <w:spacing w:after="60"/>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sz w:val="22"/>
                <w:szCs w:val="22"/>
              </w:rPr>
            </w:pPr>
            <w:r w:rsidRPr="00AA6603">
              <w:rPr>
                <w:rStyle w:val="Strong"/>
                <w:rFonts w:ascii="Arial Narrow" w:hAnsi="Arial Narrow" w:cstheme="minorHAnsi"/>
                <w:b/>
                <w:sz w:val="22"/>
                <w:szCs w:val="22"/>
              </w:rPr>
              <w:t>Details in the Regulations</w:t>
            </w:r>
          </w:p>
        </w:tc>
      </w:tr>
      <w:tr w:rsidR="00475999" w:rsidRPr="00AA6603" w14:paraId="1E85EA69" w14:textId="77777777" w:rsidTr="00AA6603">
        <w:tc>
          <w:tcPr>
            <w:cnfStyle w:val="001000000000" w:firstRow="0" w:lastRow="0" w:firstColumn="1" w:lastColumn="0" w:oddVBand="0" w:evenVBand="0" w:oddHBand="0" w:evenHBand="0" w:firstRowFirstColumn="0" w:firstRowLastColumn="0" w:lastRowFirstColumn="0" w:lastRowLastColumn="0"/>
            <w:tcW w:w="2263" w:type="dxa"/>
          </w:tcPr>
          <w:p w14:paraId="4979F617" w14:textId="4DFD4DB6" w:rsidR="00475999" w:rsidRPr="00AA6603" w:rsidRDefault="00475999" w:rsidP="00AA6603">
            <w:pPr>
              <w:pStyle w:val="EYBodytextwithparaspace"/>
              <w:spacing w:after="60"/>
              <w:rPr>
                <w:rStyle w:val="Strong"/>
                <w:rFonts w:ascii="Arial Narrow" w:eastAsiaTheme="minorHAnsi" w:hAnsi="Arial Narrow"/>
                <w:b w:val="0"/>
                <w:lang w:val="en-GB"/>
              </w:rPr>
            </w:pPr>
            <w:r w:rsidRPr="00AA6603">
              <w:rPr>
                <w:rStyle w:val="Strong"/>
                <w:rFonts w:ascii="Arial Narrow" w:eastAsiaTheme="minorHAnsi" w:hAnsi="Arial Narrow" w:cstheme="minorHAnsi"/>
                <w:b w:val="0"/>
                <w:sz w:val="22"/>
                <w:szCs w:val="22"/>
                <w:lang w:val="en-GB"/>
              </w:rPr>
              <w:t>First aid and other training</w:t>
            </w:r>
          </w:p>
        </w:tc>
        <w:tc>
          <w:tcPr>
            <w:tcW w:w="7359" w:type="dxa"/>
          </w:tcPr>
          <w:p w14:paraId="099B1EBB" w14:textId="77777777" w:rsidR="00475999" w:rsidRPr="00AA6603" w:rsidRDefault="00475999" w:rsidP="00AA6603">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All services must ensure that at least one educator on the premises has had the following training (and is currently certified):</w:t>
            </w:r>
          </w:p>
          <w:p w14:paraId="1EF696B8" w14:textId="77777777" w:rsidR="00475999" w:rsidRPr="00071545" w:rsidRDefault="00475999" w:rsidP="002806C5">
            <w:pPr>
              <w:pStyle w:val="ListParagraph"/>
              <w:numPr>
                <w:ilvl w:val="0"/>
                <w:numId w:val="102"/>
              </w:numPr>
              <w:autoSpaceDE w:val="0"/>
              <w:autoSpaceDN w:val="0"/>
              <w:adjustRightInd w:val="0"/>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071545">
              <w:rPr>
                <w:rStyle w:val="Strong"/>
                <w:rFonts w:cstheme="minorHAnsi"/>
                <w:b w:val="0"/>
                <w:szCs w:val="22"/>
              </w:rPr>
              <w:t>first aid</w:t>
            </w:r>
          </w:p>
          <w:p w14:paraId="522B5212" w14:textId="77777777" w:rsidR="00376BA7" w:rsidRPr="00071545" w:rsidRDefault="00475999" w:rsidP="002806C5">
            <w:pPr>
              <w:pStyle w:val="ListParagraph"/>
              <w:numPr>
                <w:ilvl w:val="0"/>
                <w:numId w:val="102"/>
              </w:numPr>
              <w:autoSpaceDE w:val="0"/>
              <w:autoSpaceDN w:val="0"/>
              <w:adjustRightInd w:val="0"/>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071545">
              <w:rPr>
                <w:rStyle w:val="Strong"/>
                <w:rFonts w:cstheme="minorHAnsi"/>
                <w:b w:val="0"/>
                <w:szCs w:val="22"/>
              </w:rPr>
              <w:t>anaphylaxis management</w:t>
            </w:r>
          </w:p>
          <w:p w14:paraId="66E29BF5" w14:textId="482F1AFE" w:rsidR="00475999" w:rsidRPr="00071545" w:rsidRDefault="00475999" w:rsidP="002806C5">
            <w:pPr>
              <w:pStyle w:val="ListParagraph"/>
              <w:numPr>
                <w:ilvl w:val="0"/>
                <w:numId w:val="102"/>
              </w:numPr>
              <w:autoSpaceDE w:val="0"/>
              <w:autoSpaceDN w:val="0"/>
              <w:adjustRightInd w:val="0"/>
              <w:spacing w:after="60"/>
              <w:cnfStyle w:val="000000000000" w:firstRow="0" w:lastRow="0" w:firstColumn="0" w:lastColumn="0" w:oddVBand="0" w:evenVBand="0" w:oddHBand="0" w:evenHBand="0" w:firstRowFirstColumn="0" w:firstRowLastColumn="0" w:lastRowFirstColumn="0" w:lastRowLastColumn="0"/>
              <w:rPr>
                <w:rFonts w:cstheme="minorHAnsi"/>
                <w:bCs/>
                <w:szCs w:val="22"/>
              </w:rPr>
            </w:pPr>
            <w:r w:rsidRPr="00071545">
              <w:rPr>
                <w:rStyle w:val="Strong"/>
                <w:rFonts w:cstheme="minorHAnsi"/>
                <w:b w:val="0"/>
                <w:szCs w:val="22"/>
              </w:rPr>
              <w:t>asthma</w:t>
            </w:r>
          </w:p>
        </w:tc>
      </w:tr>
      <w:tr w:rsidR="00475999" w:rsidRPr="00AA6603" w14:paraId="75BB8768" w14:textId="77777777" w:rsidTr="00AA6603">
        <w:tc>
          <w:tcPr>
            <w:cnfStyle w:val="001000000000" w:firstRow="0" w:lastRow="0" w:firstColumn="1" w:lastColumn="0" w:oddVBand="0" w:evenVBand="0" w:oddHBand="0" w:evenHBand="0" w:firstRowFirstColumn="0" w:firstRowLastColumn="0" w:lastRowFirstColumn="0" w:lastRowLastColumn="0"/>
            <w:tcW w:w="2263" w:type="dxa"/>
          </w:tcPr>
          <w:p w14:paraId="127E80E9" w14:textId="6E7F0934" w:rsidR="00475999" w:rsidRPr="00AA6603" w:rsidRDefault="00475999" w:rsidP="00AA6603">
            <w:pPr>
              <w:pStyle w:val="EYBodytextwithparaspace"/>
              <w:spacing w:after="60"/>
              <w:rPr>
                <w:rStyle w:val="Strong"/>
                <w:rFonts w:ascii="Arial Narrow" w:eastAsiaTheme="minorHAnsi" w:hAnsi="Arial Narrow"/>
                <w:b w:val="0"/>
                <w:lang w:val="en-GB"/>
              </w:rPr>
            </w:pPr>
            <w:r w:rsidRPr="00AA6603">
              <w:rPr>
                <w:rStyle w:val="Strong"/>
                <w:rFonts w:ascii="Arial Narrow" w:eastAsiaTheme="minorHAnsi" w:hAnsi="Arial Narrow" w:cstheme="minorHAnsi"/>
                <w:b w:val="0"/>
                <w:sz w:val="22"/>
                <w:szCs w:val="22"/>
                <w:lang w:val="en-GB"/>
              </w:rPr>
              <w:t>Notification of risks and incidents</w:t>
            </w:r>
          </w:p>
        </w:tc>
        <w:tc>
          <w:tcPr>
            <w:tcW w:w="7359" w:type="dxa"/>
          </w:tcPr>
          <w:p w14:paraId="1A90FB7E" w14:textId="77777777" w:rsidR="00475999" w:rsidRPr="00AA6603" w:rsidRDefault="00475999" w:rsidP="00AA6603">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AA6603">
              <w:rPr>
                <w:rStyle w:val="Strong"/>
                <w:rFonts w:cstheme="minorHAnsi"/>
                <w:b w:val="0"/>
                <w:szCs w:val="22"/>
              </w:rPr>
              <w:t>Services must notify the Department of the following matters:</w:t>
            </w:r>
          </w:p>
          <w:p w14:paraId="470CBDF5" w14:textId="77777777" w:rsidR="00475999" w:rsidRPr="00071545" w:rsidRDefault="00475999" w:rsidP="002806C5">
            <w:pPr>
              <w:pStyle w:val="ListParagraph"/>
              <w:numPr>
                <w:ilvl w:val="0"/>
                <w:numId w:val="103"/>
              </w:numPr>
              <w:autoSpaceDE w:val="0"/>
              <w:autoSpaceDN w:val="0"/>
              <w:adjustRightInd w:val="0"/>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071545">
              <w:rPr>
                <w:rStyle w:val="Strong"/>
                <w:rFonts w:cstheme="minorHAnsi"/>
                <w:b w:val="0"/>
                <w:szCs w:val="22"/>
              </w:rPr>
              <w:t>any change to the service’s hours and days of operation</w:t>
            </w:r>
          </w:p>
          <w:p w14:paraId="4EE027C9" w14:textId="77777777" w:rsidR="00475999" w:rsidRPr="00071545" w:rsidRDefault="00475999" w:rsidP="002806C5">
            <w:pPr>
              <w:pStyle w:val="ListParagraph"/>
              <w:numPr>
                <w:ilvl w:val="0"/>
                <w:numId w:val="103"/>
              </w:numPr>
              <w:autoSpaceDE w:val="0"/>
              <w:autoSpaceDN w:val="0"/>
              <w:adjustRightInd w:val="0"/>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071545">
              <w:rPr>
                <w:rStyle w:val="Strong"/>
                <w:rFonts w:cstheme="minorHAnsi"/>
                <w:b w:val="0"/>
                <w:szCs w:val="22"/>
              </w:rPr>
              <w:t>any incident that requires the closure of the service or a reduction in the number of children attending for a period</w:t>
            </w:r>
          </w:p>
          <w:p w14:paraId="08632450" w14:textId="77777777" w:rsidR="00475999" w:rsidRPr="00071545" w:rsidRDefault="00475999" w:rsidP="002806C5">
            <w:pPr>
              <w:pStyle w:val="ListParagraph"/>
              <w:numPr>
                <w:ilvl w:val="0"/>
                <w:numId w:val="103"/>
              </w:numPr>
              <w:autoSpaceDE w:val="0"/>
              <w:autoSpaceDN w:val="0"/>
              <w:adjustRightInd w:val="0"/>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071545">
              <w:rPr>
                <w:rStyle w:val="Strong"/>
                <w:rFonts w:cstheme="minorHAnsi"/>
                <w:b w:val="0"/>
                <w:szCs w:val="22"/>
              </w:rPr>
              <w:t>any circumstance arising that poses a risk to the health, safety or wellbeing of a child or children attending the service</w:t>
            </w:r>
          </w:p>
          <w:p w14:paraId="5E74BFD1" w14:textId="77777777" w:rsidR="00475999" w:rsidRPr="00071545" w:rsidRDefault="00475999" w:rsidP="002806C5">
            <w:pPr>
              <w:pStyle w:val="ListParagraph"/>
              <w:numPr>
                <w:ilvl w:val="0"/>
                <w:numId w:val="103"/>
              </w:numPr>
              <w:autoSpaceDE w:val="0"/>
              <w:autoSpaceDN w:val="0"/>
              <w:adjustRightInd w:val="0"/>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071545">
              <w:rPr>
                <w:rStyle w:val="Strong"/>
                <w:rFonts w:cstheme="minorHAnsi"/>
                <w:b w:val="0"/>
                <w:szCs w:val="22"/>
              </w:rPr>
              <w:t xml:space="preserve">the attendance of any additional child or children in an emergency (including a description of the emergency and a statement that the approved provider has </w:t>
            </w:r>
            <w:r w:rsidRPr="00071545">
              <w:rPr>
                <w:rStyle w:val="Strong"/>
                <w:rFonts w:cstheme="minorHAnsi"/>
                <w:b w:val="0"/>
                <w:szCs w:val="22"/>
              </w:rPr>
              <w:lastRenderedPageBreak/>
              <w:t>taken into account their safety, health and wellbeing when deciding to provide education and care to them)</w:t>
            </w:r>
          </w:p>
          <w:p w14:paraId="2FF3DD32" w14:textId="77777777" w:rsidR="00376BA7" w:rsidRPr="00071545" w:rsidRDefault="00475999" w:rsidP="002806C5">
            <w:pPr>
              <w:pStyle w:val="ListParagraph"/>
              <w:numPr>
                <w:ilvl w:val="0"/>
                <w:numId w:val="103"/>
              </w:numPr>
              <w:autoSpaceDE w:val="0"/>
              <w:autoSpaceDN w:val="0"/>
              <w:adjustRightInd w:val="0"/>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071545">
              <w:rPr>
                <w:rStyle w:val="Strong"/>
                <w:rFonts w:cstheme="minorHAnsi"/>
                <w:b w:val="0"/>
                <w:szCs w:val="22"/>
              </w:rPr>
              <w:t>any incident where the provider reasonably believes that physical or sexual abuse of a child has occurred at the service</w:t>
            </w:r>
          </w:p>
          <w:p w14:paraId="1A24180E" w14:textId="23813C52" w:rsidR="00475999" w:rsidRPr="00071545" w:rsidRDefault="00475999" w:rsidP="002806C5">
            <w:pPr>
              <w:pStyle w:val="ListParagraph"/>
              <w:numPr>
                <w:ilvl w:val="0"/>
                <w:numId w:val="103"/>
              </w:numPr>
              <w:autoSpaceDE w:val="0"/>
              <w:autoSpaceDN w:val="0"/>
              <w:adjustRightInd w:val="0"/>
              <w:spacing w:after="60"/>
              <w:cnfStyle w:val="000000000000" w:firstRow="0" w:lastRow="0" w:firstColumn="0" w:lastColumn="0" w:oddVBand="0" w:evenVBand="0" w:oddHBand="0" w:evenHBand="0" w:firstRowFirstColumn="0" w:firstRowLastColumn="0" w:lastRowFirstColumn="0" w:lastRowLastColumn="0"/>
              <w:rPr>
                <w:rFonts w:cstheme="minorHAnsi"/>
                <w:bCs/>
                <w:szCs w:val="22"/>
              </w:rPr>
            </w:pPr>
            <w:r w:rsidRPr="00071545">
              <w:rPr>
                <w:rStyle w:val="Strong"/>
                <w:rFonts w:cstheme="minorHAnsi"/>
                <w:b w:val="0"/>
                <w:szCs w:val="22"/>
              </w:rPr>
              <w:t>allegations of physical or sexual abuse against a child at the service</w:t>
            </w:r>
          </w:p>
        </w:tc>
      </w:tr>
      <w:tr w:rsidR="00475999" w:rsidRPr="00AA6603" w14:paraId="226B3A1F" w14:textId="77777777" w:rsidTr="00AA6603">
        <w:tc>
          <w:tcPr>
            <w:cnfStyle w:val="001000000000" w:firstRow="0" w:lastRow="0" w:firstColumn="1" w:lastColumn="0" w:oddVBand="0" w:evenVBand="0" w:oddHBand="0" w:evenHBand="0" w:firstRowFirstColumn="0" w:firstRowLastColumn="0" w:lastRowFirstColumn="0" w:lastRowLastColumn="0"/>
            <w:tcW w:w="2263" w:type="dxa"/>
          </w:tcPr>
          <w:p w14:paraId="36469512" w14:textId="0DF72586" w:rsidR="00475999" w:rsidRPr="00AA6603" w:rsidRDefault="00475999" w:rsidP="00AA6603">
            <w:pPr>
              <w:pStyle w:val="EYBodytextwithparaspace"/>
              <w:spacing w:after="60"/>
              <w:rPr>
                <w:rStyle w:val="Strong"/>
                <w:rFonts w:ascii="Arial Narrow" w:eastAsiaTheme="minorHAnsi" w:hAnsi="Arial Narrow"/>
                <w:b w:val="0"/>
                <w:lang w:val="en-GB"/>
              </w:rPr>
            </w:pPr>
            <w:r w:rsidRPr="00AA6603">
              <w:rPr>
                <w:rStyle w:val="Strong"/>
                <w:rFonts w:ascii="Arial Narrow" w:eastAsiaTheme="minorHAnsi" w:hAnsi="Arial Narrow" w:cstheme="minorHAnsi"/>
                <w:b w:val="0"/>
                <w:sz w:val="22"/>
                <w:szCs w:val="22"/>
                <w:lang w:val="en-GB"/>
              </w:rPr>
              <w:lastRenderedPageBreak/>
              <w:t>Interactions with children</w:t>
            </w:r>
          </w:p>
        </w:tc>
        <w:tc>
          <w:tcPr>
            <w:tcW w:w="7359" w:type="dxa"/>
          </w:tcPr>
          <w:p w14:paraId="5D67491D" w14:textId="77777777" w:rsidR="00475999" w:rsidRPr="00AA6603" w:rsidRDefault="00475999" w:rsidP="00AA6603">
            <w:pPr>
              <w:spacing w:after="60"/>
              <w:cnfStyle w:val="000000000000" w:firstRow="0" w:lastRow="0" w:firstColumn="0" w:lastColumn="0" w:oddVBand="0" w:evenVBand="0" w:oddHBand="0" w:evenHBand="0" w:firstRowFirstColumn="0" w:firstRowLastColumn="0" w:lastRowFirstColumn="0" w:lastRowLastColumn="0"/>
              <w:rPr>
                <w:rFonts w:cstheme="minorHAnsi"/>
                <w:bCs/>
                <w:szCs w:val="22"/>
              </w:rPr>
            </w:pPr>
            <w:r w:rsidRPr="00AA6603">
              <w:rPr>
                <w:rFonts w:cstheme="minorHAnsi"/>
                <w:bCs/>
                <w:szCs w:val="22"/>
              </w:rPr>
              <w:t xml:space="preserve">All services must </w:t>
            </w:r>
            <w:r w:rsidRPr="00AA6603">
              <w:rPr>
                <w:rFonts w:cstheme="minorHAnsi"/>
                <w:szCs w:val="22"/>
              </w:rPr>
              <w:t>take reasonable steps to ensure that the service provides education and care to children in a way that:</w:t>
            </w:r>
          </w:p>
          <w:p w14:paraId="5E6CC9A8" w14:textId="77777777" w:rsidR="00475999" w:rsidRPr="00071545" w:rsidRDefault="00475999" w:rsidP="002806C5">
            <w:pPr>
              <w:pStyle w:val="ListParagraph"/>
              <w:numPr>
                <w:ilvl w:val="0"/>
                <w:numId w:val="103"/>
              </w:numPr>
              <w:autoSpaceDE w:val="0"/>
              <w:autoSpaceDN w:val="0"/>
              <w:adjustRightInd w:val="0"/>
              <w:spacing w:after="60"/>
              <w:cnfStyle w:val="000000000000" w:firstRow="0" w:lastRow="0" w:firstColumn="0" w:lastColumn="0" w:oddVBand="0" w:evenVBand="0" w:oddHBand="0" w:evenHBand="0" w:firstRowFirstColumn="0" w:firstRowLastColumn="0" w:lastRowFirstColumn="0" w:lastRowLastColumn="0"/>
              <w:rPr>
                <w:rStyle w:val="Strong"/>
                <w:b w:val="0"/>
                <w:bCs w:val="0"/>
              </w:rPr>
            </w:pPr>
            <w:r w:rsidRPr="00071545">
              <w:rPr>
                <w:rStyle w:val="Strong"/>
                <w:b w:val="0"/>
              </w:rPr>
              <w:t>encourages the children to express themselves and their opinions</w:t>
            </w:r>
          </w:p>
          <w:p w14:paraId="0E810FFF" w14:textId="77777777" w:rsidR="00475999" w:rsidRPr="00071545" w:rsidRDefault="00475999" w:rsidP="002806C5">
            <w:pPr>
              <w:pStyle w:val="ListParagraph"/>
              <w:numPr>
                <w:ilvl w:val="0"/>
                <w:numId w:val="103"/>
              </w:numPr>
              <w:autoSpaceDE w:val="0"/>
              <w:autoSpaceDN w:val="0"/>
              <w:adjustRightInd w:val="0"/>
              <w:spacing w:after="60"/>
              <w:cnfStyle w:val="000000000000" w:firstRow="0" w:lastRow="0" w:firstColumn="0" w:lastColumn="0" w:oddVBand="0" w:evenVBand="0" w:oddHBand="0" w:evenHBand="0" w:firstRowFirstColumn="0" w:firstRowLastColumn="0" w:lastRowFirstColumn="0" w:lastRowLastColumn="0"/>
              <w:rPr>
                <w:rStyle w:val="Strong"/>
                <w:b w:val="0"/>
                <w:bCs w:val="0"/>
              </w:rPr>
            </w:pPr>
            <w:r w:rsidRPr="00071545">
              <w:rPr>
                <w:rStyle w:val="Strong"/>
                <w:b w:val="0"/>
              </w:rPr>
              <w:t xml:space="preserve">allows the children to undertake experiences that develop self-reliance and self-esteem </w:t>
            </w:r>
          </w:p>
          <w:p w14:paraId="084F5493" w14:textId="77777777" w:rsidR="00475999" w:rsidRPr="00071545" w:rsidRDefault="00475999" w:rsidP="002806C5">
            <w:pPr>
              <w:pStyle w:val="ListParagraph"/>
              <w:numPr>
                <w:ilvl w:val="0"/>
                <w:numId w:val="103"/>
              </w:numPr>
              <w:autoSpaceDE w:val="0"/>
              <w:autoSpaceDN w:val="0"/>
              <w:adjustRightInd w:val="0"/>
              <w:spacing w:after="60"/>
              <w:cnfStyle w:val="000000000000" w:firstRow="0" w:lastRow="0" w:firstColumn="0" w:lastColumn="0" w:oddVBand="0" w:evenVBand="0" w:oddHBand="0" w:evenHBand="0" w:firstRowFirstColumn="0" w:firstRowLastColumn="0" w:lastRowFirstColumn="0" w:lastRowLastColumn="0"/>
              <w:rPr>
                <w:rStyle w:val="Strong"/>
                <w:b w:val="0"/>
                <w:bCs w:val="0"/>
              </w:rPr>
            </w:pPr>
            <w:r w:rsidRPr="00071545">
              <w:rPr>
                <w:rStyle w:val="Strong"/>
                <w:b w:val="0"/>
              </w:rPr>
              <w:t>maintains at all times the dignity and rights of each child</w:t>
            </w:r>
          </w:p>
          <w:p w14:paraId="79EFAA6B" w14:textId="77777777" w:rsidR="006A4612" w:rsidRPr="00071545" w:rsidRDefault="00475999" w:rsidP="002806C5">
            <w:pPr>
              <w:pStyle w:val="ListParagraph"/>
              <w:numPr>
                <w:ilvl w:val="0"/>
                <w:numId w:val="103"/>
              </w:numPr>
              <w:autoSpaceDE w:val="0"/>
              <w:autoSpaceDN w:val="0"/>
              <w:adjustRightInd w:val="0"/>
              <w:spacing w:after="60"/>
              <w:cnfStyle w:val="000000000000" w:firstRow="0" w:lastRow="0" w:firstColumn="0" w:lastColumn="0" w:oddVBand="0" w:evenVBand="0" w:oddHBand="0" w:evenHBand="0" w:firstRowFirstColumn="0" w:firstRowLastColumn="0" w:lastRowFirstColumn="0" w:lastRowLastColumn="0"/>
              <w:rPr>
                <w:rStyle w:val="Strong"/>
                <w:b w:val="0"/>
              </w:rPr>
            </w:pPr>
            <w:r w:rsidRPr="00071545">
              <w:rPr>
                <w:rStyle w:val="Strong"/>
                <w:b w:val="0"/>
              </w:rPr>
              <w:t>gives each child positive guidance and encouragement toward acceptable behaviour</w:t>
            </w:r>
            <w:r w:rsidR="006A4612" w:rsidRPr="00071545">
              <w:rPr>
                <w:rStyle w:val="Strong"/>
                <w:b w:val="0"/>
              </w:rPr>
              <w:t xml:space="preserve"> </w:t>
            </w:r>
          </w:p>
          <w:p w14:paraId="4CD1A9C8" w14:textId="191FF466" w:rsidR="00475999" w:rsidRPr="00AA6603" w:rsidRDefault="00475999" w:rsidP="002806C5">
            <w:pPr>
              <w:pStyle w:val="ListParagraph"/>
              <w:numPr>
                <w:ilvl w:val="0"/>
                <w:numId w:val="103"/>
              </w:numPr>
              <w:autoSpaceDE w:val="0"/>
              <w:autoSpaceDN w:val="0"/>
              <w:adjustRightInd w:val="0"/>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proofErr w:type="gramStart"/>
            <w:r w:rsidRPr="00071545">
              <w:rPr>
                <w:rStyle w:val="Strong"/>
                <w:b w:val="0"/>
              </w:rPr>
              <w:t>has</w:t>
            </w:r>
            <w:proofErr w:type="gramEnd"/>
            <w:r w:rsidRPr="00071545">
              <w:rPr>
                <w:rStyle w:val="Strong"/>
                <w:b w:val="0"/>
              </w:rPr>
              <w:t xml:space="preserve"> regard to the family and cultural values, age, and physical and intellectual development and abilities of each child being educated and cared for by the service.</w:t>
            </w:r>
          </w:p>
        </w:tc>
      </w:tr>
      <w:tr w:rsidR="00475999" w:rsidRPr="00AA6603" w14:paraId="3A0106F2" w14:textId="77777777" w:rsidTr="00AA6603">
        <w:tc>
          <w:tcPr>
            <w:cnfStyle w:val="001000000000" w:firstRow="0" w:lastRow="0" w:firstColumn="1" w:lastColumn="0" w:oddVBand="0" w:evenVBand="0" w:oddHBand="0" w:evenHBand="0" w:firstRowFirstColumn="0" w:firstRowLastColumn="0" w:lastRowFirstColumn="0" w:lastRowLastColumn="0"/>
            <w:tcW w:w="2263" w:type="dxa"/>
          </w:tcPr>
          <w:p w14:paraId="7BC68F6B" w14:textId="2363FE0E" w:rsidR="00475999" w:rsidRPr="00AA6603" w:rsidRDefault="00475999" w:rsidP="00AA6603">
            <w:pPr>
              <w:pStyle w:val="EYBodytextwithparaspace"/>
              <w:spacing w:after="60"/>
              <w:rPr>
                <w:rStyle w:val="Strong"/>
                <w:rFonts w:ascii="Arial Narrow" w:eastAsiaTheme="minorHAnsi" w:hAnsi="Arial Narrow"/>
                <w:b w:val="0"/>
                <w:lang w:val="en-GB"/>
              </w:rPr>
            </w:pPr>
            <w:r w:rsidRPr="00AA6603">
              <w:rPr>
                <w:rStyle w:val="Strong"/>
                <w:rFonts w:ascii="Arial Narrow" w:eastAsiaTheme="minorHAnsi" w:hAnsi="Arial Narrow" w:cstheme="minorHAnsi"/>
                <w:b w:val="0"/>
                <w:sz w:val="22"/>
                <w:szCs w:val="22"/>
                <w:lang w:val="en-GB"/>
              </w:rPr>
              <w:t>Relationships in groups</w:t>
            </w:r>
          </w:p>
        </w:tc>
        <w:tc>
          <w:tcPr>
            <w:tcW w:w="7359" w:type="dxa"/>
          </w:tcPr>
          <w:p w14:paraId="0B78F2A3" w14:textId="4E16164F" w:rsidR="00475999" w:rsidRPr="00AA6603" w:rsidRDefault="00475999" w:rsidP="00AA6603">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A6603">
              <w:rPr>
                <w:rStyle w:val="Strong"/>
                <w:rFonts w:ascii="Arial Narrow" w:hAnsi="Arial Narrow" w:cstheme="minorHAnsi"/>
                <w:b w:val="0"/>
                <w:sz w:val="22"/>
                <w:szCs w:val="22"/>
              </w:rPr>
              <w:t xml:space="preserve">All services must </w:t>
            </w:r>
            <w:r w:rsidRPr="00AA6603">
              <w:rPr>
                <w:rFonts w:ascii="Arial Narrow" w:hAnsi="Arial Narrow" w:cstheme="minorHAnsi"/>
                <w:sz w:val="22"/>
                <w:szCs w:val="22"/>
              </w:rPr>
              <w:t>take reasonable steps to ensure that the service provides children being educated and cared for by the service with opportunities to interact and develop respectful and positive relationships with each other and with staff members of, and volunteers at, the service.</w:t>
            </w:r>
          </w:p>
        </w:tc>
      </w:tr>
    </w:tbl>
    <w:p w14:paraId="1A851E50" w14:textId="6142ED15" w:rsidR="00C01E92" w:rsidRPr="000107A9" w:rsidRDefault="00C01E92" w:rsidP="00FE43F9">
      <w:pPr>
        <w:pStyle w:val="Heading3"/>
      </w:pPr>
      <w:bookmarkStart w:id="116" w:name="_Toc32936874"/>
      <w:r w:rsidRPr="000107A9">
        <w:t xml:space="preserve">E. </w:t>
      </w:r>
      <w:r w:rsidR="003D0B64">
        <w:t>E</w:t>
      </w:r>
      <w:r w:rsidRPr="000107A9">
        <w:t>quipment and facilities</w:t>
      </w:r>
      <w:bookmarkEnd w:id="116"/>
    </w:p>
    <w:p w14:paraId="7FE8B1BC" w14:textId="77777777" w:rsidR="00C01E92" w:rsidRPr="000107A9" w:rsidRDefault="00C01E92" w:rsidP="00C01E92">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b/>
          <w:sz w:val="22"/>
          <w:szCs w:val="22"/>
        </w:rPr>
        <w:t>Option E.1. Status Quo</w:t>
      </w:r>
    </w:p>
    <w:p w14:paraId="286C426D" w14:textId="77777777" w:rsidR="006A4612" w:rsidRDefault="00C01E92" w:rsidP="006A461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Under this option, the Regulations include standalone requirements designed to ensure that services provide adequate equipment and facilities to enable children to be properly cared for. These requirements are the same as those currently prescribed in the Regulations. </w:t>
      </w:r>
    </w:p>
    <w:p w14:paraId="5B64C79C" w14:textId="27E7939E" w:rsidR="00C01E92" w:rsidRPr="00D55F3A" w:rsidRDefault="00C01E92" w:rsidP="00D55F3A">
      <w:pPr>
        <w:pStyle w:val="Caption"/>
      </w:pPr>
      <w:bookmarkStart w:id="117" w:name="_Toc32592792"/>
      <w:r w:rsidRPr="00D55F3A">
        <w:t xml:space="preserve">Table </w:t>
      </w:r>
      <w:r w:rsidRPr="00D55F3A">
        <w:fldChar w:fldCharType="begin"/>
      </w:r>
      <w:r w:rsidRPr="00D55F3A">
        <w:instrText xml:space="preserve"> SEQ Table \* ARABIC </w:instrText>
      </w:r>
      <w:r w:rsidRPr="00D55F3A">
        <w:fldChar w:fldCharType="separate"/>
      </w:r>
      <w:r w:rsidR="00493211">
        <w:rPr>
          <w:noProof/>
        </w:rPr>
        <w:t>9</w:t>
      </w:r>
      <w:r w:rsidRPr="00D55F3A">
        <w:fldChar w:fldCharType="end"/>
      </w:r>
      <w:r w:rsidRPr="00D55F3A">
        <w:t xml:space="preserve"> Option E.1. Status Quo - Equipment and facilities</w:t>
      </w:r>
      <w:bookmarkEnd w:id="117"/>
      <w:r w:rsidRPr="00D55F3A">
        <w:t xml:space="preserve"> </w:t>
      </w:r>
    </w:p>
    <w:tbl>
      <w:tblPr>
        <w:tblStyle w:val="TableGrid"/>
        <w:tblW w:w="0" w:type="auto"/>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2263"/>
        <w:gridCol w:w="7359"/>
      </w:tblGrid>
      <w:tr w:rsidR="006A4612" w:rsidRPr="00D82D23" w14:paraId="5171110F" w14:textId="77777777" w:rsidTr="00440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one" w:sz="0" w:space="0" w:color="auto"/>
            </w:tcBorders>
          </w:tcPr>
          <w:p w14:paraId="60E199D1" w14:textId="4FD4E5E5" w:rsidR="006A4612" w:rsidRPr="00D82D23" w:rsidRDefault="006A4612" w:rsidP="00071545">
            <w:pPr>
              <w:pStyle w:val="EYBodytextwithparaspace"/>
              <w:spacing w:after="60"/>
              <w:rPr>
                <w:rFonts w:ascii="Arial Narrow" w:hAnsi="Arial Narrow" w:cstheme="minorHAnsi"/>
                <w:b w:val="0"/>
                <w:sz w:val="22"/>
                <w:szCs w:val="22"/>
              </w:rPr>
            </w:pPr>
            <w:r w:rsidRPr="00D82D23">
              <w:rPr>
                <w:rStyle w:val="Strong"/>
                <w:rFonts w:ascii="Arial Narrow" w:hAnsi="Arial Narrow" w:cstheme="minorHAnsi"/>
                <w:sz w:val="22"/>
                <w:szCs w:val="22"/>
              </w:rPr>
              <w:t>Subject</w:t>
            </w:r>
          </w:p>
        </w:tc>
        <w:tc>
          <w:tcPr>
            <w:tcW w:w="7359" w:type="dxa"/>
            <w:tcBorders>
              <w:left w:val="none" w:sz="0" w:space="0" w:color="auto"/>
            </w:tcBorders>
          </w:tcPr>
          <w:p w14:paraId="49D6D332" w14:textId="35845570" w:rsidR="006A4612" w:rsidRPr="00D82D23" w:rsidRDefault="006A4612" w:rsidP="00071545">
            <w:pPr>
              <w:pStyle w:val="EYBodytextwithparaspace"/>
              <w:spacing w:after="60"/>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sz w:val="22"/>
                <w:szCs w:val="22"/>
              </w:rPr>
            </w:pPr>
            <w:r w:rsidRPr="00D82D23">
              <w:rPr>
                <w:rStyle w:val="Strong"/>
                <w:rFonts w:ascii="Arial Narrow" w:hAnsi="Arial Narrow" w:cstheme="minorHAnsi"/>
                <w:sz w:val="22"/>
                <w:szCs w:val="22"/>
              </w:rPr>
              <w:t>Details in the Regulations</w:t>
            </w:r>
          </w:p>
        </w:tc>
      </w:tr>
      <w:tr w:rsidR="006A4612" w:rsidRPr="00D82D23" w14:paraId="09457FA4" w14:textId="77777777" w:rsidTr="00440F5A">
        <w:tc>
          <w:tcPr>
            <w:cnfStyle w:val="001000000000" w:firstRow="0" w:lastRow="0" w:firstColumn="1" w:lastColumn="0" w:oddVBand="0" w:evenVBand="0" w:oddHBand="0" w:evenHBand="0" w:firstRowFirstColumn="0" w:firstRowLastColumn="0" w:lastRowFirstColumn="0" w:lastRowLastColumn="0"/>
            <w:tcW w:w="2263" w:type="dxa"/>
          </w:tcPr>
          <w:p w14:paraId="79A85BDD" w14:textId="57193CD8" w:rsidR="006A4612" w:rsidRPr="00D82D23" w:rsidRDefault="006A4612" w:rsidP="00071545">
            <w:pPr>
              <w:pStyle w:val="EYBodytextwithparaspace"/>
              <w:spacing w:after="60"/>
              <w:rPr>
                <w:rStyle w:val="Strong"/>
                <w:rFonts w:ascii="Arial Narrow" w:eastAsiaTheme="minorHAnsi" w:hAnsi="Arial Narrow"/>
                <w:b w:val="0"/>
                <w:lang w:val="en-GB"/>
              </w:rPr>
            </w:pPr>
            <w:r w:rsidRPr="00D82D23">
              <w:rPr>
                <w:rStyle w:val="Strong"/>
                <w:rFonts w:ascii="Arial Narrow" w:eastAsiaTheme="minorHAnsi" w:hAnsi="Arial Narrow" w:cstheme="minorHAnsi"/>
                <w:b w:val="0"/>
                <w:sz w:val="22"/>
                <w:szCs w:val="22"/>
                <w:lang w:val="en-GB"/>
              </w:rPr>
              <w:t>Equipment</w:t>
            </w:r>
          </w:p>
        </w:tc>
        <w:tc>
          <w:tcPr>
            <w:tcW w:w="7359" w:type="dxa"/>
          </w:tcPr>
          <w:p w14:paraId="4AD9314F" w14:textId="7E401A42" w:rsidR="006A4612" w:rsidRPr="00D82D23" w:rsidRDefault="006A4612" w:rsidP="00071545">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D82D23">
              <w:rPr>
                <w:rStyle w:val="Strong"/>
                <w:rFonts w:ascii="Arial Narrow" w:hAnsi="Arial Narrow" w:cstheme="minorHAnsi"/>
                <w:b w:val="0"/>
                <w:sz w:val="22"/>
                <w:szCs w:val="22"/>
              </w:rPr>
              <w:t>Children must have access to the furniture, materials and developmentally appropriate equipment for the educational or recreational program provided to them.</w:t>
            </w:r>
          </w:p>
        </w:tc>
      </w:tr>
      <w:tr w:rsidR="006A4612" w:rsidRPr="00D82D23" w14:paraId="1BB344FA" w14:textId="77777777" w:rsidTr="00440F5A">
        <w:tc>
          <w:tcPr>
            <w:cnfStyle w:val="001000000000" w:firstRow="0" w:lastRow="0" w:firstColumn="1" w:lastColumn="0" w:oddVBand="0" w:evenVBand="0" w:oddHBand="0" w:evenHBand="0" w:firstRowFirstColumn="0" w:firstRowLastColumn="0" w:lastRowFirstColumn="0" w:lastRowLastColumn="0"/>
            <w:tcW w:w="2263" w:type="dxa"/>
          </w:tcPr>
          <w:p w14:paraId="4A3E652F" w14:textId="7C3C567A" w:rsidR="006A4612" w:rsidRPr="00D82D23" w:rsidRDefault="006A4612" w:rsidP="00071545">
            <w:pPr>
              <w:pStyle w:val="EYBodytextwithparaspace"/>
              <w:spacing w:after="60"/>
              <w:rPr>
                <w:rStyle w:val="Strong"/>
                <w:rFonts w:ascii="Arial Narrow" w:eastAsiaTheme="minorHAnsi" w:hAnsi="Arial Narrow"/>
                <w:b w:val="0"/>
                <w:lang w:val="en-GB"/>
              </w:rPr>
            </w:pPr>
            <w:r w:rsidRPr="00D82D23">
              <w:rPr>
                <w:rStyle w:val="Strong"/>
                <w:rFonts w:ascii="Arial Narrow" w:eastAsiaTheme="minorHAnsi" w:hAnsi="Arial Narrow" w:cstheme="minorHAnsi"/>
                <w:b w:val="0"/>
                <w:sz w:val="22"/>
                <w:szCs w:val="22"/>
                <w:lang w:val="en-GB"/>
              </w:rPr>
              <w:t>Children’s rooms</w:t>
            </w:r>
          </w:p>
        </w:tc>
        <w:tc>
          <w:tcPr>
            <w:tcW w:w="7359" w:type="dxa"/>
          </w:tcPr>
          <w:p w14:paraId="31CE73F1" w14:textId="77777777" w:rsidR="006A4612" w:rsidRPr="00D82D23" w:rsidRDefault="006A4612" w:rsidP="00071545">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D82D23">
              <w:rPr>
                <w:rStyle w:val="Strong"/>
                <w:rFonts w:cstheme="minorHAnsi"/>
                <w:b w:val="0"/>
                <w:szCs w:val="22"/>
              </w:rPr>
              <w:t>Services must provide children’s rooms.</w:t>
            </w:r>
          </w:p>
          <w:p w14:paraId="5842B480" w14:textId="77777777" w:rsidR="006A4612" w:rsidRPr="00D82D23" w:rsidRDefault="006A4612" w:rsidP="00071545">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D82D23">
              <w:rPr>
                <w:rStyle w:val="Strong"/>
                <w:rFonts w:cstheme="minorHAnsi"/>
                <w:b w:val="0"/>
                <w:szCs w:val="22"/>
              </w:rPr>
              <w:t>If children under 3 years old are being cared for, standard services must provide at least 2 children’s rooms.</w:t>
            </w:r>
          </w:p>
          <w:p w14:paraId="12136513" w14:textId="77777777" w:rsidR="006A4612" w:rsidRPr="00D82D23" w:rsidRDefault="006A4612" w:rsidP="00071545">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D82D23">
              <w:rPr>
                <w:rStyle w:val="Strong"/>
                <w:rFonts w:cstheme="minorHAnsi"/>
                <w:b w:val="0"/>
                <w:szCs w:val="22"/>
              </w:rPr>
              <w:t>Children’s rooms at standard services must have adequate natural lighting.</w:t>
            </w:r>
          </w:p>
          <w:p w14:paraId="56BC952A" w14:textId="0D1943D3" w:rsidR="006A4612" w:rsidRPr="00D82D23" w:rsidRDefault="006A4612" w:rsidP="00071545">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D82D23">
              <w:rPr>
                <w:rStyle w:val="Strong"/>
                <w:rFonts w:ascii="Arial Narrow" w:hAnsi="Arial Narrow" w:cstheme="minorHAnsi"/>
                <w:b w:val="0"/>
                <w:sz w:val="22"/>
                <w:szCs w:val="22"/>
              </w:rPr>
              <w:t>The floor area must allow a clear space for each child of at least 3.25 square metres, not including hallways, kitchens, bathrooms, cupboards, door swing areas, cot rooms or any other ancillary areas.</w:t>
            </w:r>
          </w:p>
        </w:tc>
      </w:tr>
      <w:tr w:rsidR="006A4612" w:rsidRPr="00D82D23" w14:paraId="30936F0C" w14:textId="77777777" w:rsidTr="00440F5A">
        <w:tc>
          <w:tcPr>
            <w:cnfStyle w:val="001000000000" w:firstRow="0" w:lastRow="0" w:firstColumn="1" w:lastColumn="0" w:oddVBand="0" w:evenVBand="0" w:oddHBand="0" w:evenHBand="0" w:firstRowFirstColumn="0" w:firstRowLastColumn="0" w:lastRowFirstColumn="0" w:lastRowLastColumn="0"/>
            <w:tcW w:w="2263" w:type="dxa"/>
          </w:tcPr>
          <w:p w14:paraId="4769E0B2" w14:textId="1D4BB8CA" w:rsidR="006A4612" w:rsidRPr="00D82D23" w:rsidRDefault="006A4612" w:rsidP="00071545">
            <w:pPr>
              <w:pStyle w:val="EYBodytextwithparaspace"/>
              <w:spacing w:after="60"/>
              <w:rPr>
                <w:rStyle w:val="Strong"/>
                <w:rFonts w:ascii="Arial Narrow" w:eastAsiaTheme="minorHAnsi" w:hAnsi="Arial Narrow"/>
                <w:b w:val="0"/>
                <w:lang w:val="en-GB"/>
              </w:rPr>
            </w:pPr>
            <w:r w:rsidRPr="00D82D23">
              <w:rPr>
                <w:rStyle w:val="Strong"/>
                <w:rFonts w:ascii="Arial Narrow" w:eastAsiaTheme="minorHAnsi" w:hAnsi="Arial Narrow" w:cstheme="minorHAnsi"/>
                <w:b w:val="0"/>
                <w:sz w:val="22"/>
                <w:szCs w:val="22"/>
                <w:lang w:val="en-GB"/>
              </w:rPr>
              <w:t xml:space="preserve">Outdoor space </w:t>
            </w:r>
          </w:p>
        </w:tc>
        <w:tc>
          <w:tcPr>
            <w:tcW w:w="7359" w:type="dxa"/>
          </w:tcPr>
          <w:p w14:paraId="7CFCEDA1" w14:textId="77777777" w:rsidR="006A4612" w:rsidRPr="00D82D23" w:rsidRDefault="006A4612" w:rsidP="00071545">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D82D23">
              <w:rPr>
                <w:rStyle w:val="Strong"/>
                <w:rFonts w:cstheme="minorHAnsi"/>
                <w:b w:val="0"/>
                <w:szCs w:val="22"/>
              </w:rPr>
              <w:t xml:space="preserve">Services holding a Standard licence must provide outdoor space which: </w:t>
            </w:r>
          </w:p>
          <w:p w14:paraId="0E3527F0" w14:textId="77777777" w:rsidR="006A4612" w:rsidRPr="00D82D23" w:rsidRDefault="006A4612" w:rsidP="00071545">
            <w:pPr>
              <w:pStyle w:val="ListParagraph"/>
              <w:numPr>
                <w:ilvl w:val="0"/>
                <w:numId w:val="23"/>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bCs/>
                <w:szCs w:val="22"/>
              </w:rPr>
            </w:pPr>
            <w:r w:rsidRPr="00D82D23">
              <w:rPr>
                <w:rFonts w:cstheme="minorHAnsi"/>
                <w:bCs/>
                <w:szCs w:val="22"/>
              </w:rPr>
              <w:t>has a useable area of at least 7 square metres per child</w:t>
            </w:r>
          </w:p>
          <w:p w14:paraId="2849CBC6" w14:textId="77777777" w:rsidR="006A4612" w:rsidRPr="00D82D23" w:rsidRDefault="006A4612" w:rsidP="00071545">
            <w:pPr>
              <w:pStyle w:val="ListParagraph"/>
              <w:numPr>
                <w:ilvl w:val="0"/>
                <w:numId w:val="22"/>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bCs/>
                <w:szCs w:val="22"/>
              </w:rPr>
            </w:pPr>
            <w:r w:rsidRPr="00D82D23">
              <w:rPr>
                <w:rFonts w:cstheme="minorHAnsi"/>
                <w:bCs/>
                <w:szCs w:val="22"/>
              </w:rPr>
              <w:t>includes features enabling children to explore and experience the environment</w:t>
            </w:r>
          </w:p>
          <w:p w14:paraId="321B3D80" w14:textId="77777777" w:rsidR="006A4612" w:rsidRPr="00D82D23" w:rsidRDefault="006A4612" w:rsidP="00071545">
            <w:pPr>
              <w:pStyle w:val="ListParagraph"/>
              <w:numPr>
                <w:ilvl w:val="0"/>
                <w:numId w:val="22"/>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bCs/>
                <w:szCs w:val="22"/>
              </w:rPr>
            </w:pPr>
            <w:r w:rsidRPr="00D82D23">
              <w:rPr>
                <w:rFonts w:cstheme="minorHAnsi"/>
                <w:bCs/>
                <w:szCs w:val="22"/>
              </w:rPr>
              <w:t>has adequate shade</w:t>
            </w:r>
          </w:p>
          <w:p w14:paraId="5A1337C8" w14:textId="2EC5B705" w:rsidR="006A4612" w:rsidRPr="00D82D23" w:rsidRDefault="006A4612" w:rsidP="00071545">
            <w:pPr>
              <w:pStyle w:val="ListParagraph"/>
              <w:numPr>
                <w:ilvl w:val="0"/>
                <w:numId w:val="22"/>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bCs/>
                <w:szCs w:val="22"/>
              </w:rPr>
            </w:pPr>
            <w:r w:rsidRPr="00D82D23">
              <w:rPr>
                <w:rFonts w:cstheme="minorHAnsi"/>
                <w:bCs/>
                <w:szCs w:val="22"/>
              </w:rPr>
              <w:lastRenderedPageBreak/>
              <w:t xml:space="preserve">is enclosed by a fence at least 1.5m </w:t>
            </w:r>
            <w:r w:rsidR="00071545">
              <w:rPr>
                <w:rFonts w:cstheme="minorHAnsi"/>
                <w:bCs/>
                <w:szCs w:val="22"/>
              </w:rPr>
              <w:t>high</w:t>
            </w:r>
            <w:r w:rsidRPr="00D82D23">
              <w:rPr>
                <w:rFonts w:cstheme="minorHAnsi"/>
                <w:bCs/>
                <w:szCs w:val="22"/>
              </w:rPr>
              <w:t xml:space="preserve"> and impossible for children to get through</w:t>
            </w:r>
            <w:r w:rsidR="00071545">
              <w:rPr>
                <w:rFonts w:cstheme="minorHAnsi"/>
                <w:bCs/>
                <w:szCs w:val="22"/>
              </w:rPr>
              <w:t>, over or under</w:t>
            </w:r>
          </w:p>
          <w:p w14:paraId="2E4FDD28" w14:textId="77777777" w:rsidR="006A4612" w:rsidRPr="00D82D23" w:rsidRDefault="006A4612" w:rsidP="00071545">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D82D23">
              <w:rPr>
                <w:rStyle w:val="Strong"/>
                <w:rFonts w:cstheme="minorHAnsi"/>
                <w:b w:val="0"/>
                <w:szCs w:val="22"/>
              </w:rPr>
              <w:t>School holidays care services must ensure each child has access to 7 square metres of outdoor or indoor playing space, at or near the service.</w:t>
            </w:r>
          </w:p>
          <w:p w14:paraId="43DDD725" w14:textId="48E417C7" w:rsidR="006A4612" w:rsidRPr="00D82D23" w:rsidRDefault="006A4612" w:rsidP="00071545">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D82D23">
              <w:rPr>
                <w:rStyle w:val="Strong"/>
                <w:rFonts w:ascii="Arial Narrow" w:hAnsi="Arial Narrow" w:cstheme="minorHAnsi"/>
                <w:b w:val="0"/>
                <w:sz w:val="22"/>
                <w:szCs w:val="22"/>
              </w:rPr>
              <w:t>The following don’t count as outdoor space: pathways, car parks, storage sheds or any other ancillary area.</w:t>
            </w:r>
          </w:p>
        </w:tc>
      </w:tr>
      <w:tr w:rsidR="006A4612" w:rsidRPr="00D82D23" w14:paraId="2A0EEE5F" w14:textId="77777777" w:rsidTr="00440F5A">
        <w:tc>
          <w:tcPr>
            <w:cnfStyle w:val="001000000000" w:firstRow="0" w:lastRow="0" w:firstColumn="1" w:lastColumn="0" w:oddVBand="0" w:evenVBand="0" w:oddHBand="0" w:evenHBand="0" w:firstRowFirstColumn="0" w:firstRowLastColumn="0" w:lastRowFirstColumn="0" w:lastRowLastColumn="0"/>
            <w:tcW w:w="2263" w:type="dxa"/>
          </w:tcPr>
          <w:p w14:paraId="2317F993" w14:textId="71711BBC" w:rsidR="006A4612" w:rsidRPr="00D82D23" w:rsidRDefault="006A4612" w:rsidP="00071545">
            <w:pPr>
              <w:pStyle w:val="EYBodytextwithparaspace"/>
              <w:spacing w:after="60"/>
              <w:rPr>
                <w:rStyle w:val="Strong"/>
                <w:rFonts w:ascii="Arial Narrow" w:eastAsiaTheme="minorHAnsi" w:hAnsi="Arial Narrow"/>
                <w:b w:val="0"/>
                <w:lang w:val="en-GB"/>
              </w:rPr>
            </w:pPr>
            <w:r w:rsidRPr="00D82D23">
              <w:rPr>
                <w:rStyle w:val="Strong"/>
                <w:rFonts w:ascii="Arial Narrow" w:eastAsiaTheme="minorHAnsi" w:hAnsi="Arial Narrow" w:cstheme="minorHAnsi"/>
                <w:b w:val="0"/>
                <w:sz w:val="22"/>
                <w:szCs w:val="22"/>
                <w:lang w:val="en-GB"/>
              </w:rPr>
              <w:lastRenderedPageBreak/>
              <w:t>Administration room</w:t>
            </w:r>
          </w:p>
        </w:tc>
        <w:tc>
          <w:tcPr>
            <w:tcW w:w="7359" w:type="dxa"/>
          </w:tcPr>
          <w:p w14:paraId="1B41F176" w14:textId="77777777" w:rsidR="006A4612" w:rsidRPr="00D82D23" w:rsidRDefault="006A4612" w:rsidP="00071545">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D82D23">
              <w:rPr>
                <w:rStyle w:val="Strong"/>
                <w:rFonts w:cstheme="minorHAnsi"/>
                <w:b w:val="0"/>
                <w:szCs w:val="22"/>
              </w:rPr>
              <w:t>Services must provide a space for:</w:t>
            </w:r>
          </w:p>
          <w:p w14:paraId="4BD90093" w14:textId="77777777" w:rsidR="006A4612" w:rsidRPr="00D82D23" w:rsidRDefault="006A4612" w:rsidP="00071545">
            <w:pPr>
              <w:pStyle w:val="ListParagraph"/>
              <w:numPr>
                <w:ilvl w:val="0"/>
                <w:numId w:val="24"/>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D82D23">
              <w:rPr>
                <w:rStyle w:val="Strong"/>
                <w:rFonts w:cstheme="minorHAnsi"/>
                <w:b w:val="0"/>
                <w:szCs w:val="22"/>
              </w:rPr>
              <w:t>conducting administrative work</w:t>
            </w:r>
          </w:p>
          <w:p w14:paraId="5EF7F6E5" w14:textId="77777777" w:rsidR="006A4612" w:rsidRPr="00D82D23" w:rsidRDefault="006A4612" w:rsidP="00071545">
            <w:pPr>
              <w:pStyle w:val="ListParagraph"/>
              <w:numPr>
                <w:ilvl w:val="0"/>
                <w:numId w:val="24"/>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D82D23">
              <w:rPr>
                <w:rStyle w:val="Strong"/>
                <w:rFonts w:cstheme="minorHAnsi"/>
                <w:b w:val="0"/>
                <w:szCs w:val="22"/>
              </w:rPr>
              <w:t>consulting with parents or guardians</w:t>
            </w:r>
          </w:p>
          <w:p w14:paraId="69CE4A8D" w14:textId="69C793D1" w:rsidR="006A4612" w:rsidRPr="00D82D23" w:rsidRDefault="006A4612" w:rsidP="00071545">
            <w:pPr>
              <w:pStyle w:val="EYBodytextwithparaspace"/>
              <w:numPr>
                <w:ilvl w:val="0"/>
                <w:numId w:val="24"/>
              </w:numPr>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D82D23">
              <w:rPr>
                <w:rStyle w:val="Strong"/>
                <w:rFonts w:ascii="Arial Narrow" w:hAnsi="Arial Narrow" w:cstheme="minorHAnsi"/>
                <w:b w:val="0"/>
                <w:sz w:val="22"/>
                <w:szCs w:val="22"/>
              </w:rPr>
              <w:t>respite facilities for employees</w:t>
            </w:r>
          </w:p>
        </w:tc>
      </w:tr>
      <w:tr w:rsidR="006A4612" w:rsidRPr="00D82D23" w14:paraId="33386BC1" w14:textId="77777777" w:rsidTr="00440F5A">
        <w:tc>
          <w:tcPr>
            <w:cnfStyle w:val="001000000000" w:firstRow="0" w:lastRow="0" w:firstColumn="1" w:lastColumn="0" w:oddVBand="0" w:evenVBand="0" w:oddHBand="0" w:evenHBand="0" w:firstRowFirstColumn="0" w:firstRowLastColumn="0" w:lastRowFirstColumn="0" w:lastRowLastColumn="0"/>
            <w:tcW w:w="2263" w:type="dxa"/>
          </w:tcPr>
          <w:p w14:paraId="19DB829D" w14:textId="287EB6F5" w:rsidR="006A4612" w:rsidRPr="00D82D23" w:rsidRDefault="006A4612" w:rsidP="00071545">
            <w:pPr>
              <w:pStyle w:val="EYBodytextwithparaspace"/>
              <w:spacing w:after="60"/>
              <w:rPr>
                <w:rStyle w:val="Strong"/>
                <w:rFonts w:ascii="Arial Narrow" w:eastAsiaTheme="minorHAnsi" w:hAnsi="Arial Narrow"/>
                <w:b w:val="0"/>
                <w:lang w:val="en-GB"/>
              </w:rPr>
            </w:pPr>
            <w:r w:rsidRPr="00D82D23">
              <w:rPr>
                <w:rStyle w:val="Strong"/>
                <w:rFonts w:ascii="Arial Narrow" w:eastAsiaTheme="minorHAnsi" w:hAnsi="Arial Narrow" w:cstheme="minorHAnsi"/>
                <w:b w:val="0"/>
                <w:sz w:val="22"/>
                <w:szCs w:val="22"/>
                <w:lang w:val="en-GB"/>
              </w:rPr>
              <w:t>Toilet and washing facilities</w:t>
            </w:r>
          </w:p>
        </w:tc>
        <w:tc>
          <w:tcPr>
            <w:tcW w:w="7359" w:type="dxa"/>
          </w:tcPr>
          <w:p w14:paraId="203D9C6A" w14:textId="77777777" w:rsidR="006A4612" w:rsidRPr="00D82D23" w:rsidRDefault="006A4612" w:rsidP="00071545">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D82D23">
              <w:rPr>
                <w:rStyle w:val="Strong"/>
                <w:rFonts w:cstheme="minorHAnsi"/>
                <w:b w:val="0"/>
                <w:szCs w:val="22"/>
              </w:rPr>
              <w:t>Toilet and hand-washing facilities must be:</w:t>
            </w:r>
          </w:p>
          <w:p w14:paraId="76A645F4" w14:textId="77777777" w:rsidR="006A4612" w:rsidRPr="00D82D23" w:rsidRDefault="006A4612" w:rsidP="00071545">
            <w:pPr>
              <w:pStyle w:val="ListParagraph"/>
              <w:numPr>
                <w:ilvl w:val="0"/>
                <w:numId w:val="25"/>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D82D23">
              <w:rPr>
                <w:rStyle w:val="Strong"/>
                <w:rFonts w:cstheme="minorHAnsi"/>
                <w:b w:val="0"/>
                <w:szCs w:val="22"/>
              </w:rPr>
              <w:t>age-appropriate and adequate for children’s use</w:t>
            </w:r>
          </w:p>
          <w:p w14:paraId="152E7B2F" w14:textId="63D68B5D" w:rsidR="006A4612" w:rsidRPr="00D82D23" w:rsidRDefault="006A4612" w:rsidP="00071545">
            <w:pPr>
              <w:pStyle w:val="EYBodytextwithparaspace"/>
              <w:numPr>
                <w:ilvl w:val="0"/>
                <w:numId w:val="25"/>
              </w:numPr>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D82D23">
              <w:rPr>
                <w:rStyle w:val="Strong"/>
                <w:rFonts w:ascii="Arial Narrow" w:hAnsi="Arial Narrow" w:cstheme="minorHAnsi"/>
                <w:b w:val="0"/>
                <w:sz w:val="22"/>
                <w:szCs w:val="22"/>
              </w:rPr>
              <w:t>located and designed to enable safe use by children</w:t>
            </w:r>
          </w:p>
        </w:tc>
      </w:tr>
      <w:tr w:rsidR="006A4612" w:rsidRPr="00D82D23" w14:paraId="03ED027E" w14:textId="77777777" w:rsidTr="00440F5A">
        <w:tc>
          <w:tcPr>
            <w:cnfStyle w:val="001000000000" w:firstRow="0" w:lastRow="0" w:firstColumn="1" w:lastColumn="0" w:oddVBand="0" w:evenVBand="0" w:oddHBand="0" w:evenHBand="0" w:firstRowFirstColumn="0" w:firstRowLastColumn="0" w:lastRowFirstColumn="0" w:lastRowLastColumn="0"/>
            <w:tcW w:w="2263" w:type="dxa"/>
          </w:tcPr>
          <w:p w14:paraId="168A8F00" w14:textId="38AD5404" w:rsidR="006A4612" w:rsidRPr="00D82D23" w:rsidRDefault="006A4612" w:rsidP="00071545">
            <w:pPr>
              <w:pStyle w:val="EYBodytextwithparaspace"/>
              <w:spacing w:after="60"/>
              <w:rPr>
                <w:rStyle w:val="Strong"/>
                <w:rFonts w:ascii="Arial Narrow" w:eastAsiaTheme="minorHAnsi" w:hAnsi="Arial Narrow"/>
                <w:b w:val="0"/>
                <w:lang w:val="en-GB"/>
              </w:rPr>
            </w:pPr>
            <w:r w:rsidRPr="00D82D23">
              <w:rPr>
                <w:rStyle w:val="Strong"/>
                <w:rFonts w:ascii="Arial Narrow" w:eastAsiaTheme="minorHAnsi" w:hAnsi="Arial Narrow" w:cstheme="minorHAnsi"/>
                <w:b w:val="0"/>
                <w:sz w:val="22"/>
                <w:szCs w:val="22"/>
                <w:lang w:val="en-GB"/>
              </w:rPr>
              <w:t>Nappy changing facilities</w:t>
            </w:r>
          </w:p>
        </w:tc>
        <w:tc>
          <w:tcPr>
            <w:tcW w:w="7359" w:type="dxa"/>
          </w:tcPr>
          <w:p w14:paraId="5C9CBC34" w14:textId="6C7CE023" w:rsidR="006A4612" w:rsidRPr="00D82D23" w:rsidRDefault="006A4612" w:rsidP="00071545">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D82D23">
              <w:rPr>
                <w:rStyle w:val="Strong"/>
                <w:rFonts w:ascii="Arial Narrow" w:hAnsi="Arial Narrow" w:cstheme="minorHAnsi"/>
                <w:b w:val="0"/>
                <w:sz w:val="22"/>
                <w:szCs w:val="22"/>
              </w:rPr>
              <w:t xml:space="preserve">If services care for nappy-wearing children, facilities must be provided which are adequate and age-appropriate for safe and hygienic nappy-changing. </w:t>
            </w:r>
          </w:p>
        </w:tc>
      </w:tr>
      <w:tr w:rsidR="006A4612" w:rsidRPr="00D82D23" w14:paraId="41A7474F" w14:textId="77777777" w:rsidTr="00440F5A">
        <w:tc>
          <w:tcPr>
            <w:cnfStyle w:val="001000000000" w:firstRow="0" w:lastRow="0" w:firstColumn="1" w:lastColumn="0" w:oddVBand="0" w:evenVBand="0" w:oddHBand="0" w:evenHBand="0" w:firstRowFirstColumn="0" w:firstRowLastColumn="0" w:lastRowFirstColumn="0" w:lastRowLastColumn="0"/>
            <w:tcW w:w="2263" w:type="dxa"/>
          </w:tcPr>
          <w:p w14:paraId="368548F5" w14:textId="0DAF91E2" w:rsidR="006A4612" w:rsidRPr="00D82D23" w:rsidRDefault="006A4612" w:rsidP="00071545">
            <w:pPr>
              <w:pStyle w:val="EYBodytextwithparaspace"/>
              <w:spacing w:after="60"/>
              <w:rPr>
                <w:rStyle w:val="Strong"/>
                <w:rFonts w:ascii="Arial Narrow" w:eastAsiaTheme="minorHAnsi" w:hAnsi="Arial Narrow"/>
                <w:b w:val="0"/>
                <w:lang w:val="en-GB"/>
              </w:rPr>
            </w:pPr>
            <w:r w:rsidRPr="00D82D23">
              <w:rPr>
                <w:rStyle w:val="Strong"/>
                <w:rFonts w:ascii="Arial Narrow" w:eastAsiaTheme="minorHAnsi" w:hAnsi="Arial Narrow" w:cstheme="minorHAnsi"/>
                <w:b w:val="0"/>
                <w:sz w:val="22"/>
                <w:szCs w:val="22"/>
                <w:lang w:val="en-GB"/>
              </w:rPr>
              <w:t>Sleep and rest facilities</w:t>
            </w:r>
          </w:p>
        </w:tc>
        <w:tc>
          <w:tcPr>
            <w:tcW w:w="7359" w:type="dxa"/>
          </w:tcPr>
          <w:p w14:paraId="237C459F" w14:textId="77777777" w:rsidR="006A4612" w:rsidRPr="00D82D23" w:rsidRDefault="006A4612" w:rsidP="00071545">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D82D23">
              <w:rPr>
                <w:rStyle w:val="Strong"/>
                <w:rFonts w:cstheme="minorHAnsi"/>
                <w:b w:val="0"/>
                <w:szCs w:val="22"/>
              </w:rPr>
              <w:t>Services other than school holidays care services must ensure that:</w:t>
            </w:r>
          </w:p>
          <w:p w14:paraId="7187B947" w14:textId="77777777" w:rsidR="006A4612" w:rsidRPr="00D82D23" w:rsidRDefault="006A4612" w:rsidP="00071545">
            <w:pPr>
              <w:pStyle w:val="ListParagraph"/>
              <w:numPr>
                <w:ilvl w:val="0"/>
                <w:numId w:val="26"/>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D82D23">
              <w:rPr>
                <w:rStyle w:val="Strong"/>
                <w:rFonts w:cstheme="minorHAnsi"/>
                <w:b w:val="0"/>
                <w:szCs w:val="22"/>
              </w:rPr>
              <w:t>an adequate number of suitable cots, beds, stretchers or mattresses are provided</w:t>
            </w:r>
          </w:p>
          <w:p w14:paraId="7EDBD4CC" w14:textId="77777777" w:rsidR="006A4612" w:rsidRPr="00D82D23" w:rsidRDefault="006A4612" w:rsidP="00071545">
            <w:pPr>
              <w:pStyle w:val="ListParagraph"/>
              <w:numPr>
                <w:ilvl w:val="0"/>
                <w:numId w:val="26"/>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D82D23">
              <w:rPr>
                <w:rStyle w:val="Strong"/>
                <w:rFonts w:cstheme="minorHAnsi"/>
                <w:b w:val="0"/>
                <w:szCs w:val="22"/>
              </w:rPr>
              <w:t>an adequate supply of bedding is available</w:t>
            </w:r>
          </w:p>
          <w:p w14:paraId="527F87A0" w14:textId="77777777" w:rsidR="006A4612" w:rsidRPr="00D82D23" w:rsidRDefault="006A4612" w:rsidP="00071545">
            <w:pPr>
              <w:pStyle w:val="ListParagraph"/>
              <w:numPr>
                <w:ilvl w:val="0"/>
                <w:numId w:val="26"/>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proofErr w:type="gramStart"/>
            <w:r w:rsidRPr="00D82D23">
              <w:rPr>
                <w:rStyle w:val="Strong"/>
                <w:rFonts w:cstheme="minorHAnsi"/>
                <w:b w:val="0"/>
                <w:szCs w:val="22"/>
              </w:rPr>
              <w:t>all</w:t>
            </w:r>
            <w:proofErr w:type="gramEnd"/>
            <w:r w:rsidRPr="00D82D23">
              <w:rPr>
                <w:rStyle w:val="Strong"/>
                <w:rFonts w:cstheme="minorHAnsi"/>
                <w:b w:val="0"/>
                <w:szCs w:val="22"/>
              </w:rPr>
              <w:t xml:space="preserve"> bedding is kept clean and in good repair.</w:t>
            </w:r>
          </w:p>
          <w:p w14:paraId="324CA6C9" w14:textId="0182E629" w:rsidR="006A4612" w:rsidRPr="00D82D23" w:rsidRDefault="006A4612" w:rsidP="00071545">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D82D23">
              <w:rPr>
                <w:rStyle w:val="Strong"/>
                <w:rFonts w:ascii="Arial Narrow" w:hAnsi="Arial Narrow" w:cstheme="minorHAnsi"/>
                <w:b w:val="0"/>
                <w:sz w:val="22"/>
                <w:szCs w:val="22"/>
              </w:rPr>
              <w:t>School holidays care services must provide an adequate rest area for children.</w:t>
            </w:r>
          </w:p>
        </w:tc>
      </w:tr>
      <w:tr w:rsidR="006A4612" w:rsidRPr="00D82D23" w14:paraId="480AB6C5" w14:textId="77777777" w:rsidTr="00440F5A">
        <w:tc>
          <w:tcPr>
            <w:cnfStyle w:val="001000000000" w:firstRow="0" w:lastRow="0" w:firstColumn="1" w:lastColumn="0" w:oddVBand="0" w:evenVBand="0" w:oddHBand="0" w:evenHBand="0" w:firstRowFirstColumn="0" w:firstRowLastColumn="0" w:lastRowFirstColumn="0" w:lastRowLastColumn="0"/>
            <w:tcW w:w="2263" w:type="dxa"/>
          </w:tcPr>
          <w:p w14:paraId="1F4F13C0" w14:textId="15C46EFD" w:rsidR="006A4612" w:rsidRPr="00D82D23" w:rsidRDefault="006A4612" w:rsidP="00071545">
            <w:pPr>
              <w:pStyle w:val="EYBodytextwithparaspace"/>
              <w:spacing w:after="60"/>
              <w:rPr>
                <w:rStyle w:val="Strong"/>
                <w:rFonts w:ascii="Arial Narrow" w:eastAsiaTheme="minorHAnsi" w:hAnsi="Arial Narrow"/>
                <w:b w:val="0"/>
                <w:lang w:val="en-GB"/>
              </w:rPr>
            </w:pPr>
            <w:r w:rsidRPr="00D82D23">
              <w:rPr>
                <w:rStyle w:val="Strong"/>
                <w:rFonts w:ascii="Arial Narrow" w:eastAsiaTheme="minorHAnsi" w:hAnsi="Arial Narrow" w:cstheme="minorHAnsi"/>
                <w:b w:val="0"/>
                <w:sz w:val="22"/>
                <w:szCs w:val="22"/>
                <w:lang w:val="en-GB"/>
              </w:rPr>
              <w:t>Food preparation</w:t>
            </w:r>
          </w:p>
        </w:tc>
        <w:tc>
          <w:tcPr>
            <w:tcW w:w="7359" w:type="dxa"/>
          </w:tcPr>
          <w:p w14:paraId="2BE2AD50" w14:textId="77777777" w:rsidR="006A4612" w:rsidRPr="00D82D23" w:rsidRDefault="006A4612" w:rsidP="00071545">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D82D23">
              <w:rPr>
                <w:rStyle w:val="Strong"/>
                <w:rFonts w:cstheme="minorHAnsi"/>
                <w:b w:val="0"/>
                <w:szCs w:val="22"/>
              </w:rPr>
              <w:t>The following must be available to and accessible by staff:</w:t>
            </w:r>
          </w:p>
          <w:p w14:paraId="321FAD65" w14:textId="77777777" w:rsidR="006A4612" w:rsidRPr="00D82D23" w:rsidRDefault="006A4612" w:rsidP="00071545">
            <w:pPr>
              <w:pStyle w:val="ListParagraph"/>
              <w:numPr>
                <w:ilvl w:val="0"/>
                <w:numId w:val="27"/>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D82D23">
              <w:rPr>
                <w:rStyle w:val="Strong"/>
                <w:rFonts w:cstheme="minorHAnsi"/>
                <w:b w:val="0"/>
                <w:szCs w:val="22"/>
              </w:rPr>
              <w:t>facilities to cook or heat food</w:t>
            </w:r>
          </w:p>
          <w:p w14:paraId="044BB6ED" w14:textId="77777777" w:rsidR="006A4612" w:rsidRPr="00D82D23" w:rsidRDefault="006A4612" w:rsidP="00071545">
            <w:pPr>
              <w:pStyle w:val="ListParagraph"/>
              <w:numPr>
                <w:ilvl w:val="0"/>
                <w:numId w:val="27"/>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D82D23">
              <w:rPr>
                <w:rStyle w:val="Strong"/>
                <w:rFonts w:cstheme="minorHAnsi"/>
                <w:b w:val="0"/>
                <w:szCs w:val="22"/>
              </w:rPr>
              <w:t>washing up facilities</w:t>
            </w:r>
          </w:p>
          <w:p w14:paraId="37B579B4" w14:textId="67B558E8" w:rsidR="006A4612" w:rsidRPr="00D82D23" w:rsidRDefault="006A4612" w:rsidP="00071545">
            <w:pPr>
              <w:pStyle w:val="EYBodytextwithparaspace"/>
              <w:numPr>
                <w:ilvl w:val="0"/>
                <w:numId w:val="27"/>
              </w:numPr>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D82D23">
              <w:rPr>
                <w:rStyle w:val="Strong"/>
                <w:rFonts w:ascii="Arial Narrow" w:hAnsi="Arial Narrow" w:cstheme="minorHAnsi"/>
                <w:b w:val="0"/>
                <w:sz w:val="22"/>
                <w:szCs w:val="22"/>
              </w:rPr>
              <w:t>refrigerated food storage facilities</w:t>
            </w:r>
          </w:p>
        </w:tc>
      </w:tr>
    </w:tbl>
    <w:p w14:paraId="38175B4B" w14:textId="77777777" w:rsidR="00C01E92" w:rsidRPr="000107A9" w:rsidRDefault="00C01E92" w:rsidP="00FE43F9">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b/>
          <w:sz w:val="22"/>
          <w:szCs w:val="22"/>
        </w:rPr>
        <w:t>Option E.2. Alignment</w:t>
      </w:r>
    </w:p>
    <w:p w14:paraId="73161BF8" w14:textId="359EA7B8"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Under this option, services are required to abide by the same regulatory requirements as outlined in option E.1. Status Quo, with three changes as outlined in</w:t>
      </w:r>
      <w:r w:rsidR="00823B07">
        <w:rPr>
          <w:rFonts w:asciiTheme="minorHAnsi" w:hAnsiTheme="minorHAnsi" w:cstheme="minorHAnsi"/>
          <w:sz w:val="22"/>
          <w:szCs w:val="22"/>
        </w:rPr>
        <w:t xml:space="preserve"> </w:t>
      </w:r>
      <w:r w:rsidR="00823B07" w:rsidRPr="00823B07">
        <w:rPr>
          <w:rFonts w:asciiTheme="minorHAnsi" w:hAnsiTheme="minorHAnsi" w:cstheme="minorHAnsi"/>
          <w:sz w:val="22"/>
          <w:szCs w:val="22"/>
        </w:rPr>
        <w:t>Table 10</w:t>
      </w:r>
      <w:r w:rsidRPr="00823B07">
        <w:rPr>
          <w:rFonts w:asciiTheme="minorHAnsi" w:hAnsiTheme="minorHAnsi" w:cstheme="minorHAnsi"/>
          <w:sz w:val="22"/>
          <w:szCs w:val="22"/>
        </w:rPr>
        <w:t>. As with the</w:t>
      </w:r>
      <w:r w:rsidRPr="000107A9">
        <w:rPr>
          <w:rFonts w:asciiTheme="minorHAnsi" w:hAnsiTheme="minorHAnsi" w:cstheme="minorHAnsi"/>
          <w:sz w:val="22"/>
          <w:szCs w:val="22"/>
        </w:rPr>
        <w:t xml:space="preserve"> Status Quo option, minor changes will also be made to update the Regulations to refer to the correct provisions in the amended Act. Transitional provisions will also apply; see section </w:t>
      </w: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_Ref25851880 \r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Pr>
          <w:rFonts w:asciiTheme="minorHAnsi" w:hAnsiTheme="minorHAnsi" w:cstheme="minorHAnsi"/>
          <w:sz w:val="22"/>
          <w:szCs w:val="22"/>
        </w:rPr>
        <w:t>0</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w:t>
      </w:r>
    </w:p>
    <w:p w14:paraId="323BDD20" w14:textId="6DD0864F" w:rsidR="00C01E92" w:rsidRPr="000107A9" w:rsidRDefault="00C01E92" w:rsidP="00F7569F">
      <w:pPr>
        <w:pStyle w:val="Caption"/>
      </w:pPr>
      <w:bookmarkStart w:id="118" w:name="_Toc32592793"/>
      <w:r w:rsidRPr="000107A9">
        <w:t xml:space="preserve">Table </w:t>
      </w:r>
      <w:r w:rsidRPr="000107A9">
        <w:fldChar w:fldCharType="begin"/>
      </w:r>
      <w:r w:rsidRPr="000107A9">
        <w:instrText xml:space="preserve"> SEQ Table \* ARABIC </w:instrText>
      </w:r>
      <w:r w:rsidRPr="000107A9">
        <w:fldChar w:fldCharType="separate"/>
      </w:r>
      <w:r w:rsidR="00493211">
        <w:rPr>
          <w:noProof/>
        </w:rPr>
        <w:t>10</w:t>
      </w:r>
      <w:r w:rsidRPr="000107A9">
        <w:fldChar w:fldCharType="end"/>
      </w:r>
      <w:r w:rsidRPr="000107A9">
        <w:t xml:space="preserve"> Option E.2. Alignment - Equipment and facilities</w:t>
      </w:r>
      <w:bookmarkEnd w:id="118"/>
      <w:r w:rsidRPr="000107A9">
        <w:t xml:space="preserve"> </w:t>
      </w:r>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969"/>
        <w:gridCol w:w="7653"/>
      </w:tblGrid>
      <w:tr w:rsidR="00C01E92" w:rsidRPr="00D82D23" w14:paraId="4BF117BC" w14:textId="77777777" w:rsidTr="00D82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pct"/>
            <w:tcBorders>
              <w:right w:val="none" w:sz="0" w:space="0" w:color="auto"/>
            </w:tcBorders>
            <w:hideMark/>
          </w:tcPr>
          <w:p w14:paraId="3D9EDAFC" w14:textId="77777777" w:rsidR="00C01E92" w:rsidRPr="00D82D23" w:rsidRDefault="00C01E92" w:rsidP="00071545">
            <w:pPr>
              <w:spacing w:after="60"/>
              <w:rPr>
                <w:rStyle w:val="Strong"/>
                <w:rFonts w:cstheme="minorHAnsi"/>
                <w:szCs w:val="22"/>
              </w:rPr>
            </w:pPr>
            <w:r w:rsidRPr="00D82D23">
              <w:rPr>
                <w:rStyle w:val="Strong"/>
                <w:rFonts w:cstheme="minorHAnsi"/>
                <w:szCs w:val="22"/>
              </w:rPr>
              <w:t>Subject</w:t>
            </w:r>
          </w:p>
        </w:tc>
        <w:tc>
          <w:tcPr>
            <w:tcW w:w="3977" w:type="pct"/>
            <w:tcBorders>
              <w:left w:val="none" w:sz="0" w:space="0" w:color="auto"/>
            </w:tcBorders>
            <w:hideMark/>
          </w:tcPr>
          <w:p w14:paraId="1243BE88" w14:textId="77777777" w:rsidR="00C01E92" w:rsidRPr="00D82D23" w:rsidRDefault="00C01E92" w:rsidP="00071545">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szCs w:val="22"/>
              </w:rPr>
            </w:pPr>
            <w:r w:rsidRPr="00D82D23">
              <w:rPr>
                <w:rStyle w:val="Strong"/>
                <w:rFonts w:cstheme="minorHAnsi"/>
                <w:szCs w:val="22"/>
              </w:rPr>
              <w:t>Details in the Regulations</w:t>
            </w:r>
          </w:p>
        </w:tc>
      </w:tr>
      <w:tr w:rsidR="00C01E92" w:rsidRPr="00D82D23" w14:paraId="64A42992" w14:textId="77777777" w:rsidTr="00D82D23">
        <w:tc>
          <w:tcPr>
            <w:cnfStyle w:val="001000000000" w:firstRow="0" w:lastRow="0" w:firstColumn="1" w:lastColumn="0" w:oddVBand="0" w:evenVBand="0" w:oddHBand="0" w:evenHBand="0" w:firstRowFirstColumn="0" w:firstRowLastColumn="0" w:lastRowFirstColumn="0" w:lastRowLastColumn="0"/>
            <w:tcW w:w="1023" w:type="pct"/>
          </w:tcPr>
          <w:p w14:paraId="7B286734" w14:textId="77777777" w:rsidR="00C01E92" w:rsidRPr="00D82D23" w:rsidRDefault="00C01E92" w:rsidP="00071545">
            <w:pPr>
              <w:spacing w:after="60"/>
              <w:rPr>
                <w:rStyle w:val="Strong"/>
                <w:rFonts w:cstheme="minorHAnsi"/>
                <w:b w:val="0"/>
                <w:szCs w:val="22"/>
              </w:rPr>
            </w:pPr>
            <w:r w:rsidRPr="00D82D23">
              <w:rPr>
                <w:rStyle w:val="Strong"/>
                <w:rFonts w:cstheme="minorHAnsi"/>
                <w:b w:val="0"/>
                <w:szCs w:val="22"/>
              </w:rPr>
              <w:t>Children’s rooms</w:t>
            </w:r>
          </w:p>
        </w:tc>
        <w:tc>
          <w:tcPr>
            <w:tcW w:w="3977" w:type="pct"/>
          </w:tcPr>
          <w:p w14:paraId="580C22E9" w14:textId="77777777" w:rsidR="00C01E92" w:rsidRPr="00D82D23" w:rsidRDefault="00C01E92" w:rsidP="00071545">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D82D23">
              <w:rPr>
                <w:rStyle w:val="Strong"/>
                <w:rFonts w:cstheme="minorHAnsi"/>
                <w:b w:val="0"/>
                <w:szCs w:val="22"/>
              </w:rPr>
              <w:t>Services will not have to provide a second room for children under 36 months.</w:t>
            </w:r>
          </w:p>
        </w:tc>
      </w:tr>
      <w:tr w:rsidR="00C01E92" w:rsidRPr="00D82D23" w14:paraId="47C10D95" w14:textId="77777777" w:rsidTr="00D82D23">
        <w:tc>
          <w:tcPr>
            <w:cnfStyle w:val="001000000000" w:firstRow="0" w:lastRow="0" w:firstColumn="1" w:lastColumn="0" w:oddVBand="0" w:evenVBand="0" w:oddHBand="0" w:evenHBand="0" w:firstRowFirstColumn="0" w:firstRowLastColumn="0" w:lastRowFirstColumn="0" w:lastRowLastColumn="0"/>
            <w:tcW w:w="1023" w:type="pct"/>
          </w:tcPr>
          <w:p w14:paraId="08DBB995" w14:textId="77777777" w:rsidR="00C01E92" w:rsidRPr="00D82D23" w:rsidRDefault="00C01E92" w:rsidP="00071545">
            <w:pPr>
              <w:spacing w:after="60"/>
              <w:rPr>
                <w:rStyle w:val="Strong"/>
                <w:rFonts w:cstheme="minorHAnsi"/>
                <w:b w:val="0"/>
                <w:szCs w:val="22"/>
              </w:rPr>
            </w:pPr>
            <w:r w:rsidRPr="00D82D23">
              <w:rPr>
                <w:rStyle w:val="Strong"/>
                <w:rFonts w:cstheme="minorHAnsi"/>
                <w:b w:val="0"/>
                <w:szCs w:val="22"/>
              </w:rPr>
              <w:t xml:space="preserve">Outdoor space </w:t>
            </w:r>
          </w:p>
        </w:tc>
        <w:tc>
          <w:tcPr>
            <w:tcW w:w="3977" w:type="pct"/>
          </w:tcPr>
          <w:p w14:paraId="706B400C" w14:textId="77777777" w:rsidR="00C01E92" w:rsidRPr="00D82D23" w:rsidRDefault="00C01E92" w:rsidP="00071545">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D82D23">
              <w:rPr>
                <w:rStyle w:val="Strong"/>
                <w:rFonts w:cstheme="minorHAnsi"/>
                <w:b w:val="0"/>
                <w:szCs w:val="22"/>
              </w:rPr>
              <w:t xml:space="preserve">Services with an Occasional Care service approval must provide outdoor space which: </w:t>
            </w:r>
          </w:p>
          <w:p w14:paraId="5D851208" w14:textId="77777777" w:rsidR="00C01E92" w:rsidRPr="00D82D23" w:rsidRDefault="00C01E92" w:rsidP="00071545">
            <w:pPr>
              <w:pStyle w:val="ListParagraph"/>
              <w:numPr>
                <w:ilvl w:val="0"/>
                <w:numId w:val="23"/>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bCs/>
                <w:szCs w:val="22"/>
              </w:rPr>
            </w:pPr>
            <w:r w:rsidRPr="00D82D23">
              <w:rPr>
                <w:rFonts w:cstheme="minorHAnsi"/>
                <w:bCs/>
                <w:szCs w:val="22"/>
              </w:rPr>
              <w:t>has a useable area of at least 7 square metres per child</w:t>
            </w:r>
          </w:p>
          <w:p w14:paraId="5511988B" w14:textId="77777777" w:rsidR="00C01E92" w:rsidRPr="00D82D23" w:rsidRDefault="00C01E92" w:rsidP="00071545">
            <w:pPr>
              <w:pStyle w:val="ListParagraph"/>
              <w:numPr>
                <w:ilvl w:val="0"/>
                <w:numId w:val="22"/>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bCs/>
                <w:szCs w:val="22"/>
              </w:rPr>
            </w:pPr>
            <w:r w:rsidRPr="00D82D23">
              <w:rPr>
                <w:rFonts w:cstheme="minorHAnsi"/>
                <w:bCs/>
                <w:szCs w:val="22"/>
              </w:rPr>
              <w:t>includes features enabling children to explore and experience the environment</w:t>
            </w:r>
          </w:p>
          <w:p w14:paraId="1F15EBF5" w14:textId="77777777" w:rsidR="00C01E92" w:rsidRPr="00D82D23" w:rsidRDefault="00C01E92" w:rsidP="00071545">
            <w:pPr>
              <w:pStyle w:val="ListParagraph"/>
              <w:numPr>
                <w:ilvl w:val="0"/>
                <w:numId w:val="22"/>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bCs/>
                <w:szCs w:val="22"/>
              </w:rPr>
            </w:pPr>
            <w:r w:rsidRPr="00D82D23">
              <w:rPr>
                <w:rFonts w:cstheme="minorHAnsi"/>
                <w:bCs/>
                <w:szCs w:val="22"/>
              </w:rPr>
              <w:lastRenderedPageBreak/>
              <w:t>has adequate shade</w:t>
            </w:r>
          </w:p>
          <w:p w14:paraId="2709D937" w14:textId="5A053F3C" w:rsidR="00C01E92" w:rsidRPr="00D82D23" w:rsidRDefault="00C01E92" w:rsidP="00071545">
            <w:pPr>
              <w:pStyle w:val="ListParagraph"/>
              <w:numPr>
                <w:ilvl w:val="0"/>
                <w:numId w:val="22"/>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bCs/>
                <w:szCs w:val="22"/>
              </w:rPr>
            </w:pPr>
            <w:r w:rsidRPr="00D82D23">
              <w:rPr>
                <w:rFonts w:cstheme="minorHAnsi"/>
                <w:bCs/>
                <w:szCs w:val="22"/>
              </w:rPr>
              <w:t xml:space="preserve">is enclosed by a fence at least 1.5m </w:t>
            </w:r>
            <w:r w:rsidR="00071545">
              <w:rPr>
                <w:rFonts w:cstheme="minorHAnsi"/>
                <w:bCs/>
                <w:szCs w:val="22"/>
              </w:rPr>
              <w:t>high</w:t>
            </w:r>
            <w:r w:rsidRPr="00D82D23">
              <w:rPr>
                <w:rFonts w:cstheme="minorHAnsi"/>
                <w:bCs/>
                <w:szCs w:val="22"/>
              </w:rPr>
              <w:t xml:space="preserve"> </w:t>
            </w:r>
            <w:r w:rsidR="00514C50">
              <w:rPr>
                <w:rFonts w:cstheme="minorHAnsi"/>
                <w:bCs/>
                <w:szCs w:val="22"/>
              </w:rPr>
              <w:t>and a child cannot go through</w:t>
            </w:r>
            <w:r w:rsidR="00071545">
              <w:rPr>
                <w:rFonts w:cstheme="minorHAnsi"/>
                <w:bCs/>
                <w:szCs w:val="22"/>
              </w:rPr>
              <w:t>, over or under</w:t>
            </w:r>
            <w:r w:rsidR="00514C50">
              <w:rPr>
                <w:rFonts w:cstheme="minorHAnsi"/>
                <w:bCs/>
                <w:szCs w:val="22"/>
              </w:rPr>
              <w:t xml:space="preserve"> the fence or barrier or any gate fitting</w:t>
            </w:r>
          </w:p>
          <w:p w14:paraId="3FDEEA33" w14:textId="77777777" w:rsidR="00C01E92" w:rsidRPr="00D82D23" w:rsidRDefault="00C01E92" w:rsidP="00071545">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D82D23">
              <w:rPr>
                <w:rStyle w:val="Strong"/>
                <w:rFonts w:cstheme="minorHAnsi"/>
                <w:b w:val="0"/>
                <w:szCs w:val="22"/>
              </w:rPr>
              <w:t>The following do not count as outdoor space: pathways, car parks, storage sheds or any other ancillary area.</w:t>
            </w:r>
          </w:p>
          <w:p w14:paraId="65CB6A7C" w14:textId="77777777" w:rsidR="00C01E92" w:rsidRPr="00D82D23" w:rsidRDefault="00C01E92" w:rsidP="00071545">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D82D23">
              <w:rPr>
                <w:rStyle w:val="Strong"/>
                <w:rFonts w:cstheme="minorHAnsi"/>
                <w:b w:val="0"/>
                <w:szCs w:val="22"/>
              </w:rPr>
              <w:t>Services with a Limited Hours service approval do not need to provide outdoor space.</w:t>
            </w:r>
          </w:p>
        </w:tc>
      </w:tr>
      <w:tr w:rsidR="00C01E92" w:rsidRPr="00D82D23" w14:paraId="2A29C453" w14:textId="77777777" w:rsidTr="00D82D23">
        <w:tc>
          <w:tcPr>
            <w:cnfStyle w:val="001000000000" w:firstRow="0" w:lastRow="0" w:firstColumn="1" w:lastColumn="0" w:oddVBand="0" w:evenVBand="0" w:oddHBand="0" w:evenHBand="0" w:firstRowFirstColumn="0" w:firstRowLastColumn="0" w:lastRowFirstColumn="0" w:lastRowLastColumn="0"/>
            <w:tcW w:w="1023" w:type="pct"/>
          </w:tcPr>
          <w:p w14:paraId="5432F49B" w14:textId="77777777" w:rsidR="00C01E92" w:rsidRPr="00D82D23" w:rsidRDefault="00C01E92" w:rsidP="00071545">
            <w:pPr>
              <w:spacing w:after="60"/>
              <w:rPr>
                <w:rStyle w:val="Strong"/>
                <w:rFonts w:cstheme="minorHAnsi"/>
                <w:b w:val="0"/>
                <w:szCs w:val="22"/>
              </w:rPr>
            </w:pPr>
            <w:r w:rsidRPr="00D82D23">
              <w:rPr>
                <w:rStyle w:val="Strong"/>
                <w:rFonts w:cstheme="minorHAnsi"/>
                <w:b w:val="0"/>
                <w:szCs w:val="22"/>
              </w:rPr>
              <w:lastRenderedPageBreak/>
              <w:t>Laundry facilities</w:t>
            </w:r>
          </w:p>
        </w:tc>
        <w:tc>
          <w:tcPr>
            <w:tcW w:w="3977" w:type="pct"/>
          </w:tcPr>
          <w:p w14:paraId="41DEB23A" w14:textId="77777777" w:rsidR="00C01E92" w:rsidRPr="00D82D23" w:rsidRDefault="00C01E92" w:rsidP="00071545">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D82D23">
              <w:rPr>
                <w:rStyle w:val="Strong"/>
                <w:rFonts w:cstheme="minorHAnsi"/>
                <w:b w:val="0"/>
                <w:szCs w:val="22"/>
              </w:rPr>
              <w:t>All services must:</w:t>
            </w:r>
          </w:p>
          <w:p w14:paraId="176845B2" w14:textId="77777777" w:rsidR="00C01E92" w:rsidRPr="00D82D23" w:rsidRDefault="00C01E92" w:rsidP="00071545">
            <w:pPr>
              <w:pStyle w:val="ListParagraph"/>
              <w:numPr>
                <w:ilvl w:val="0"/>
                <w:numId w:val="23"/>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D82D23">
              <w:rPr>
                <w:rFonts w:cstheme="minorHAnsi"/>
                <w:szCs w:val="22"/>
              </w:rPr>
              <w:t>Have access to laundry facilities or,</w:t>
            </w:r>
          </w:p>
          <w:p w14:paraId="1646835A" w14:textId="77777777" w:rsidR="00C01E92" w:rsidRPr="00D82D23" w:rsidRDefault="00C01E92" w:rsidP="00071545">
            <w:pPr>
              <w:pStyle w:val="ListParagraph"/>
              <w:numPr>
                <w:ilvl w:val="0"/>
                <w:numId w:val="23"/>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D82D23">
              <w:rPr>
                <w:rFonts w:cstheme="minorHAnsi"/>
                <w:szCs w:val="22"/>
              </w:rPr>
              <w:t>Make other arrangements for dealing with soiled clothing, nappies and linen, including hygienic facilities for storage prior to their disposal or laundering.</w:t>
            </w:r>
          </w:p>
        </w:tc>
      </w:tr>
    </w:tbl>
    <w:p w14:paraId="1F5D7993" w14:textId="04164298" w:rsidR="00C01E92" w:rsidRPr="000107A9" w:rsidRDefault="00C01E92" w:rsidP="00FE43F9">
      <w:pPr>
        <w:pStyle w:val="Heading3"/>
      </w:pPr>
      <w:bookmarkStart w:id="119" w:name="_Toc32936875"/>
      <w:r w:rsidRPr="000107A9">
        <w:t xml:space="preserve">F. </w:t>
      </w:r>
      <w:r w:rsidR="005A6B33">
        <w:t>Complaints and serious incidents</w:t>
      </w:r>
      <w:bookmarkEnd w:id="119"/>
    </w:p>
    <w:p w14:paraId="600DB293" w14:textId="77777777" w:rsidR="00C01E92" w:rsidRPr="000107A9" w:rsidRDefault="00C01E92" w:rsidP="00C01E92">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b/>
          <w:sz w:val="22"/>
          <w:szCs w:val="22"/>
        </w:rPr>
        <w:t>Option F.1. Status Quo</w:t>
      </w:r>
    </w:p>
    <w:p w14:paraId="088897C2" w14:textId="0ABF5923" w:rsidR="00C01E92"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Under this option, the Regulations include a standalone provision, requiring services to deal with and respond to complaints as soon and discreetly as possible. The Regulations also provide that services must notify the Secretary of any complaint that relates to the health, safety or wellbeing of a child or a contravention of the Act or Regulations.</w:t>
      </w:r>
    </w:p>
    <w:p w14:paraId="7B32A598" w14:textId="77777777" w:rsidR="00C01E92" w:rsidRPr="000107A9" w:rsidRDefault="00C01E92" w:rsidP="00C01E92">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b/>
          <w:sz w:val="22"/>
          <w:szCs w:val="22"/>
        </w:rPr>
        <w:t>Option F.2. Alignment</w:t>
      </w:r>
    </w:p>
    <w:p w14:paraId="6107BA4B" w14:textId="32ACB3EB" w:rsidR="00C01E92"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proposed Regulations provide that services must notify the Secretary of any </w:t>
      </w:r>
      <w:r w:rsidR="005A6B33">
        <w:rPr>
          <w:rFonts w:asciiTheme="minorHAnsi" w:hAnsiTheme="minorHAnsi" w:cstheme="minorHAnsi"/>
          <w:sz w:val="22"/>
          <w:szCs w:val="22"/>
        </w:rPr>
        <w:t>Complaints and serious incidents</w:t>
      </w:r>
      <w:r w:rsidRPr="000107A9">
        <w:rPr>
          <w:rFonts w:asciiTheme="minorHAnsi" w:hAnsiTheme="minorHAnsi" w:cstheme="minorHAnsi"/>
          <w:sz w:val="22"/>
          <w:szCs w:val="22"/>
        </w:rPr>
        <w:t xml:space="preserve"> within 24 hours.</w:t>
      </w:r>
    </w:p>
    <w:p w14:paraId="0082B5AD" w14:textId="77222EF3" w:rsidR="00C01E92" w:rsidRPr="000107A9" w:rsidRDefault="00C01E92" w:rsidP="00FE43F9">
      <w:pPr>
        <w:pStyle w:val="Heading3"/>
      </w:pPr>
      <w:bookmarkStart w:id="120" w:name="_Toc32936876"/>
      <w:r w:rsidRPr="000107A9">
        <w:t xml:space="preserve">G. </w:t>
      </w:r>
      <w:r w:rsidR="00E36DF7">
        <w:t>R</w:t>
      </w:r>
      <w:r w:rsidRPr="000107A9">
        <w:t>egisters and record-keeping</w:t>
      </w:r>
      <w:bookmarkEnd w:id="120"/>
    </w:p>
    <w:p w14:paraId="31806CF0" w14:textId="77777777" w:rsidR="00C01E92" w:rsidRPr="000107A9" w:rsidRDefault="00C01E92" w:rsidP="00C01E92">
      <w:pPr>
        <w:pStyle w:val="EYBodytextwithparaspace"/>
        <w:spacing w:before="120" w:after="120"/>
        <w:rPr>
          <w:rFonts w:asciiTheme="minorHAnsi" w:hAnsiTheme="minorHAnsi" w:cstheme="minorHAnsi"/>
          <w:sz w:val="22"/>
          <w:szCs w:val="22"/>
        </w:rPr>
      </w:pPr>
      <w:bookmarkStart w:id="121" w:name="_Hlk23757875"/>
      <w:r w:rsidRPr="000107A9">
        <w:rPr>
          <w:rFonts w:asciiTheme="minorHAnsi" w:hAnsiTheme="minorHAnsi" w:cstheme="minorHAnsi"/>
          <w:b/>
          <w:sz w:val="22"/>
          <w:szCs w:val="22"/>
        </w:rPr>
        <w:t>Option G.1. Status Quo</w:t>
      </w:r>
    </w:p>
    <w:bookmarkEnd w:id="121"/>
    <w:p w14:paraId="26E00AC8"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Under this option, the Regulations specify the information to be included in the register of children’s services kept by the Secretary, and the documents services need to display and keep available for inspection. These details are the same as those contained in the current Regulations. </w:t>
      </w:r>
    </w:p>
    <w:p w14:paraId="7C0A6698" w14:textId="4BD667E9" w:rsidR="00C01E92" w:rsidRPr="000107A9" w:rsidRDefault="00C01E92" w:rsidP="00F7569F">
      <w:pPr>
        <w:pStyle w:val="Caption"/>
      </w:pPr>
      <w:bookmarkStart w:id="122" w:name="_Toc32592794"/>
      <w:r w:rsidRPr="000107A9">
        <w:t xml:space="preserve">Table </w:t>
      </w:r>
      <w:r w:rsidRPr="000107A9">
        <w:fldChar w:fldCharType="begin"/>
      </w:r>
      <w:r w:rsidRPr="000107A9">
        <w:instrText xml:space="preserve"> SEQ Table \* ARABIC </w:instrText>
      </w:r>
      <w:r w:rsidRPr="000107A9">
        <w:fldChar w:fldCharType="separate"/>
      </w:r>
      <w:r w:rsidR="00493211">
        <w:rPr>
          <w:noProof/>
        </w:rPr>
        <w:t>11</w:t>
      </w:r>
      <w:r w:rsidRPr="000107A9">
        <w:fldChar w:fldCharType="end"/>
      </w:r>
      <w:r w:rsidRPr="000107A9">
        <w:t xml:space="preserve"> Option G.1. Status Quo - Registers and record-keeping</w:t>
      </w:r>
      <w:bookmarkEnd w:id="122"/>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969"/>
        <w:gridCol w:w="7653"/>
      </w:tblGrid>
      <w:tr w:rsidR="00C01E92" w:rsidRPr="00823B07" w14:paraId="4249EC46" w14:textId="77777777" w:rsidTr="00823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pct"/>
            <w:tcBorders>
              <w:right w:val="none" w:sz="0" w:space="0" w:color="auto"/>
            </w:tcBorders>
            <w:hideMark/>
          </w:tcPr>
          <w:p w14:paraId="360EC5CD" w14:textId="77777777" w:rsidR="00C01E92" w:rsidRPr="00823B07" w:rsidRDefault="00C01E92" w:rsidP="00823B07">
            <w:pPr>
              <w:spacing w:after="60"/>
              <w:rPr>
                <w:rStyle w:val="Strong"/>
                <w:rFonts w:cstheme="minorHAnsi"/>
                <w:b/>
                <w:szCs w:val="22"/>
              </w:rPr>
            </w:pPr>
            <w:r w:rsidRPr="00823B07">
              <w:rPr>
                <w:rStyle w:val="Strong"/>
                <w:rFonts w:cstheme="minorHAnsi"/>
                <w:b/>
                <w:szCs w:val="22"/>
              </w:rPr>
              <w:t>Subject</w:t>
            </w:r>
          </w:p>
        </w:tc>
        <w:tc>
          <w:tcPr>
            <w:tcW w:w="3977" w:type="pct"/>
            <w:tcBorders>
              <w:left w:val="none" w:sz="0" w:space="0" w:color="auto"/>
            </w:tcBorders>
            <w:hideMark/>
          </w:tcPr>
          <w:p w14:paraId="6FC70CFB" w14:textId="77777777" w:rsidR="00C01E92" w:rsidRPr="00823B07" w:rsidRDefault="00C01E92" w:rsidP="00823B07">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823B07">
              <w:rPr>
                <w:rStyle w:val="Strong"/>
                <w:rFonts w:cstheme="minorHAnsi"/>
                <w:b/>
                <w:szCs w:val="22"/>
              </w:rPr>
              <w:t>Details in the Regulations</w:t>
            </w:r>
          </w:p>
        </w:tc>
      </w:tr>
      <w:tr w:rsidR="00C01E92" w:rsidRPr="00823B07" w14:paraId="11E60D12" w14:textId="77777777" w:rsidTr="00823B07">
        <w:tc>
          <w:tcPr>
            <w:cnfStyle w:val="001000000000" w:firstRow="0" w:lastRow="0" w:firstColumn="1" w:lastColumn="0" w:oddVBand="0" w:evenVBand="0" w:oddHBand="0" w:evenHBand="0" w:firstRowFirstColumn="0" w:firstRowLastColumn="0" w:lastRowFirstColumn="0" w:lastRowLastColumn="0"/>
            <w:tcW w:w="1023" w:type="pct"/>
          </w:tcPr>
          <w:p w14:paraId="28FA1345" w14:textId="77777777" w:rsidR="00C01E92" w:rsidRPr="00823B07" w:rsidRDefault="00C01E92" w:rsidP="00823B07">
            <w:pPr>
              <w:spacing w:after="60"/>
              <w:rPr>
                <w:rStyle w:val="Strong"/>
                <w:rFonts w:cstheme="minorHAnsi"/>
                <w:b w:val="0"/>
                <w:szCs w:val="22"/>
              </w:rPr>
            </w:pPr>
            <w:r w:rsidRPr="00823B07">
              <w:rPr>
                <w:rStyle w:val="Strong"/>
                <w:rFonts w:cstheme="minorHAnsi"/>
                <w:b w:val="0"/>
                <w:szCs w:val="22"/>
              </w:rPr>
              <w:t xml:space="preserve">Register of children’s services </w:t>
            </w:r>
          </w:p>
        </w:tc>
        <w:tc>
          <w:tcPr>
            <w:tcW w:w="3977" w:type="pct"/>
          </w:tcPr>
          <w:p w14:paraId="1CC20FBE" w14:textId="77777777" w:rsidR="00C01E92" w:rsidRPr="00823B07" w:rsidRDefault="00C01E92" w:rsidP="00823B07">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 xml:space="preserve">The Register must include: </w:t>
            </w:r>
          </w:p>
          <w:p w14:paraId="5BE29F0C" w14:textId="77777777" w:rsidR="00C01E92" w:rsidRPr="00823B07" w:rsidRDefault="00C01E92" w:rsidP="002806C5">
            <w:pPr>
              <w:pStyle w:val="ListParagraph"/>
              <w:numPr>
                <w:ilvl w:val="0"/>
                <w:numId w:val="56"/>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bCs/>
                <w:szCs w:val="22"/>
              </w:rPr>
            </w:pPr>
            <w:r w:rsidRPr="00823B07">
              <w:rPr>
                <w:rFonts w:cstheme="minorHAnsi"/>
                <w:bCs/>
                <w:szCs w:val="22"/>
              </w:rPr>
              <w:t>T</w:t>
            </w:r>
            <w:r w:rsidRPr="00823B07">
              <w:rPr>
                <w:rFonts w:cstheme="minorHAnsi"/>
                <w:szCs w:val="22"/>
              </w:rPr>
              <w:t>he name, address and contact details of the service</w:t>
            </w:r>
          </w:p>
          <w:p w14:paraId="1FFC83F3" w14:textId="77777777" w:rsidR="00C01E92" w:rsidRPr="00823B07" w:rsidRDefault="00C01E92" w:rsidP="00823B07">
            <w:pPr>
              <w:pStyle w:val="ListParagraph"/>
              <w:numPr>
                <w:ilvl w:val="0"/>
                <w:numId w:val="23"/>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bCs/>
                <w:szCs w:val="22"/>
              </w:rPr>
            </w:pPr>
            <w:r w:rsidRPr="00823B07">
              <w:rPr>
                <w:rFonts w:cstheme="minorHAnsi"/>
                <w:bCs/>
                <w:szCs w:val="22"/>
              </w:rPr>
              <w:t>The names of the licensee and primary nominee</w:t>
            </w:r>
          </w:p>
          <w:p w14:paraId="355ECD08" w14:textId="77777777" w:rsidR="00C01E92" w:rsidRPr="00823B07" w:rsidRDefault="00C01E92" w:rsidP="00823B07">
            <w:pPr>
              <w:pStyle w:val="ListParagraph"/>
              <w:numPr>
                <w:ilvl w:val="0"/>
                <w:numId w:val="23"/>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bCs/>
                <w:szCs w:val="22"/>
              </w:rPr>
            </w:pPr>
            <w:r w:rsidRPr="00823B07">
              <w:rPr>
                <w:rFonts w:cstheme="minorHAnsi"/>
                <w:bCs/>
                <w:szCs w:val="22"/>
              </w:rPr>
              <w:t>The number, type, date and expiry of the licence</w:t>
            </w:r>
          </w:p>
          <w:p w14:paraId="10EC77E3" w14:textId="77777777" w:rsidR="00C01E92" w:rsidRPr="00823B07" w:rsidRDefault="00C01E92" w:rsidP="00823B07">
            <w:pPr>
              <w:pStyle w:val="ListParagraph"/>
              <w:numPr>
                <w:ilvl w:val="0"/>
                <w:numId w:val="23"/>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bCs/>
                <w:szCs w:val="22"/>
              </w:rPr>
            </w:pPr>
            <w:r w:rsidRPr="00823B07">
              <w:rPr>
                <w:rFonts w:cstheme="minorHAnsi"/>
                <w:bCs/>
                <w:szCs w:val="22"/>
              </w:rPr>
              <w:t>The services provided at the premises</w:t>
            </w:r>
          </w:p>
          <w:p w14:paraId="5ABFF9FC" w14:textId="77777777" w:rsidR="00C01E92" w:rsidRPr="00823B07" w:rsidRDefault="00C01E92" w:rsidP="00823B07">
            <w:pPr>
              <w:pStyle w:val="ListParagraph"/>
              <w:numPr>
                <w:ilvl w:val="0"/>
                <w:numId w:val="23"/>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Fonts w:cstheme="minorHAnsi"/>
                <w:bCs/>
                <w:szCs w:val="22"/>
              </w:rPr>
              <w:t>The maximum number of children who may attend the service</w:t>
            </w:r>
          </w:p>
        </w:tc>
      </w:tr>
      <w:tr w:rsidR="00C01E92" w:rsidRPr="00823B07" w14:paraId="010F80DF" w14:textId="77777777" w:rsidTr="00823B07">
        <w:tc>
          <w:tcPr>
            <w:cnfStyle w:val="001000000000" w:firstRow="0" w:lastRow="0" w:firstColumn="1" w:lastColumn="0" w:oddVBand="0" w:evenVBand="0" w:oddHBand="0" w:evenHBand="0" w:firstRowFirstColumn="0" w:firstRowLastColumn="0" w:lastRowFirstColumn="0" w:lastRowLastColumn="0"/>
            <w:tcW w:w="1023" w:type="pct"/>
          </w:tcPr>
          <w:p w14:paraId="41901AD2" w14:textId="77777777" w:rsidR="00C01E92" w:rsidRPr="00823B07" w:rsidRDefault="00C01E92" w:rsidP="00823B07">
            <w:pPr>
              <w:spacing w:after="60"/>
              <w:rPr>
                <w:rStyle w:val="Strong"/>
                <w:rFonts w:cstheme="minorHAnsi"/>
                <w:b w:val="0"/>
                <w:szCs w:val="22"/>
              </w:rPr>
            </w:pPr>
            <w:r w:rsidRPr="00823B07">
              <w:rPr>
                <w:rStyle w:val="Strong"/>
                <w:rFonts w:cstheme="minorHAnsi"/>
                <w:b w:val="0"/>
                <w:szCs w:val="22"/>
              </w:rPr>
              <w:t>Information to be displayed at service</w:t>
            </w:r>
          </w:p>
        </w:tc>
        <w:tc>
          <w:tcPr>
            <w:tcW w:w="3977" w:type="pct"/>
          </w:tcPr>
          <w:p w14:paraId="5061B55E" w14:textId="77777777" w:rsidR="00C01E92" w:rsidRPr="00823B07" w:rsidRDefault="00C01E92" w:rsidP="00823B07">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Each service must display:</w:t>
            </w:r>
          </w:p>
          <w:p w14:paraId="4F77B123" w14:textId="77777777" w:rsidR="00C01E92" w:rsidRPr="00823B07" w:rsidRDefault="00C01E92" w:rsidP="002806C5">
            <w:pPr>
              <w:pStyle w:val="ListParagraph"/>
              <w:numPr>
                <w:ilvl w:val="0"/>
                <w:numId w:val="39"/>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The service’s hours and days of operation</w:t>
            </w:r>
          </w:p>
          <w:p w14:paraId="3DD36B53" w14:textId="77777777" w:rsidR="00C01E92" w:rsidRPr="00823B07" w:rsidRDefault="00C01E92" w:rsidP="002806C5">
            <w:pPr>
              <w:pStyle w:val="ListParagraph"/>
              <w:numPr>
                <w:ilvl w:val="0"/>
                <w:numId w:val="39"/>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The names of the licensee and nominees</w:t>
            </w:r>
          </w:p>
          <w:p w14:paraId="72C9204C" w14:textId="77777777" w:rsidR="00C01E92" w:rsidRPr="00823B07" w:rsidRDefault="00C01E92" w:rsidP="002806C5">
            <w:pPr>
              <w:pStyle w:val="ListParagraph"/>
              <w:numPr>
                <w:ilvl w:val="0"/>
                <w:numId w:val="39"/>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 xml:space="preserve">An outline of the service’s educational or recreational programs </w:t>
            </w:r>
          </w:p>
          <w:p w14:paraId="28E8F8F3" w14:textId="77777777" w:rsidR="00C01E92" w:rsidRPr="00823B07" w:rsidRDefault="00C01E92" w:rsidP="002806C5">
            <w:pPr>
              <w:pStyle w:val="ListParagraph"/>
              <w:numPr>
                <w:ilvl w:val="0"/>
                <w:numId w:val="39"/>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Fees</w:t>
            </w:r>
          </w:p>
          <w:p w14:paraId="0CA34724" w14:textId="77777777" w:rsidR="00C01E92" w:rsidRPr="00823B07" w:rsidRDefault="00C01E92" w:rsidP="002806C5">
            <w:pPr>
              <w:pStyle w:val="ListParagraph"/>
              <w:numPr>
                <w:ilvl w:val="0"/>
                <w:numId w:val="39"/>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Details of emergency evacuation procedures</w:t>
            </w:r>
          </w:p>
          <w:p w14:paraId="6EECE0C7" w14:textId="77777777" w:rsidR="00C01E92" w:rsidRPr="00823B07" w:rsidRDefault="00C01E92" w:rsidP="002806C5">
            <w:pPr>
              <w:pStyle w:val="ListParagraph"/>
              <w:numPr>
                <w:ilvl w:val="0"/>
                <w:numId w:val="39"/>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lastRenderedPageBreak/>
              <w:t>The name and phone number of the person responsible for receiving complaints</w:t>
            </w:r>
          </w:p>
          <w:p w14:paraId="1078350C" w14:textId="77777777" w:rsidR="00C01E92" w:rsidRPr="00823B07" w:rsidRDefault="00C01E92" w:rsidP="002806C5">
            <w:pPr>
              <w:pStyle w:val="ListParagraph"/>
              <w:numPr>
                <w:ilvl w:val="0"/>
                <w:numId w:val="39"/>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The address and telephone number of the responsible office of the Department</w:t>
            </w:r>
          </w:p>
          <w:p w14:paraId="6E97BF7C" w14:textId="77777777" w:rsidR="00C01E92" w:rsidRPr="00823B07" w:rsidRDefault="00C01E92" w:rsidP="002806C5">
            <w:pPr>
              <w:pStyle w:val="ListParagraph"/>
              <w:numPr>
                <w:ilvl w:val="0"/>
                <w:numId w:val="39"/>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A list of the information available for inspection by the Department officers</w:t>
            </w:r>
          </w:p>
          <w:p w14:paraId="4E99E5BE" w14:textId="77777777" w:rsidR="00C01E92" w:rsidRPr="00823B07" w:rsidRDefault="00C01E92" w:rsidP="002806C5">
            <w:pPr>
              <w:pStyle w:val="ListParagraph"/>
              <w:numPr>
                <w:ilvl w:val="0"/>
                <w:numId w:val="39"/>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If applicable, a notice stating that a child diagnosed as at risk of anaphylaxis attends the service</w:t>
            </w:r>
          </w:p>
        </w:tc>
      </w:tr>
    </w:tbl>
    <w:p w14:paraId="4ACF8C21" w14:textId="77777777" w:rsidR="00C01E92" w:rsidRPr="000107A9" w:rsidRDefault="00C01E92" w:rsidP="00C01E92">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b/>
          <w:sz w:val="22"/>
          <w:szCs w:val="22"/>
        </w:rPr>
        <w:lastRenderedPageBreak/>
        <w:t>Option G.2. Alignment</w:t>
      </w:r>
    </w:p>
    <w:p w14:paraId="173FB2C5"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Under this option, the Regulations specify the information to be included in the registers of children’s services and approved providers kept by the Secretary, and the documents services need to display and keep available for inspection by the Department officers. These details are the same as those contained in the current Regulations, with the addition of information to be included in the register of approved providers. </w:t>
      </w:r>
    </w:p>
    <w:p w14:paraId="01B9FA46" w14:textId="448AB575"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proposed Regulations impose new requirements on providers relating to emergency procedures and rehearsals, annual review of policies, documenting a child’s educational program, evidence of insurance, and the storage and confidentiality of records. In addition, the proposed Regulations set out a list of policies and procedures to be maintained by services, some of which are not required under the current Regulations</w:t>
      </w:r>
      <w:r w:rsidRPr="00823B07">
        <w:rPr>
          <w:rFonts w:asciiTheme="minorHAnsi" w:hAnsiTheme="minorHAnsi" w:cstheme="minorHAnsi"/>
          <w:sz w:val="22"/>
          <w:szCs w:val="22"/>
        </w:rPr>
        <w:t>. Table 1</w:t>
      </w:r>
      <w:r w:rsidR="00E36DF7" w:rsidRPr="00823B07">
        <w:rPr>
          <w:rFonts w:asciiTheme="minorHAnsi" w:hAnsiTheme="minorHAnsi" w:cstheme="minorHAnsi"/>
          <w:sz w:val="22"/>
          <w:szCs w:val="22"/>
        </w:rPr>
        <w:t>2</w:t>
      </w:r>
      <w:r w:rsidRPr="00823B07">
        <w:rPr>
          <w:rFonts w:asciiTheme="minorHAnsi" w:hAnsiTheme="minorHAnsi" w:cstheme="minorHAnsi"/>
          <w:sz w:val="22"/>
          <w:szCs w:val="22"/>
        </w:rPr>
        <w:t xml:space="preserve"> outlines the new requirements</w:t>
      </w:r>
      <w:r w:rsidRPr="000107A9">
        <w:rPr>
          <w:rFonts w:asciiTheme="minorHAnsi" w:hAnsiTheme="minorHAnsi" w:cstheme="minorHAnsi"/>
          <w:sz w:val="22"/>
          <w:szCs w:val="22"/>
        </w:rPr>
        <w:t>.</w:t>
      </w:r>
    </w:p>
    <w:p w14:paraId="56C30693" w14:textId="51EE31E0" w:rsidR="00C01E92" w:rsidRPr="000107A9" w:rsidRDefault="00C01E92" w:rsidP="00F7569F">
      <w:pPr>
        <w:pStyle w:val="Caption"/>
      </w:pPr>
      <w:bookmarkStart w:id="123" w:name="_Toc32592795"/>
      <w:r w:rsidRPr="000107A9">
        <w:t xml:space="preserve">Table </w:t>
      </w:r>
      <w:r w:rsidRPr="000107A9">
        <w:fldChar w:fldCharType="begin"/>
      </w:r>
      <w:r w:rsidRPr="000107A9">
        <w:instrText xml:space="preserve"> SEQ Table \* ARABIC </w:instrText>
      </w:r>
      <w:r w:rsidRPr="000107A9">
        <w:fldChar w:fldCharType="separate"/>
      </w:r>
      <w:r w:rsidR="00493211">
        <w:rPr>
          <w:noProof/>
        </w:rPr>
        <w:t>12</w:t>
      </w:r>
      <w:r w:rsidRPr="000107A9">
        <w:fldChar w:fldCharType="end"/>
      </w:r>
      <w:r w:rsidRPr="000107A9">
        <w:t xml:space="preserve"> Option G.2. Alignment - Registers and record-keeping</w:t>
      </w:r>
      <w:bookmarkEnd w:id="123"/>
      <w:r w:rsidRPr="000107A9">
        <w:t xml:space="preserve"> </w:t>
      </w:r>
    </w:p>
    <w:tbl>
      <w:tblPr>
        <w:tblStyle w:val="TableGrid"/>
        <w:tblW w:w="5008"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971"/>
        <w:gridCol w:w="7658"/>
        <w:gridCol w:w="8"/>
      </w:tblGrid>
      <w:tr w:rsidR="00C01E92" w:rsidRPr="00823B07" w14:paraId="4C875C5D" w14:textId="77777777" w:rsidTr="00823B07">
        <w:trPr>
          <w:gridAfter w:val="1"/>
          <w:cnfStyle w:val="100000000000" w:firstRow="1" w:lastRow="0" w:firstColumn="0" w:lastColumn="0" w:oddVBand="0" w:evenVBand="0" w:oddHBand="0"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1023" w:type="pct"/>
            <w:tcBorders>
              <w:right w:val="none" w:sz="0" w:space="0" w:color="auto"/>
            </w:tcBorders>
            <w:hideMark/>
          </w:tcPr>
          <w:p w14:paraId="12E0299F" w14:textId="77777777" w:rsidR="00C01E92" w:rsidRPr="00823B07" w:rsidRDefault="00C01E92" w:rsidP="00927299">
            <w:pPr>
              <w:spacing w:after="60"/>
              <w:rPr>
                <w:rStyle w:val="Strong"/>
                <w:rFonts w:cstheme="minorHAnsi"/>
                <w:b/>
                <w:szCs w:val="22"/>
              </w:rPr>
            </w:pPr>
            <w:bookmarkStart w:id="124" w:name="_Hlk24629289"/>
            <w:r w:rsidRPr="00823B07">
              <w:rPr>
                <w:rStyle w:val="Strong"/>
                <w:rFonts w:cstheme="minorHAnsi"/>
                <w:b/>
                <w:szCs w:val="22"/>
              </w:rPr>
              <w:t>Subject</w:t>
            </w:r>
          </w:p>
        </w:tc>
        <w:tc>
          <w:tcPr>
            <w:tcW w:w="3973" w:type="pct"/>
            <w:tcBorders>
              <w:left w:val="none" w:sz="0" w:space="0" w:color="auto"/>
            </w:tcBorders>
            <w:hideMark/>
          </w:tcPr>
          <w:p w14:paraId="3CA978AD" w14:textId="77777777" w:rsidR="00C01E92" w:rsidRPr="00823B07" w:rsidRDefault="00C01E92" w:rsidP="00927299">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823B07">
              <w:rPr>
                <w:rStyle w:val="Strong"/>
                <w:rFonts w:cstheme="minorHAnsi"/>
                <w:b/>
                <w:szCs w:val="22"/>
              </w:rPr>
              <w:t>Details in the Regulations</w:t>
            </w:r>
          </w:p>
        </w:tc>
      </w:tr>
      <w:bookmarkEnd w:id="124"/>
      <w:tr w:rsidR="00C01E92" w:rsidRPr="00823B07" w14:paraId="14AD8D7E" w14:textId="77777777" w:rsidTr="00823B07">
        <w:trPr>
          <w:gridAfter w:val="1"/>
          <w:wAfter w:w="8" w:type="dxa"/>
        </w:trPr>
        <w:tc>
          <w:tcPr>
            <w:cnfStyle w:val="001000000000" w:firstRow="0" w:lastRow="0" w:firstColumn="1" w:lastColumn="0" w:oddVBand="0" w:evenVBand="0" w:oddHBand="0" w:evenHBand="0" w:firstRowFirstColumn="0" w:firstRowLastColumn="0" w:lastRowFirstColumn="0" w:lastRowLastColumn="0"/>
            <w:tcW w:w="1023" w:type="pct"/>
          </w:tcPr>
          <w:p w14:paraId="7FEF3B9D" w14:textId="77777777" w:rsidR="00C01E92" w:rsidRPr="00823B07" w:rsidRDefault="00C01E92" w:rsidP="00927299">
            <w:pPr>
              <w:spacing w:after="60"/>
              <w:rPr>
                <w:rStyle w:val="Strong"/>
                <w:rFonts w:cstheme="minorHAnsi"/>
                <w:b w:val="0"/>
                <w:szCs w:val="22"/>
              </w:rPr>
            </w:pPr>
            <w:r w:rsidRPr="00823B07">
              <w:rPr>
                <w:rStyle w:val="Strong"/>
                <w:rFonts w:cstheme="minorHAnsi"/>
                <w:b w:val="0"/>
                <w:szCs w:val="22"/>
              </w:rPr>
              <w:t xml:space="preserve">Register of approved providers </w:t>
            </w:r>
          </w:p>
        </w:tc>
        <w:tc>
          <w:tcPr>
            <w:tcW w:w="3973" w:type="pct"/>
          </w:tcPr>
          <w:p w14:paraId="17CF0274" w14:textId="77777777" w:rsidR="00C01E92" w:rsidRPr="00823B07" w:rsidRDefault="00C01E92" w:rsidP="00927299">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 xml:space="preserve">The Register must include, for each approved provider: </w:t>
            </w:r>
          </w:p>
          <w:p w14:paraId="7B9DDEE6" w14:textId="77777777" w:rsidR="00C01E92" w:rsidRPr="00823B07" w:rsidRDefault="00C01E92" w:rsidP="00927299">
            <w:pPr>
              <w:pStyle w:val="ListParagraph"/>
              <w:numPr>
                <w:ilvl w:val="0"/>
                <w:numId w:val="23"/>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bCs/>
                <w:szCs w:val="22"/>
              </w:rPr>
            </w:pPr>
            <w:r w:rsidRPr="00823B07">
              <w:rPr>
                <w:rFonts w:cstheme="minorHAnsi"/>
                <w:bCs/>
                <w:szCs w:val="22"/>
              </w:rPr>
              <w:t>T</w:t>
            </w:r>
            <w:r w:rsidRPr="00823B07">
              <w:rPr>
                <w:rFonts w:cstheme="minorHAnsi"/>
                <w:szCs w:val="22"/>
              </w:rPr>
              <w:t>he postal address of the approved provider</w:t>
            </w:r>
          </w:p>
          <w:p w14:paraId="727D17AF" w14:textId="77777777" w:rsidR="00C01E92" w:rsidRPr="00823B07" w:rsidRDefault="00C01E92" w:rsidP="00927299">
            <w:pPr>
              <w:pStyle w:val="ListParagraph"/>
              <w:numPr>
                <w:ilvl w:val="0"/>
                <w:numId w:val="23"/>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bCs/>
                <w:szCs w:val="22"/>
              </w:rPr>
            </w:pPr>
            <w:r w:rsidRPr="00823B07">
              <w:rPr>
                <w:rFonts w:cstheme="minorHAnsi"/>
                <w:bCs/>
                <w:szCs w:val="22"/>
              </w:rPr>
              <w:t>Any conditions on the approval</w:t>
            </w:r>
          </w:p>
          <w:p w14:paraId="440297C6" w14:textId="77777777" w:rsidR="00C01E92" w:rsidRPr="00823B07" w:rsidRDefault="00C01E92" w:rsidP="00927299">
            <w:pPr>
              <w:pStyle w:val="ListParagraph"/>
              <w:numPr>
                <w:ilvl w:val="0"/>
                <w:numId w:val="23"/>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bCs/>
                <w:szCs w:val="22"/>
              </w:rPr>
            </w:pPr>
            <w:r w:rsidRPr="00823B07">
              <w:rPr>
                <w:rFonts w:cstheme="minorHAnsi"/>
                <w:bCs/>
                <w:szCs w:val="22"/>
              </w:rPr>
              <w:t>The date the approval was granted</w:t>
            </w:r>
          </w:p>
          <w:p w14:paraId="328562DE" w14:textId="77777777" w:rsidR="00C01E92" w:rsidRPr="00823B07" w:rsidRDefault="00C01E92" w:rsidP="00927299">
            <w:pPr>
              <w:pStyle w:val="ListParagraph"/>
              <w:numPr>
                <w:ilvl w:val="0"/>
                <w:numId w:val="23"/>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bCs/>
                <w:szCs w:val="22"/>
              </w:rPr>
            </w:pPr>
            <w:r w:rsidRPr="00823B07">
              <w:rPr>
                <w:rFonts w:cstheme="minorHAnsi"/>
                <w:bCs/>
                <w:szCs w:val="22"/>
              </w:rPr>
              <w:t>The provider approval number</w:t>
            </w:r>
          </w:p>
          <w:p w14:paraId="422EB39E" w14:textId="32CA762A" w:rsidR="00C01E92" w:rsidRPr="00823B07" w:rsidRDefault="00C01E92" w:rsidP="00927299">
            <w:pPr>
              <w:pStyle w:val="ListParagraph"/>
              <w:numPr>
                <w:ilvl w:val="0"/>
                <w:numId w:val="23"/>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Fonts w:cstheme="minorHAnsi"/>
                <w:bCs/>
                <w:szCs w:val="22"/>
              </w:rPr>
              <w:t>The s</w:t>
            </w:r>
            <w:r w:rsidRPr="00823B07">
              <w:rPr>
                <w:rFonts w:cstheme="minorHAnsi"/>
                <w:szCs w:val="22"/>
              </w:rPr>
              <w:t>ervice approval number of all services provided by the provider</w:t>
            </w:r>
            <w:r w:rsidR="00927299">
              <w:rPr>
                <w:rFonts w:cstheme="minorHAnsi"/>
                <w:szCs w:val="22"/>
              </w:rPr>
              <w:t>.</w:t>
            </w:r>
          </w:p>
        </w:tc>
      </w:tr>
      <w:tr w:rsidR="00C01E92" w:rsidRPr="00823B07" w14:paraId="4BFC88C3" w14:textId="77777777" w:rsidTr="00823B07">
        <w:trPr>
          <w:gridAfter w:val="1"/>
          <w:wAfter w:w="8" w:type="dxa"/>
        </w:trPr>
        <w:tc>
          <w:tcPr>
            <w:cnfStyle w:val="001000000000" w:firstRow="0" w:lastRow="0" w:firstColumn="1" w:lastColumn="0" w:oddVBand="0" w:evenVBand="0" w:oddHBand="0" w:evenHBand="0" w:firstRowFirstColumn="0" w:firstRowLastColumn="0" w:lastRowFirstColumn="0" w:lastRowLastColumn="0"/>
            <w:tcW w:w="1023" w:type="pct"/>
          </w:tcPr>
          <w:p w14:paraId="6119CD20" w14:textId="77777777" w:rsidR="00C01E92" w:rsidRPr="00823B07" w:rsidRDefault="00C01E92" w:rsidP="00927299">
            <w:pPr>
              <w:spacing w:after="60"/>
              <w:rPr>
                <w:rStyle w:val="Strong"/>
                <w:rFonts w:cstheme="minorHAnsi"/>
                <w:b w:val="0"/>
                <w:szCs w:val="22"/>
              </w:rPr>
            </w:pPr>
            <w:r w:rsidRPr="00823B07">
              <w:rPr>
                <w:rStyle w:val="Strong"/>
                <w:rFonts w:cstheme="minorHAnsi"/>
                <w:b w:val="0"/>
                <w:szCs w:val="22"/>
              </w:rPr>
              <w:t>Emergency rehearsals</w:t>
            </w:r>
          </w:p>
        </w:tc>
        <w:tc>
          <w:tcPr>
            <w:tcW w:w="3973" w:type="pct"/>
          </w:tcPr>
          <w:p w14:paraId="35DF20DD" w14:textId="77777777" w:rsidR="00C01E92" w:rsidRPr="00823B07" w:rsidRDefault="00C01E92" w:rsidP="00927299">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 xml:space="preserve">Services must rehearse and document emergency evacuation procedures every 3 months. </w:t>
            </w:r>
          </w:p>
        </w:tc>
      </w:tr>
      <w:tr w:rsidR="00C01E92" w:rsidRPr="00823B07" w14:paraId="549B2362" w14:textId="77777777" w:rsidTr="00823B07">
        <w:trPr>
          <w:gridAfter w:val="1"/>
          <w:wAfter w:w="8" w:type="dxa"/>
        </w:trPr>
        <w:tc>
          <w:tcPr>
            <w:cnfStyle w:val="001000000000" w:firstRow="0" w:lastRow="0" w:firstColumn="1" w:lastColumn="0" w:oddVBand="0" w:evenVBand="0" w:oddHBand="0" w:evenHBand="0" w:firstRowFirstColumn="0" w:firstRowLastColumn="0" w:lastRowFirstColumn="0" w:lastRowLastColumn="0"/>
            <w:tcW w:w="1023" w:type="pct"/>
          </w:tcPr>
          <w:p w14:paraId="32178FCF" w14:textId="77777777" w:rsidR="00C01E92" w:rsidRPr="00823B07" w:rsidRDefault="00C01E92" w:rsidP="00927299">
            <w:pPr>
              <w:spacing w:after="60"/>
              <w:rPr>
                <w:rStyle w:val="Strong"/>
                <w:rFonts w:cstheme="minorHAnsi"/>
                <w:b w:val="0"/>
                <w:szCs w:val="22"/>
              </w:rPr>
            </w:pPr>
            <w:r w:rsidRPr="00823B07">
              <w:rPr>
                <w:rStyle w:val="Strong"/>
                <w:rFonts w:cstheme="minorHAnsi"/>
                <w:b w:val="0"/>
                <w:szCs w:val="22"/>
              </w:rPr>
              <w:t>Information for inspection</w:t>
            </w:r>
          </w:p>
        </w:tc>
        <w:tc>
          <w:tcPr>
            <w:tcW w:w="3973" w:type="pct"/>
          </w:tcPr>
          <w:p w14:paraId="4CF4D26A" w14:textId="77777777" w:rsidR="00C01E92" w:rsidRPr="00823B07" w:rsidRDefault="00C01E92" w:rsidP="00927299">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Each service must ensure the following are kept available for inspection:</w:t>
            </w:r>
          </w:p>
          <w:p w14:paraId="6738FAA8" w14:textId="77777777" w:rsidR="00C01E92" w:rsidRPr="00823B07" w:rsidRDefault="00C01E92" w:rsidP="002806C5">
            <w:pPr>
              <w:pStyle w:val="ListParagraph"/>
              <w:numPr>
                <w:ilvl w:val="0"/>
                <w:numId w:val="40"/>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The admission requirements and enrolment procedures</w:t>
            </w:r>
          </w:p>
          <w:p w14:paraId="0FF4EA2F" w14:textId="77777777" w:rsidR="00C01E92" w:rsidRPr="00823B07" w:rsidRDefault="00C01E92" w:rsidP="002806C5">
            <w:pPr>
              <w:pStyle w:val="ListParagraph"/>
              <w:numPr>
                <w:ilvl w:val="0"/>
                <w:numId w:val="40"/>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Arrangements for fee payment</w:t>
            </w:r>
          </w:p>
          <w:p w14:paraId="41C8B6CF" w14:textId="77777777" w:rsidR="00C01E92" w:rsidRPr="00823B07" w:rsidRDefault="00C01E92" w:rsidP="002806C5">
            <w:pPr>
              <w:pStyle w:val="ListParagraph"/>
              <w:numPr>
                <w:ilvl w:val="0"/>
                <w:numId w:val="40"/>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Employment policy for qualified staff</w:t>
            </w:r>
          </w:p>
          <w:p w14:paraId="4C1A03B5" w14:textId="77777777" w:rsidR="00C01E92" w:rsidRPr="00823B07" w:rsidRDefault="00C01E92" w:rsidP="002806C5">
            <w:pPr>
              <w:pStyle w:val="ListParagraph"/>
              <w:numPr>
                <w:ilvl w:val="0"/>
                <w:numId w:val="40"/>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Educational or recreational programs</w:t>
            </w:r>
          </w:p>
          <w:p w14:paraId="1D0D0ECC" w14:textId="77777777" w:rsidR="00C01E92" w:rsidRPr="00823B07" w:rsidRDefault="00C01E92" w:rsidP="002806C5">
            <w:pPr>
              <w:pStyle w:val="ListParagraph"/>
              <w:numPr>
                <w:ilvl w:val="0"/>
                <w:numId w:val="40"/>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Behaviour management policy</w:t>
            </w:r>
          </w:p>
          <w:p w14:paraId="18FD6BFF" w14:textId="77777777" w:rsidR="00C01E92" w:rsidRPr="00823B07" w:rsidRDefault="00C01E92" w:rsidP="002806C5">
            <w:pPr>
              <w:pStyle w:val="ListParagraph"/>
              <w:numPr>
                <w:ilvl w:val="0"/>
                <w:numId w:val="40"/>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Arrangements for the delivery and collection of children</w:t>
            </w:r>
          </w:p>
          <w:p w14:paraId="4D24DED7" w14:textId="77777777" w:rsidR="00C01E92" w:rsidRPr="00823B07" w:rsidRDefault="00C01E92" w:rsidP="002806C5">
            <w:pPr>
              <w:pStyle w:val="ListParagraph"/>
              <w:numPr>
                <w:ilvl w:val="0"/>
                <w:numId w:val="40"/>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Procedures for dealing with illness and emergency care</w:t>
            </w:r>
          </w:p>
          <w:p w14:paraId="1A85C9B5" w14:textId="77777777" w:rsidR="00C01E92" w:rsidRPr="00823B07" w:rsidRDefault="00C01E92" w:rsidP="002806C5">
            <w:pPr>
              <w:pStyle w:val="ListParagraph"/>
              <w:numPr>
                <w:ilvl w:val="0"/>
                <w:numId w:val="40"/>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Procedures for dealing with infectious disease</w:t>
            </w:r>
          </w:p>
          <w:p w14:paraId="1997D1F0" w14:textId="2A830966" w:rsidR="00C01E92" w:rsidRPr="00823B07" w:rsidRDefault="00C01E92" w:rsidP="002806C5">
            <w:pPr>
              <w:pStyle w:val="ListParagraph"/>
              <w:numPr>
                <w:ilvl w:val="0"/>
                <w:numId w:val="40"/>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 xml:space="preserve">Provision for dealing with </w:t>
            </w:r>
            <w:r w:rsidR="005A6B33">
              <w:rPr>
                <w:rStyle w:val="Strong"/>
                <w:rFonts w:cstheme="minorHAnsi"/>
                <w:b w:val="0"/>
                <w:szCs w:val="22"/>
              </w:rPr>
              <w:t>Complaints and serious incidents</w:t>
            </w:r>
          </w:p>
          <w:p w14:paraId="705DABF7" w14:textId="115D13AE" w:rsidR="00C01E92" w:rsidRPr="00823B07" w:rsidRDefault="00C01E92" w:rsidP="002806C5">
            <w:pPr>
              <w:pStyle w:val="ListParagraph"/>
              <w:numPr>
                <w:ilvl w:val="0"/>
                <w:numId w:val="40"/>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The anaphylaxis management policy</w:t>
            </w:r>
            <w:r w:rsidR="00927299">
              <w:rPr>
                <w:rStyle w:val="Strong"/>
                <w:rFonts w:cstheme="minorHAnsi"/>
                <w:b w:val="0"/>
                <w:szCs w:val="22"/>
              </w:rPr>
              <w:t>.</w:t>
            </w:r>
          </w:p>
        </w:tc>
      </w:tr>
      <w:tr w:rsidR="00C01E92" w:rsidRPr="00823B07" w14:paraId="451B3913" w14:textId="77777777" w:rsidTr="00823B07">
        <w:trPr>
          <w:gridAfter w:val="1"/>
          <w:wAfter w:w="8" w:type="dxa"/>
        </w:trPr>
        <w:tc>
          <w:tcPr>
            <w:cnfStyle w:val="001000000000" w:firstRow="0" w:lastRow="0" w:firstColumn="1" w:lastColumn="0" w:oddVBand="0" w:evenVBand="0" w:oddHBand="0" w:evenHBand="0" w:firstRowFirstColumn="0" w:firstRowLastColumn="0" w:lastRowFirstColumn="0" w:lastRowLastColumn="0"/>
            <w:tcW w:w="1023" w:type="pct"/>
          </w:tcPr>
          <w:p w14:paraId="5EA93BCB" w14:textId="77777777" w:rsidR="00C01E92" w:rsidRPr="00823B07" w:rsidRDefault="00C01E92" w:rsidP="00927299">
            <w:pPr>
              <w:spacing w:after="60"/>
              <w:rPr>
                <w:rStyle w:val="Strong"/>
                <w:rFonts w:cstheme="minorHAnsi"/>
                <w:b w:val="0"/>
                <w:szCs w:val="22"/>
              </w:rPr>
            </w:pPr>
            <w:r w:rsidRPr="00823B07">
              <w:rPr>
                <w:rStyle w:val="Strong"/>
                <w:rFonts w:cstheme="minorHAnsi"/>
                <w:b w:val="0"/>
                <w:szCs w:val="22"/>
              </w:rPr>
              <w:lastRenderedPageBreak/>
              <w:t>Miscellaneous</w:t>
            </w:r>
          </w:p>
        </w:tc>
        <w:tc>
          <w:tcPr>
            <w:tcW w:w="3973" w:type="pct"/>
          </w:tcPr>
          <w:p w14:paraId="1D67C8BE" w14:textId="77777777" w:rsidR="00C01E92" w:rsidRPr="00823B07" w:rsidRDefault="00C01E92" w:rsidP="00927299">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Each service must provide to any parent or guardian of a child diagnosed as at risk of anaphylaxis with a copy of the service’s anaphylaxis management policy.</w:t>
            </w:r>
          </w:p>
          <w:p w14:paraId="318CED60" w14:textId="77777777" w:rsidR="00C01E92" w:rsidRPr="00823B07" w:rsidRDefault="00C01E92" w:rsidP="00927299">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 xml:space="preserve">Services must ensure that a parent or guardian may access and be provided with a copy of the accident and illness record for their child as soon as practicable after a request is made. </w:t>
            </w:r>
          </w:p>
          <w:p w14:paraId="067B593D" w14:textId="77777777" w:rsidR="00C01E92" w:rsidRPr="00823B07" w:rsidRDefault="00C01E92" w:rsidP="00927299">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Services must notify parents within 28 days of any changes to policies and procedures at the service.</w:t>
            </w:r>
          </w:p>
        </w:tc>
      </w:tr>
      <w:tr w:rsidR="00C01E92" w:rsidRPr="00823B07" w14:paraId="2930AE54" w14:textId="77777777" w:rsidTr="00823B07">
        <w:tc>
          <w:tcPr>
            <w:cnfStyle w:val="001000000000" w:firstRow="0" w:lastRow="0" w:firstColumn="1" w:lastColumn="0" w:oddVBand="0" w:evenVBand="0" w:oddHBand="0" w:evenHBand="0" w:firstRowFirstColumn="0" w:firstRowLastColumn="0" w:lastRowFirstColumn="0" w:lastRowLastColumn="0"/>
            <w:tcW w:w="1023" w:type="pct"/>
          </w:tcPr>
          <w:p w14:paraId="78655E73" w14:textId="77777777" w:rsidR="00C01E92" w:rsidRPr="00823B07" w:rsidRDefault="00C01E92" w:rsidP="00927299">
            <w:pPr>
              <w:spacing w:after="60"/>
              <w:rPr>
                <w:rStyle w:val="Strong"/>
                <w:rFonts w:cstheme="minorHAnsi"/>
                <w:b w:val="0"/>
                <w:szCs w:val="22"/>
              </w:rPr>
            </w:pPr>
            <w:r w:rsidRPr="00823B07">
              <w:rPr>
                <w:rStyle w:val="Strong"/>
                <w:rFonts w:cstheme="minorHAnsi"/>
                <w:b w:val="0"/>
                <w:szCs w:val="22"/>
              </w:rPr>
              <w:t>Records</w:t>
            </w:r>
          </w:p>
        </w:tc>
        <w:tc>
          <w:tcPr>
            <w:tcW w:w="3977" w:type="pct"/>
            <w:gridSpan w:val="2"/>
          </w:tcPr>
          <w:p w14:paraId="63E54DBF" w14:textId="77777777" w:rsidR="00C01E92" w:rsidRPr="00823B07" w:rsidRDefault="00C01E92" w:rsidP="00927299">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Each service must keep the following records:</w:t>
            </w:r>
          </w:p>
          <w:p w14:paraId="6EE48ED9" w14:textId="77777777" w:rsidR="00C01E92" w:rsidRPr="00823B07" w:rsidRDefault="00C01E92" w:rsidP="002806C5">
            <w:pPr>
              <w:pStyle w:val="ListParagraph"/>
              <w:numPr>
                <w:ilvl w:val="0"/>
                <w:numId w:val="41"/>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Attendance record, including the full name of the child and the time at which they arrive and depart</w:t>
            </w:r>
          </w:p>
          <w:p w14:paraId="5148FB57" w14:textId="77777777" w:rsidR="00C01E92" w:rsidRPr="00823B07" w:rsidRDefault="00C01E92" w:rsidP="002806C5">
            <w:pPr>
              <w:pStyle w:val="ListParagraph"/>
              <w:numPr>
                <w:ilvl w:val="0"/>
                <w:numId w:val="41"/>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 xml:space="preserve">Enrolment record, including </w:t>
            </w:r>
          </w:p>
          <w:p w14:paraId="77DF10A5" w14:textId="77777777" w:rsidR="00C01E92" w:rsidRPr="00823B07" w:rsidRDefault="00C01E92" w:rsidP="002806C5">
            <w:pPr>
              <w:pStyle w:val="ListParagraph"/>
              <w:numPr>
                <w:ilvl w:val="1"/>
                <w:numId w:val="41"/>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 xml:space="preserve">The name, date of birth and address of each child, their parents or guardians and emergency contact </w:t>
            </w:r>
          </w:p>
          <w:p w14:paraId="438E7431" w14:textId="77777777" w:rsidR="00C01E92" w:rsidRPr="00823B07" w:rsidRDefault="00C01E92" w:rsidP="002806C5">
            <w:pPr>
              <w:pStyle w:val="ListParagraph"/>
              <w:numPr>
                <w:ilvl w:val="1"/>
                <w:numId w:val="41"/>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Details of any court orders</w:t>
            </w:r>
          </w:p>
          <w:p w14:paraId="4B0C4528" w14:textId="77777777" w:rsidR="00C01E92" w:rsidRPr="00823B07" w:rsidRDefault="00C01E92" w:rsidP="002806C5">
            <w:pPr>
              <w:pStyle w:val="ListParagraph"/>
              <w:numPr>
                <w:ilvl w:val="1"/>
                <w:numId w:val="41"/>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Language used at home</w:t>
            </w:r>
          </w:p>
          <w:p w14:paraId="30C5E2B4" w14:textId="77777777" w:rsidR="00C01E92" w:rsidRPr="00823B07" w:rsidRDefault="00C01E92" w:rsidP="002806C5">
            <w:pPr>
              <w:pStyle w:val="ListParagraph"/>
              <w:numPr>
                <w:ilvl w:val="1"/>
                <w:numId w:val="41"/>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Relevant health information</w:t>
            </w:r>
          </w:p>
          <w:p w14:paraId="3296DEB2" w14:textId="77777777" w:rsidR="00C01E92" w:rsidRPr="00823B07" w:rsidRDefault="00C01E92" w:rsidP="002806C5">
            <w:pPr>
              <w:pStyle w:val="ListParagraph"/>
              <w:numPr>
                <w:ilvl w:val="0"/>
                <w:numId w:val="41"/>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Medication record, including</w:t>
            </w:r>
          </w:p>
          <w:p w14:paraId="60EA1B31" w14:textId="77777777" w:rsidR="00C01E92" w:rsidRPr="00823B07" w:rsidRDefault="00C01E92" w:rsidP="002806C5">
            <w:pPr>
              <w:pStyle w:val="ListParagraph"/>
              <w:numPr>
                <w:ilvl w:val="1"/>
                <w:numId w:val="41"/>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Authorisation to administer medication</w:t>
            </w:r>
          </w:p>
          <w:p w14:paraId="1022206A" w14:textId="77777777" w:rsidR="00C01E92" w:rsidRPr="00823B07" w:rsidRDefault="00C01E92" w:rsidP="002806C5">
            <w:pPr>
              <w:pStyle w:val="ListParagraph"/>
              <w:numPr>
                <w:ilvl w:val="1"/>
                <w:numId w:val="41"/>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 xml:space="preserve">Name, time, date and dosage of medication administered </w:t>
            </w:r>
          </w:p>
          <w:p w14:paraId="08422E6B" w14:textId="77777777" w:rsidR="00C01E92" w:rsidRPr="00823B07" w:rsidRDefault="00C01E92" w:rsidP="002806C5">
            <w:pPr>
              <w:pStyle w:val="ListParagraph"/>
              <w:numPr>
                <w:ilvl w:val="0"/>
                <w:numId w:val="41"/>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Accident, injury, trauma and illness record, including the details of any accident or other such incident and action taken in response</w:t>
            </w:r>
          </w:p>
          <w:p w14:paraId="6DFB8347" w14:textId="77777777" w:rsidR="00C01E92" w:rsidRPr="00823B07" w:rsidRDefault="00C01E92" w:rsidP="002806C5">
            <w:pPr>
              <w:pStyle w:val="ListParagraph"/>
              <w:numPr>
                <w:ilvl w:val="0"/>
                <w:numId w:val="41"/>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Staff record, including</w:t>
            </w:r>
          </w:p>
          <w:p w14:paraId="64E834C6" w14:textId="77777777" w:rsidR="00C01E92" w:rsidRPr="00823B07" w:rsidRDefault="00C01E92" w:rsidP="002806C5">
            <w:pPr>
              <w:pStyle w:val="ListParagraph"/>
              <w:numPr>
                <w:ilvl w:val="1"/>
                <w:numId w:val="41"/>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Name, address and date of birth of each staff member</w:t>
            </w:r>
          </w:p>
          <w:p w14:paraId="3B3D850B" w14:textId="77777777" w:rsidR="00C01E92" w:rsidRPr="00823B07" w:rsidRDefault="00C01E92" w:rsidP="002806C5">
            <w:pPr>
              <w:pStyle w:val="ListParagraph"/>
              <w:numPr>
                <w:ilvl w:val="1"/>
                <w:numId w:val="41"/>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Copy of qualifications</w:t>
            </w:r>
          </w:p>
          <w:p w14:paraId="4225CD2A" w14:textId="77777777" w:rsidR="00C01E92" w:rsidRPr="00823B07" w:rsidRDefault="00C01E92" w:rsidP="002806C5">
            <w:pPr>
              <w:pStyle w:val="ListParagraph"/>
              <w:numPr>
                <w:ilvl w:val="1"/>
                <w:numId w:val="41"/>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Working hours</w:t>
            </w:r>
          </w:p>
          <w:p w14:paraId="3F3C99C0" w14:textId="77777777" w:rsidR="00C01E92" w:rsidRPr="00823B07" w:rsidRDefault="00C01E92" w:rsidP="002806C5">
            <w:pPr>
              <w:pStyle w:val="ListParagraph"/>
              <w:numPr>
                <w:ilvl w:val="1"/>
                <w:numId w:val="41"/>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 xml:space="preserve">Date of first aid and other training </w:t>
            </w:r>
          </w:p>
          <w:p w14:paraId="12E33E42" w14:textId="77777777" w:rsidR="00C01E92" w:rsidRPr="00823B07" w:rsidRDefault="00C01E92" w:rsidP="002806C5">
            <w:pPr>
              <w:pStyle w:val="ListParagraph"/>
              <w:numPr>
                <w:ilvl w:val="0"/>
                <w:numId w:val="41"/>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Staff roster</w:t>
            </w:r>
          </w:p>
          <w:p w14:paraId="32D825D8" w14:textId="75A4DF49" w:rsidR="00C01E92" w:rsidRPr="00823B07" w:rsidRDefault="00C01E92" w:rsidP="002806C5">
            <w:pPr>
              <w:pStyle w:val="ListParagraph"/>
              <w:numPr>
                <w:ilvl w:val="0"/>
                <w:numId w:val="41"/>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Record of educational and recreational programs</w:t>
            </w:r>
            <w:r w:rsidR="00927299">
              <w:rPr>
                <w:rStyle w:val="Strong"/>
                <w:rFonts w:cstheme="minorHAnsi"/>
                <w:b w:val="0"/>
                <w:szCs w:val="22"/>
              </w:rPr>
              <w:t>.</w:t>
            </w:r>
          </w:p>
        </w:tc>
      </w:tr>
      <w:tr w:rsidR="00C01E92" w:rsidRPr="00823B07" w14:paraId="05FE4432" w14:textId="77777777" w:rsidTr="00823B07">
        <w:trPr>
          <w:trHeight w:val="1564"/>
        </w:trPr>
        <w:tc>
          <w:tcPr>
            <w:cnfStyle w:val="001000000000" w:firstRow="0" w:lastRow="0" w:firstColumn="1" w:lastColumn="0" w:oddVBand="0" w:evenVBand="0" w:oddHBand="0" w:evenHBand="0" w:firstRowFirstColumn="0" w:firstRowLastColumn="0" w:lastRowFirstColumn="0" w:lastRowLastColumn="0"/>
            <w:tcW w:w="1023" w:type="pct"/>
          </w:tcPr>
          <w:p w14:paraId="4B9CA4B5" w14:textId="77777777" w:rsidR="00C01E92" w:rsidRPr="00823B07" w:rsidRDefault="00C01E92" w:rsidP="00927299">
            <w:pPr>
              <w:spacing w:after="60"/>
              <w:rPr>
                <w:rStyle w:val="Strong"/>
                <w:rFonts w:cstheme="minorHAnsi"/>
                <w:b w:val="0"/>
                <w:szCs w:val="22"/>
              </w:rPr>
            </w:pPr>
            <w:r w:rsidRPr="00823B07">
              <w:rPr>
                <w:rStyle w:val="Strong"/>
                <w:rFonts w:cstheme="minorHAnsi"/>
                <w:b w:val="0"/>
                <w:szCs w:val="22"/>
              </w:rPr>
              <w:t>Policies to be in place</w:t>
            </w:r>
          </w:p>
        </w:tc>
        <w:tc>
          <w:tcPr>
            <w:tcW w:w="3977" w:type="pct"/>
            <w:gridSpan w:val="2"/>
          </w:tcPr>
          <w:p w14:paraId="53678593" w14:textId="77777777" w:rsidR="00C01E92" w:rsidRPr="00823B07" w:rsidRDefault="00C01E92" w:rsidP="00927299">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bCs w:val="0"/>
                <w:szCs w:val="22"/>
              </w:rPr>
            </w:pPr>
            <w:r w:rsidRPr="00823B07">
              <w:rPr>
                <w:rStyle w:val="Strong"/>
                <w:rFonts w:cstheme="minorHAnsi"/>
                <w:b w:val="0"/>
                <w:szCs w:val="22"/>
              </w:rPr>
              <w:t>Services must have policies and procedures in relation to:</w:t>
            </w:r>
          </w:p>
          <w:p w14:paraId="457C3FBA" w14:textId="77777777" w:rsidR="00C01E92" w:rsidRPr="00823B07" w:rsidRDefault="00C01E92" w:rsidP="00927299">
            <w:pPr>
              <w:pStyle w:val="ListBullet"/>
              <w:numPr>
                <w:ilvl w:val="0"/>
                <w:numId w:val="2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823B07">
              <w:rPr>
                <w:rFonts w:ascii="Arial Narrow" w:hAnsi="Arial Narrow" w:cstheme="minorHAnsi"/>
                <w:color w:val="auto"/>
                <w:sz w:val="22"/>
                <w:szCs w:val="22"/>
              </w:rPr>
              <w:t>Health and safety (including food and beverages, dietary requirements, sun protection, water safety, first aid and sleep and rest)</w:t>
            </w:r>
            <w:r w:rsidRPr="00927299">
              <w:rPr>
                <w:rFonts w:ascii="Arial Narrow" w:hAnsi="Arial Narrow" w:cstheme="minorHAnsi"/>
                <w:b/>
                <w:color w:val="auto"/>
                <w:sz w:val="22"/>
                <w:szCs w:val="22"/>
              </w:rPr>
              <w:t>*</w:t>
            </w:r>
          </w:p>
          <w:p w14:paraId="4AA5AEEB" w14:textId="77777777" w:rsidR="00C01E92" w:rsidRPr="00823B07" w:rsidRDefault="00C01E92" w:rsidP="00927299">
            <w:pPr>
              <w:pStyle w:val="ListBullet"/>
              <w:numPr>
                <w:ilvl w:val="0"/>
                <w:numId w:val="2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823B07">
              <w:rPr>
                <w:rFonts w:ascii="Arial Narrow" w:hAnsi="Arial Narrow" w:cstheme="minorHAnsi"/>
                <w:color w:val="auto"/>
                <w:sz w:val="22"/>
                <w:szCs w:val="22"/>
              </w:rPr>
              <w:t>Incident, injury, trauma and illness procedures</w:t>
            </w:r>
          </w:p>
          <w:p w14:paraId="513439DF" w14:textId="77777777" w:rsidR="00C01E92" w:rsidRPr="00823B07" w:rsidRDefault="00C01E92" w:rsidP="00927299">
            <w:pPr>
              <w:pStyle w:val="ListBullet"/>
              <w:numPr>
                <w:ilvl w:val="0"/>
                <w:numId w:val="2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823B07">
              <w:rPr>
                <w:rFonts w:ascii="Arial Narrow" w:hAnsi="Arial Narrow" w:cstheme="minorHAnsi"/>
                <w:color w:val="auto"/>
                <w:sz w:val="22"/>
                <w:szCs w:val="22"/>
              </w:rPr>
              <w:t>Infection diseases procedures</w:t>
            </w:r>
          </w:p>
          <w:p w14:paraId="5B9D0B4F" w14:textId="77777777" w:rsidR="00C01E92" w:rsidRPr="00823B07" w:rsidRDefault="00C01E92" w:rsidP="00927299">
            <w:pPr>
              <w:pStyle w:val="ListBullet"/>
              <w:numPr>
                <w:ilvl w:val="0"/>
                <w:numId w:val="2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823B07">
              <w:rPr>
                <w:rFonts w:ascii="Arial Narrow" w:hAnsi="Arial Narrow" w:cstheme="minorHAnsi"/>
                <w:color w:val="auto"/>
                <w:sz w:val="22"/>
                <w:szCs w:val="22"/>
              </w:rPr>
              <w:t>medical conditions covering:</w:t>
            </w:r>
          </w:p>
          <w:p w14:paraId="32C7B3BC" w14:textId="77777777" w:rsidR="00C01E92" w:rsidRPr="00823B07" w:rsidRDefault="00C01E92" w:rsidP="00927299">
            <w:pPr>
              <w:pStyle w:val="ListBullet"/>
              <w:numPr>
                <w:ilvl w:val="1"/>
                <w:numId w:val="2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823B07">
              <w:rPr>
                <w:rFonts w:ascii="Arial Narrow" w:hAnsi="Arial Narrow" w:cstheme="minorHAnsi"/>
                <w:color w:val="auto"/>
                <w:sz w:val="22"/>
                <w:szCs w:val="22"/>
              </w:rPr>
              <w:t>medical management plans to be provided by the parents or guardians of any children with a medical condition</w:t>
            </w:r>
            <w:r w:rsidRPr="00927299">
              <w:rPr>
                <w:rFonts w:ascii="Arial Narrow" w:hAnsi="Arial Narrow" w:cstheme="minorHAnsi"/>
                <w:b/>
                <w:color w:val="auto"/>
                <w:sz w:val="22"/>
                <w:szCs w:val="22"/>
              </w:rPr>
              <w:t>*</w:t>
            </w:r>
          </w:p>
          <w:p w14:paraId="32470B90" w14:textId="77777777" w:rsidR="00C01E92" w:rsidRPr="00927299" w:rsidRDefault="00C01E92" w:rsidP="00927299">
            <w:pPr>
              <w:pStyle w:val="ListBullet"/>
              <w:numPr>
                <w:ilvl w:val="1"/>
                <w:numId w:val="2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color w:val="auto"/>
                <w:sz w:val="22"/>
                <w:szCs w:val="22"/>
              </w:rPr>
            </w:pPr>
            <w:r w:rsidRPr="00823B07">
              <w:rPr>
                <w:rFonts w:ascii="Arial Narrow" w:hAnsi="Arial Narrow" w:cstheme="minorHAnsi"/>
                <w:color w:val="auto"/>
                <w:sz w:val="22"/>
                <w:szCs w:val="22"/>
              </w:rPr>
              <w:t>risk-management plans for each child with a medical condition to be developed by each service in consultation with the child’s parents or guardians</w:t>
            </w:r>
            <w:r w:rsidRPr="00927299">
              <w:rPr>
                <w:rFonts w:ascii="Arial Narrow" w:hAnsi="Arial Narrow" w:cstheme="minorHAnsi"/>
                <w:b/>
                <w:color w:val="auto"/>
                <w:sz w:val="22"/>
                <w:szCs w:val="22"/>
              </w:rPr>
              <w:t>*</w:t>
            </w:r>
          </w:p>
          <w:p w14:paraId="6A936C1A" w14:textId="77777777" w:rsidR="00C01E92" w:rsidRPr="00823B07" w:rsidRDefault="00C01E92" w:rsidP="00927299">
            <w:pPr>
              <w:pStyle w:val="ListBullet"/>
              <w:numPr>
                <w:ilvl w:val="1"/>
                <w:numId w:val="2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823B07">
              <w:rPr>
                <w:rFonts w:ascii="Arial Narrow" w:hAnsi="Arial Narrow" w:cstheme="minorHAnsi"/>
                <w:color w:val="auto"/>
                <w:sz w:val="22"/>
                <w:szCs w:val="22"/>
              </w:rPr>
              <w:t>communication plans for each child with a medical condition for informing staff of the child’s medical plans and inputting any changes to these plans</w:t>
            </w:r>
            <w:r w:rsidRPr="00927299">
              <w:rPr>
                <w:rFonts w:ascii="Arial Narrow" w:hAnsi="Arial Narrow" w:cstheme="minorHAnsi"/>
                <w:b/>
                <w:color w:val="auto"/>
                <w:sz w:val="22"/>
                <w:szCs w:val="22"/>
              </w:rPr>
              <w:t>*</w:t>
            </w:r>
          </w:p>
          <w:p w14:paraId="34A704A7" w14:textId="77777777" w:rsidR="00C01E92" w:rsidRPr="00823B07" w:rsidRDefault="00C01E92" w:rsidP="00927299">
            <w:pPr>
              <w:pStyle w:val="ListBullet"/>
              <w:numPr>
                <w:ilvl w:val="0"/>
                <w:numId w:val="2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823B07">
              <w:rPr>
                <w:rFonts w:ascii="Arial Narrow" w:hAnsi="Arial Narrow" w:cstheme="minorHAnsi"/>
                <w:color w:val="auto"/>
                <w:sz w:val="22"/>
                <w:szCs w:val="22"/>
              </w:rPr>
              <w:t>emergency and evacuation</w:t>
            </w:r>
          </w:p>
          <w:p w14:paraId="066A4108" w14:textId="77777777" w:rsidR="00C01E92" w:rsidRPr="00823B07" w:rsidRDefault="00C01E92" w:rsidP="00927299">
            <w:pPr>
              <w:pStyle w:val="ListBullet"/>
              <w:numPr>
                <w:ilvl w:val="0"/>
                <w:numId w:val="2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823B07">
              <w:rPr>
                <w:rFonts w:ascii="Arial Narrow" w:hAnsi="Arial Narrow" w:cstheme="minorHAnsi"/>
                <w:color w:val="auto"/>
                <w:sz w:val="22"/>
                <w:szCs w:val="22"/>
              </w:rPr>
              <w:lastRenderedPageBreak/>
              <w:t>delivery and collection of children</w:t>
            </w:r>
          </w:p>
          <w:p w14:paraId="354D7286" w14:textId="77777777" w:rsidR="00C01E92" w:rsidRPr="00823B07" w:rsidRDefault="00C01E92" w:rsidP="00927299">
            <w:pPr>
              <w:pStyle w:val="ListBullet"/>
              <w:numPr>
                <w:ilvl w:val="0"/>
                <w:numId w:val="2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823B07">
              <w:rPr>
                <w:rFonts w:ascii="Arial Narrow" w:hAnsi="Arial Narrow" w:cstheme="minorHAnsi"/>
                <w:color w:val="auto"/>
                <w:sz w:val="22"/>
                <w:szCs w:val="22"/>
              </w:rPr>
              <w:t>staffing (including code of conduct, determining responsible person present, participation of volunteers and students)</w:t>
            </w:r>
            <w:r w:rsidRPr="00927299">
              <w:rPr>
                <w:rFonts w:ascii="Arial Narrow" w:hAnsi="Arial Narrow" w:cstheme="minorHAnsi"/>
                <w:b/>
                <w:color w:val="auto"/>
                <w:sz w:val="22"/>
                <w:szCs w:val="22"/>
              </w:rPr>
              <w:t>*</w:t>
            </w:r>
          </w:p>
          <w:p w14:paraId="772F555E" w14:textId="77777777" w:rsidR="00C01E92" w:rsidRPr="00823B07" w:rsidRDefault="00C01E92" w:rsidP="00927299">
            <w:pPr>
              <w:pStyle w:val="ListBullet"/>
              <w:numPr>
                <w:ilvl w:val="0"/>
                <w:numId w:val="2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823B07">
              <w:rPr>
                <w:rFonts w:ascii="Arial Narrow" w:hAnsi="Arial Narrow" w:cstheme="minorHAnsi"/>
                <w:color w:val="auto"/>
                <w:sz w:val="22"/>
                <w:szCs w:val="22"/>
              </w:rPr>
              <w:t>interactions with children*</w:t>
            </w:r>
          </w:p>
          <w:p w14:paraId="6DEAFD6B" w14:textId="77777777" w:rsidR="00C01E92" w:rsidRPr="00823B07" w:rsidRDefault="00C01E92" w:rsidP="00927299">
            <w:pPr>
              <w:pStyle w:val="ListBullet"/>
              <w:numPr>
                <w:ilvl w:val="0"/>
                <w:numId w:val="2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823B07">
              <w:rPr>
                <w:rFonts w:ascii="Arial Narrow" w:hAnsi="Arial Narrow" w:cstheme="minorHAnsi"/>
                <w:color w:val="auto"/>
                <w:sz w:val="22"/>
                <w:szCs w:val="22"/>
              </w:rPr>
              <w:t>enrolment and orientation</w:t>
            </w:r>
          </w:p>
          <w:p w14:paraId="6B08DEE4" w14:textId="77777777" w:rsidR="00C01E92" w:rsidRPr="00823B07" w:rsidRDefault="00C01E92" w:rsidP="00927299">
            <w:pPr>
              <w:pStyle w:val="ListBullet"/>
              <w:numPr>
                <w:ilvl w:val="0"/>
                <w:numId w:val="2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823B07">
              <w:rPr>
                <w:rFonts w:ascii="Arial Narrow" w:hAnsi="Arial Narrow" w:cstheme="minorHAnsi"/>
                <w:color w:val="auto"/>
                <w:sz w:val="22"/>
                <w:szCs w:val="22"/>
              </w:rPr>
              <w:t>governance and management of service including confidentiality</w:t>
            </w:r>
            <w:r w:rsidRPr="00927299">
              <w:rPr>
                <w:rFonts w:ascii="Arial Narrow" w:hAnsi="Arial Narrow" w:cstheme="minorHAnsi"/>
                <w:b/>
                <w:color w:val="auto"/>
                <w:sz w:val="22"/>
                <w:szCs w:val="22"/>
              </w:rPr>
              <w:t>*</w:t>
            </w:r>
          </w:p>
          <w:p w14:paraId="4E5BB5C2" w14:textId="77777777" w:rsidR="00C01E92" w:rsidRPr="00823B07" w:rsidRDefault="00C01E92" w:rsidP="00927299">
            <w:pPr>
              <w:pStyle w:val="ListBullet"/>
              <w:numPr>
                <w:ilvl w:val="0"/>
                <w:numId w:val="2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823B07">
              <w:rPr>
                <w:rFonts w:ascii="Arial Narrow" w:hAnsi="Arial Narrow" w:cstheme="minorHAnsi"/>
                <w:color w:val="auto"/>
                <w:sz w:val="22"/>
                <w:szCs w:val="22"/>
              </w:rPr>
              <w:t>acceptance and refusal of authorisations</w:t>
            </w:r>
            <w:r w:rsidRPr="00927299">
              <w:rPr>
                <w:rFonts w:ascii="Arial Narrow" w:hAnsi="Arial Narrow" w:cstheme="minorHAnsi"/>
                <w:b/>
                <w:color w:val="auto"/>
                <w:sz w:val="22"/>
                <w:szCs w:val="22"/>
              </w:rPr>
              <w:t>*</w:t>
            </w:r>
          </w:p>
          <w:p w14:paraId="2F58A0BB" w14:textId="77777777" w:rsidR="00C01E92" w:rsidRPr="00823B07" w:rsidRDefault="00C01E92" w:rsidP="00927299">
            <w:pPr>
              <w:pStyle w:val="ListBullet"/>
              <w:numPr>
                <w:ilvl w:val="0"/>
                <w:numId w:val="2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823B07">
              <w:rPr>
                <w:rFonts w:ascii="Arial Narrow" w:hAnsi="Arial Narrow" w:cstheme="minorHAnsi"/>
                <w:color w:val="auto"/>
                <w:sz w:val="22"/>
                <w:szCs w:val="22"/>
              </w:rPr>
              <w:t>payment of fees</w:t>
            </w:r>
          </w:p>
          <w:p w14:paraId="761AE3D2" w14:textId="7C58D42C" w:rsidR="00C01E92" w:rsidRPr="00823B07" w:rsidRDefault="005A6B33" w:rsidP="00927299">
            <w:pPr>
              <w:pStyle w:val="ListBullet"/>
              <w:numPr>
                <w:ilvl w:val="0"/>
                <w:numId w:val="2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Pr>
                <w:rFonts w:ascii="Arial Narrow" w:hAnsi="Arial Narrow" w:cstheme="minorHAnsi"/>
                <w:color w:val="auto"/>
                <w:sz w:val="22"/>
                <w:szCs w:val="22"/>
              </w:rPr>
              <w:t>Complaints and serious incidents</w:t>
            </w:r>
          </w:p>
          <w:p w14:paraId="00A2F0D8" w14:textId="77777777" w:rsidR="00C01E92" w:rsidRPr="00823B07" w:rsidRDefault="00C01E92" w:rsidP="00927299">
            <w:pPr>
              <w:pStyle w:val="ListBullet"/>
              <w:numPr>
                <w:ilvl w:val="0"/>
                <w:numId w:val="0"/>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Style w:val="Strong"/>
                <w:rFonts w:ascii="Arial Narrow" w:hAnsi="Arial Narrow" w:cstheme="minorHAnsi"/>
                <w:b w:val="0"/>
                <w:bCs w:val="0"/>
                <w:color w:val="auto"/>
                <w:sz w:val="22"/>
                <w:szCs w:val="22"/>
              </w:rPr>
            </w:pPr>
            <w:r w:rsidRPr="00823B07">
              <w:rPr>
                <w:rStyle w:val="Strong"/>
                <w:rFonts w:ascii="Arial Narrow" w:hAnsi="Arial Narrow" w:cstheme="minorHAnsi"/>
                <w:b w:val="0"/>
                <w:color w:val="auto"/>
                <w:sz w:val="22"/>
                <w:szCs w:val="22"/>
              </w:rPr>
              <w:t>An asterisk (</w:t>
            </w:r>
            <w:r w:rsidRPr="00927299">
              <w:rPr>
                <w:rStyle w:val="Strong"/>
                <w:rFonts w:ascii="Arial Narrow" w:hAnsi="Arial Narrow" w:cstheme="minorHAnsi"/>
                <w:color w:val="auto"/>
                <w:sz w:val="22"/>
                <w:szCs w:val="22"/>
              </w:rPr>
              <w:t>*</w:t>
            </w:r>
            <w:r w:rsidRPr="00823B07">
              <w:rPr>
                <w:rStyle w:val="Strong"/>
                <w:rFonts w:ascii="Arial Narrow" w:hAnsi="Arial Narrow" w:cstheme="minorHAnsi"/>
                <w:b w:val="0"/>
                <w:color w:val="auto"/>
                <w:sz w:val="22"/>
                <w:szCs w:val="22"/>
              </w:rPr>
              <w:t>) indicates new requirements not in the current Regulations.</w:t>
            </w:r>
          </w:p>
        </w:tc>
      </w:tr>
      <w:tr w:rsidR="00C01E92" w:rsidRPr="00823B07" w14:paraId="2E5019D0" w14:textId="77777777" w:rsidTr="00823B07">
        <w:tc>
          <w:tcPr>
            <w:cnfStyle w:val="001000000000" w:firstRow="0" w:lastRow="0" w:firstColumn="1" w:lastColumn="0" w:oddVBand="0" w:evenVBand="0" w:oddHBand="0" w:evenHBand="0" w:firstRowFirstColumn="0" w:firstRowLastColumn="0" w:lastRowFirstColumn="0" w:lastRowLastColumn="0"/>
            <w:tcW w:w="1023" w:type="pct"/>
          </w:tcPr>
          <w:p w14:paraId="17DDD7F2" w14:textId="77777777" w:rsidR="00C01E92" w:rsidRPr="00823B07" w:rsidRDefault="00C01E92" w:rsidP="00927299">
            <w:pPr>
              <w:spacing w:after="60"/>
              <w:rPr>
                <w:rStyle w:val="Strong"/>
                <w:rFonts w:cstheme="minorHAnsi"/>
                <w:b w:val="0"/>
                <w:szCs w:val="22"/>
              </w:rPr>
            </w:pPr>
            <w:r w:rsidRPr="00823B07">
              <w:rPr>
                <w:rStyle w:val="Strong"/>
                <w:rFonts w:cstheme="minorHAnsi"/>
                <w:b w:val="0"/>
                <w:szCs w:val="22"/>
              </w:rPr>
              <w:lastRenderedPageBreak/>
              <w:t>Review of policies</w:t>
            </w:r>
          </w:p>
        </w:tc>
        <w:tc>
          <w:tcPr>
            <w:tcW w:w="3977" w:type="pct"/>
            <w:gridSpan w:val="2"/>
          </w:tcPr>
          <w:p w14:paraId="34B21158" w14:textId="77777777" w:rsidR="00C01E92" w:rsidRPr="00823B07" w:rsidRDefault="00C01E92" w:rsidP="00927299">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Services must review policies annually and update as required. Parents must be notified of any changes.</w:t>
            </w:r>
          </w:p>
        </w:tc>
      </w:tr>
      <w:tr w:rsidR="00C01E92" w:rsidRPr="00823B07" w14:paraId="4CCFC72C" w14:textId="77777777" w:rsidTr="00823B07">
        <w:tc>
          <w:tcPr>
            <w:cnfStyle w:val="001000000000" w:firstRow="0" w:lastRow="0" w:firstColumn="1" w:lastColumn="0" w:oddVBand="0" w:evenVBand="0" w:oddHBand="0" w:evenHBand="0" w:firstRowFirstColumn="0" w:firstRowLastColumn="0" w:lastRowFirstColumn="0" w:lastRowLastColumn="0"/>
            <w:tcW w:w="1023" w:type="pct"/>
          </w:tcPr>
          <w:p w14:paraId="51FB06EB" w14:textId="77777777" w:rsidR="00C01E92" w:rsidRPr="00823B07" w:rsidRDefault="00C01E92" w:rsidP="00927299">
            <w:pPr>
              <w:spacing w:after="60"/>
              <w:rPr>
                <w:rStyle w:val="Strong"/>
                <w:rFonts w:cstheme="minorHAnsi"/>
                <w:b w:val="0"/>
                <w:szCs w:val="22"/>
              </w:rPr>
            </w:pPr>
            <w:r w:rsidRPr="00823B07">
              <w:rPr>
                <w:rStyle w:val="Strong"/>
                <w:rFonts w:cstheme="minorHAnsi"/>
                <w:b w:val="0"/>
                <w:szCs w:val="22"/>
              </w:rPr>
              <w:t>Prescribed insurance</w:t>
            </w:r>
          </w:p>
        </w:tc>
        <w:tc>
          <w:tcPr>
            <w:tcW w:w="3977" w:type="pct"/>
            <w:gridSpan w:val="2"/>
          </w:tcPr>
          <w:p w14:paraId="264554B7" w14:textId="77777777" w:rsidR="00C01E92" w:rsidRPr="00823B07" w:rsidRDefault="00C01E92" w:rsidP="00927299">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 xml:space="preserve">Providers must keep evidence of their current, prescribed insurance available for inspection by the Department officers. </w:t>
            </w:r>
          </w:p>
        </w:tc>
      </w:tr>
      <w:tr w:rsidR="00C01E92" w:rsidRPr="00823B07" w14:paraId="377D16A0" w14:textId="77777777" w:rsidTr="00823B07">
        <w:tc>
          <w:tcPr>
            <w:cnfStyle w:val="001000000000" w:firstRow="0" w:lastRow="0" w:firstColumn="1" w:lastColumn="0" w:oddVBand="0" w:evenVBand="0" w:oddHBand="0" w:evenHBand="0" w:firstRowFirstColumn="0" w:firstRowLastColumn="0" w:lastRowFirstColumn="0" w:lastRowLastColumn="0"/>
            <w:tcW w:w="1023" w:type="pct"/>
          </w:tcPr>
          <w:p w14:paraId="5A18C2E4" w14:textId="77777777" w:rsidR="00C01E92" w:rsidRPr="00823B07" w:rsidRDefault="00C01E92" w:rsidP="00927299">
            <w:pPr>
              <w:spacing w:after="60"/>
              <w:rPr>
                <w:rStyle w:val="Strong"/>
                <w:rFonts w:cstheme="minorHAnsi"/>
                <w:b w:val="0"/>
                <w:szCs w:val="22"/>
              </w:rPr>
            </w:pPr>
            <w:r w:rsidRPr="00823B07">
              <w:rPr>
                <w:rStyle w:val="Strong"/>
                <w:rFonts w:cstheme="minorHAnsi"/>
                <w:b w:val="0"/>
                <w:szCs w:val="22"/>
              </w:rPr>
              <w:t>Confidentiality</w:t>
            </w:r>
          </w:p>
        </w:tc>
        <w:tc>
          <w:tcPr>
            <w:tcW w:w="3977" w:type="pct"/>
            <w:gridSpan w:val="2"/>
          </w:tcPr>
          <w:p w14:paraId="02F991DA" w14:textId="77777777" w:rsidR="00C01E92" w:rsidRPr="00823B07" w:rsidRDefault="00C01E92" w:rsidP="00927299">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Approved providers must ensure that information kept in a record under the Regulations is not communicated to another person other than:</w:t>
            </w:r>
          </w:p>
          <w:p w14:paraId="3B5D16B0" w14:textId="77777777" w:rsidR="00C01E92" w:rsidRPr="00823B07" w:rsidRDefault="00C01E92" w:rsidP="002806C5">
            <w:pPr>
              <w:pStyle w:val="ListParagraph"/>
              <w:numPr>
                <w:ilvl w:val="0"/>
                <w:numId w:val="45"/>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To the extent necessary for medical treatment of a child</w:t>
            </w:r>
          </w:p>
          <w:p w14:paraId="7D3C2425" w14:textId="77777777" w:rsidR="00C01E92" w:rsidRPr="00823B07" w:rsidRDefault="00C01E92" w:rsidP="002806C5">
            <w:pPr>
              <w:pStyle w:val="ListParagraph"/>
              <w:numPr>
                <w:ilvl w:val="0"/>
                <w:numId w:val="45"/>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To a parent (apart from staff record information)</w:t>
            </w:r>
          </w:p>
          <w:p w14:paraId="074397DB" w14:textId="77777777" w:rsidR="00C01E92" w:rsidRPr="00823B07" w:rsidRDefault="00C01E92" w:rsidP="002806C5">
            <w:pPr>
              <w:pStyle w:val="ListParagraph"/>
              <w:numPr>
                <w:ilvl w:val="0"/>
                <w:numId w:val="45"/>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To the Department or one of its officers</w:t>
            </w:r>
          </w:p>
          <w:p w14:paraId="47255C23" w14:textId="77777777" w:rsidR="00C01E92" w:rsidRPr="00823B07" w:rsidRDefault="00C01E92" w:rsidP="002806C5">
            <w:pPr>
              <w:pStyle w:val="ListParagraph"/>
              <w:numPr>
                <w:ilvl w:val="0"/>
                <w:numId w:val="45"/>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As expressly authorised under the Act or another law</w:t>
            </w:r>
          </w:p>
          <w:p w14:paraId="7F4C91AA" w14:textId="77777777" w:rsidR="00C01E92" w:rsidRPr="00823B07" w:rsidRDefault="00C01E92" w:rsidP="002806C5">
            <w:pPr>
              <w:pStyle w:val="ListParagraph"/>
              <w:numPr>
                <w:ilvl w:val="0"/>
                <w:numId w:val="45"/>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With the written consent of the person who provided the information</w:t>
            </w:r>
          </w:p>
        </w:tc>
      </w:tr>
      <w:tr w:rsidR="00C01E92" w:rsidRPr="00823B07" w14:paraId="54B83247" w14:textId="77777777" w:rsidTr="00823B07">
        <w:tc>
          <w:tcPr>
            <w:cnfStyle w:val="001000000000" w:firstRow="0" w:lastRow="0" w:firstColumn="1" w:lastColumn="0" w:oddVBand="0" w:evenVBand="0" w:oddHBand="0" w:evenHBand="0" w:firstRowFirstColumn="0" w:firstRowLastColumn="0" w:lastRowFirstColumn="0" w:lastRowLastColumn="0"/>
            <w:tcW w:w="1023" w:type="pct"/>
          </w:tcPr>
          <w:p w14:paraId="54D9D94E" w14:textId="77777777" w:rsidR="00C01E92" w:rsidRPr="00823B07" w:rsidRDefault="00C01E92" w:rsidP="00927299">
            <w:pPr>
              <w:spacing w:after="60"/>
              <w:rPr>
                <w:rStyle w:val="Strong"/>
                <w:rFonts w:cstheme="minorHAnsi"/>
                <w:b w:val="0"/>
                <w:szCs w:val="22"/>
              </w:rPr>
            </w:pPr>
            <w:r w:rsidRPr="00823B07">
              <w:rPr>
                <w:rStyle w:val="Strong"/>
                <w:rFonts w:cstheme="minorHAnsi"/>
                <w:b w:val="0"/>
                <w:szCs w:val="22"/>
              </w:rPr>
              <w:t>Storage</w:t>
            </w:r>
          </w:p>
        </w:tc>
        <w:tc>
          <w:tcPr>
            <w:tcW w:w="3977" w:type="pct"/>
            <w:gridSpan w:val="2"/>
          </w:tcPr>
          <w:p w14:paraId="447275BA" w14:textId="77777777" w:rsidR="00C01E92" w:rsidRPr="00823B07" w:rsidRDefault="00C01E92" w:rsidP="00927299">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Approved providers must ensure that records and documents are stored in a safe and secure place.</w:t>
            </w:r>
          </w:p>
          <w:p w14:paraId="761B4C17" w14:textId="77777777" w:rsidR="00C01E92" w:rsidRPr="00823B07" w:rsidRDefault="00C01E92" w:rsidP="00927299">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Records must be kept for the following periods:</w:t>
            </w:r>
          </w:p>
          <w:p w14:paraId="1043014C" w14:textId="77777777" w:rsidR="00C01E92" w:rsidRPr="00823B07" w:rsidRDefault="00C01E92" w:rsidP="002806C5">
            <w:pPr>
              <w:pStyle w:val="ListParagraph"/>
              <w:numPr>
                <w:ilvl w:val="0"/>
                <w:numId w:val="46"/>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Incidents, illness or trauma records: 25 years</w:t>
            </w:r>
          </w:p>
          <w:p w14:paraId="75958CA9" w14:textId="77777777" w:rsidR="00C01E92" w:rsidRPr="00823B07" w:rsidRDefault="00C01E92" w:rsidP="002806C5">
            <w:pPr>
              <w:pStyle w:val="ListParagraph"/>
              <w:numPr>
                <w:ilvl w:val="0"/>
                <w:numId w:val="46"/>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Death of a child: 7 years</w:t>
            </w:r>
          </w:p>
          <w:p w14:paraId="05421740" w14:textId="77777777" w:rsidR="00C01E92" w:rsidRPr="00823B07" w:rsidRDefault="00C01E92" w:rsidP="002806C5">
            <w:pPr>
              <w:pStyle w:val="ListParagraph"/>
              <w:numPr>
                <w:ilvl w:val="0"/>
                <w:numId w:val="46"/>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All other records: 3 years</w:t>
            </w:r>
          </w:p>
          <w:p w14:paraId="53829C6F" w14:textId="77777777" w:rsidR="00C01E92" w:rsidRPr="00823B07" w:rsidRDefault="00C01E92" w:rsidP="00927299">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 xml:space="preserve">If a service approval is transferred, any records or documents relating to children currently enrolled at the service must be transferred to the receiving approved provider as long as a parent consents. </w:t>
            </w:r>
          </w:p>
        </w:tc>
      </w:tr>
      <w:tr w:rsidR="00C01E92" w:rsidRPr="00823B07" w14:paraId="03660592" w14:textId="77777777" w:rsidTr="00823B07">
        <w:tc>
          <w:tcPr>
            <w:cnfStyle w:val="001000000000" w:firstRow="0" w:lastRow="0" w:firstColumn="1" w:lastColumn="0" w:oddVBand="0" w:evenVBand="0" w:oddHBand="0" w:evenHBand="0" w:firstRowFirstColumn="0" w:firstRowLastColumn="0" w:lastRowFirstColumn="0" w:lastRowLastColumn="0"/>
            <w:tcW w:w="1023" w:type="pct"/>
          </w:tcPr>
          <w:p w14:paraId="396DB379" w14:textId="77777777" w:rsidR="00C01E92" w:rsidRPr="00823B07" w:rsidRDefault="00C01E92" w:rsidP="00927299">
            <w:pPr>
              <w:spacing w:after="60"/>
              <w:rPr>
                <w:rStyle w:val="Strong"/>
                <w:rFonts w:cstheme="minorHAnsi"/>
                <w:b w:val="0"/>
                <w:szCs w:val="22"/>
              </w:rPr>
            </w:pPr>
            <w:r w:rsidRPr="00823B07">
              <w:rPr>
                <w:rStyle w:val="Strong"/>
                <w:rFonts w:cstheme="minorHAnsi"/>
                <w:b w:val="0"/>
                <w:szCs w:val="22"/>
              </w:rPr>
              <w:t>Educational program</w:t>
            </w:r>
          </w:p>
        </w:tc>
        <w:tc>
          <w:tcPr>
            <w:tcW w:w="3977" w:type="pct"/>
            <w:gridSpan w:val="2"/>
          </w:tcPr>
          <w:p w14:paraId="408AEF17" w14:textId="77777777" w:rsidR="00C01E92" w:rsidRPr="00823B07" w:rsidRDefault="00C01E92" w:rsidP="00927299">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Services must document children’s progress against the outcomes of the educational program(s) offered by the service, proportionate to the time spent by the child at the service.</w:t>
            </w:r>
          </w:p>
          <w:p w14:paraId="2D031FCC" w14:textId="77777777" w:rsidR="00C01E92" w:rsidRPr="00823B07" w:rsidRDefault="00C01E92" w:rsidP="00927299">
            <w:pPr>
              <w:spacing w:after="60"/>
              <w:cnfStyle w:val="000000000000" w:firstRow="0" w:lastRow="0" w:firstColumn="0" w:lastColumn="0" w:oddVBand="0" w:evenVBand="0" w:oddHBand="0" w:evenHBand="0" w:firstRowFirstColumn="0" w:firstRowLastColumn="0" w:lastRowFirstColumn="0" w:lastRowLastColumn="0"/>
              <w:rPr>
                <w:rFonts w:cstheme="minorHAnsi"/>
                <w:bCs/>
                <w:szCs w:val="22"/>
              </w:rPr>
            </w:pPr>
            <w:r w:rsidRPr="00823B07">
              <w:rPr>
                <w:rFonts w:cstheme="minorHAnsi"/>
                <w:bCs/>
                <w:szCs w:val="22"/>
              </w:rPr>
              <w:t>The outcomes that a program should contribute towards are:</w:t>
            </w:r>
          </w:p>
          <w:p w14:paraId="6BE791CD" w14:textId="77777777" w:rsidR="00C01E92" w:rsidRPr="00823B07" w:rsidRDefault="00C01E92" w:rsidP="002806C5">
            <w:pPr>
              <w:numPr>
                <w:ilvl w:val="0"/>
                <w:numId w:val="46"/>
              </w:numPr>
              <w:autoSpaceDE w:val="0"/>
              <w:autoSpaceDN w:val="0"/>
              <w:adjustRightInd w:val="0"/>
              <w:spacing w:after="60"/>
              <w:cnfStyle w:val="000000000000" w:firstRow="0" w:lastRow="0" w:firstColumn="0" w:lastColumn="0" w:oddVBand="0" w:evenVBand="0" w:oddHBand="0" w:evenHBand="0" w:firstRowFirstColumn="0" w:firstRowLastColumn="0" w:lastRowFirstColumn="0" w:lastRowLastColumn="0"/>
              <w:rPr>
                <w:rFonts w:cstheme="minorHAnsi"/>
                <w:bCs/>
                <w:szCs w:val="22"/>
              </w:rPr>
            </w:pPr>
            <w:r w:rsidRPr="00823B07">
              <w:rPr>
                <w:rFonts w:cstheme="minorHAnsi"/>
                <w:bCs/>
                <w:szCs w:val="22"/>
              </w:rPr>
              <w:t>The child will have a strong sense of identity</w:t>
            </w:r>
          </w:p>
          <w:p w14:paraId="2DD14442" w14:textId="77777777" w:rsidR="00C01E92" w:rsidRPr="00823B07" w:rsidRDefault="00C01E92" w:rsidP="002806C5">
            <w:pPr>
              <w:numPr>
                <w:ilvl w:val="0"/>
                <w:numId w:val="46"/>
              </w:numPr>
              <w:autoSpaceDE w:val="0"/>
              <w:autoSpaceDN w:val="0"/>
              <w:adjustRightInd w:val="0"/>
              <w:spacing w:after="60"/>
              <w:cnfStyle w:val="000000000000" w:firstRow="0" w:lastRow="0" w:firstColumn="0" w:lastColumn="0" w:oddVBand="0" w:evenVBand="0" w:oddHBand="0" w:evenHBand="0" w:firstRowFirstColumn="0" w:firstRowLastColumn="0" w:lastRowFirstColumn="0" w:lastRowLastColumn="0"/>
              <w:rPr>
                <w:rFonts w:cstheme="minorHAnsi"/>
                <w:bCs/>
                <w:szCs w:val="22"/>
              </w:rPr>
            </w:pPr>
            <w:r w:rsidRPr="00823B07">
              <w:rPr>
                <w:rFonts w:cstheme="minorHAnsi"/>
                <w:bCs/>
                <w:szCs w:val="22"/>
              </w:rPr>
              <w:t>The child will be connected with and contribute to his or her world</w:t>
            </w:r>
          </w:p>
          <w:p w14:paraId="50346946" w14:textId="77777777" w:rsidR="00C01E92" w:rsidRPr="00823B07" w:rsidRDefault="00C01E92" w:rsidP="002806C5">
            <w:pPr>
              <w:numPr>
                <w:ilvl w:val="0"/>
                <w:numId w:val="46"/>
              </w:numPr>
              <w:autoSpaceDE w:val="0"/>
              <w:autoSpaceDN w:val="0"/>
              <w:adjustRightInd w:val="0"/>
              <w:spacing w:after="60"/>
              <w:cnfStyle w:val="000000000000" w:firstRow="0" w:lastRow="0" w:firstColumn="0" w:lastColumn="0" w:oddVBand="0" w:evenVBand="0" w:oddHBand="0" w:evenHBand="0" w:firstRowFirstColumn="0" w:firstRowLastColumn="0" w:lastRowFirstColumn="0" w:lastRowLastColumn="0"/>
              <w:rPr>
                <w:rFonts w:cstheme="minorHAnsi"/>
                <w:bCs/>
                <w:szCs w:val="22"/>
              </w:rPr>
            </w:pPr>
            <w:r w:rsidRPr="00823B07">
              <w:rPr>
                <w:rFonts w:cstheme="minorHAnsi"/>
                <w:bCs/>
                <w:szCs w:val="22"/>
              </w:rPr>
              <w:t>The child will have a strong sense of wellbeing</w:t>
            </w:r>
          </w:p>
          <w:p w14:paraId="05B77F58" w14:textId="77777777" w:rsidR="00C01E92" w:rsidRPr="00823B07" w:rsidRDefault="00C01E92" w:rsidP="002806C5">
            <w:pPr>
              <w:numPr>
                <w:ilvl w:val="0"/>
                <w:numId w:val="46"/>
              </w:numPr>
              <w:autoSpaceDE w:val="0"/>
              <w:autoSpaceDN w:val="0"/>
              <w:adjustRightInd w:val="0"/>
              <w:spacing w:after="60"/>
              <w:cnfStyle w:val="000000000000" w:firstRow="0" w:lastRow="0" w:firstColumn="0" w:lastColumn="0" w:oddVBand="0" w:evenVBand="0" w:oddHBand="0" w:evenHBand="0" w:firstRowFirstColumn="0" w:firstRowLastColumn="0" w:lastRowFirstColumn="0" w:lastRowLastColumn="0"/>
              <w:rPr>
                <w:rFonts w:cstheme="minorHAnsi"/>
                <w:bCs/>
                <w:szCs w:val="22"/>
              </w:rPr>
            </w:pPr>
            <w:r w:rsidRPr="00823B07">
              <w:rPr>
                <w:rFonts w:cstheme="minorHAnsi"/>
                <w:bCs/>
                <w:szCs w:val="22"/>
              </w:rPr>
              <w:t>The child will be a confident and involved learner</w:t>
            </w:r>
          </w:p>
          <w:p w14:paraId="6B9D0F6F" w14:textId="77777777" w:rsidR="00C01E92" w:rsidRPr="00823B07" w:rsidRDefault="00C01E92" w:rsidP="002806C5">
            <w:pPr>
              <w:numPr>
                <w:ilvl w:val="0"/>
                <w:numId w:val="46"/>
              </w:numPr>
              <w:autoSpaceDE w:val="0"/>
              <w:autoSpaceDN w:val="0"/>
              <w:adjustRightInd w:val="0"/>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Fonts w:cstheme="minorHAnsi"/>
                <w:bCs/>
                <w:szCs w:val="22"/>
              </w:rPr>
              <w:t>The child will be an effective communicator.</w:t>
            </w:r>
          </w:p>
        </w:tc>
      </w:tr>
      <w:tr w:rsidR="00C01E92" w:rsidRPr="00823B07" w14:paraId="585037FA" w14:textId="77777777" w:rsidTr="00823B07">
        <w:tc>
          <w:tcPr>
            <w:cnfStyle w:val="001000000000" w:firstRow="0" w:lastRow="0" w:firstColumn="1" w:lastColumn="0" w:oddVBand="0" w:evenVBand="0" w:oddHBand="0" w:evenHBand="0" w:firstRowFirstColumn="0" w:firstRowLastColumn="0" w:lastRowFirstColumn="0" w:lastRowLastColumn="0"/>
            <w:tcW w:w="1023" w:type="pct"/>
          </w:tcPr>
          <w:p w14:paraId="7BF06968" w14:textId="77777777" w:rsidR="00C01E92" w:rsidRPr="00823B07" w:rsidRDefault="00C01E92" w:rsidP="00927299">
            <w:pPr>
              <w:spacing w:after="60"/>
              <w:rPr>
                <w:rStyle w:val="Strong"/>
                <w:rFonts w:cstheme="minorHAnsi"/>
                <w:b w:val="0"/>
                <w:szCs w:val="22"/>
              </w:rPr>
            </w:pPr>
            <w:r w:rsidRPr="00823B07">
              <w:rPr>
                <w:rStyle w:val="Strong"/>
                <w:rFonts w:cstheme="minorHAnsi"/>
                <w:b w:val="0"/>
                <w:szCs w:val="22"/>
              </w:rPr>
              <w:lastRenderedPageBreak/>
              <w:t>Record of educators working directly with children</w:t>
            </w:r>
          </w:p>
        </w:tc>
        <w:tc>
          <w:tcPr>
            <w:tcW w:w="3977" w:type="pct"/>
            <w:gridSpan w:val="2"/>
          </w:tcPr>
          <w:p w14:paraId="5108C3E6" w14:textId="77777777" w:rsidR="00C01E92" w:rsidRPr="00823B07" w:rsidRDefault="00C01E92" w:rsidP="00927299">
            <w:pPr>
              <w:spacing w:after="60"/>
              <w:cnfStyle w:val="000000000000" w:firstRow="0" w:lastRow="0" w:firstColumn="0" w:lastColumn="0" w:oddVBand="0" w:evenVBand="0" w:oddHBand="0" w:evenHBand="0" w:firstRowFirstColumn="0" w:firstRowLastColumn="0" w:lastRowFirstColumn="0" w:lastRowLastColumn="0"/>
              <w:rPr>
                <w:rStyle w:val="Strong"/>
                <w:rFonts w:cstheme="minorHAnsi"/>
                <w:b w:val="0"/>
                <w:szCs w:val="22"/>
              </w:rPr>
            </w:pPr>
            <w:r w:rsidRPr="00823B07">
              <w:rPr>
                <w:rStyle w:val="Strong"/>
                <w:rFonts w:cstheme="minorHAnsi"/>
                <w:b w:val="0"/>
                <w:szCs w:val="22"/>
              </w:rPr>
              <w:t>Services must keep a record of the educators working directly with children, including their names and the hours they are working with children at the service.</w:t>
            </w:r>
          </w:p>
        </w:tc>
      </w:tr>
    </w:tbl>
    <w:p w14:paraId="18806177" w14:textId="1F0CF0A2" w:rsidR="00C01E92" w:rsidRPr="000107A9" w:rsidRDefault="00C01E92" w:rsidP="00376BA7">
      <w:pPr>
        <w:pStyle w:val="Heading3"/>
      </w:pPr>
      <w:bookmarkStart w:id="125" w:name="_Toc32936877"/>
      <w:r w:rsidRPr="000107A9">
        <w:t xml:space="preserve">H. </w:t>
      </w:r>
      <w:r w:rsidR="00E36DF7">
        <w:t>F</w:t>
      </w:r>
      <w:r w:rsidRPr="000107A9">
        <w:t>ees</w:t>
      </w:r>
      <w:bookmarkEnd w:id="125"/>
    </w:p>
    <w:p w14:paraId="1671447A" w14:textId="77777777" w:rsidR="00F46104" w:rsidRPr="003634A9" w:rsidRDefault="00F46104" w:rsidP="00F46104">
      <w:pPr>
        <w:pStyle w:val="EYBodytextwithparaspace"/>
        <w:spacing w:before="120" w:after="120"/>
        <w:rPr>
          <w:rFonts w:asciiTheme="minorHAnsi" w:hAnsiTheme="minorHAnsi" w:cstheme="minorHAnsi"/>
          <w:sz w:val="22"/>
          <w:szCs w:val="22"/>
        </w:rPr>
      </w:pPr>
      <w:r w:rsidRPr="003634A9">
        <w:rPr>
          <w:rFonts w:asciiTheme="minorHAnsi" w:hAnsiTheme="minorHAnsi" w:cstheme="minorHAnsi"/>
          <w:sz w:val="22"/>
          <w:szCs w:val="22"/>
        </w:rPr>
        <w:t>The Act requires a number of applications to be accompanied by a “prescribed fee”. It also requires approved providers to pay the prescribed annual service fee in respect of each service they operate, and states that the prescribed fee must accompany any notification to the Department of the transfer of a service approval.</w:t>
      </w:r>
    </w:p>
    <w:p w14:paraId="125CABC1" w14:textId="77777777" w:rsidR="00F46104" w:rsidRDefault="00F46104" w:rsidP="00F46104">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t>Under</w:t>
      </w:r>
      <w:r w:rsidRPr="000107A9">
        <w:rPr>
          <w:rFonts w:asciiTheme="minorHAnsi" w:hAnsiTheme="minorHAnsi" w:cstheme="minorHAnsi"/>
          <w:sz w:val="22"/>
          <w:szCs w:val="22"/>
        </w:rPr>
        <w:t xml:space="preserve"> the </w:t>
      </w:r>
      <w:r w:rsidRPr="006E3A24">
        <w:rPr>
          <w:rFonts w:asciiTheme="minorHAnsi" w:hAnsiTheme="minorHAnsi" w:cstheme="minorHAnsi"/>
          <w:b/>
          <w:sz w:val="22"/>
          <w:szCs w:val="22"/>
        </w:rPr>
        <w:t>Base Case</w:t>
      </w:r>
      <w:r w:rsidRPr="000107A9">
        <w:rPr>
          <w:rFonts w:asciiTheme="minorHAnsi" w:hAnsiTheme="minorHAnsi" w:cstheme="minorHAnsi"/>
          <w:sz w:val="22"/>
          <w:szCs w:val="22"/>
        </w:rPr>
        <w:t>, these fees would still be required when each application is made or action taken</w:t>
      </w:r>
      <w:r>
        <w:rPr>
          <w:rFonts w:asciiTheme="minorHAnsi" w:hAnsiTheme="minorHAnsi" w:cstheme="minorHAnsi"/>
          <w:sz w:val="22"/>
          <w:szCs w:val="22"/>
        </w:rPr>
        <w:t xml:space="preserve"> as stipulated in the Act</w:t>
      </w:r>
      <w:r w:rsidRPr="000107A9">
        <w:rPr>
          <w:rFonts w:asciiTheme="minorHAnsi" w:hAnsiTheme="minorHAnsi" w:cstheme="minorHAnsi"/>
          <w:sz w:val="22"/>
          <w:szCs w:val="22"/>
        </w:rPr>
        <w:t xml:space="preserve">, but </w:t>
      </w:r>
      <w:r>
        <w:rPr>
          <w:rFonts w:asciiTheme="minorHAnsi" w:hAnsiTheme="minorHAnsi" w:cstheme="minorHAnsi"/>
          <w:sz w:val="22"/>
          <w:szCs w:val="22"/>
        </w:rPr>
        <w:t>in the absence of Regulations (current or new), the particulars of fees (unit or dollar amount) would not be detailed, therefore technically, a fee could not be charged</w:t>
      </w:r>
      <w:r w:rsidRPr="000107A9">
        <w:rPr>
          <w:rFonts w:asciiTheme="minorHAnsi" w:hAnsiTheme="minorHAnsi" w:cstheme="minorHAnsi"/>
          <w:sz w:val="22"/>
          <w:szCs w:val="22"/>
        </w:rPr>
        <w:t>.</w:t>
      </w:r>
    </w:p>
    <w:p w14:paraId="0835BDC5" w14:textId="0B046EF8" w:rsidR="00F46104" w:rsidRDefault="00F46104" w:rsidP="00F46104">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Under Option H.1. </w:t>
      </w:r>
      <w:r w:rsidRPr="003634A9">
        <w:rPr>
          <w:rFonts w:asciiTheme="minorHAnsi" w:hAnsiTheme="minorHAnsi" w:cstheme="minorHAnsi"/>
          <w:b/>
          <w:sz w:val="22"/>
          <w:szCs w:val="22"/>
        </w:rPr>
        <w:t>Status Quo</w:t>
      </w:r>
      <w:r w:rsidRPr="000107A9">
        <w:rPr>
          <w:rFonts w:asciiTheme="minorHAnsi" w:hAnsiTheme="minorHAnsi" w:cstheme="minorHAnsi"/>
          <w:sz w:val="22"/>
          <w:szCs w:val="22"/>
        </w:rPr>
        <w:t>, the Regulations set out the prescribed fees relevant to provisions in the</w:t>
      </w:r>
      <w:r>
        <w:rPr>
          <w:rFonts w:asciiTheme="minorHAnsi" w:hAnsiTheme="minorHAnsi" w:cstheme="minorHAnsi"/>
          <w:sz w:val="22"/>
          <w:szCs w:val="22"/>
        </w:rPr>
        <w:t xml:space="preserve"> CS</w:t>
      </w:r>
      <w:r w:rsidRPr="000107A9">
        <w:rPr>
          <w:rFonts w:asciiTheme="minorHAnsi" w:hAnsiTheme="minorHAnsi" w:cstheme="minorHAnsi"/>
          <w:sz w:val="22"/>
          <w:szCs w:val="22"/>
        </w:rPr>
        <w:t xml:space="preserve"> Act</w:t>
      </w:r>
      <w:r w:rsidR="0049086D">
        <w:rPr>
          <w:rFonts w:asciiTheme="minorHAnsi" w:hAnsiTheme="minorHAnsi" w:cstheme="minorHAnsi"/>
          <w:sz w:val="22"/>
          <w:szCs w:val="22"/>
        </w:rPr>
        <w:t xml:space="preserve"> in ‘</w:t>
      </w:r>
      <w:r>
        <w:rPr>
          <w:rFonts w:asciiTheme="minorHAnsi" w:hAnsiTheme="minorHAnsi" w:cstheme="minorHAnsi"/>
          <w:sz w:val="22"/>
          <w:szCs w:val="22"/>
        </w:rPr>
        <w:t>fee units</w:t>
      </w:r>
      <w:r w:rsidR="0049086D">
        <w:rPr>
          <w:rFonts w:asciiTheme="minorHAnsi" w:hAnsiTheme="minorHAnsi" w:cstheme="minorHAnsi"/>
          <w:sz w:val="22"/>
          <w:szCs w:val="22"/>
        </w:rPr>
        <w:t>’</w:t>
      </w:r>
      <w:r w:rsidRPr="000107A9">
        <w:rPr>
          <w:rFonts w:asciiTheme="minorHAnsi" w:hAnsiTheme="minorHAnsi" w:cstheme="minorHAnsi"/>
          <w:sz w:val="22"/>
          <w:szCs w:val="22"/>
        </w:rPr>
        <w:t>. However, the current Regulations use</w:t>
      </w:r>
      <w:r>
        <w:rPr>
          <w:rFonts w:asciiTheme="minorHAnsi" w:hAnsiTheme="minorHAnsi" w:cstheme="minorHAnsi"/>
          <w:sz w:val="22"/>
          <w:szCs w:val="22"/>
        </w:rPr>
        <w:t>s</w:t>
      </w:r>
      <w:r w:rsidRPr="000107A9">
        <w:rPr>
          <w:rFonts w:asciiTheme="minorHAnsi" w:hAnsiTheme="minorHAnsi" w:cstheme="minorHAnsi"/>
          <w:sz w:val="22"/>
          <w:szCs w:val="22"/>
        </w:rPr>
        <w:t xml:space="preserve"> terminology and refer</w:t>
      </w:r>
      <w:r>
        <w:rPr>
          <w:rFonts w:asciiTheme="minorHAnsi" w:hAnsiTheme="minorHAnsi" w:cstheme="minorHAnsi"/>
          <w:sz w:val="22"/>
          <w:szCs w:val="22"/>
        </w:rPr>
        <w:t>s</w:t>
      </w:r>
      <w:r w:rsidRPr="000107A9">
        <w:rPr>
          <w:rFonts w:asciiTheme="minorHAnsi" w:hAnsiTheme="minorHAnsi" w:cstheme="minorHAnsi"/>
          <w:sz w:val="22"/>
          <w:szCs w:val="22"/>
        </w:rPr>
        <w:t xml:space="preserve"> to </w:t>
      </w:r>
      <w:r>
        <w:rPr>
          <w:rFonts w:asciiTheme="minorHAnsi" w:hAnsiTheme="minorHAnsi" w:cstheme="minorHAnsi"/>
          <w:sz w:val="22"/>
          <w:szCs w:val="22"/>
        </w:rPr>
        <w:t xml:space="preserve">some </w:t>
      </w:r>
      <w:r w:rsidRPr="000107A9">
        <w:rPr>
          <w:rFonts w:asciiTheme="minorHAnsi" w:hAnsiTheme="minorHAnsi" w:cstheme="minorHAnsi"/>
          <w:sz w:val="22"/>
          <w:szCs w:val="22"/>
        </w:rPr>
        <w:t>provisions that no longer apply following the 2019 amendments to the Act.</w:t>
      </w:r>
    </w:p>
    <w:p w14:paraId="10BDD9F4" w14:textId="4EDC7208" w:rsidR="00F46104" w:rsidRDefault="00F46104" w:rsidP="00F46104">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Under Option H.2. </w:t>
      </w:r>
      <w:r w:rsidRPr="003634A9">
        <w:rPr>
          <w:rFonts w:asciiTheme="minorHAnsi" w:hAnsiTheme="minorHAnsi" w:cstheme="minorHAnsi"/>
          <w:b/>
          <w:sz w:val="22"/>
          <w:szCs w:val="22"/>
        </w:rPr>
        <w:t>Alignment</w:t>
      </w:r>
      <w:r w:rsidRPr="000107A9">
        <w:rPr>
          <w:rFonts w:asciiTheme="minorHAnsi" w:hAnsiTheme="minorHAnsi" w:cstheme="minorHAnsi"/>
          <w:sz w:val="22"/>
          <w:szCs w:val="22"/>
        </w:rPr>
        <w:t xml:space="preserve">, the Regulations set out the fees prescribed in relation to each of the </w:t>
      </w:r>
      <w:r>
        <w:rPr>
          <w:rFonts w:asciiTheme="minorHAnsi" w:hAnsiTheme="minorHAnsi" w:cstheme="minorHAnsi"/>
          <w:sz w:val="22"/>
          <w:szCs w:val="22"/>
        </w:rPr>
        <w:t>applications</w:t>
      </w:r>
      <w:r w:rsidRPr="000107A9">
        <w:rPr>
          <w:rFonts w:asciiTheme="minorHAnsi" w:hAnsiTheme="minorHAnsi" w:cstheme="minorHAnsi"/>
          <w:sz w:val="22"/>
          <w:szCs w:val="22"/>
        </w:rPr>
        <w:t xml:space="preserve"> as relevant to the amended Act</w:t>
      </w:r>
      <w:r>
        <w:rPr>
          <w:rFonts w:asciiTheme="minorHAnsi" w:hAnsiTheme="minorHAnsi" w:cstheme="minorHAnsi"/>
          <w:sz w:val="22"/>
          <w:szCs w:val="22"/>
        </w:rPr>
        <w:t xml:space="preserve"> and includes the discontinuation of some fees and the introduction of new fees. The Alignment option presents a more streamlined fee structure that is simpler to navigate for new services entering the market, and </w:t>
      </w:r>
      <w:r w:rsidR="00B454E9">
        <w:rPr>
          <w:rFonts w:asciiTheme="minorHAnsi" w:hAnsiTheme="minorHAnsi" w:cstheme="minorHAnsi"/>
          <w:sz w:val="22"/>
          <w:szCs w:val="22"/>
        </w:rPr>
        <w:t>is simpler</w:t>
      </w:r>
      <w:r>
        <w:rPr>
          <w:rFonts w:asciiTheme="minorHAnsi" w:hAnsiTheme="minorHAnsi" w:cstheme="minorHAnsi"/>
          <w:sz w:val="22"/>
          <w:szCs w:val="22"/>
        </w:rPr>
        <w:t xml:space="preserve"> for existing services </w:t>
      </w:r>
      <w:r w:rsidR="00B454E9">
        <w:rPr>
          <w:rFonts w:asciiTheme="minorHAnsi" w:hAnsiTheme="minorHAnsi" w:cstheme="minorHAnsi"/>
          <w:sz w:val="22"/>
          <w:szCs w:val="22"/>
        </w:rPr>
        <w:t>because the current</w:t>
      </w:r>
      <w:r>
        <w:rPr>
          <w:rFonts w:asciiTheme="minorHAnsi" w:hAnsiTheme="minorHAnsi" w:cstheme="minorHAnsi"/>
          <w:sz w:val="22"/>
          <w:szCs w:val="22"/>
        </w:rPr>
        <w:t xml:space="preserve"> licence renewal process </w:t>
      </w:r>
      <w:r w:rsidR="00B454E9">
        <w:rPr>
          <w:rFonts w:asciiTheme="minorHAnsi" w:hAnsiTheme="minorHAnsi" w:cstheme="minorHAnsi"/>
          <w:sz w:val="22"/>
          <w:szCs w:val="22"/>
        </w:rPr>
        <w:t xml:space="preserve">is </w:t>
      </w:r>
      <w:r>
        <w:rPr>
          <w:rFonts w:asciiTheme="minorHAnsi" w:hAnsiTheme="minorHAnsi" w:cstheme="minorHAnsi"/>
          <w:sz w:val="22"/>
          <w:szCs w:val="22"/>
        </w:rPr>
        <w:t>being replaced by a proposed annual service fee paid on invoice.</w:t>
      </w:r>
    </w:p>
    <w:p w14:paraId="5E5F1FA2" w14:textId="3B51E42F" w:rsidR="00F46104" w:rsidRPr="000107A9" w:rsidRDefault="00F46104" w:rsidP="00F46104">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For the purpose of comparison, the Status Quo option has preserved the subst</w:t>
      </w:r>
      <w:r>
        <w:rPr>
          <w:rFonts w:asciiTheme="minorHAnsi" w:hAnsiTheme="minorHAnsi" w:cstheme="minorHAnsi"/>
          <w:sz w:val="22"/>
          <w:szCs w:val="22"/>
        </w:rPr>
        <w:t xml:space="preserve">ance of the current Regulations (terminology and </w:t>
      </w:r>
      <w:r w:rsidR="00B454E9">
        <w:rPr>
          <w:rFonts w:asciiTheme="minorHAnsi" w:hAnsiTheme="minorHAnsi" w:cstheme="minorHAnsi"/>
          <w:sz w:val="22"/>
          <w:szCs w:val="22"/>
        </w:rPr>
        <w:t xml:space="preserve">type of </w:t>
      </w:r>
      <w:r>
        <w:rPr>
          <w:rFonts w:asciiTheme="minorHAnsi" w:hAnsiTheme="minorHAnsi" w:cstheme="minorHAnsi"/>
          <w:sz w:val="22"/>
          <w:szCs w:val="22"/>
        </w:rPr>
        <w:t>applications), while the Alignment option presents the proposed fee structure and units as it pertains to the Amendment Act.</w:t>
      </w:r>
    </w:p>
    <w:p w14:paraId="024D7A53" w14:textId="5E2186EA" w:rsidR="00F46104" w:rsidRDefault="00F46104" w:rsidP="00F46104">
      <w:pPr>
        <w:pStyle w:val="EYBodytextwithparaspace"/>
        <w:spacing w:before="120" w:after="120"/>
        <w:rPr>
          <w:rFonts w:asciiTheme="minorHAnsi" w:hAnsiTheme="minorHAnsi" w:cstheme="minorHAnsi"/>
          <w:sz w:val="22"/>
          <w:szCs w:val="22"/>
        </w:rPr>
      </w:pPr>
      <w:r w:rsidRPr="0049086D">
        <w:rPr>
          <w:rFonts w:asciiTheme="minorHAnsi" w:hAnsiTheme="minorHAnsi" w:cstheme="minorHAnsi"/>
          <w:sz w:val="22"/>
          <w:szCs w:val="22"/>
        </w:rPr>
        <w:t>Appendix 10.5a</w:t>
      </w:r>
      <w:r>
        <w:rPr>
          <w:rFonts w:asciiTheme="minorHAnsi" w:hAnsiTheme="minorHAnsi" w:cstheme="minorHAnsi"/>
          <w:sz w:val="22"/>
          <w:szCs w:val="22"/>
        </w:rPr>
        <w:t xml:space="preserve"> sets out the fee structure under the current regulations for Standard, Limited Hours (type 1 and 2) and School Holiday Care licences respectively, in both fee units and dollars. </w:t>
      </w:r>
      <w:r w:rsidRPr="000107A9">
        <w:rPr>
          <w:rFonts w:asciiTheme="minorHAnsi" w:hAnsiTheme="minorHAnsi" w:cstheme="minorHAnsi"/>
          <w:sz w:val="22"/>
          <w:szCs w:val="22"/>
        </w:rPr>
        <w:t>Service</w:t>
      </w:r>
      <w:r w:rsidR="00B454E9">
        <w:rPr>
          <w:rFonts w:asciiTheme="minorHAnsi" w:hAnsiTheme="minorHAnsi" w:cstheme="minorHAnsi"/>
          <w:sz w:val="22"/>
          <w:szCs w:val="22"/>
        </w:rPr>
        <w:t xml:space="preserve"> level data as at December 2019</w:t>
      </w:r>
      <w:r w:rsidRPr="000107A9">
        <w:rPr>
          <w:rFonts w:asciiTheme="minorHAnsi" w:hAnsiTheme="minorHAnsi" w:cstheme="minorHAnsi"/>
          <w:sz w:val="22"/>
          <w:szCs w:val="22"/>
        </w:rPr>
        <w:t xml:space="preserve"> indicates that there are no services curre</w:t>
      </w:r>
      <w:r>
        <w:rPr>
          <w:rFonts w:asciiTheme="minorHAnsi" w:hAnsiTheme="minorHAnsi" w:cstheme="minorHAnsi"/>
          <w:sz w:val="22"/>
          <w:szCs w:val="22"/>
        </w:rPr>
        <w:t>ntly holding a Short term licence</w:t>
      </w:r>
      <w:r w:rsidRPr="000107A9">
        <w:rPr>
          <w:rFonts w:asciiTheme="minorHAnsi" w:hAnsiTheme="minorHAnsi" w:cstheme="minorHAnsi"/>
          <w:sz w:val="22"/>
          <w:szCs w:val="22"/>
        </w:rPr>
        <w:t xml:space="preserve"> </w:t>
      </w:r>
      <w:r>
        <w:rPr>
          <w:rFonts w:asciiTheme="minorHAnsi" w:hAnsiTheme="minorHAnsi" w:cstheme="minorHAnsi"/>
          <w:sz w:val="22"/>
          <w:szCs w:val="22"/>
        </w:rPr>
        <w:t>(type</w:t>
      </w:r>
      <w:r w:rsidRPr="000107A9">
        <w:rPr>
          <w:rFonts w:asciiTheme="minorHAnsi" w:hAnsiTheme="minorHAnsi" w:cstheme="minorHAnsi"/>
          <w:sz w:val="22"/>
          <w:szCs w:val="22"/>
        </w:rPr>
        <w:t xml:space="preserve"> 1 or 2)</w:t>
      </w:r>
      <w:r>
        <w:rPr>
          <w:rFonts w:asciiTheme="minorHAnsi" w:hAnsiTheme="minorHAnsi" w:cstheme="minorHAnsi"/>
          <w:sz w:val="22"/>
          <w:szCs w:val="22"/>
        </w:rPr>
        <w:t xml:space="preserve"> and the</w:t>
      </w:r>
      <w:r w:rsidRPr="000107A9">
        <w:rPr>
          <w:rFonts w:asciiTheme="minorHAnsi" w:hAnsiTheme="minorHAnsi" w:cstheme="minorHAnsi"/>
          <w:sz w:val="22"/>
          <w:szCs w:val="22"/>
        </w:rPr>
        <w:t xml:space="preserve"> integrated service licence</w:t>
      </w:r>
      <w:r>
        <w:rPr>
          <w:rFonts w:asciiTheme="minorHAnsi" w:hAnsiTheme="minorHAnsi" w:cstheme="minorHAnsi"/>
          <w:sz w:val="22"/>
          <w:szCs w:val="22"/>
        </w:rPr>
        <w:t xml:space="preserve"> has been captured in the School Holiday Care licence data, </w:t>
      </w:r>
      <w:r w:rsidRPr="000107A9">
        <w:rPr>
          <w:rFonts w:asciiTheme="minorHAnsi" w:hAnsiTheme="minorHAnsi" w:cstheme="minorHAnsi"/>
          <w:sz w:val="22"/>
          <w:szCs w:val="22"/>
        </w:rPr>
        <w:t>therefore fees related to these licence types are not show</w:t>
      </w:r>
      <w:r>
        <w:rPr>
          <w:rFonts w:asciiTheme="minorHAnsi" w:hAnsiTheme="minorHAnsi" w:cstheme="minorHAnsi"/>
          <w:sz w:val="22"/>
          <w:szCs w:val="22"/>
        </w:rPr>
        <w:t>n in the table at Appendix 10.5a.</w:t>
      </w:r>
    </w:p>
    <w:p w14:paraId="715A67EA" w14:textId="77777777" w:rsidR="00F46104" w:rsidRDefault="00F46104" w:rsidP="00F46104">
      <w:pPr>
        <w:pStyle w:val="EYBodytextwithparaspace"/>
        <w:spacing w:before="120" w:after="120"/>
        <w:rPr>
          <w:rFonts w:asciiTheme="minorHAnsi" w:hAnsiTheme="minorHAnsi" w:cstheme="minorHAnsi"/>
          <w:sz w:val="22"/>
          <w:szCs w:val="22"/>
        </w:rPr>
      </w:pPr>
      <w:r w:rsidRPr="0049086D">
        <w:rPr>
          <w:rFonts w:asciiTheme="minorHAnsi" w:hAnsiTheme="minorHAnsi" w:cstheme="minorHAnsi"/>
          <w:sz w:val="22"/>
          <w:szCs w:val="22"/>
        </w:rPr>
        <w:t>Appendix 10.5b sets out the proposed fee structure to reflect alignment to the NQF (where</w:t>
      </w:r>
      <w:r>
        <w:rPr>
          <w:rFonts w:asciiTheme="minorHAnsi" w:hAnsiTheme="minorHAnsi" w:cstheme="minorHAnsi"/>
          <w:sz w:val="22"/>
          <w:szCs w:val="22"/>
        </w:rPr>
        <w:t xml:space="preserve"> appropriate) and shows the new applications for which a fee is prescribed.</w:t>
      </w:r>
    </w:p>
    <w:p w14:paraId="71577088" w14:textId="276F9824" w:rsidR="00071545" w:rsidRPr="0049086D" w:rsidRDefault="00F46104" w:rsidP="00F46104">
      <w:pPr>
        <w:pStyle w:val="EYBodytextwithparaspace"/>
        <w:spacing w:before="120" w:after="120"/>
        <w:rPr>
          <w:rFonts w:asciiTheme="minorHAnsi" w:hAnsiTheme="minorHAnsi" w:cstheme="minorHAnsi"/>
          <w:sz w:val="22"/>
          <w:szCs w:val="22"/>
        </w:rPr>
      </w:pPr>
      <w:r w:rsidRPr="00D86035">
        <w:rPr>
          <w:rFonts w:asciiTheme="minorHAnsi" w:hAnsiTheme="minorHAnsi" w:cstheme="minorHAnsi"/>
          <w:sz w:val="22"/>
          <w:szCs w:val="22"/>
        </w:rPr>
        <w:t xml:space="preserve">More detail </w:t>
      </w:r>
      <w:r w:rsidR="00B454E9">
        <w:rPr>
          <w:rFonts w:asciiTheme="minorHAnsi" w:hAnsiTheme="minorHAnsi" w:cstheme="minorHAnsi"/>
          <w:sz w:val="22"/>
          <w:szCs w:val="22"/>
        </w:rPr>
        <w:t>on</w:t>
      </w:r>
      <w:r w:rsidRPr="00D86035">
        <w:rPr>
          <w:rFonts w:asciiTheme="minorHAnsi" w:hAnsiTheme="minorHAnsi" w:cstheme="minorHAnsi"/>
          <w:sz w:val="22"/>
          <w:szCs w:val="22"/>
        </w:rPr>
        <w:t xml:space="preserve"> the proposed structure and rationale for change is provided in </w:t>
      </w:r>
      <w:r w:rsidRPr="0049086D">
        <w:rPr>
          <w:rFonts w:asciiTheme="minorHAnsi" w:hAnsiTheme="minorHAnsi" w:cstheme="minorHAnsi"/>
          <w:sz w:val="22"/>
          <w:szCs w:val="22"/>
        </w:rPr>
        <w:t xml:space="preserve">section </w:t>
      </w:r>
      <w:r w:rsidR="0049086D" w:rsidRPr="0049086D">
        <w:rPr>
          <w:rFonts w:asciiTheme="minorHAnsi" w:hAnsiTheme="minorHAnsi" w:cstheme="minorHAnsi"/>
          <w:sz w:val="22"/>
          <w:szCs w:val="22"/>
        </w:rPr>
        <w:t>6</w:t>
      </w:r>
      <w:r w:rsidRPr="0049086D">
        <w:rPr>
          <w:rFonts w:asciiTheme="minorHAnsi" w:hAnsiTheme="minorHAnsi" w:cstheme="minorHAnsi"/>
          <w:sz w:val="22"/>
          <w:szCs w:val="22"/>
        </w:rPr>
        <w:t>.</w:t>
      </w:r>
    </w:p>
    <w:p w14:paraId="3B329267" w14:textId="0E42DB75" w:rsidR="00C01E92" w:rsidRPr="005C0C88" w:rsidRDefault="005C0C88" w:rsidP="005C0C88">
      <w:pPr>
        <w:pStyle w:val="Heading3"/>
      </w:pPr>
      <w:bookmarkStart w:id="126" w:name="_Toc32936878"/>
      <w:r w:rsidRPr="00F3682F">
        <w:t>I. E</w:t>
      </w:r>
      <w:r w:rsidR="00C01E92" w:rsidRPr="00F3682F">
        <w:t>xemptions or waivers</w:t>
      </w:r>
      <w:bookmarkEnd w:id="126"/>
    </w:p>
    <w:p w14:paraId="1E275BF3" w14:textId="7CC8ACAF"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A </w:t>
      </w:r>
      <w:r w:rsidRPr="000107A9">
        <w:rPr>
          <w:rFonts w:asciiTheme="minorHAnsi" w:hAnsiTheme="minorHAnsi" w:cstheme="minorHAnsi"/>
          <w:b/>
          <w:sz w:val="22"/>
          <w:szCs w:val="22"/>
        </w:rPr>
        <w:t>new provision</w:t>
      </w:r>
      <w:r w:rsidRPr="000107A9">
        <w:rPr>
          <w:rFonts w:asciiTheme="minorHAnsi" w:hAnsiTheme="minorHAnsi" w:cstheme="minorHAnsi"/>
          <w:sz w:val="22"/>
          <w:szCs w:val="22"/>
        </w:rPr>
        <w:t xml:space="preserve"> of the Amendment Act provides that approved providers may apply to the Department for a waiver from any prescribed requirement in the Regulations. The Amendment Act requires that an application for a service waiver, temporary waiver or extension to a temporary waiver must include the prescribed information and fee.</w:t>
      </w:r>
    </w:p>
    <w:p w14:paraId="66FF4DA5"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b/>
          <w:sz w:val="22"/>
          <w:szCs w:val="22"/>
        </w:rPr>
        <w:t>Option I.1. Status Quo</w:t>
      </w:r>
    </w:p>
    <w:p w14:paraId="6B52A102"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CS Act provides that the Minister can declare a service exempt from any of the Act’s requirements. The current Regulations do not contain guidance or requirements in relation to service exemptions. Under Option I.1. Status Quo, the Regulations would continue to be silent on this matter.</w:t>
      </w:r>
    </w:p>
    <w:p w14:paraId="6BB74FE7" w14:textId="77777777" w:rsidR="00F3682F" w:rsidRDefault="00F3682F">
      <w:pPr>
        <w:spacing w:after="0"/>
        <w:rPr>
          <w:rFonts w:eastAsia="Times New Roman" w:cstheme="minorHAnsi"/>
          <w:b/>
          <w:szCs w:val="22"/>
          <w:lang w:val="en-AU"/>
        </w:rPr>
      </w:pPr>
      <w:r>
        <w:rPr>
          <w:rFonts w:cstheme="minorHAnsi"/>
          <w:b/>
          <w:szCs w:val="22"/>
        </w:rPr>
        <w:br w:type="page"/>
      </w:r>
    </w:p>
    <w:p w14:paraId="5BF7C369" w14:textId="0999C8C1" w:rsidR="00C01E92" w:rsidRPr="000107A9" w:rsidRDefault="00C01E92" w:rsidP="00C01E92">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b/>
          <w:sz w:val="22"/>
          <w:szCs w:val="22"/>
        </w:rPr>
        <w:lastRenderedPageBreak/>
        <w:t>Option I.2. Alignment</w:t>
      </w:r>
    </w:p>
    <w:p w14:paraId="4B106C62"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Under this option, the proposed Regulations prescribe the regulations that may be waived for the purposes of the Amendment Act. As in the Status Quo option, the Minister can declare a service exempt from any of the Act’s requirements, and </w:t>
      </w:r>
      <w:r w:rsidRPr="000107A9">
        <w:rPr>
          <w:rFonts w:asciiTheme="minorHAnsi" w:hAnsiTheme="minorHAnsi" w:cstheme="minorHAnsi"/>
          <w:b/>
          <w:sz w:val="22"/>
          <w:szCs w:val="22"/>
        </w:rPr>
        <w:t>in addition</w:t>
      </w:r>
      <w:r w:rsidRPr="000107A9">
        <w:rPr>
          <w:rFonts w:asciiTheme="minorHAnsi" w:hAnsiTheme="minorHAnsi" w:cstheme="minorHAnsi"/>
          <w:sz w:val="22"/>
          <w:szCs w:val="22"/>
        </w:rPr>
        <w:t>, the power to waive specific regulations is delegated to the Regulatory Authority. The proposed Regulations also prescribe the information to be included with applications for service waivers and temporary waivers,</w:t>
      </w:r>
      <w:r w:rsidRPr="000107A9">
        <w:rPr>
          <w:rFonts w:asciiTheme="minorHAnsi" w:hAnsiTheme="minorHAnsi" w:cstheme="minorHAnsi"/>
          <w:sz w:val="22"/>
          <w:szCs w:val="22"/>
          <w:vertAlign w:val="superscript"/>
        </w:rPr>
        <w:footnoteReference w:id="38"/>
      </w:r>
      <w:r w:rsidRPr="000107A9">
        <w:rPr>
          <w:rFonts w:asciiTheme="minorHAnsi" w:hAnsiTheme="minorHAnsi" w:cstheme="minorHAnsi"/>
          <w:sz w:val="22"/>
          <w:szCs w:val="22"/>
          <w:vertAlign w:val="superscript"/>
        </w:rPr>
        <w:t xml:space="preserve"> </w:t>
      </w:r>
      <w:r w:rsidRPr="000107A9">
        <w:rPr>
          <w:rFonts w:asciiTheme="minorHAnsi" w:hAnsiTheme="minorHAnsi" w:cstheme="minorHAnsi"/>
          <w:sz w:val="22"/>
          <w:szCs w:val="22"/>
        </w:rPr>
        <w:t xml:space="preserve">along with the fees to be paid (discussed in Option H.2. above). </w:t>
      </w:r>
    </w:p>
    <w:p w14:paraId="501AD241" w14:textId="76EDE5BB" w:rsidR="00C01E92" w:rsidRPr="000107A9" w:rsidRDefault="00C01E92" w:rsidP="00F7569F">
      <w:pPr>
        <w:pStyle w:val="Caption"/>
      </w:pPr>
      <w:bookmarkStart w:id="127" w:name="_Toc32592796"/>
      <w:r w:rsidRPr="000107A9">
        <w:t xml:space="preserve">Table </w:t>
      </w:r>
      <w:r w:rsidRPr="000107A9">
        <w:fldChar w:fldCharType="begin"/>
      </w:r>
      <w:r w:rsidRPr="000107A9">
        <w:instrText xml:space="preserve"> SEQ Table \* ARABIC </w:instrText>
      </w:r>
      <w:r w:rsidRPr="000107A9">
        <w:fldChar w:fldCharType="separate"/>
      </w:r>
      <w:r w:rsidR="00493211">
        <w:rPr>
          <w:noProof/>
        </w:rPr>
        <w:t>13</w:t>
      </w:r>
      <w:r w:rsidRPr="000107A9">
        <w:fldChar w:fldCharType="end"/>
      </w:r>
      <w:r w:rsidRPr="000107A9">
        <w:t xml:space="preserve"> Option I.2. Alignment – Exemptions or waivers</w:t>
      </w:r>
      <w:bookmarkEnd w:id="127"/>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969"/>
        <w:gridCol w:w="7653"/>
      </w:tblGrid>
      <w:tr w:rsidR="00C01E92" w:rsidRPr="005C0C88" w14:paraId="0D0FF17C" w14:textId="77777777" w:rsidTr="005C0C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pct"/>
            <w:tcBorders>
              <w:right w:val="none" w:sz="0" w:space="0" w:color="auto"/>
            </w:tcBorders>
            <w:hideMark/>
          </w:tcPr>
          <w:p w14:paraId="3000DB9C" w14:textId="77777777" w:rsidR="00C01E92" w:rsidRPr="005C0C88" w:rsidRDefault="00C01E92" w:rsidP="005C0C88">
            <w:pPr>
              <w:spacing w:after="60"/>
              <w:rPr>
                <w:rStyle w:val="Strong"/>
                <w:rFonts w:cstheme="minorHAnsi"/>
                <w:b/>
                <w:szCs w:val="22"/>
              </w:rPr>
            </w:pPr>
            <w:r w:rsidRPr="005C0C88">
              <w:rPr>
                <w:rStyle w:val="Strong"/>
                <w:rFonts w:cstheme="minorHAnsi"/>
                <w:b/>
                <w:szCs w:val="22"/>
              </w:rPr>
              <w:t>Subject</w:t>
            </w:r>
          </w:p>
        </w:tc>
        <w:tc>
          <w:tcPr>
            <w:tcW w:w="3977" w:type="pct"/>
            <w:tcBorders>
              <w:left w:val="none" w:sz="0" w:space="0" w:color="auto"/>
            </w:tcBorders>
            <w:hideMark/>
          </w:tcPr>
          <w:p w14:paraId="2BF5BAE7" w14:textId="77777777" w:rsidR="00C01E92" w:rsidRPr="005C0C88" w:rsidRDefault="00C01E92" w:rsidP="005C0C88">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5C0C88">
              <w:rPr>
                <w:rStyle w:val="Strong"/>
                <w:rFonts w:cstheme="minorHAnsi"/>
                <w:b/>
                <w:szCs w:val="22"/>
              </w:rPr>
              <w:t>Details in the Regulations</w:t>
            </w:r>
          </w:p>
        </w:tc>
      </w:tr>
      <w:tr w:rsidR="00C01E92" w:rsidRPr="005C0C88" w14:paraId="3322D69B" w14:textId="77777777" w:rsidTr="005C0C88">
        <w:trPr>
          <w:trHeight w:val="358"/>
        </w:trPr>
        <w:tc>
          <w:tcPr>
            <w:cnfStyle w:val="001000000000" w:firstRow="0" w:lastRow="0" w:firstColumn="1" w:lastColumn="0" w:oddVBand="0" w:evenVBand="0" w:oddHBand="0" w:evenHBand="0" w:firstRowFirstColumn="0" w:firstRowLastColumn="0" w:lastRowFirstColumn="0" w:lastRowLastColumn="0"/>
            <w:tcW w:w="1023" w:type="pct"/>
          </w:tcPr>
          <w:p w14:paraId="37AFD30D" w14:textId="77777777" w:rsidR="00C01E92" w:rsidRPr="005C0C88" w:rsidRDefault="00C01E92" w:rsidP="005C0C88">
            <w:pPr>
              <w:spacing w:after="60"/>
              <w:rPr>
                <w:rStyle w:val="Strong"/>
                <w:rFonts w:cstheme="minorHAnsi"/>
                <w:b w:val="0"/>
                <w:szCs w:val="22"/>
              </w:rPr>
            </w:pPr>
            <w:r w:rsidRPr="005C0C88">
              <w:rPr>
                <w:rStyle w:val="Strong"/>
                <w:rFonts w:cstheme="minorHAnsi"/>
                <w:b w:val="0"/>
                <w:szCs w:val="22"/>
              </w:rPr>
              <w:t>Waivers: prescribed requirements</w:t>
            </w:r>
          </w:p>
        </w:tc>
        <w:tc>
          <w:tcPr>
            <w:tcW w:w="3977" w:type="pct"/>
          </w:tcPr>
          <w:p w14:paraId="6F406B9E" w14:textId="77777777" w:rsidR="00C01E92" w:rsidRPr="005C0C88" w:rsidRDefault="00C01E92" w:rsidP="005C0C88">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Services may apply to have the following requirements waived:</w:t>
            </w:r>
          </w:p>
          <w:p w14:paraId="156D7AB2" w14:textId="77777777" w:rsidR="00C01E92" w:rsidRPr="005C0C88" w:rsidRDefault="00C01E92" w:rsidP="002806C5">
            <w:pPr>
              <w:pStyle w:val="ListBullet"/>
              <w:numPr>
                <w:ilvl w:val="0"/>
                <w:numId w:val="104"/>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5C0C88">
              <w:rPr>
                <w:rFonts w:ascii="Arial Narrow" w:hAnsi="Arial Narrow" w:cstheme="minorHAnsi"/>
                <w:color w:val="auto"/>
                <w:sz w:val="22"/>
                <w:szCs w:val="22"/>
              </w:rPr>
              <w:t>Fencing around outdoor spaces</w:t>
            </w:r>
          </w:p>
          <w:p w14:paraId="2408C087" w14:textId="77777777" w:rsidR="00C01E92" w:rsidRPr="005C0C88" w:rsidRDefault="00C01E92" w:rsidP="002806C5">
            <w:pPr>
              <w:pStyle w:val="ListBullet"/>
              <w:numPr>
                <w:ilvl w:val="0"/>
                <w:numId w:val="104"/>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5C0C88">
              <w:rPr>
                <w:rFonts w:ascii="Arial Narrow" w:hAnsi="Arial Narrow" w:cstheme="minorHAnsi"/>
                <w:color w:val="auto"/>
                <w:sz w:val="22"/>
                <w:szCs w:val="22"/>
              </w:rPr>
              <w:t>Laundry and hygiene facilities</w:t>
            </w:r>
          </w:p>
          <w:p w14:paraId="7ECEC7EA" w14:textId="77777777" w:rsidR="00C01E92" w:rsidRPr="005C0C88" w:rsidRDefault="00C01E92" w:rsidP="002806C5">
            <w:pPr>
              <w:pStyle w:val="ListBullet"/>
              <w:numPr>
                <w:ilvl w:val="0"/>
                <w:numId w:val="104"/>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5C0C88">
              <w:rPr>
                <w:rFonts w:ascii="Arial Narrow" w:hAnsi="Arial Narrow" w:cstheme="minorHAnsi"/>
                <w:color w:val="auto"/>
                <w:sz w:val="22"/>
                <w:szCs w:val="22"/>
              </w:rPr>
              <w:t>Indoor space</w:t>
            </w:r>
          </w:p>
          <w:p w14:paraId="5DD86A25" w14:textId="77777777" w:rsidR="00C01E92" w:rsidRPr="005C0C88" w:rsidRDefault="00C01E92" w:rsidP="002806C5">
            <w:pPr>
              <w:pStyle w:val="ListBullet"/>
              <w:numPr>
                <w:ilvl w:val="0"/>
                <w:numId w:val="104"/>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5C0C88">
              <w:rPr>
                <w:rFonts w:ascii="Arial Narrow" w:hAnsi="Arial Narrow" w:cstheme="minorHAnsi"/>
                <w:color w:val="auto"/>
                <w:sz w:val="22"/>
                <w:szCs w:val="22"/>
              </w:rPr>
              <w:t>Ventilation and natural light</w:t>
            </w:r>
          </w:p>
          <w:p w14:paraId="526CFD4F" w14:textId="77777777" w:rsidR="00C01E92" w:rsidRPr="005C0C88" w:rsidRDefault="00C01E92" w:rsidP="002806C5">
            <w:pPr>
              <w:pStyle w:val="ListBullet"/>
              <w:numPr>
                <w:ilvl w:val="0"/>
                <w:numId w:val="104"/>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5C0C88">
              <w:rPr>
                <w:rFonts w:ascii="Arial Narrow" w:hAnsi="Arial Narrow" w:cstheme="minorHAnsi"/>
                <w:color w:val="auto"/>
                <w:sz w:val="22"/>
                <w:szCs w:val="22"/>
              </w:rPr>
              <w:t>Administrative space</w:t>
            </w:r>
          </w:p>
          <w:p w14:paraId="3A3EA0CF" w14:textId="77777777" w:rsidR="00C01E92" w:rsidRPr="005C0C88" w:rsidRDefault="00C01E92" w:rsidP="002806C5">
            <w:pPr>
              <w:pStyle w:val="ListBullet"/>
              <w:numPr>
                <w:ilvl w:val="0"/>
                <w:numId w:val="104"/>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5C0C88">
              <w:rPr>
                <w:rFonts w:ascii="Arial Narrow" w:hAnsi="Arial Narrow" w:cstheme="minorHAnsi"/>
                <w:color w:val="auto"/>
                <w:sz w:val="22"/>
                <w:szCs w:val="22"/>
              </w:rPr>
              <w:t>Nappy change facilities</w:t>
            </w:r>
          </w:p>
          <w:p w14:paraId="0FABE843" w14:textId="77777777" w:rsidR="00C01E92" w:rsidRPr="005C0C88" w:rsidRDefault="00C01E92" w:rsidP="002806C5">
            <w:pPr>
              <w:pStyle w:val="ListBullet"/>
              <w:numPr>
                <w:ilvl w:val="0"/>
                <w:numId w:val="104"/>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5C0C88">
              <w:rPr>
                <w:rFonts w:ascii="Arial Narrow" w:hAnsi="Arial Narrow" w:cstheme="minorHAnsi"/>
                <w:color w:val="auto"/>
                <w:sz w:val="22"/>
                <w:szCs w:val="22"/>
              </w:rPr>
              <w:t>Natural environment in outdoor spaces</w:t>
            </w:r>
          </w:p>
          <w:p w14:paraId="50FA1B9E" w14:textId="77777777" w:rsidR="00C01E92" w:rsidRPr="005C0C88" w:rsidRDefault="00C01E92" w:rsidP="002806C5">
            <w:pPr>
              <w:pStyle w:val="ListBullet"/>
              <w:numPr>
                <w:ilvl w:val="0"/>
                <w:numId w:val="104"/>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5C0C88">
              <w:rPr>
                <w:rFonts w:ascii="Arial Narrow" w:hAnsi="Arial Narrow" w:cstheme="minorHAnsi"/>
                <w:color w:val="auto"/>
                <w:sz w:val="22"/>
                <w:szCs w:val="22"/>
              </w:rPr>
              <w:t>Shade in outdoor space</w:t>
            </w:r>
          </w:p>
          <w:p w14:paraId="26026EF7" w14:textId="77777777" w:rsidR="00C01E92" w:rsidRPr="005C0C88" w:rsidRDefault="00C01E92" w:rsidP="002806C5">
            <w:pPr>
              <w:pStyle w:val="ListBullet"/>
              <w:numPr>
                <w:ilvl w:val="0"/>
                <w:numId w:val="104"/>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5C0C88">
              <w:rPr>
                <w:rFonts w:ascii="Arial Narrow" w:hAnsi="Arial Narrow" w:cstheme="minorHAnsi"/>
                <w:color w:val="auto"/>
                <w:sz w:val="22"/>
                <w:szCs w:val="22"/>
              </w:rPr>
              <w:t>Supervision capacity for facilities</w:t>
            </w:r>
          </w:p>
          <w:p w14:paraId="4667C928" w14:textId="77777777" w:rsidR="00C01E92" w:rsidRPr="005C0C88" w:rsidRDefault="00C01E92" w:rsidP="002806C5">
            <w:pPr>
              <w:pStyle w:val="ListBullet"/>
              <w:numPr>
                <w:ilvl w:val="0"/>
                <w:numId w:val="104"/>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5C0C88">
              <w:rPr>
                <w:rFonts w:ascii="Arial Narrow" w:hAnsi="Arial Narrow" w:cstheme="minorHAnsi"/>
                <w:color w:val="auto"/>
                <w:sz w:val="22"/>
                <w:szCs w:val="22"/>
              </w:rPr>
              <w:t>Supervision of educators under 18</w:t>
            </w:r>
          </w:p>
          <w:p w14:paraId="169CCBB1" w14:textId="77777777" w:rsidR="00C01E92" w:rsidRPr="005C0C88" w:rsidRDefault="00C01E92" w:rsidP="002806C5">
            <w:pPr>
              <w:pStyle w:val="ListBullet"/>
              <w:numPr>
                <w:ilvl w:val="0"/>
                <w:numId w:val="104"/>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5C0C88">
              <w:rPr>
                <w:rFonts w:ascii="Arial Narrow" w:hAnsi="Arial Narrow" w:cstheme="minorHAnsi"/>
                <w:color w:val="auto"/>
                <w:sz w:val="22"/>
                <w:szCs w:val="22"/>
              </w:rPr>
              <w:t>Minimum educator/child ratios for occasional care services</w:t>
            </w:r>
          </w:p>
          <w:p w14:paraId="183EF5B5" w14:textId="77777777" w:rsidR="00C01E92" w:rsidRPr="005C0C88" w:rsidRDefault="00C01E92" w:rsidP="002806C5">
            <w:pPr>
              <w:pStyle w:val="ListBullet"/>
              <w:numPr>
                <w:ilvl w:val="0"/>
                <w:numId w:val="104"/>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5C0C88">
              <w:rPr>
                <w:rFonts w:ascii="Arial Narrow" w:hAnsi="Arial Narrow" w:cstheme="minorHAnsi"/>
                <w:color w:val="auto"/>
                <w:sz w:val="22"/>
                <w:szCs w:val="22"/>
              </w:rPr>
              <w:t>Minimum educator qualifications</w:t>
            </w:r>
          </w:p>
          <w:p w14:paraId="4264E144" w14:textId="77777777" w:rsidR="00C01E92" w:rsidRPr="005C0C88" w:rsidRDefault="00C01E92" w:rsidP="005C0C88">
            <w:pPr>
              <w:pStyle w:val="ListBullet"/>
              <w:numPr>
                <w:ilvl w:val="0"/>
                <w:numId w:val="21"/>
              </w:numPr>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5C0C88">
              <w:rPr>
                <w:rFonts w:ascii="Arial Narrow" w:hAnsi="Arial Narrow" w:cstheme="minorHAnsi"/>
                <w:color w:val="auto"/>
                <w:sz w:val="22"/>
                <w:szCs w:val="22"/>
              </w:rPr>
              <w:t>Early childhood teacher for occasional care services</w:t>
            </w:r>
          </w:p>
        </w:tc>
      </w:tr>
      <w:tr w:rsidR="00C01E92" w:rsidRPr="005C0C88" w14:paraId="637490E8" w14:textId="77777777" w:rsidTr="005C0C88">
        <w:trPr>
          <w:trHeight w:val="358"/>
        </w:trPr>
        <w:tc>
          <w:tcPr>
            <w:cnfStyle w:val="001000000000" w:firstRow="0" w:lastRow="0" w:firstColumn="1" w:lastColumn="0" w:oddVBand="0" w:evenVBand="0" w:oddHBand="0" w:evenHBand="0" w:firstRowFirstColumn="0" w:firstRowLastColumn="0" w:lastRowFirstColumn="0" w:lastRowLastColumn="0"/>
            <w:tcW w:w="1023" w:type="pct"/>
          </w:tcPr>
          <w:p w14:paraId="5A8FB72C" w14:textId="77777777" w:rsidR="00C01E92" w:rsidRPr="005C0C88" w:rsidRDefault="00C01E92" w:rsidP="005C0C88">
            <w:pPr>
              <w:spacing w:after="60"/>
              <w:rPr>
                <w:rStyle w:val="Strong"/>
                <w:rFonts w:cstheme="minorHAnsi"/>
                <w:b w:val="0"/>
                <w:szCs w:val="22"/>
              </w:rPr>
            </w:pPr>
            <w:r w:rsidRPr="005C0C88">
              <w:rPr>
                <w:rStyle w:val="Strong"/>
                <w:rFonts w:cstheme="minorHAnsi"/>
                <w:b w:val="0"/>
                <w:szCs w:val="22"/>
              </w:rPr>
              <w:t>Application for service waiver</w:t>
            </w:r>
          </w:p>
        </w:tc>
        <w:tc>
          <w:tcPr>
            <w:tcW w:w="3977" w:type="pct"/>
          </w:tcPr>
          <w:p w14:paraId="5672FC08" w14:textId="77777777" w:rsidR="00C01E92" w:rsidRPr="005C0C88" w:rsidRDefault="00C01E92" w:rsidP="005C0C88">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An application for a service waiver must include:</w:t>
            </w:r>
          </w:p>
          <w:p w14:paraId="143BB213" w14:textId="77777777" w:rsidR="00C01E92" w:rsidRPr="005C0C88" w:rsidRDefault="00C01E92" w:rsidP="002806C5">
            <w:pPr>
              <w:pStyle w:val="ListParagraph"/>
              <w:numPr>
                <w:ilvl w:val="0"/>
                <w:numId w:val="43"/>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The name and service approval of the service</w:t>
            </w:r>
          </w:p>
          <w:p w14:paraId="512B3D58" w14:textId="77777777" w:rsidR="00C01E92" w:rsidRPr="005C0C88" w:rsidRDefault="00C01E92" w:rsidP="002806C5">
            <w:pPr>
              <w:pStyle w:val="ListParagraph"/>
              <w:numPr>
                <w:ilvl w:val="0"/>
                <w:numId w:val="43"/>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Name and contact details of a contact person for the application</w:t>
            </w:r>
          </w:p>
          <w:p w14:paraId="02DD4CE3" w14:textId="77777777" w:rsidR="00C01E92" w:rsidRPr="005C0C88" w:rsidRDefault="00C01E92" w:rsidP="002806C5">
            <w:pPr>
              <w:pStyle w:val="ListParagraph"/>
              <w:numPr>
                <w:ilvl w:val="0"/>
                <w:numId w:val="43"/>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A statement of:</w:t>
            </w:r>
          </w:p>
          <w:p w14:paraId="7EDB53DD" w14:textId="77777777" w:rsidR="00C01E92" w:rsidRPr="005C0C88" w:rsidRDefault="00C01E92" w:rsidP="002806C5">
            <w:pPr>
              <w:pStyle w:val="ListParagraph"/>
              <w:numPr>
                <w:ilvl w:val="1"/>
                <w:numId w:val="43"/>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The regulations in relation to which the waiver is sought</w:t>
            </w:r>
          </w:p>
          <w:p w14:paraId="3F2D365B" w14:textId="77777777" w:rsidR="00C01E92" w:rsidRPr="005C0C88" w:rsidRDefault="00C01E92" w:rsidP="002806C5">
            <w:pPr>
              <w:pStyle w:val="ListParagraph"/>
              <w:numPr>
                <w:ilvl w:val="1"/>
                <w:numId w:val="43"/>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The way in which the service does or will not comply with the regulations</w:t>
            </w:r>
          </w:p>
          <w:p w14:paraId="448B0F35" w14:textId="77777777" w:rsidR="00C01E92" w:rsidRPr="005C0C88" w:rsidRDefault="00C01E92" w:rsidP="002806C5">
            <w:pPr>
              <w:pStyle w:val="ListParagraph"/>
              <w:numPr>
                <w:ilvl w:val="1"/>
                <w:numId w:val="43"/>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The reasons why the service cannot comply</w:t>
            </w:r>
          </w:p>
          <w:p w14:paraId="25D34F67" w14:textId="77777777" w:rsidR="00C01E92" w:rsidRPr="005C0C88" w:rsidRDefault="00C01E92" w:rsidP="002806C5">
            <w:pPr>
              <w:pStyle w:val="ListParagraph"/>
              <w:numPr>
                <w:ilvl w:val="1"/>
                <w:numId w:val="43"/>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Evidence of attempts made to comply</w:t>
            </w:r>
          </w:p>
          <w:p w14:paraId="3699F284" w14:textId="77777777" w:rsidR="00C01E92" w:rsidRPr="005C0C88" w:rsidRDefault="00C01E92" w:rsidP="002806C5">
            <w:pPr>
              <w:pStyle w:val="ListParagraph"/>
              <w:numPr>
                <w:ilvl w:val="1"/>
                <w:numId w:val="43"/>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The reasons why the waiver is sought</w:t>
            </w:r>
          </w:p>
          <w:p w14:paraId="4AF99276" w14:textId="77777777" w:rsidR="00C01E92" w:rsidRPr="005C0C88" w:rsidRDefault="00C01E92" w:rsidP="002806C5">
            <w:pPr>
              <w:pStyle w:val="ListParagraph"/>
              <w:numPr>
                <w:ilvl w:val="1"/>
                <w:numId w:val="43"/>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 xml:space="preserve">The measures being taken to protect the wellbeing of children at the service while the waiver is in force </w:t>
            </w:r>
          </w:p>
        </w:tc>
      </w:tr>
      <w:tr w:rsidR="00C01E92" w:rsidRPr="005C0C88" w14:paraId="6E746CE4" w14:textId="77777777" w:rsidTr="005C0C88">
        <w:trPr>
          <w:trHeight w:val="358"/>
        </w:trPr>
        <w:tc>
          <w:tcPr>
            <w:cnfStyle w:val="001000000000" w:firstRow="0" w:lastRow="0" w:firstColumn="1" w:lastColumn="0" w:oddVBand="0" w:evenVBand="0" w:oddHBand="0" w:evenHBand="0" w:firstRowFirstColumn="0" w:firstRowLastColumn="0" w:lastRowFirstColumn="0" w:lastRowLastColumn="0"/>
            <w:tcW w:w="1023" w:type="pct"/>
          </w:tcPr>
          <w:p w14:paraId="09E7FE88" w14:textId="77777777" w:rsidR="00C01E92" w:rsidRPr="005C0C88" w:rsidRDefault="00C01E92" w:rsidP="005C0C88">
            <w:pPr>
              <w:spacing w:after="60"/>
              <w:rPr>
                <w:rStyle w:val="Strong"/>
                <w:rFonts w:cstheme="minorHAnsi"/>
                <w:b w:val="0"/>
                <w:szCs w:val="22"/>
              </w:rPr>
            </w:pPr>
            <w:r w:rsidRPr="005C0C88">
              <w:rPr>
                <w:rStyle w:val="Strong"/>
                <w:rFonts w:cstheme="minorHAnsi"/>
                <w:b w:val="0"/>
                <w:szCs w:val="22"/>
              </w:rPr>
              <w:t>Application for temporary waiver</w:t>
            </w:r>
          </w:p>
        </w:tc>
        <w:tc>
          <w:tcPr>
            <w:tcW w:w="3977" w:type="pct"/>
          </w:tcPr>
          <w:p w14:paraId="241C709D" w14:textId="77777777" w:rsidR="00C01E92" w:rsidRPr="005C0C88" w:rsidRDefault="00C01E92" w:rsidP="005C0C88">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An application for a temporary waiver must include:</w:t>
            </w:r>
          </w:p>
          <w:p w14:paraId="7218FC44" w14:textId="77777777" w:rsidR="00C01E92" w:rsidRPr="005C0C88" w:rsidRDefault="00C01E92" w:rsidP="002806C5">
            <w:pPr>
              <w:pStyle w:val="ListParagraph"/>
              <w:numPr>
                <w:ilvl w:val="0"/>
                <w:numId w:val="44"/>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The same information as described above in relation to service waivers</w:t>
            </w:r>
          </w:p>
          <w:p w14:paraId="4392B69D" w14:textId="77777777" w:rsidR="00C01E92" w:rsidRPr="005C0C88" w:rsidRDefault="00C01E92" w:rsidP="002806C5">
            <w:pPr>
              <w:pStyle w:val="ListParagraph"/>
              <w:numPr>
                <w:ilvl w:val="0"/>
                <w:numId w:val="44"/>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The period for which the waiver is sought (max. 12 months)</w:t>
            </w:r>
          </w:p>
        </w:tc>
      </w:tr>
    </w:tbl>
    <w:p w14:paraId="03824817" w14:textId="18675CFE" w:rsidR="00C01E92" w:rsidRPr="000107A9" w:rsidRDefault="0022684D" w:rsidP="00A87A06">
      <w:pPr>
        <w:pStyle w:val="Heading2"/>
      </w:pPr>
      <w:bookmarkStart w:id="128" w:name="_Toc30669615"/>
      <w:bookmarkStart w:id="129" w:name="_Toc21678841"/>
      <w:bookmarkStart w:id="130" w:name="_Toc32936879"/>
      <w:r>
        <w:lastRenderedPageBreak/>
        <w:t xml:space="preserve">5.3 </w:t>
      </w:r>
      <w:r w:rsidR="00C01E92" w:rsidRPr="000107A9">
        <w:t>Options not considered in this RIS</w:t>
      </w:r>
      <w:bookmarkEnd w:id="128"/>
      <w:bookmarkEnd w:id="130"/>
    </w:p>
    <w:p w14:paraId="38144524" w14:textId="18A14B5E" w:rsidR="00C01E92" w:rsidRPr="000107A9" w:rsidRDefault="0022684D" w:rsidP="0022684D">
      <w:pPr>
        <w:pStyle w:val="Heading3"/>
      </w:pPr>
      <w:bookmarkStart w:id="131" w:name="_Toc32936880"/>
      <w:r>
        <w:t xml:space="preserve">5.3.1 </w:t>
      </w:r>
      <w:r w:rsidR="005C0C88">
        <w:t>Full alignment</w:t>
      </w:r>
      <w:r w:rsidR="00C01E92" w:rsidRPr="000107A9">
        <w:t xml:space="preserve"> with the NQF</w:t>
      </w:r>
      <w:bookmarkEnd w:id="129"/>
      <w:bookmarkEnd w:id="131"/>
    </w:p>
    <w:p w14:paraId="7CAD450D"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If the Regulations were to be ‘fully’ aligned with the NQF, children’s services would be subject to assessment and rating against the NQS. The NQS sets the national benchmark for early childhood education and care services in relation to seven quality areas:</w:t>
      </w:r>
    </w:p>
    <w:p w14:paraId="1E3EEECC" w14:textId="77777777" w:rsidR="00C01E92" w:rsidRPr="000107A9" w:rsidRDefault="00C01E92" w:rsidP="002806C5">
      <w:pPr>
        <w:pStyle w:val="EYBulletnoparaspace"/>
        <w:numPr>
          <w:ilvl w:val="0"/>
          <w:numId w:val="73"/>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Educational program and practice</w:t>
      </w:r>
    </w:p>
    <w:p w14:paraId="6F5BD150" w14:textId="56EF1C74" w:rsidR="00C01E92" w:rsidRPr="000107A9" w:rsidRDefault="00C01E92" w:rsidP="002806C5">
      <w:pPr>
        <w:pStyle w:val="EYBulletnoparaspace"/>
        <w:numPr>
          <w:ilvl w:val="0"/>
          <w:numId w:val="73"/>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 xml:space="preserve">Children’s </w:t>
      </w:r>
      <w:r w:rsidR="00DD369C">
        <w:rPr>
          <w:rFonts w:asciiTheme="minorHAnsi" w:hAnsiTheme="minorHAnsi" w:cstheme="minorHAnsi"/>
          <w:sz w:val="22"/>
          <w:szCs w:val="22"/>
        </w:rPr>
        <w:t>safety, health and wellbeing</w:t>
      </w:r>
    </w:p>
    <w:p w14:paraId="3079D5A9" w14:textId="77777777" w:rsidR="00C01E92" w:rsidRPr="000107A9" w:rsidRDefault="00C01E92" w:rsidP="002806C5">
      <w:pPr>
        <w:pStyle w:val="EYBulletnoparaspace"/>
        <w:numPr>
          <w:ilvl w:val="0"/>
          <w:numId w:val="73"/>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Physical environment</w:t>
      </w:r>
    </w:p>
    <w:p w14:paraId="4D0687F0" w14:textId="77777777" w:rsidR="00C01E92" w:rsidRPr="000107A9" w:rsidRDefault="00C01E92" w:rsidP="002806C5">
      <w:pPr>
        <w:pStyle w:val="EYBulletnoparaspace"/>
        <w:numPr>
          <w:ilvl w:val="0"/>
          <w:numId w:val="73"/>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Staffing arrangements</w:t>
      </w:r>
    </w:p>
    <w:p w14:paraId="0E99F056" w14:textId="77777777" w:rsidR="00C01E92" w:rsidRPr="000107A9" w:rsidRDefault="00C01E92" w:rsidP="002806C5">
      <w:pPr>
        <w:pStyle w:val="EYBulletnoparaspace"/>
        <w:numPr>
          <w:ilvl w:val="0"/>
          <w:numId w:val="73"/>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Relationships with children</w:t>
      </w:r>
    </w:p>
    <w:p w14:paraId="42A5C72B" w14:textId="77777777" w:rsidR="00C01E92" w:rsidRPr="000107A9" w:rsidRDefault="00C01E92" w:rsidP="002806C5">
      <w:pPr>
        <w:pStyle w:val="EYBulletnoparaspace"/>
        <w:numPr>
          <w:ilvl w:val="0"/>
          <w:numId w:val="73"/>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Collaborative partnerships with families and communities</w:t>
      </w:r>
    </w:p>
    <w:p w14:paraId="6CD691BD" w14:textId="77777777" w:rsidR="00C01E92" w:rsidRPr="000107A9" w:rsidRDefault="00C01E92" w:rsidP="002806C5">
      <w:pPr>
        <w:pStyle w:val="EYBulletnoparaspace"/>
        <w:numPr>
          <w:ilvl w:val="0"/>
          <w:numId w:val="73"/>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Governance and leadership.</w:t>
      </w:r>
    </w:p>
    <w:p w14:paraId="7EA1E6AF" w14:textId="7BCF0BFD"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Each service subject to the NQS is assessed and rated by the relevant state or territory regulatory authority, given a rating for each of the seven quality areas and provided with an overall rating based on these results. Services also prepare a Quality Improvement Plan (</w:t>
      </w:r>
      <w:r w:rsidRPr="005C0C88">
        <w:rPr>
          <w:rFonts w:asciiTheme="minorHAnsi" w:hAnsiTheme="minorHAnsi" w:cstheme="minorHAnsi"/>
          <w:sz w:val="22"/>
          <w:szCs w:val="22"/>
        </w:rPr>
        <w:t>QIP</w:t>
      </w:r>
      <w:r w:rsidRPr="000107A9">
        <w:rPr>
          <w:rFonts w:asciiTheme="minorHAnsi" w:hAnsiTheme="minorHAnsi" w:cstheme="minorHAnsi"/>
          <w:sz w:val="22"/>
          <w:szCs w:val="22"/>
        </w:rPr>
        <w:t>). In preparing a QIP, services state their operating philosophy, consider their quality assessment and rating, and identify areas for improvement and how these improvements will be made.</w:t>
      </w:r>
    </w:p>
    <w:p w14:paraId="241BBE7D" w14:textId="77777777" w:rsidR="00C01E92" w:rsidRPr="000107A9" w:rsidRDefault="00C01E92" w:rsidP="00C01E92">
      <w:pPr>
        <w:pStyle w:val="EYBodytextwithparaspace"/>
        <w:spacing w:before="120" w:after="120"/>
        <w:rPr>
          <w:rFonts w:asciiTheme="minorHAnsi" w:hAnsiTheme="minorHAnsi" w:cstheme="minorHAnsi"/>
          <w:i/>
          <w:sz w:val="22"/>
          <w:szCs w:val="22"/>
        </w:rPr>
      </w:pPr>
      <w:r w:rsidRPr="000107A9">
        <w:rPr>
          <w:rFonts w:asciiTheme="minorHAnsi" w:hAnsiTheme="minorHAnsi" w:cstheme="minorHAnsi"/>
          <w:sz w:val="22"/>
          <w:szCs w:val="22"/>
        </w:rPr>
        <w:t xml:space="preserve">The NQF defines an occasional care service as </w:t>
      </w:r>
      <w:r w:rsidRPr="000107A9">
        <w:rPr>
          <w:rFonts w:asciiTheme="minorHAnsi" w:hAnsiTheme="minorHAnsi" w:cstheme="minorHAnsi"/>
          <w:i/>
          <w:sz w:val="22"/>
          <w:szCs w:val="22"/>
        </w:rPr>
        <w:t>“a service providing education and care to children primarily on an ad hoc or casual basis where—(i) the service does not usually offer full-time or all day education and care to children on an ongoing basis; and (ii) most of the children provided with education and care are preschool age or under.”</w:t>
      </w:r>
    </w:p>
    <w:p w14:paraId="57677F13" w14:textId="77777777" w:rsidR="00C01E92" w:rsidRPr="000107A9" w:rsidRDefault="00C01E92" w:rsidP="005C0C88">
      <w:pPr>
        <w:pStyle w:val="EYBodytextwithparaspace"/>
        <w:pBdr>
          <w:top w:val="single" w:sz="4" w:space="1" w:color="004EA8" w:themeColor="accent1"/>
          <w:left w:val="single" w:sz="4" w:space="4" w:color="004EA8" w:themeColor="accent1"/>
          <w:bottom w:val="single" w:sz="4" w:space="1" w:color="004EA8" w:themeColor="accent1"/>
          <w:right w:val="single" w:sz="4" w:space="4" w:color="004EA8" w:themeColor="accent1"/>
        </w:pBdr>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Occasional care services are excluded from the definition of an education and care service in the National Law. Therefore, children’s services that provide occasional care are </w:t>
      </w:r>
      <w:r w:rsidRPr="000107A9">
        <w:rPr>
          <w:rFonts w:asciiTheme="minorHAnsi" w:hAnsiTheme="minorHAnsi" w:cstheme="minorHAnsi"/>
          <w:b/>
          <w:sz w:val="22"/>
          <w:szCs w:val="22"/>
        </w:rPr>
        <w:t>not eligible</w:t>
      </w:r>
      <w:r w:rsidRPr="000107A9">
        <w:rPr>
          <w:rFonts w:asciiTheme="minorHAnsi" w:hAnsiTheme="minorHAnsi" w:cstheme="minorHAnsi"/>
          <w:sz w:val="22"/>
          <w:szCs w:val="22"/>
        </w:rPr>
        <w:t xml:space="preserve"> to be regulated under the NQF and continue to be covered by the Victorian licensing and regulatory regime.</w:t>
      </w:r>
    </w:p>
    <w:p w14:paraId="3882E88D"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first major review of the NQF by the COAG was completed in 2017. This review considered, but decided against, bringing the remaining out of scope children’s services within the scope of the NQF, due to the complexity of transitioning a diverse range of services (nationally) to the NQF.</w:t>
      </w:r>
    </w:p>
    <w:p w14:paraId="11202B3D" w14:textId="287756C5" w:rsidR="00C01E92" w:rsidRPr="000107A9" w:rsidRDefault="00C01E92" w:rsidP="00C01E92">
      <w:pPr>
        <w:pStyle w:val="EYBodytextwithparaspace"/>
        <w:spacing w:before="120" w:after="120"/>
        <w:rPr>
          <w:rFonts w:asciiTheme="minorHAnsi" w:hAnsiTheme="minorHAnsi" w:cstheme="minorHAnsi"/>
          <w:iCs/>
          <w:sz w:val="22"/>
          <w:szCs w:val="22"/>
          <w:lang w:val="en-US"/>
        </w:rPr>
      </w:pPr>
      <w:r w:rsidRPr="000107A9">
        <w:rPr>
          <w:rFonts w:asciiTheme="minorHAnsi" w:hAnsiTheme="minorHAnsi" w:cstheme="minorHAnsi"/>
          <w:sz w:val="22"/>
          <w:szCs w:val="22"/>
        </w:rPr>
        <w:t xml:space="preserve">To this end, children’s services would not be subject to the NQS nor be required to prepare a QIP. Imposing these requirements would </w:t>
      </w:r>
      <w:r w:rsidRPr="000107A9">
        <w:rPr>
          <w:rFonts w:asciiTheme="minorHAnsi" w:hAnsiTheme="minorHAnsi" w:cstheme="minorHAnsi"/>
          <w:iCs/>
          <w:sz w:val="22"/>
          <w:szCs w:val="22"/>
          <w:lang w:val="en-US"/>
        </w:rPr>
        <w:t xml:space="preserve">be too burdensome for services operating </w:t>
      </w:r>
      <w:r w:rsidR="00BA5E0C">
        <w:rPr>
          <w:rFonts w:asciiTheme="minorHAnsi" w:hAnsiTheme="minorHAnsi" w:cstheme="minorHAnsi"/>
          <w:iCs/>
          <w:sz w:val="22"/>
          <w:szCs w:val="22"/>
          <w:lang w:val="en-US"/>
        </w:rPr>
        <w:t xml:space="preserve">to provide occasional or </w:t>
      </w:r>
      <w:r w:rsidRPr="000107A9">
        <w:rPr>
          <w:rFonts w:asciiTheme="minorHAnsi" w:hAnsiTheme="minorHAnsi" w:cstheme="minorHAnsi"/>
          <w:iCs/>
          <w:sz w:val="22"/>
          <w:szCs w:val="22"/>
          <w:lang w:val="en-US"/>
        </w:rPr>
        <w:t xml:space="preserve">limited hours </w:t>
      </w:r>
      <w:r w:rsidR="00BA5E0C">
        <w:rPr>
          <w:rFonts w:asciiTheme="minorHAnsi" w:hAnsiTheme="minorHAnsi" w:cstheme="minorHAnsi"/>
          <w:iCs/>
          <w:sz w:val="22"/>
          <w:szCs w:val="22"/>
          <w:lang w:val="en-US"/>
        </w:rPr>
        <w:t xml:space="preserve">of care </w:t>
      </w:r>
      <w:r w:rsidRPr="000107A9">
        <w:rPr>
          <w:rFonts w:asciiTheme="minorHAnsi" w:hAnsiTheme="minorHAnsi" w:cstheme="minorHAnsi"/>
          <w:iCs/>
          <w:sz w:val="22"/>
          <w:szCs w:val="22"/>
          <w:lang w:val="en-US"/>
        </w:rPr>
        <w:t xml:space="preserve">and </w:t>
      </w:r>
      <w:r w:rsidR="00BA5E0C">
        <w:rPr>
          <w:rFonts w:asciiTheme="minorHAnsi" w:hAnsiTheme="minorHAnsi" w:cstheme="minorHAnsi"/>
          <w:iCs/>
          <w:sz w:val="22"/>
          <w:szCs w:val="22"/>
          <w:lang w:val="en-US"/>
        </w:rPr>
        <w:t xml:space="preserve">would </w:t>
      </w:r>
      <w:r w:rsidRPr="000107A9">
        <w:rPr>
          <w:rFonts w:asciiTheme="minorHAnsi" w:hAnsiTheme="minorHAnsi" w:cstheme="minorHAnsi"/>
          <w:iCs/>
          <w:sz w:val="22"/>
          <w:szCs w:val="22"/>
          <w:lang w:val="en-US"/>
        </w:rPr>
        <w:t xml:space="preserve">require significant additional regulatory investment. </w:t>
      </w:r>
    </w:p>
    <w:p w14:paraId="1A27779D" w14:textId="77777777" w:rsidR="00C01E92" w:rsidRPr="000107A9" w:rsidRDefault="00C01E92" w:rsidP="00C01E92">
      <w:pPr>
        <w:pStyle w:val="EYBodytextwithparaspace"/>
        <w:spacing w:before="120" w:after="120"/>
        <w:rPr>
          <w:rFonts w:asciiTheme="minorHAnsi" w:hAnsiTheme="minorHAnsi" w:cstheme="minorHAnsi"/>
          <w:iCs/>
          <w:sz w:val="22"/>
          <w:szCs w:val="22"/>
          <w:lang w:val="en-US"/>
        </w:rPr>
      </w:pPr>
      <w:r w:rsidRPr="000107A9">
        <w:rPr>
          <w:rFonts w:asciiTheme="minorHAnsi" w:hAnsiTheme="minorHAnsi" w:cstheme="minorHAnsi"/>
          <w:iCs/>
          <w:sz w:val="22"/>
          <w:szCs w:val="22"/>
          <w:lang w:val="en-US"/>
        </w:rPr>
        <w:t>Additionally, services with a Limited Hours service approval will not be required to provide outdoor space (as is required under the NQF), nor will the NQF requirement to appoint an educational leader be imposed on any children’s service.</w:t>
      </w:r>
    </w:p>
    <w:p w14:paraId="77247B34" w14:textId="2ECFB21A" w:rsidR="00C01E92" w:rsidRPr="000107A9" w:rsidRDefault="0022684D" w:rsidP="0022684D">
      <w:pPr>
        <w:pStyle w:val="Heading3"/>
      </w:pPr>
      <w:bookmarkStart w:id="132" w:name="_Toc32936881"/>
      <w:r>
        <w:t xml:space="preserve">5.3.2 </w:t>
      </w:r>
      <w:r w:rsidR="00C01E92" w:rsidRPr="000107A9">
        <w:t>Non-regulatory options</w:t>
      </w:r>
      <w:bookmarkEnd w:id="132"/>
    </w:p>
    <w:p w14:paraId="4D976A6F"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Non-regulatory options alone would be highly unlikely to achieve the objectives of the Amendment Act. These options could include:</w:t>
      </w:r>
    </w:p>
    <w:p w14:paraId="44DAF792" w14:textId="77777777" w:rsidR="00C01E92" w:rsidRPr="000107A9" w:rsidRDefault="00C01E92" w:rsidP="002806C5">
      <w:pPr>
        <w:pStyle w:val="EYBulletnoparaspace"/>
        <w:numPr>
          <w:ilvl w:val="0"/>
          <w:numId w:val="61"/>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Public information and education campaigns to inform service providers of the details to be included in applications and the ongoing operating requirements for services</w:t>
      </w:r>
    </w:p>
    <w:p w14:paraId="1F586E50" w14:textId="77777777" w:rsidR="00C01E92" w:rsidRPr="000107A9" w:rsidRDefault="00C01E92" w:rsidP="002806C5">
      <w:pPr>
        <w:pStyle w:val="EYBulletnoparaspace"/>
        <w:numPr>
          <w:ilvl w:val="0"/>
          <w:numId w:val="61"/>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Industry adopts a voluntary code of practice</w:t>
      </w:r>
    </w:p>
    <w:p w14:paraId="17677094"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lastRenderedPageBreak/>
        <w:t>On their own, the non-regulatory options would be less effective, not enforceable or result in an increased cost to government (particularly costs associated with more intensive monitoring of compliance with the Act). In addition, some of the problems outlined in Chapter 2 cannot be addressed through the use of non-regulatory options. For example, the service approval process would become more difficult as the Act merely requires that providers be approved, whereas the Regulations detail the specificity of information required to complete the approval process.</w:t>
      </w:r>
    </w:p>
    <w:p w14:paraId="7656AC83" w14:textId="68B80116" w:rsidR="00C01E92"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inability of non-regulatory options to achieve the stated objectives means they are not considered further in the options development and analysis. However, non-regulatory options such as information and education campaigns will be considered and utilised in the implementation of the final Regulations insofar as they can assist the sector to understand their responsibilities and compliance with new requirements.</w:t>
      </w:r>
    </w:p>
    <w:p w14:paraId="760E97BC" w14:textId="0ED58551" w:rsidR="00833A7D" w:rsidRDefault="00833A7D">
      <w:pPr>
        <w:spacing w:after="0"/>
        <w:rPr>
          <w:rFonts w:eastAsia="Times New Roman" w:cstheme="minorHAnsi"/>
          <w:szCs w:val="22"/>
          <w:lang w:val="en-AU"/>
        </w:rPr>
      </w:pPr>
      <w:r>
        <w:rPr>
          <w:rFonts w:cstheme="minorHAnsi"/>
          <w:szCs w:val="22"/>
        </w:rPr>
        <w:br w:type="page"/>
      </w:r>
    </w:p>
    <w:p w14:paraId="76251A1E" w14:textId="6B54A099" w:rsidR="00C01E92" w:rsidRPr="000107A9" w:rsidRDefault="00C01E92" w:rsidP="004F4E5D">
      <w:pPr>
        <w:pStyle w:val="Heading1"/>
        <w:numPr>
          <w:ilvl w:val="0"/>
          <w:numId w:val="12"/>
        </w:numPr>
      </w:pPr>
      <w:bookmarkStart w:id="133" w:name="_Toc21010894"/>
      <w:bookmarkStart w:id="134" w:name="_Toc21678843"/>
      <w:bookmarkStart w:id="135" w:name="_Ref25751665"/>
      <w:bookmarkStart w:id="136" w:name="_Ref27642714"/>
      <w:bookmarkStart w:id="137" w:name="_Ref27748572"/>
      <w:bookmarkStart w:id="138" w:name="_Ref27748769"/>
      <w:bookmarkStart w:id="139" w:name="_Toc30669616"/>
      <w:bookmarkStart w:id="140" w:name="_Toc21010896"/>
      <w:bookmarkStart w:id="141" w:name="_Toc21678845"/>
      <w:bookmarkStart w:id="142" w:name="_Toc32936882"/>
      <w:bookmarkEnd w:id="133"/>
      <w:bookmarkEnd w:id="134"/>
      <w:bookmarkEnd w:id="135"/>
      <w:bookmarkEnd w:id="136"/>
      <w:bookmarkEnd w:id="137"/>
      <w:bookmarkEnd w:id="138"/>
      <w:r w:rsidRPr="000107A9">
        <w:lastRenderedPageBreak/>
        <w:t>Assessment of Options</w:t>
      </w:r>
      <w:bookmarkEnd w:id="139"/>
      <w:bookmarkEnd w:id="142"/>
    </w:p>
    <w:p w14:paraId="0867ECE9"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RIS process seeks to ensure that proposed regulations are well-targeted, effective and appropriate, and impose the lowest possible burden on businesses and the community. The keystone of this process is comparing the options to determine which one has the highest net-benefit.</w:t>
      </w:r>
    </w:p>
    <w:p w14:paraId="15F84B70" w14:textId="6116C0E3" w:rsidR="00C01E92" w:rsidRPr="000107A9" w:rsidRDefault="003D6239" w:rsidP="00A87A06">
      <w:pPr>
        <w:pStyle w:val="Heading2"/>
      </w:pPr>
      <w:bookmarkStart w:id="143" w:name="_Toc4161388"/>
      <w:bookmarkStart w:id="144" w:name="_Toc15979318"/>
      <w:bookmarkStart w:id="145" w:name="_Toc21010895"/>
      <w:bookmarkStart w:id="146" w:name="_Toc21678844"/>
      <w:bookmarkStart w:id="147" w:name="_Toc30669617"/>
      <w:bookmarkStart w:id="148" w:name="_Toc32936883"/>
      <w:bookmarkEnd w:id="143"/>
      <w:bookmarkEnd w:id="144"/>
      <w:bookmarkEnd w:id="145"/>
      <w:bookmarkEnd w:id="146"/>
      <w:r>
        <w:t xml:space="preserve">6.1 </w:t>
      </w:r>
      <w:r w:rsidR="00C01E92" w:rsidRPr="000107A9">
        <w:t>Multi-Criteria Analysis</w:t>
      </w:r>
      <w:bookmarkEnd w:id="147"/>
      <w:bookmarkEnd w:id="148"/>
    </w:p>
    <w:p w14:paraId="7172C247"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Ideally, where data is available, a quantitative cost-benefit analysis </w:t>
      </w:r>
      <w:r w:rsidRPr="005C0C88">
        <w:rPr>
          <w:rFonts w:asciiTheme="minorHAnsi" w:hAnsiTheme="minorHAnsi" w:cstheme="minorHAnsi"/>
          <w:sz w:val="22"/>
          <w:szCs w:val="22"/>
        </w:rPr>
        <w:t>(CBA) is used. However, as is frequently the case, costs and benefits associated with regulations are not readily quantifiable, therefore a qualitative analysis is provided to explain the cost/benefit. As such, the overall assessment of the options will be presented in this RIS using a multi-criteria analysis (MCA</w:t>
      </w:r>
      <w:r w:rsidRPr="000107A9">
        <w:rPr>
          <w:rFonts w:asciiTheme="minorHAnsi" w:hAnsiTheme="minorHAnsi" w:cstheme="minorHAnsi"/>
          <w:sz w:val="22"/>
          <w:szCs w:val="22"/>
        </w:rPr>
        <w:t>) decision tool, which utilises a system of scoring and weighting each criteria on which options are assessed.</w:t>
      </w:r>
    </w:p>
    <w:p w14:paraId="5A941FA4" w14:textId="1E381592" w:rsidR="00C01E92" w:rsidRPr="000107A9" w:rsidRDefault="003D6239" w:rsidP="003D6239">
      <w:pPr>
        <w:pStyle w:val="Heading3"/>
      </w:pPr>
      <w:bookmarkStart w:id="149" w:name="_Toc32936884"/>
      <w:r>
        <w:t xml:space="preserve">6.1.1 </w:t>
      </w:r>
      <w:r w:rsidR="00C01E92" w:rsidRPr="000107A9">
        <w:t>Criteria</w:t>
      </w:r>
      <w:bookmarkEnd w:id="149"/>
    </w:p>
    <w:p w14:paraId="7F8ECE89"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Each option has been assessed by balancing its expected benefits against its estimated costs.</w:t>
      </w:r>
    </w:p>
    <w:tbl>
      <w:tblPr>
        <w:tblStyle w:val="TableGrid"/>
        <w:tblW w:w="0" w:type="auto"/>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555"/>
        <w:gridCol w:w="1417"/>
        <w:gridCol w:w="6521"/>
      </w:tblGrid>
      <w:tr w:rsidR="00C01E92" w:rsidRPr="005C0C88" w14:paraId="67D13733" w14:textId="77777777" w:rsidTr="005C0C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right w:val="none" w:sz="0" w:space="0" w:color="auto"/>
            </w:tcBorders>
          </w:tcPr>
          <w:p w14:paraId="2496568E" w14:textId="77777777" w:rsidR="00C01E92" w:rsidRPr="005C0C88" w:rsidRDefault="00C01E92" w:rsidP="005C0C88">
            <w:pPr>
              <w:spacing w:after="60"/>
              <w:rPr>
                <w:rStyle w:val="Strong"/>
                <w:rFonts w:cstheme="minorHAnsi"/>
                <w:b/>
                <w:szCs w:val="22"/>
              </w:rPr>
            </w:pPr>
            <w:r w:rsidRPr="005C0C88">
              <w:rPr>
                <w:rStyle w:val="Strong"/>
                <w:rFonts w:cstheme="minorHAnsi"/>
                <w:b/>
                <w:szCs w:val="22"/>
              </w:rPr>
              <w:t>Criteria</w:t>
            </w:r>
          </w:p>
        </w:tc>
        <w:tc>
          <w:tcPr>
            <w:tcW w:w="7938" w:type="dxa"/>
            <w:gridSpan w:val="2"/>
            <w:tcBorders>
              <w:left w:val="none" w:sz="0" w:space="0" w:color="auto"/>
            </w:tcBorders>
          </w:tcPr>
          <w:p w14:paraId="368357EF" w14:textId="77777777" w:rsidR="00C01E92" w:rsidRPr="005C0C88" w:rsidRDefault="00C01E92" w:rsidP="005C0C88">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5C0C88">
              <w:rPr>
                <w:rStyle w:val="Strong"/>
                <w:rFonts w:cstheme="minorHAnsi"/>
                <w:b/>
                <w:szCs w:val="22"/>
              </w:rPr>
              <w:t>Assesses</w:t>
            </w:r>
          </w:p>
        </w:tc>
      </w:tr>
      <w:tr w:rsidR="00C01E92" w:rsidRPr="005C0C88" w14:paraId="10333647" w14:textId="77777777" w:rsidTr="005C0C88">
        <w:tc>
          <w:tcPr>
            <w:cnfStyle w:val="001000000000" w:firstRow="0" w:lastRow="0" w:firstColumn="1" w:lastColumn="0" w:oddVBand="0" w:evenVBand="0" w:oddHBand="0" w:evenHBand="0" w:firstRowFirstColumn="0" w:firstRowLastColumn="0" w:lastRowFirstColumn="0" w:lastRowLastColumn="0"/>
            <w:tcW w:w="1555" w:type="dxa"/>
            <w:vMerge w:val="restart"/>
          </w:tcPr>
          <w:p w14:paraId="603F9563" w14:textId="77777777" w:rsidR="00C01E92" w:rsidRPr="005C0C88" w:rsidRDefault="00C01E92" w:rsidP="005C0C88">
            <w:pPr>
              <w:spacing w:after="60"/>
              <w:rPr>
                <w:rFonts w:cstheme="minorHAnsi"/>
                <w:szCs w:val="22"/>
              </w:rPr>
            </w:pPr>
            <w:r w:rsidRPr="005C0C88">
              <w:rPr>
                <w:rFonts w:cstheme="minorHAnsi"/>
                <w:szCs w:val="22"/>
              </w:rPr>
              <w:t>Benefit of…</w:t>
            </w:r>
          </w:p>
        </w:tc>
        <w:tc>
          <w:tcPr>
            <w:tcW w:w="1417" w:type="dxa"/>
          </w:tcPr>
          <w:p w14:paraId="0252EC75" w14:textId="77777777" w:rsidR="00C01E92" w:rsidRPr="005C0C88" w:rsidRDefault="00C01E92" w:rsidP="005C0C88">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Safety</w:t>
            </w:r>
          </w:p>
        </w:tc>
        <w:tc>
          <w:tcPr>
            <w:tcW w:w="6521" w:type="dxa"/>
          </w:tcPr>
          <w:p w14:paraId="4245F0C9" w14:textId="77777777" w:rsidR="00C01E92" w:rsidRPr="005C0C88" w:rsidRDefault="00C01E92" w:rsidP="005C0C88">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The effectiveness of the option in ensuring the safety, health and wellbeing of children attending children’s services</w:t>
            </w:r>
          </w:p>
        </w:tc>
      </w:tr>
      <w:tr w:rsidR="00C01E92" w:rsidRPr="005C0C88" w14:paraId="3003F39C" w14:textId="77777777" w:rsidTr="005C0C88">
        <w:tc>
          <w:tcPr>
            <w:cnfStyle w:val="001000000000" w:firstRow="0" w:lastRow="0" w:firstColumn="1" w:lastColumn="0" w:oddVBand="0" w:evenVBand="0" w:oddHBand="0" w:evenHBand="0" w:firstRowFirstColumn="0" w:firstRowLastColumn="0" w:lastRowFirstColumn="0" w:lastRowLastColumn="0"/>
            <w:tcW w:w="1555" w:type="dxa"/>
            <w:vMerge/>
          </w:tcPr>
          <w:p w14:paraId="17B5F173" w14:textId="77777777" w:rsidR="00C01E92" w:rsidRPr="005C0C88" w:rsidRDefault="00C01E92" w:rsidP="005C0C88">
            <w:pPr>
              <w:spacing w:after="60"/>
              <w:rPr>
                <w:rFonts w:cstheme="minorHAnsi"/>
                <w:szCs w:val="22"/>
              </w:rPr>
            </w:pPr>
          </w:p>
        </w:tc>
        <w:tc>
          <w:tcPr>
            <w:tcW w:w="1417" w:type="dxa"/>
          </w:tcPr>
          <w:p w14:paraId="39FC9056" w14:textId="77777777" w:rsidR="00C01E92" w:rsidRPr="005C0C88" w:rsidRDefault="00C01E92" w:rsidP="005C0C88">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Quality</w:t>
            </w:r>
          </w:p>
        </w:tc>
        <w:tc>
          <w:tcPr>
            <w:tcW w:w="6521" w:type="dxa"/>
          </w:tcPr>
          <w:p w14:paraId="2939F8A1" w14:textId="77777777" w:rsidR="00C01E92" w:rsidRPr="005C0C88" w:rsidRDefault="00C01E92" w:rsidP="005C0C88">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The effectiveness of the option in improving children’s educational and developmental outcomes and lifting the broader quality of the sector</w:t>
            </w:r>
          </w:p>
        </w:tc>
      </w:tr>
      <w:tr w:rsidR="00C01E92" w:rsidRPr="005C0C88" w14:paraId="2DEE23FD" w14:textId="77777777" w:rsidTr="005C0C88">
        <w:tc>
          <w:tcPr>
            <w:cnfStyle w:val="001000000000" w:firstRow="0" w:lastRow="0" w:firstColumn="1" w:lastColumn="0" w:oddVBand="0" w:evenVBand="0" w:oddHBand="0" w:evenHBand="0" w:firstRowFirstColumn="0" w:firstRowLastColumn="0" w:lastRowFirstColumn="0" w:lastRowLastColumn="0"/>
            <w:tcW w:w="1555" w:type="dxa"/>
            <w:vMerge w:val="restart"/>
          </w:tcPr>
          <w:p w14:paraId="22A56737" w14:textId="77777777" w:rsidR="00C01E92" w:rsidRPr="005C0C88" w:rsidRDefault="00C01E92" w:rsidP="005C0C88">
            <w:pPr>
              <w:spacing w:after="60"/>
              <w:rPr>
                <w:rFonts w:cstheme="minorHAnsi"/>
                <w:szCs w:val="22"/>
              </w:rPr>
            </w:pPr>
            <w:r w:rsidRPr="005C0C88">
              <w:rPr>
                <w:rFonts w:cstheme="minorHAnsi"/>
                <w:szCs w:val="22"/>
              </w:rPr>
              <w:t>Cost to…</w:t>
            </w:r>
          </w:p>
        </w:tc>
        <w:tc>
          <w:tcPr>
            <w:tcW w:w="1417" w:type="dxa"/>
          </w:tcPr>
          <w:p w14:paraId="3E755DA8" w14:textId="77777777" w:rsidR="00C01E92" w:rsidRPr="005C0C88" w:rsidRDefault="00C01E92" w:rsidP="005C0C88">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Industry</w:t>
            </w:r>
          </w:p>
        </w:tc>
        <w:tc>
          <w:tcPr>
            <w:tcW w:w="6521" w:type="dxa"/>
          </w:tcPr>
          <w:p w14:paraId="3796C41B" w14:textId="77777777" w:rsidR="00C01E92" w:rsidRPr="005C0C88" w:rsidRDefault="00C01E92" w:rsidP="005C0C88">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Business/Service costs related to administrative activity, ‘red tape’ and substantive compliance with requirements</w:t>
            </w:r>
          </w:p>
        </w:tc>
      </w:tr>
      <w:tr w:rsidR="00C01E92" w:rsidRPr="005C0C88" w14:paraId="167D2226" w14:textId="77777777" w:rsidTr="005C0C88">
        <w:tc>
          <w:tcPr>
            <w:cnfStyle w:val="001000000000" w:firstRow="0" w:lastRow="0" w:firstColumn="1" w:lastColumn="0" w:oddVBand="0" w:evenVBand="0" w:oddHBand="0" w:evenHBand="0" w:firstRowFirstColumn="0" w:firstRowLastColumn="0" w:lastRowFirstColumn="0" w:lastRowLastColumn="0"/>
            <w:tcW w:w="1555" w:type="dxa"/>
            <w:vMerge/>
          </w:tcPr>
          <w:p w14:paraId="23E77522" w14:textId="77777777" w:rsidR="00C01E92" w:rsidRPr="005C0C88" w:rsidRDefault="00C01E92" w:rsidP="005C0C88">
            <w:pPr>
              <w:spacing w:after="60"/>
              <w:rPr>
                <w:rFonts w:cstheme="minorHAnsi"/>
                <w:szCs w:val="22"/>
              </w:rPr>
            </w:pPr>
          </w:p>
        </w:tc>
        <w:tc>
          <w:tcPr>
            <w:tcW w:w="1417" w:type="dxa"/>
          </w:tcPr>
          <w:p w14:paraId="01855320" w14:textId="77777777" w:rsidR="00C01E92" w:rsidRPr="005C0C88" w:rsidRDefault="00C01E92" w:rsidP="005C0C88">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Regulator</w:t>
            </w:r>
          </w:p>
        </w:tc>
        <w:tc>
          <w:tcPr>
            <w:tcW w:w="6521" w:type="dxa"/>
          </w:tcPr>
          <w:p w14:paraId="72D2A7D2" w14:textId="77777777" w:rsidR="00C01E92" w:rsidRPr="005C0C88" w:rsidRDefault="00C01E92" w:rsidP="005C0C88">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Monetary cost to government (and therefore the taxpayer) of monitoring compliance and administering the regulations</w:t>
            </w:r>
          </w:p>
        </w:tc>
      </w:tr>
    </w:tbl>
    <w:p w14:paraId="5993B863"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benefit criteria assess the ability of each option to promote the core objectives of the Act—ensuring the safety, health and wellbeing of children attending occasional care services, and promoting their educational and development outcomes, along with lifting the broader quality of the sector.</w:t>
      </w:r>
    </w:p>
    <w:p w14:paraId="13158ABB"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Theoretically, costs to industry and the regulator are the most suitable to express in monetary terms. In practice, however, it is often difficult to obtain adequate data to precisely identify the costs that an option would impose, and decision-makers must rely on approximate or relative cost estimates. In addition, as the cost to industry is not significant in the Alignment option and very little or no flow on costs to families, such as increased fees, would be expected.</w:t>
      </w:r>
    </w:p>
    <w:p w14:paraId="3C77D677"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expected costs of each option have been quantified as much as possible given the available data. Where costs have not been fully quantified, a qualitative assessment of the likely financial imposition on industry and regulator is provided. These costs are then compared against the benefits (effectiveness) of the options in achieving the objectives of the Act. This comparison is undertaken through the MCA tool described below. </w:t>
      </w:r>
    </w:p>
    <w:p w14:paraId="5C6B655A" w14:textId="2E835AC4" w:rsidR="00C01E92" w:rsidRPr="000107A9" w:rsidRDefault="00B92DEB" w:rsidP="00B92DEB">
      <w:pPr>
        <w:pStyle w:val="Heading3"/>
      </w:pPr>
      <w:bookmarkStart w:id="150" w:name="_Toc32936885"/>
      <w:r>
        <w:t xml:space="preserve">6.1.2 </w:t>
      </w:r>
      <w:r w:rsidR="00C01E92" w:rsidRPr="000107A9">
        <w:t>Scoring</w:t>
      </w:r>
      <w:bookmarkEnd w:id="150"/>
    </w:p>
    <w:p w14:paraId="1F1C0A89" w14:textId="3E6FE0FF"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In MCA, each option is scored against the benefit criteria and costs identified above, relative to the base case as shown in </w:t>
      </w: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_Ref23599098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 xml:space="preserve">Figure </w:t>
      </w:r>
      <w:r w:rsidR="00493211" w:rsidRPr="00493211">
        <w:rPr>
          <w:rFonts w:asciiTheme="minorHAnsi" w:hAnsiTheme="minorHAnsi" w:cstheme="minorHAnsi"/>
          <w:noProof/>
          <w:sz w:val="22"/>
          <w:szCs w:val="22"/>
        </w:rPr>
        <w:t>4</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w:t>
      </w:r>
    </w:p>
    <w:p w14:paraId="11CCDF45" w14:textId="3B1CB9DD" w:rsidR="00C01E92" w:rsidRPr="000107A9" w:rsidRDefault="00C01E92" w:rsidP="00F7569F">
      <w:pPr>
        <w:pStyle w:val="Caption"/>
      </w:pPr>
      <w:bookmarkStart w:id="151" w:name="_Ref23599098"/>
      <w:bookmarkStart w:id="152" w:name="_Toc4161428"/>
      <w:bookmarkStart w:id="153" w:name="_Toc15979345"/>
      <w:bookmarkStart w:id="154" w:name="_Toc32403964"/>
      <w:r w:rsidRPr="000107A9">
        <w:lastRenderedPageBreak/>
        <w:t xml:space="preserve">Figure </w:t>
      </w:r>
      <w:r w:rsidRPr="000107A9">
        <w:fldChar w:fldCharType="begin"/>
      </w:r>
      <w:r w:rsidRPr="000107A9">
        <w:instrText xml:space="preserve"> SEQ Figure \* ARABIC </w:instrText>
      </w:r>
      <w:r w:rsidRPr="000107A9">
        <w:fldChar w:fldCharType="separate"/>
      </w:r>
      <w:r w:rsidR="00493211">
        <w:rPr>
          <w:noProof/>
        </w:rPr>
        <w:t>4</w:t>
      </w:r>
      <w:r w:rsidRPr="000107A9">
        <w:fldChar w:fldCharType="end"/>
      </w:r>
      <w:bookmarkEnd w:id="151"/>
      <w:r w:rsidRPr="000107A9">
        <w:t>: Multi-criteria analysis scale used in scoring options</w:t>
      </w:r>
      <w:bookmarkEnd w:id="152"/>
      <w:bookmarkEnd w:id="153"/>
      <w:bookmarkEnd w:id="154"/>
    </w:p>
    <w:p w14:paraId="7B9E2810" w14:textId="77777777" w:rsidR="00C01E92" w:rsidRPr="000107A9" w:rsidRDefault="00C01E92" w:rsidP="00EE2198">
      <w:pPr>
        <w:spacing w:before="120"/>
        <w:rPr>
          <w:rFonts w:cstheme="minorHAnsi"/>
          <w:szCs w:val="22"/>
        </w:rPr>
      </w:pPr>
      <w:r w:rsidRPr="000107A9">
        <w:rPr>
          <w:rFonts w:cstheme="minorHAnsi"/>
          <w:noProof/>
          <w:szCs w:val="22"/>
          <w:lang w:val="en-AU" w:eastAsia="en-AU"/>
        </w:rPr>
        <w:drawing>
          <wp:inline distT="0" distB="0" distL="0" distR="0" wp14:anchorId="066FB56B" wp14:editId="5026AA1B">
            <wp:extent cx="5705202" cy="2520563"/>
            <wp:effectExtent l="0" t="0" r="0" b="0"/>
            <wp:docPr id="1577419747" name="Picture" descr="This chart shows the multi-criteria analysis scale used in scoring options. There are five criteria shown, 1. strongly negative relative to base case (-10), 2. mildly negative relative to base case (-5), 3. base case (no regulations) (0), 4. mildly positive relative to base case (+5) and 5. strongly positive relative to base case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0">
                      <a:extLst>
                        <a:ext uri="{28A0092B-C50C-407E-A947-70E740481C1C}">
                          <a14:useLocalDpi xmlns:a14="http://schemas.microsoft.com/office/drawing/2010/main" val="0"/>
                        </a:ext>
                      </a:extLst>
                    </a:blip>
                    <a:stretch>
                      <a:fillRect/>
                    </a:stretch>
                  </pic:blipFill>
                  <pic:spPr>
                    <a:xfrm>
                      <a:off x="0" y="0"/>
                      <a:ext cx="5705202" cy="2520563"/>
                    </a:xfrm>
                    <a:prstGeom prst="rect">
                      <a:avLst/>
                    </a:prstGeom>
                  </pic:spPr>
                </pic:pic>
              </a:graphicData>
            </a:graphic>
          </wp:inline>
        </w:drawing>
      </w:r>
    </w:p>
    <w:p w14:paraId="7D73F162"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b/>
          <w:sz w:val="22"/>
          <w:szCs w:val="22"/>
        </w:rPr>
        <w:t>Benefits</w:t>
      </w:r>
      <w:r w:rsidRPr="000107A9">
        <w:rPr>
          <w:rFonts w:asciiTheme="minorHAnsi" w:hAnsiTheme="minorHAnsi" w:cstheme="minorHAnsi"/>
          <w:sz w:val="22"/>
          <w:szCs w:val="22"/>
        </w:rPr>
        <w:t xml:space="preserve"> are scored between 0 and +10.</w:t>
      </w:r>
    </w:p>
    <w:tbl>
      <w:tblPr>
        <w:tblStyle w:val="TableGrid"/>
        <w:tblW w:w="0" w:type="auto"/>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413"/>
        <w:gridCol w:w="7606"/>
      </w:tblGrid>
      <w:tr w:rsidR="00C01E92" w:rsidRPr="005C0C88" w14:paraId="4D1CFAAC" w14:textId="77777777" w:rsidTr="005C0C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right w:val="none" w:sz="0" w:space="0" w:color="auto"/>
            </w:tcBorders>
          </w:tcPr>
          <w:p w14:paraId="64003B4E" w14:textId="77777777" w:rsidR="00C01E92" w:rsidRPr="005C0C88" w:rsidRDefault="00C01E92" w:rsidP="005C0C88">
            <w:pPr>
              <w:spacing w:after="60"/>
              <w:rPr>
                <w:rStyle w:val="Strong"/>
                <w:rFonts w:cstheme="minorHAnsi"/>
                <w:b/>
                <w:szCs w:val="22"/>
              </w:rPr>
            </w:pPr>
            <w:r w:rsidRPr="005C0C88">
              <w:rPr>
                <w:rStyle w:val="Strong"/>
                <w:rFonts w:cstheme="minorHAnsi"/>
                <w:b/>
                <w:szCs w:val="22"/>
              </w:rPr>
              <w:t>Score</w:t>
            </w:r>
          </w:p>
        </w:tc>
        <w:tc>
          <w:tcPr>
            <w:tcW w:w="7606" w:type="dxa"/>
            <w:tcBorders>
              <w:left w:val="none" w:sz="0" w:space="0" w:color="auto"/>
            </w:tcBorders>
          </w:tcPr>
          <w:p w14:paraId="77EFFF2B" w14:textId="77777777" w:rsidR="00C01E92" w:rsidRPr="005C0C88" w:rsidRDefault="00C01E92" w:rsidP="005C0C88">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5C0C88">
              <w:rPr>
                <w:rStyle w:val="Strong"/>
                <w:rFonts w:cstheme="minorHAnsi"/>
                <w:b/>
                <w:szCs w:val="22"/>
              </w:rPr>
              <w:t>Meaning</w:t>
            </w:r>
          </w:p>
        </w:tc>
      </w:tr>
      <w:tr w:rsidR="00C01E92" w:rsidRPr="005C0C88" w14:paraId="7B6FF8E2" w14:textId="77777777" w:rsidTr="005C0C88">
        <w:tc>
          <w:tcPr>
            <w:cnfStyle w:val="001000000000" w:firstRow="0" w:lastRow="0" w:firstColumn="1" w:lastColumn="0" w:oddVBand="0" w:evenVBand="0" w:oddHBand="0" w:evenHBand="0" w:firstRowFirstColumn="0" w:firstRowLastColumn="0" w:lastRowFirstColumn="0" w:lastRowLastColumn="0"/>
            <w:tcW w:w="1413" w:type="dxa"/>
          </w:tcPr>
          <w:p w14:paraId="6BC9819B" w14:textId="77777777" w:rsidR="00C01E92" w:rsidRPr="005C0C88" w:rsidRDefault="00C01E92" w:rsidP="005C0C88">
            <w:pPr>
              <w:spacing w:after="60"/>
              <w:rPr>
                <w:rFonts w:cstheme="minorHAnsi"/>
                <w:szCs w:val="22"/>
              </w:rPr>
            </w:pPr>
            <w:r w:rsidRPr="005C0C88">
              <w:rPr>
                <w:rFonts w:cstheme="minorHAnsi"/>
                <w:szCs w:val="22"/>
              </w:rPr>
              <w:t>0</w:t>
            </w:r>
          </w:p>
        </w:tc>
        <w:tc>
          <w:tcPr>
            <w:tcW w:w="7606" w:type="dxa"/>
          </w:tcPr>
          <w:p w14:paraId="2C7E1171" w14:textId="03607BB2" w:rsidR="00C01E92" w:rsidRPr="005C0C88" w:rsidRDefault="00C01E92" w:rsidP="005C0C88">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 xml:space="preserve">A zero score does not further the objectives of the Act in any way, relative to the </w:t>
            </w:r>
            <w:r w:rsidR="000303BF" w:rsidRPr="005C0C88">
              <w:rPr>
                <w:rFonts w:cstheme="minorHAnsi"/>
                <w:szCs w:val="22"/>
              </w:rPr>
              <w:t>Base Case</w:t>
            </w:r>
            <w:r w:rsidRPr="005C0C88">
              <w:rPr>
                <w:rFonts w:cstheme="minorHAnsi"/>
                <w:szCs w:val="22"/>
              </w:rPr>
              <w:t>.</w:t>
            </w:r>
          </w:p>
        </w:tc>
      </w:tr>
      <w:tr w:rsidR="00C01E92" w:rsidRPr="005C0C88" w14:paraId="165570E8" w14:textId="77777777" w:rsidTr="005C0C88">
        <w:tc>
          <w:tcPr>
            <w:cnfStyle w:val="001000000000" w:firstRow="0" w:lastRow="0" w:firstColumn="1" w:lastColumn="0" w:oddVBand="0" w:evenVBand="0" w:oddHBand="0" w:evenHBand="0" w:firstRowFirstColumn="0" w:firstRowLastColumn="0" w:lastRowFirstColumn="0" w:lastRowLastColumn="0"/>
            <w:tcW w:w="1413" w:type="dxa"/>
          </w:tcPr>
          <w:p w14:paraId="11ABF855" w14:textId="77777777" w:rsidR="00C01E92" w:rsidRPr="005C0C88" w:rsidRDefault="00C01E92" w:rsidP="005C0C88">
            <w:pPr>
              <w:spacing w:after="60"/>
              <w:rPr>
                <w:rFonts w:cstheme="minorHAnsi"/>
                <w:szCs w:val="22"/>
              </w:rPr>
            </w:pPr>
            <w:r w:rsidRPr="005C0C88">
              <w:rPr>
                <w:rFonts w:cstheme="minorHAnsi"/>
                <w:szCs w:val="22"/>
              </w:rPr>
              <w:t>+10</w:t>
            </w:r>
          </w:p>
        </w:tc>
        <w:tc>
          <w:tcPr>
            <w:tcW w:w="7606" w:type="dxa"/>
          </w:tcPr>
          <w:p w14:paraId="0D627CAB" w14:textId="77777777" w:rsidR="00C01E92" w:rsidRPr="005C0C88" w:rsidRDefault="00C01E92" w:rsidP="005C0C88">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A positive score furthers the objectives of the Act to the optimum extent possible.</w:t>
            </w:r>
          </w:p>
        </w:tc>
      </w:tr>
    </w:tbl>
    <w:p w14:paraId="1C046F01" w14:textId="7456E74A" w:rsidR="00EE2198" w:rsidRDefault="00EE2198" w:rsidP="00C01E92">
      <w:pPr>
        <w:pStyle w:val="EYBodytextwithparaspace"/>
        <w:spacing w:before="120" w:after="120"/>
        <w:rPr>
          <w:rFonts w:asciiTheme="minorHAnsi" w:hAnsiTheme="minorHAnsi" w:cstheme="minorHAnsi"/>
          <w:sz w:val="22"/>
          <w:szCs w:val="22"/>
        </w:rPr>
      </w:pPr>
      <w:r w:rsidRPr="00EE2198">
        <w:rPr>
          <w:rFonts w:asciiTheme="minorHAnsi" w:hAnsiTheme="minorHAnsi" w:cstheme="minorHAnsi"/>
          <w:sz w:val="22"/>
          <w:szCs w:val="22"/>
        </w:rPr>
        <w:t>A negative score is not possible for effectiveness as options contrary to the objectives of the Act would not be considered.</w:t>
      </w:r>
    </w:p>
    <w:p w14:paraId="48403FD9" w14:textId="339CA8CC"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b/>
          <w:sz w:val="22"/>
          <w:szCs w:val="22"/>
        </w:rPr>
        <w:t>Costs</w:t>
      </w:r>
      <w:r w:rsidRPr="000107A9">
        <w:rPr>
          <w:rFonts w:asciiTheme="minorHAnsi" w:hAnsiTheme="minorHAnsi" w:cstheme="minorHAnsi"/>
          <w:sz w:val="22"/>
          <w:szCs w:val="22"/>
        </w:rPr>
        <w:t xml:space="preserve"> are scored from –10 to </w:t>
      </w:r>
      <w:bookmarkStart w:id="155" w:name="_Hlk14978458"/>
      <w:r w:rsidRPr="000107A9">
        <w:rPr>
          <w:rFonts w:asciiTheme="minorHAnsi" w:hAnsiTheme="minorHAnsi" w:cstheme="minorHAnsi"/>
          <w:sz w:val="22"/>
          <w:szCs w:val="22"/>
        </w:rPr>
        <w:t>+</w:t>
      </w:r>
      <w:bookmarkEnd w:id="155"/>
      <w:r w:rsidRPr="000107A9">
        <w:rPr>
          <w:rFonts w:asciiTheme="minorHAnsi" w:hAnsiTheme="minorHAnsi" w:cstheme="minorHAnsi"/>
          <w:sz w:val="22"/>
          <w:szCs w:val="22"/>
        </w:rPr>
        <w:t>10.</w:t>
      </w:r>
    </w:p>
    <w:tbl>
      <w:tblPr>
        <w:tblStyle w:val="TableGrid"/>
        <w:tblW w:w="0" w:type="auto"/>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413"/>
        <w:gridCol w:w="7606"/>
      </w:tblGrid>
      <w:tr w:rsidR="00C01E92" w:rsidRPr="005C0C88" w14:paraId="10164532" w14:textId="77777777" w:rsidTr="005C0C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right w:val="none" w:sz="0" w:space="0" w:color="auto"/>
            </w:tcBorders>
          </w:tcPr>
          <w:p w14:paraId="63DE3109" w14:textId="77777777" w:rsidR="00C01E92" w:rsidRPr="005C0C88" w:rsidRDefault="00C01E92" w:rsidP="005C0C88">
            <w:pPr>
              <w:spacing w:after="60"/>
              <w:rPr>
                <w:rStyle w:val="Strong"/>
                <w:rFonts w:cstheme="minorHAnsi"/>
                <w:b/>
                <w:szCs w:val="22"/>
              </w:rPr>
            </w:pPr>
            <w:r w:rsidRPr="005C0C88">
              <w:rPr>
                <w:rStyle w:val="Strong"/>
                <w:rFonts w:cstheme="minorHAnsi"/>
                <w:b/>
                <w:szCs w:val="22"/>
              </w:rPr>
              <w:t>Score</w:t>
            </w:r>
          </w:p>
        </w:tc>
        <w:tc>
          <w:tcPr>
            <w:tcW w:w="7606" w:type="dxa"/>
            <w:tcBorders>
              <w:left w:val="none" w:sz="0" w:space="0" w:color="auto"/>
            </w:tcBorders>
          </w:tcPr>
          <w:p w14:paraId="5E0C11DD" w14:textId="77777777" w:rsidR="00C01E92" w:rsidRPr="005C0C88" w:rsidRDefault="00C01E92" w:rsidP="005C0C88">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5C0C88">
              <w:rPr>
                <w:rStyle w:val="Strong"/>
                <w:rFonts w:cstheme="minorHAnsi"/>
                <w:b/>
                <w:szCs w:val="22"/>
              </w:rPr>
              <w:t>Meaning</w:t>
            </w:r>
          </w:p>
        </w:tc>
      </w:tr>
      <w:tr w:rsidR="000303BF" w:rsidRPr="005C0C88" w14:paraId="026340A2" w14:textId="77777777" w:rsidTr="006C6752">
        <w:tc>
          <w:tcPr>
            <w:cnfStyle w:val="001000000000" w:firstRow="0" w:lastRow="0" w:firstColumn="1" w:lastColumn="0" w:oddVBand="0" w:evenVBand="0" w:oddHBand="0" w:evenHBand="0" w:firstRowFirstColumn="0" w:firstRowLastColumn="0" w:lastRowFirstColumn="0" w:lastRowLastColumn="0"/>
            <w:tcW w:w="1413" w:type="dxa"/>
          </w:tcPr>
          <w:p w14:paraId="3A5F9931" w14:textId="77777777" w:rsidR="000303BF" w:rsidRPr="005C0C88" w:rsidRDefault="000303BF" w:rsidP="006C6752">
            <w:pPr>
              <w:spacing w:after="60"/>
              <w:rPr>
                <w:rFonts w:cstheme="minorHAnsi"/>
                <w:szCs w:val="22"/>
              </w:rPr>
            </w:pPr>
            <w:r w:rsidRPr="005C0C88">
              <w:rPr>
                <w:rFonts w:cstheme="minorHAnsi"/>
                <w:szCs w:val="22"/>
              </w:rPr>
              <w:t>-10</w:t>
            </w:r>
          </w:p>
        </w:tc>
        <w:tc>
          <w:tcPr>
            <w:tcW w:w="7606" w:type="dxa"/>
          </w:tcPr>
          <w:p w14:paraId="0084D16F" w14:textId="73D80442" w:rsidR="000303BF" w:rsidRPr="005C0C88" w:rsidRDefault="000303BF" w:rsidP="006C6752">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A negative score imposes costs that are significantly higher relative to the Base Case.</w:t>
            </w:r>
          </w:p>
        </w:tc>
      </w:tr>
      <w:tr w:rsidR="00C01E92" w:rsidRPr="005C0C88" w14:paraId="10930C03" w14:textId="77777777" w:rsidTr="005C0C88">
        <w:tc>
          <w:tcPr>
            <w:cnfStyle w:val="001000000000" w:firstRow="0" w:lastRow="0" w:firstColumn="1" w:lastColumn="0" w:oddVBand="0" w:evenVBand="0" w:oddHBand="0" w:evenHBand="0" w:firstRowFirstColumn="0" w:firstRowLastColumn="0" w:lastRowFirstColumn="0" w:lastRowLastColumn="0"/>
            <w:tcW w:w="1413" w:type="dxa"/>
          </w:tcPr>
          <w:p w14:paraId="416956F2" w14:textId="77777777" w:rsidR="00C01E92" w:rsidRPr="005C0C88" w:rsidRDefault="00C01E92" w:rsidP="005C0C88">
            <w:pPr>
              <w:spacing w:after="60"/>
              <w:rPr>
                <w:rFonts w:cstheme="minorHAnsi"/>
                <w:szCs w:val="22"/>
              </w:rPr>
            </w:pPr>
            <w:r w:rsidRPr="005C0C88">
              <w:rPr>
                <w:rFonts w:cstheme="minorHAnsi"/>
                <w:szCs w:val="22"/>
              </w:rPr>
              <w:t>0</w:t>
            </w:r>
          </w:p>
        </w:tc>
        <w:tc>
          <w:tcPr>
            <w:tcW w:w="7606" w:type="dxa"/>
          </w:tcPr>
          <w:p w14:paraId="01395C35" w14:textId="457A43F1" w:rsidR="00C01E92" w:rsidRPr="005C0C88" w:rsidRDefault="00C01E92" w:rsidP="005C0C88">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 xml:space="preserve">A zero score does not add any regulatory costs over the </w:t>
            </w:r>
            <w:r w:rsidR="000303BF" w:rsidRPr="005C0C88">
              <w:rPr>
                <w:rFonts w:cstheme="minorHAnsi"/>
                <w:szCs w:val="22"/>
              </w:rPr>
              <w:t>Base Case</w:t>
            </w:r>
            <w:r w:rsidRPr="005C0C88">
              <w:rPr>
                <w:rFonts w:cstheme="minorHAnsi"/>
                <w:szCs w:val="22"/>
              </w:rPr>
              <w:t>.</w:t>
            </w:r>
          </w:p>
        </w:tc>
      </w:tr>
      <w:tr w:rsidR="00C01E92" w:rsidRPr="005C0C88" w14:paraId="5FBC8D9D" w14:textId="77777777" w:rsidTr="005C0C88">
        <w:tc>
          <w:tcPr>
            <w:cnfStyle w:val="001000000000" w:firstRow="0" w:lastRow="0" w:firstColumn="1" w:lastColumn="0" w:oddVBand="0" w:evenVBand="0" w:oddHBand="0" w:evenHBand="0" w:firstRowFirstColumn="0" w:firstRowLastColumn="0" w:lastRowFirstColumn="0" w:lastRowLastColumn="0"/>
            <w:tcW w:w="1413" w:type="dxa"/>
          </w:tcPr>
          <w:p w14:paraId="4EA52258" w14:textId="77777777" w:rsidR="00C01E92" w:rsidRPr="005C0C88" w:rsidRDefault="00C01E92" w:rsidP="005C0C88">
            <w:pPr>
              <w:spacing w:after="60"/>
              <w:rPr>
                <w:rFonts w:cstheme="minorHAnsi"/>
                <w:szCs w:val="22"/>
              </w:rPr>
            </w:pPr>
            <w:r w:rsidRPr="005C0C88">
              <w:rPr>
                <w:rFonts w:cstheme="minorHAnsi"/>
                <w:szCs w:val="22"/>
              </w:rPr>
              <w:t>+10</w:t>
            </w:r>
          </w:p>
        </w:tc>
        <w:tc>
          <w:tcPr>
            <w:tcW w:w="7606" w:type="dxa"/>
          </w:tcPr>
          <w:p w14:paraId="30237AF6" w14:textId="2347AF98" w:rsidR="00C01E92" w:rsidRPr="005C0C88" w:rsidRDefault="00C01E92" w:rsidP="005C0C88">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 xml:space="preserve">A positive score would be given where the regulations reduce costs relative to the </w:t>
            </w:r>
            <w:r w:rsidR="000303BF" w:rsidRPr="005C0C88">
              <w:rPr>
                <w:rFonts w:cstheme="minorHAnsi"/>
                <w:szCs w:val="22"/>
              </w:rPr>
              <w:t>Base Case</w:t>
            </w:r>
            <w:r w:rsidRPr="005C0C88">
              <w:rPr>
                <w:rFonts w:cstheme="minorHAnsi"/>
                <w:szCs w:val="22"/>
              </w:rPr>
              <w:t>.</w:t>
            </w:r>
          </w:p>
          <w:p w14:paraId="5C3105E8" w14:textId="77777777" w:rsidR="00C01E92" w:rsidRPr="005C0C88" w:rsidRDefault="00C01E92" w:rsidP="005C0C88">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This might happen in a situation where the regulations clarify what would otherwise be an ambiguous (and therefore more demanding) requirement arising from the Act. While theoretically possible, it is unlikely that any option would return a strongly positive score.</w:t>
            </w:r>
          </w:p>
        </w:tc>
      </w:tr>
    </w:tbl>
    <w:p w14:paraId="5F91B54C" w14:textId="69776799" w:rsidR="00C01E92" w:rsidRPr="000107A9" w:rsidRDefault="00B92DEB" w:rsidP="00B92DEB">
      <w:pPr>
        <w:pStyle w:val="Heading3"/>
      </w:pPr>
      <w:bookmarkStart w:id="156" w:name="_Toc32936886"/>
      <w:r>
        <w:t xml:space="preserve">6.1.3 </w:t>
      </w:r>
      <w:r w:rsidR="00C01E92" w:rsidRPr="000107A9">
        <w:t>Weighting</w:t>
      </w:r>
      <w:bookmarkEnd w:id="156"/>
    </w:p>
    <w:p w14:paraId="73E508B6" w14:textId="005F6E79"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Benefits and costs have been weighted equally at 50 per cent each. The weighting of criteria is outlined in </w:t>
      </w: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_Ref4096728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Table 14</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w:t>
      </w:r>
    </w:p>
    <w:p w14:paraId="348C21BC"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As there are two benefit criteria, the weighting has been further divided into 30 per cent for safety and 20 per cent for quality. Similarly, the 50 per cent weighting of the two costs has been further divided into 35 per cent for cost to industry; and 15 per cent for costs to regulator, reflecting the relative importance government places on lowering regulatory burden on industry.</w:t>
      </w:r>
    </w:p>
    <w:p w14:paraId="7EF6E742" w14:textId="7B1D2DB9" w:rsidR="00C01E92" w:rsidRPr="00D55F3A" w:rsidRDefault="00C01E92" w:rsidP="00F7569F">
      <w:pPr>
        <w:pStyle w:val="Caption"/>
        <w:rPr>
          <w:bCs w:val="0"/>
        </w:rPr>
      </w:pPr>
      <w:bookmarkStart w:id="157" w:name="_Ref4096728"/>
      <w:bookmarkStart w:id="158" w:name="_Toc4161443"/>
      <w:bookmarkStart w:id="159" w:name="_Toc15979361"/>
      <w:bookmarkStart w:id="160" w:name="_Toc21010871"/>
      <w:bookmarkStart w:id="161" w:name="_Toc32592797"/>
      <w:r w:rsidRPr="000107A9">
        <w:lastRenderedPageBreak/>
        <w:t xml:space="preserve">Table </w:t>
      </w:r>
      <w:r w:rsidRPr="000107A9">
        <w:fldChar w:fldCharType="begin"/>
      </w:r>
      <w:r w:rsidRPr="000107A9">
        <w:instrText xml:space="preserve"> SEQ Table \* ARABIC </w:instrText>
      </w:r>
      <w:r w:rsidRPr="000107A9">
        <w:fldChar w:fldCharType="separate"/>
      </w:r>
      <w:r w:rsidR="00493211">
        <w:rPr>
          <w:noProof/>
        </w:rPr>
        <w:t>14</w:t>
      </w:r>
      <w:r w:rsidRPr="000107A9">
        <w:fldChar w:fldCharType="end"/>
      </w:r>
      <w:bookmarkEnd w:id="157"/>
      <w:r w:rsidRPr="000107A9">
        <w:t>: Criteria weightings</w:t>
      </w:r>
      <w:bookmarkEnd w:id="158"/>
      <w:bookmarkEnd w:id="159"/>
      <w:bookmarkEnd w:id="160"/>
      <w:bookmarkEnd w:id="161"/>
    </w:p>
    <w:tbl>
      <w:tblPr>
        <w:tblStyle w:val="TableGrid"/>
        <w:tblW w:w="9029" w:type="dxa"/>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Caption w:val="Table heading"/>
      </w:tblPr>
      <w:tblGrid>
        <w:gridCol w:w="1504"/>
        <w:gridCol w:w="1505"/>
        <w:gridCol w:w="1505"/>
        <w:gridCol w:w="1505"/>
        <w:gridCol w:w="1505"/>
        <w:gridCol w:w="1505"/>
      </w:tblGrid>
      <w:tr w:rsidR="005E57BF" w:rsidRPr="005C0C88" w14:paraId="2520F79E" w14:textId="77777777" w:rsidTr="005C0C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Borders>
              <w:right w:val="none" w:sz="0" w:space="0" w:color="auto"/>
            </w:tcBorders>
          </w:tcPr>
          <w:p w14:paraId="53D15195" w14:textId="0697B1DF" w:rsidR="005E57BF" w:rsidRPr="005C0C88" w:rsidRDefault="005E57BF" w:rsidP="005C0C88">
            <w:pPr>
              <w:spacing w:after="60"/>
              <w:rPr>
                <w:rStyle w:val="Strong"/>
                <w:rFonts w:cstheme="minorHAnsi"/>
                <w:b/>
                <w:szCs w:val="22"/>
              </w:rPr>
            </w:pPr>
          </w:p>
        </w:tc>
        <w:tc>
          <w:tcPr>
            <w:tcW w:w="1505" w:type="dxa"/>
            <w:tcBorders>
              <w:left w:val="none" w:sz="0" w:space="0" w:color="auto"/>
              <w:right w:val="none" w:sz="0" w:space="0" w:color="auto"/>
            </w:tcBorders>
          </w:tcPr>
          <w:p w14:paraId="6112D77F" w14:textId="048F7036" w:rsidR="005E57BF" w:rsidRPr="005C0C88" w:rsidRDefault="005E57BF" w:rsidP="005C0C88">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5C0C88">
              <w:rPr>
                <w:rStyle w:val="Strong"/>
                <w:rFonts w:cstheme="minorHAnsi"/>
                <w:b/>
                <w:szCs w:val="22"/>
              </w:rPr>
              <w:t>Criteria</w:t>
            </w:r>
          </w:p>
        </w:tc>
        <w:tc>
          <w:tcPr>
            <w:tcW w:w="1505" w:type="dxa"/>
            <w:tcBorders>
              <w:left w:val="none" w:sz="0" w:space="0" w:color="auto"/>
              <w:right w:val="none" w:sz="0" w:space="0" w:color="auto"/>
            </w:tcBorders>
          </w:tcPr>
          <w:p w14:paraId="2AE1FB2E" w14:textId="77777777" w:rsidR="005E57BF" w:rsidRPr="005C0C88" w:rsidRDefault="005E57BF" w:rsidP="005C0C88">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bCs w:val="0"/>
                <w:szCs w:val="22"/>
              </w:rPr>
            </w:pPr>
            <w:r w:rsidRPr="005C0C88">
              <w:rPr>
                <w:rStyle w:val="Strong"/>
                <w:rFonts w:cstheme="minorHAnsi"/>
                <w:b/>
                <w:szCs w:val="22"/>
              </w:rPr>
              <w:t>Weighting</w:t>
            </w:r>
          </w:p>
        </w:tc>
        <w:tc>
          <w:tcPr>
            <w:tcW w:w="1505" w:type="dxa"/>
            <w:tcBorders>
              <w:left w:val="none" w:sz="0" w:space="0" w:color="auto"/>
              <w:right w:val="none" w:sz="0" w:space="0" w:color="auto"/>
            </w:tcBorders>
          </w:tcPr>
          <w:p w14:paraId="1EE1E5E7" w14:textId="784AE0AA" w:rsidR="005E57BF" w:rsidRPr="005C0C88" w:rsidRDefault="005E57BF" w:rsidP="005C0C88">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p>
        </w:tc>
        <w:tc>
          <w:tcPr>
            <w:tcW w:w="1505" w:type="dxa"/>
            <w:tcBorders>
              <w:left w:val="none" w:sz="0" w:space="0" w:color="auto"/>
              <w:right w:val="none" w:sz="0" w:space="0" w:color="auto"/>
            </w:tcBorders>
          </w:tcPr>
          <w:p w14:paraId="3A6DD799" w14:textId="6B99DD2E" w:rsidR="005E57BF" w:rsidRPr="005C0C88" w:rsidRDefault="005E57BF" w:rsidP="005C0C88">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5C0C88">
              <w:rPr>
                <w:rStyle w:val="Strong"/>
                <w:rFonts w:cstheme="minorHAnsi"/>
                <w:b/>
                <w:szCs w:val="22"/>
              </w:rPr>
              <w:t>Criteria</w:t>
            </w:r>
          </w:p>
        </w:tc>
        <w:tc>
          <w:tcPr>
            <w:tcW w:w="1505" w:type="dxa"/>
            <w:tcBorders>
              <w:left w:val="none" w:sz="0" w:space="0" w:color="auto"/>
            </w:tcBorders>
          </w:tcPr>
          <w:p w14:paraId="22F4D1CA" w14:textId="77777777" w:rsidR="005E57BF" w:rsidRPr="005C0C88" w:rsidRDefault="005E57BF" w:rsidP="005C0C88">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5C0C88">
              <w:rPr>
                <w:rStyle w:val="Strong"/>
                <w:rFonts w:cstheme="minorHAnsi"/>
                <w:b/>
                <w:szCs w:val="22"/>
              </w:rPr>
              <w:t>Weighting</w:t>
            </w:r>
          </w:p>
        </w:tc>
      </w:tr>
      <w:tr w:rsidR="005E57BF" w:rsidRPr="005C0C88" w14:paraId="4156B1F7" w14:textId="77777777" w:rsidTr="005C0C88">
        <w:trPr>
          <w:trHeight w:val="358"/>
        </w:trPr>
        <w:tc>
          <w:tcPr>
            <w:cnfStyle w:val="001000000000" w:firstRow="0" w:lastRow="0" w:firstColumn="1" w:lastColumn="0" w:oddVBand="0" w:evenVBand="0" w:oddHBand="0" w:evenHBand="0" w:firstRowFirstColumn="0" w:firstRowLastColumn="0" w:lastRowFirstColumn="0" w:lastRowLastColumn="0"/>
            <w:tcW w:w="1504" w:type="dxa"/>
            <w:vMerge w:val="restart"/>
          </w:tcPr>
          <w:p w14:paraId="7CC83BF1" w14:textId="77777777" w:rsidR="005E57BF" w:rsidRPr="005C0C88" w:rsidRDefault="005E57BF" w:rsidP="005C0C88">
            <w:pPr>
              <w:spacing w:after="60"/>
              <w:rPr>
                <w:rFonts w:cstheme="minorHAnsi"/>
                <w:color w:val="D9D9D6" w:themeColor="background2"/>
                <w:szCs w:val="22"/>
              </w:rPr>
            </w:pPr>
            <w:r w:rsidRPr="005C0C88">
              <w:rPr>
                <w:rStyle w:val="Strong"/>
                <w:rFonts w:cstheme="minorHAnsi"/>
                <w:b w:val="0"/>
                <w:color w:val="004EA8"/>
                <w:szCs w:val="22"/>
              </w:rPr>
              <w:t>Benefits of…</w:t>
            </w:r>
          </w:p>
        </w:tc>
        <w:tc>
          <w:tcPr>
            <w:tcW w:w="1505" w:type="dxa"/>
          </w:tcPr>
          <w:p w14:paraId="28B07AB2" w14:textId="77777777" w:rsidR="005E57BF" w:rsidRPr="005C0C88" w:rsidRDefault="005E57BF" w:rsidP="005C0C88">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Safety</w:t>
            </w:r>
          </w:p>
        </w:tc>
        <w:tc>
          <w:tcPr>
            <w:tcW w:w="1505" w:type="dxa"/>
          </w:tcPr>
          <w:p w14:paraId="155FD91B" w14:textId="77777777" w:rsidR="005E57BF" w:rsidRPr="005C0C88" w:rsidRDefault="005E57BF" w:rsidP="005C0C88">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30%</w:t>
            </w:r>
          </w:p>
        </w:tc>
        <w:tc>
          <w:tcPr>
            <w:tcW w:w="1505" w:type="dxa"/>
            <w:vMerge w:val="restart"/>
          </w:tcPr>
          <w:p w14:paraId="19189D81" w14:textId="033918CA" w:rsidR="005E57BF" w:rsidRPr="005C0C88" w:rsidRDefault="00247217" w:rsidP="005C0C88">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color w:val="004EA8"/>
                <w:szCs w:val="22"/>
              </w:rPr>
              <w:t>Cost</w:t>
            </w:r>
            <w:r w:rsidR="005E57BF" w:rsidRPr="005C0C88">
              <w:rPr>
                <w:rFonts w:cstheme="minorHAnsi"/>
                <w:color w:val="004EA8"/>
                <w:szCs w:val="22"/>
              </w:rPr>
              <w:t xml:space="preserve"> to…</w:t>
            </w:r>
          </w:p>
        </w:tc>
        <w:tc>
          <w:tcPr>
            <w:tcW w:w="1505" w:type="dxa"/>
          </w:tcPr>
          <w:p w14:paraId="605F1648" w14:textId="77777777" w:rsidR="005E57BF" w:rsidRPr="005C0C88" w:rsidRDefault="005E57BF" w:rsidP="005C0C88">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Industry</w:t>
            </w:r>
          </w:p>
        </w:tc>
        <w:tc>
          <w:tcPr>
            <w:tcW w:w="1505" w:type="dxa"/>
          </w:tcPr>
          <w:p w14:paraId="3AE6BFBE" w14:textId="77777777" w:rsidR="005E57BF" w:rsidRPr="005C0C88" w:rsidRDefault="005E57BF" w:rsidP="005C0C88">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35%</w:t>
            </w:r>
          </w:p>
        </w:tc>
      </w:tr>
      <w:tr w:rsidR="005E57BF" w:rsidRPr="005C0C88" w14:paraId="7AC3956C" w14:textId="77777777" w:rsidTr="005C0C88">
        <w:trPr>
          <w:trHeight w:val="358"/>
        </w:trPr>
        <w:tc>
          <w:tcPr>
            <w:cnfStyle w:val="001000000000" w:firstRow="0" w:lastRow="0" w:firstColumn="1" w:lastColumn="0" w:oddVBand="0" w:evenVBand="0" w:oddHBand="0" w:evenHBand="0" w:firstRowFirstColumn="0" w:firstRowLastColumn="0" w:lastRowFirstColumn="0" w:lastRowLastColumn="0"/>
            <w:tcW w:w="1504" w:type="dxa"/>
            <w:vMerge/>
            <w:tcBorders>
              <w:bottom w:val="single" w:sz="4" w:space="0" w:color="004EA8" w:themeColor="accent1"/>
            </w:tcBorders>
          </w:tcPr>
          <w:p w14:paraId="35F637AF" w14:textId="77777777" w:rsidR="005E57BF" w:rsidRPr="005C0C88" w:rsidRDefault="005E57BF" w:rsidP="005C0C88">
            <w:pPr>
              <w:spacing w:after="60"/>
              <w:rPr>
                <w:rFonts w:cstheme="minorHAnsi"/>
                <w:szCs w:val="22"/>
              </w:rPr>
            </w:pPr>
          </w:p>
        </w:tc>
        <w:tc>
          <w:tcPr>
            <w:tcW w:w="1505" w:type="dxa"/>
            <w:tcBorders>
              <w:bottom w:val="single" w:sz="4" w:space="0" w:color="004EA8" w:themeColor="accent1"/>
            </w:tcBorders>
          </w:tcPr>
          <w:p w14:paraId="41C2FE14" w14:textId="77777777" w:rsidR="005E57BF" w:rsidRPr="005C0C88" w:rsidRDefault="005E57BF" w:rsidP="005C0C88">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Quality</w:t>
            </w:r>
          </w:p>
        </w:tc>
        <w:tc>
          <w:tcPr>
            <w:tcW w:w="1505" w:type="dxa"/>
            <w:tcBorders>
              <w:bottom w:val="single" w:sz="4" w:space="0" w:color="004EA8" w:themeColor="accent1"/>
            </w:tcBorders>
          </w:tcPr>
          <w:p w14:paraId="709A265F" w14:textId="77777777" w:rsidR="005E57BF" w:rsidRPr="005C0C88" w:rsidRDefault="005E57BF" w:rsidP="005C0C88">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20%</w:t>
            </w:r>
          </w:p>
        </w:tc>
        <w:tc>
          <w:tcPr>
            <w:tcW w:w="1505" w:type="dxa"/>
            <w:vMerge/>
            <w:tcBorders>
              <w:bottom w:val="single" w:sz="4" w:space="0" w:color="004EA8" w:themeColor="accent1"/>
            </w:tcBorders>
          </w:tcPr>
          <w:p w14:paraId="64BEF3EF" w14:textId="77777777" w:rsidR="005E57BF" w:rsidRPr="005C0C88" w:rsidRDefault="005E57BF" w:rsidP="005C0C88">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p>
        </w:tc>
        <w:tc>
          <w:tcPr>
            <w:tcW w:w="1505" w:type="dxa"/>
            <w:tcBorders>
              <w:bottom w:val="single" w:sz="4" w:space="0" w:color="004EA8" w:themeColor="accent1"/>
            </w:tcBorders>
          </w:tcPr>
          <w:p w14:paraId="0CA1078C" w14:textId="77777777" w:rsidR="005E57BF" w:rsidRPr="005C0C88" w:rsidRDefault="005E57BF" w:rsidP="005C0C88">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Regulator</w:t>
            </w:r>
          </w:p>
        </w:tc>
        <w:tc>
          <w:tcPr>
            <w:tcW w:w="1505" w:type="dxa"/>
            <w:tcBorders>
              <w:bottom w:val="single" w:sz="4" w:space="0" w:color="004EA8" w:themeColor="accent1"/>
            </w:tcBorders>
          </w:tcPr>
          <w:p w14:paraId="18AB32AB" w14:textId="77777777" w:rsidR="005E57BF" w:rsidRPr="005C0C88" w:rsidRDefault="005E57BF" w:rsidP="005C0C88">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15%</w:t>
            </w:r>
          </w:p>
        </w:tc>
      </w:tr>
      <w:tr w:rsidR="005E57BF" w:rsidRPr="005C0C88" w14:paraId="4AB47F81" w14:textId="77777777" w:rsidTr="005C0C88">
        <w:trPr>
          <w:trHeight w:val="358"/>
        </w:trPr>
        <w:tc>
          <w:tcPr>
            <w:cnfStyle w:val="001000000000" w:firstRow="0" w:lastRow="0" w:firstColumn="1" w:lastColumn="0" w:oddVBand="0" w:evenVBand="0" w:oddHBand="0" w:evenHBand="0" w:firstRowFirstColumn="0" w:firstRowLastColumn="0" w:lastRowFirstColumn="0" w:lastRowLastColumn="0"/>
            <w:tcW w:w="1504" w:type="dxa"/>
            <w:tcBorders>
              <w:right w:val="nil"/>
            </w:tcBorders>
          </w:tcPr>
          <w:p w14:paraId="3C483F21" w14:textId="77777777" w:rsidR="005E57BF" w:rsidRPr="005C0C88" w:rsidRDefault="005E57BF" w:rsidP="005C0C88">
            <w:pPr>
              <w:spacing w:after="60"/>
              <w:rPr>
                <w:rFonts w:cstheme="minorHAnsi"/>
                <w:b/>
                <w:szCs w:val="22"/>
              </w:rPr>
            </w:pPr>
          </w:p>
        </w:tc>
        <w:tc>
          <w:tcPr>
            <w:tcW w:w="1505" w:type="dxa"/>
            <w:tcBorders>
              <w:left w:val="nil"/>
              <w:right w:val="nil"/>
            </w:tcBorders>
          </w:tcPr>
          <w:p w14:paraId="3AAAA83C" w14:textId="77777777" w:rsidR="005E57BF" w:rsidRPr="005C0C88" w:rsidRDefault="005E57BF" w:rsidP="005C0C88">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1505" w:type="dxa"/>
            <w:tcBorders>
              <w:left w:val="nil"/>
            </w:tcBorders>
          </w:tcPr>
          <w:p w14:paraId="4004D812" w14:textId="77777777" w:rsidR="005E57BF" w:rsidRPr="005C0C88" w:rsidRDefault="005E57BF" w:rsidP="005C0C88">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5C0C88">
              <w:rPr>
                <w:rFonts w:cstheme="minorHAnsi"/>
                <w:b/>
                <w:szCs w:val="22"/>
              </w:rPr>
              <w:t>50%</w:t>
            </w:r>
          </w:p>
        </w:tc>
        <w:tc>
          <w:tcPr>
            <w:tcW w:w="1505" w:type="dxa"/>
            <w:tcBorders>
              <w:right w:val="nil"/>
            </w:tcBorders>
          </w:tcPr>
          <w:p w14:paraId="14E1EEF4" w14:textId="77777777" w:rsidR="005E57BF" w:rsidRPr="005C0C88" w:rsidRDefault="005E57BF" w:rsidP="005C0C88">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1505" w:type="dxa"/>
            <w:tcBorders>
              <w:left w:val="nil"/>
              <w:right w:val="nil"/>
            </w:tcBorders>
          </w:tcPr>
          <w:p w14:paraId="3A98B3E6" w14:textId="77777777" w:rsidR="005E57BF" w:rsidRPr="005C0C88" w:rsidRDefault="005E57BF" w:rsidP="005C0C88">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1505" w:type="dxa"/>
            <w:tcBorders>
              <w:left w:val="nil"/>
            </w:tcBorders>
          </w:tcPr>
          <w:p w14:paraId="0F3A4D4F" w14:textId="77777777" w:rsidR="005E57BF" w:rsidRPr="005C0C88" w:rsidRDefault="005E57BF" w:rsidP="005C0C88">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5C0C88">
              <w:rPr>
                <w:rFonts w:cstheme="minorHAnsi"/>
                <w:b/>
                <w:szCs w:val="22"/>
              </w:rPr>
              <w:t>50%</w:t>
            </w:r>
          </w:p>
        </w:tc>
      </w:tr>
    </w:tbl>
    <w:p w14:paraId="098C4D5C"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Once an option has been scored on all of the above criteria, each score is multiplied by its corresponding weighting. The results are summed and the option returning the highest value is preferred.</w:t>
      </w:r>
    </w:p>
    <w:p w14:paraId="66807F90" w14:textId="0D630673" w:rsidR="00C01E92" w:rsidRPr="000107A9" w:rsidRDefault="00B92DEB" w:rsidP="00B92DEB">
      <w:pPr>
        <w:pStyle w:val="Heading3"/>
      </w:pPr>
      <w:bookmarkStart w:id="162" w:name="_Toc32936887"/>
      <w:r>
        <w:t xml:space="preserve">6.1.4 </w:t>
      </w:r>
      <w:r w:rsidR="00C01E92" w:rsidRPr="000107A9">
        <w:t>Rate of compliance</w:t>
      </w:r>
      <w:bookmarkEnd w:id="162"/>
    </w:p>
    <w:p w14:paraId="6AAA998B"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rate of compliance refers to the percentage or number of services that fully adhere to the legislation. Although not expected to make a significant difference to scoring the options, rate of compliance is an important consideration.</w:t>
      </w:r>
    </w:p>
    <w:p w14:paraId="2DD1485B"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In some cases, not to complying with legislation is a conscious choice. However, the rate of compliance may be affected by the amount and clarity of information provided in the Regulations and the consequent ability of service providers to fulfil their roles (such as planning or reporting requirements). Where regulations create costs or savings to regulated businesses, the rate of compliance will affect the financial burden of regulations on non-compliant businesses and the sector as a whole.</w:t>
      </w:r>
    </w:p>
    <w:p w14:paraId="50D1A340"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Available data suggests that there is a low incidence of non-compliance in children’s services, with 90% of children’s services identified by QARD as “low risk.”</w:t>
      </w:r>
    </w:p>
    <w:p w14:paraId="1570A013"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Where possible and relevant to the analysis (given available data), a </w:t>
      </w:r>
      <w:r w:rsidRPr="000107A9">
        <w:rPr>
          <w:rFonts w:asciiTheme="minorHAnsi" w:hAnsiTheme="minorHAnsi" w:cstheme="minorHAnsi"/>
          <w:b/>
          <w:sz w:val="22"/>
          <w:szCs w:val="22"/>
        </w:rPr>
        <w:t>90% rate of compliance</w:t>
      </w:r>
      <w:r w:rsidRPr="000107A9">
        <w:rPr>
          <w:rFonts w:asciiTheme="minorHAnsi" w:hAnsiTheme="minorHAnsi" w:cstheme="minorHAnsi"/>
          <w:sz w:val="22"/>
          <w:szCs w:val="22"/>
        </w:rPr>
        <w:t xml:space="preserve"> among existing services has been assumed in the assessment of the options.</w:t>
      </w:r>
    </w:p>
    <w:p w14:paraId="1CB9B9DE" w14:textId="0E7C23EC" w:rsidR="00C01E92" w:rsidRPr="000107A9" w:rsidRDefault="00B92DEB" w:rsidP="00A87A06">
      <w:pPr>
        <w:pStyle w:val="Heading2"/>
      </w:pPr>
      <w:bookmarkStart w:id="163" w:name="_Toc30669618"/>
      <w:bookmarkStart w:id="164" w:name="_Toc32936888"/>
      <w:r>
        <w:t xml:space="preserve">6.2 </w:t>
      </w:r>
      <w:r w:rsidR="00C01E92" w:rsidRPr="000107A9">
        <w:t>Cost analysis</w:t>
      </w:r>
      <w:bookmarkEnd w:id="163"/>
      <w:bookmarkEnd w:id="164"/>
    </w:p>
    <w:p w14:paraId="1C1C3FA2"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This section assesses the costs to industry (businesses in the children’s services sector) associated with each option. This RIS assesses the following costs to industry imposed by the Regulations: </w:t>
      </w:r>
    </w:p>
    <w:p w14:paraId="02C1F65B" w14:textId="77777777" w:rsidR="00C01E92" w:rsidRPr="000107A9" w:rsidRDefault="00C01E92" w:rsidP="002806C5">
      <w:pPr>
        <w:pStyle w:val="EYBulletnoparaspace"/>
        <w:numPr>
          <w:ilvl w:val="0"/>
          <w:numId w:val="62"/>
        </w:numPr>
        <w:spacing w:before="60" w:after="60"/>
        <w:ind w:left="782" w:hanging="357"/>
        <w:contextualSpacing w:val="0"/>
        <w:rPr>
          <w:rFonts w:asciiTheme="minorHAnsi" w:hAnsiTheme="minorHAnsi" w:cstheme="minorHAnsi"/>
          <w:sz w:val="22"/>
          <w:szCs w:val="22"/>
        </w:rPr>
      </w:pPr>
      <w:r w:rsidRPr="000107A9">
        <w:rPr>
          <w:rFonts w:asciiTheme="minorHAnsi" w:hAnsiTheme="minorHAnsi" w:cstheme="minorHAnsi"/>
          <w:sz w:val="22"/>
          <w:szCs w:val="22"/>
        </w:rPr>
        <w:t>Applying for initial provider and service approvals, along with applications to vary or voluntarily suspend approvals</w:t>
      </w:r>
    </w:p>
    <w:p w14:paraId="6614C5FE" w14:textId="77777777" w:rsidR="00C01E92" w:rsidRPr="000107A9" w:rsidRDefault="00C01E92" w:rsidP="002806C5">
      <w:pPr>
        <w:pStyle w:val="EYBulletnoparaspace"/>
        <w:numPr>
          <w:ilvl w:val="0"/>
          <w:numId w:val="62"/>
        </w:numPr>
        <w:spacing w:before="60" w:after="60"/>
        <w:ind w:left="782" w:hanging="357"/>
        <w:contextualSpacing w:val="0"/>
        <w:rPr>
          <w:rFonts w:asciiTheme="minorHAnsi" w:hAnsiTheme="minorHAnsi" w:cstheme="minorHAnsi"/>
          <w:sz w:val="22"/>
          <w:szCs w:val="22"/>
        </w:rPr>
      </w:pPr>
      <w:r w:rsidRPr="000107A9">
        <w:rPr>
          <w:rFonts w:asciiTheme="minorHAnsi" w:hAnsiTheme="minorHAnsi" w:cstheme="minorHAnsi"/>
          <w:sz w:val="22"/>
          <w:szCs w:val="22"/>
        </w:rPr>
        <w:t>Meeting staff ratio, qualification and minimum number requirements</w:t>
      </w:r>
    </w:p>
    <w:p w14:paraId="45FC7F50" w14:textId="77777777" w:rsidR="00C01E92" w:rsidRPr="000107A9" w:rsidRDefault="00C01E92" w:rsidP="002806C5">
      <w:pPr>
        <w:pStyle w:val="EYBulletnoparaspace"/>
        <w:numPr>
          <w:ilvl w:val="0"/>
          <w:numId w:val="62"/>
        </w:numPr>
        <w:spacing w:before="60" w:after="60"/>
        <w:ind w:left="782" w:hanging="357"/>
        <w:contextualSpacing w:val="0"/>
        <w:rPr>
          <w:rFonts w:asciiTheme="minorHAnsi" w:hAnsiTheme="minorHAnsi" w:cstheme="minorHAnsi"/>
          <w:sz w:val="22"/>
          <w:szCs w:val="22"/>
        </w:rPr>
      </w:pPr>
      <w:r w:rsidRPr="000107A9">
        <w:rPr>
          <w:rFonts w:asciiTheme="minorHAnsi" w:hAnsiTheme="minorHAnsi" w:cstheme="minorHAnsi"/>
          <w:sz w:val="22"/>
          <w:szCs w:val="22"/>
        </w:rPr>
        <w:t>Undertaking administrative tasks to comply with safety, health and wellbeing provisions</w:t>
      </w:r>
    </w:p>
    <w:p w14:paraId="02ACE8F9" w14:textId="77777777" w:rsidR="00C01E92" w:rsidRPr="000107A9" w:rsidRDefault="00C01E92" w:rsidP="002806C5">
      <w:pPr>
        <w:pStyle w:val="EYBulletnoparaspace"/>
        <w:numPr>
          <w:ilvl w:val="0"/>
          <w:numId w:val="62"/>
        </w:numPr>
        <w:spacing w:before="60" w:after="60"/>
        <w:ind w:left="782" w:hanging="357"/>
        <w:contextualSpacing w:val="0"/>
        <w:rPr>
          <w:rFonts w:asciiTheme="minorHAnsi" w:hAnsiTheme="minorHAnsi" w:cstheme="minorHAnsi"/>
          <w:sz w:val="22"/>
          <w:szCs w:val="22"/>
        </w:rPr>
      </w:pPr>
      <w:r w:rsidRPr="000107A9">
        <w:rPr>
          <w:rFonts w:asciiTheme="minorHAnsi" w:hAnsiTheme="minorHAnsi" w:cstheme="minorHAnsi"/>
          <w:sz w:val="22"/>
          <w:szCs w:val="22"/>
        </w:rPr>
        <w:t>Equipping premises with required facilities and providing indoor and outdoor space per child</w:t>
      </w:r>
    </w:p>
    <w:p w14:paraId="3E7241D1" w14:textId="30B41C81" w:rsidR="00C01E92" w:rsidRPr="000107A9" w:rsidRDefault="00C01E92" w:rsidP="002806C5">
      <w:pPr>
        <w:pStyle w:val="EYBulletnoparaspace"/>
        <w:numPr>
          <w:ilvl w:val="0"/>
          <w:numId w:val="62"/>
        </w:numPr>
        <w:spacing w:before="60" w:after="60"/>
        <w:ind w:left="782" w:hanging="357"/>
        <w:contextualSpacing w:val="0"/>
        <w:rPr>
          <w:rFonts w:asciiTheme="minorHAnsi" w:hAnsiTheme="minorHAnsi" w:cstheme="minorHAnsi"/>
          <w:sz w:val="22"/>
          <w:szCs w:val="22"/>
        </w:rPr>
      </w:pPr>
      <w:r w:rsidRPr="000107A9">
        <w:rPr>
          <w:rFonts w:asciiTheme="minorHAnsi" w:hAnsiTheme="minorHAnsi" w:cstheme="minorHAnsi"/>
          <w:sz w:val="22"/>
          <w:szCs w:val="22"/>
        </w:rPr>
        <w:t xml:space="preserve">Undertaking miscellaneous paperwork including enrolment records and notifying the Secretary of </w:t>
      </w:r>
      <w:r w:rsidR="005A6B33">
        <w:rPr>
          <w:rFonts w:asciiTheme="minorHAnsi" w:hAnsiTheme="minorHAnsi" w:cstheme="minorHAnsi"/>
          <w:sz w:val="22"/>
          <w:szCs w:val="22"/>
        </w:rPr>
        <w:t>Complaints and serious incidents</w:t>
      </w:r>
    </w:p>
    <w:p w14:paraId="4053D2F5" w14:textId="77777777" w:rsidR="00C01E92" w:rsidRPr="000107A9" w:rsidRDefault="00C01E92" w:rsidP="002806C5">
      <w:pPr>
        <w:pStyle w:val="EYBulletnoparaspace"/>
        <w:numPr>
          <w:ilvl w:val="0"/>
          <w:numId w:val="62"/>
        </w:numPr>
        <w:spacing w:before="60" w:after="60"/>
        <w:ind w:left="782" w:hanging="357"/>
        <w:contextualSpacing w:val="0"/>
        <w:rPr>
          <w:rFonts w:asciiTheme="minorHAnsi" w:hAnsiTheme="minorHAnsi" w:cstheme="minorHAnsi"/>
          <w:sz w:val="22"/>
          <w:szCs w:val="22"/>
        </w:rPr>
      </w:pPr>
      <w:r w:rsidRPr="000107A9">
        <w:rPr>
          <w:rFonts w:asciiTheme="minorHAnsi" w:hAnsiTheme="minorHAnsi" w:cstheme="minorHAnsi"/>
          <w:sz w:val="22"/>
          <w:szCs w:val="22"/>
        </w:rPr>
        <w:t>Fees</w:t>
      </w:r>
    </w:p>
    <w:p w14:paraId="6AD0DE4A" w14:textId="77777777" w:rsidR="00C01E92" w:rsidRPr="006C177D" w:rsidRDefault="00C01E92" w:rsidP="002806C5">
      <w:pPr>
        <w:pStyle w:val="EYBulletnoparaspace"/>
        <w:numPr>
          <w:ilvl w:val="0"/>
          <w:numId w:val="62"/>
        </w:numPr>
        <w:spacing w:before="60" w:after="60"/>
        <w:ind w:left="782" w:hanging="357"/>
        <w:contextualSpacing w:val="0"/>
        <w:rPr>
          <w:rFonts w:asciiTheme="minorHAnsi" w:hAnsiTheme="minorHAnsi" w:cstheme="minorHAnsi"/>
          <w:sz w:val="22"/>
          <w:szCs w:val="22"/>
        </w:rPr>
      </w:pPr>
      <w:r w:rsidRPr="006C177D">
        <w:rPr>
          <w:rFonts w:asciiTheme="minorHAnsi" w:hAnsiTheme="minorHAnsi" w:cstheme="minorHAnsi"/>
          <w:sz w:val="22"/>
          <w:szCs w:val="22"/>
        </w:rPr>
        <w:t>Exemptions or waivers.</w:t>
      </w:r>
    </w:p>
    <w:p w14:paraId="69EC9C30"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costs analysed in the ‘Status Quo’ options reflect those imposed under the current Regulations, while the costs of the ‘alignment’ options are those expected to be incurred if the proposed Regulations are made. Both options are assessed, as far as possible, against the costs incurred in the base case of no Regulations.</w:t>
      </w:r>
    </w:p>
    <w:p w14:paraId="3530DF70" w14:textId="18976D47" w:rsidR="00C01E92" w:rsidRPr="000107A9" w:rsidRDefault="00300CCD" w:rsidP="00C01E92">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lastRenderedPageBreak/>
        <w:t>M</w:t>
      </w:r>
      <w:r w:rsidR="00C01E92" w:rsidRPr="000107A9">
        <w:rPr>
          <w:rFonts w:asciiTheme="minorHAnsi" w:hAnsiTheme="minorHAnsi" w:cstheme="minorHAnsi"/>
          <w:sz w:val="22"/>
          <w:szCs w:val="22"/>
        </w:rPr>
        <w:t xml:space="preserve">ethodology and assumptions used to undertake the costs analysis are </w:t>
      </w:r>
      <w:r w:rsidR="00C01E92" w:rsidRPr="00300CCD">
        <w:rPr>
          <w:rFonts w:asciiTheme="minorHAnsi" w:hAnsiTheme="minorHAnsi" w:cstheme="minorHAnsi"/>
          <w:sz w:val="22"/>
          <w:szCs w:val="22"/>
        </w:rPr>
        <w:t xml:space="preserve">detailed </w:t>
      </w:r>
      <w:r>
        <w:rPr>
          <w:rFonts w:asciiTheme="minorHAnsi" w:hAnsiTheme="minorHAnsi" w:cstheme="minorHAnsi"/>
          <w:sz w:val="22"/>
          <w:szCs w:val="22"/>
        </w:rPr>
        <w:t xml:space="preserve">in </w:t>
      </w:r>
      <w:r w:rsidR="00C01E92" w:rsidRPr="00300CCD">
        <w:rPr>
          <w:rFonts w:asciiTheme="minorHAnsi" w:hAnsiTheme="minorHAnsi" w:cstheme="minorHAnsi"/>
          <w:sz w:val="22"/>
          <w:szCs w:val="22"/>
        </w:rPr>
        <w:t>Appendix</w:t>
      </w:r>
      <w:r w:rsidRPr="00300CCD">
        <w:rPr>
          <w:rFonts w:asciiTheme="minorHAnsi" w:hAnsiTheme="minorHAnsi" w:cstheme="minorHAnsi"/>
          <w:sz w:val="22"/>
          <w:szCs w:val="22"/>
        </w:rPr>
        <w:t xml:space="preserve"> 10.4</w:t>
      </w:r>
      <w:r w:rsidR="00C01E92" w:rsidRPr="00300CCD">
        <w:rPr>
          <w:rFonts w:asciiTheme="minorHAnsi" w:hAnsiTheme="minorHAnsi" w:cstheme="minorHAnsi"/>
          <w:sz w:val="22"/>
          <w:szCs w:val="22"/>
        </w:rPr>
        <w:t>.</w:t>
      </w:r>
    </w:p>
    <w:p w14:paraId="14CA9405"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costs measured in this RIS were identified through an assessment of the key activities required by the current and proposed Regulations. Each activity was costed based on:</w:t>
      </w:r>
    </w:p>
    <w:p w14:paraId="3A9D34AC" w14:textId="77777777" w:rsidR="00C01E92" w:rsidRPr="000107A9" w:rsidRDefault="00C01E92" w:rsidP="002806C5">
      <w:pPr>
        <w:pStyle w:val="EYBulletedText1"/>
        <w:numPr>
          <w:ilvl w:val="0"/>
          <w:numId w:val="62"/>
        </w:numPr>
        <w:spacing w:before="120" w:after="120"/>
        <w:rPr>
          <w:rFonts w:asciiTheme="minorHAnsi" w:hAnsiTheme="minorHAnsi" w:cstheme="minorHAnsi"/>
          <w:sz w:val="22"/>
          <w:szCs w:val="22"/>
        </w:rPr>
      </w:pPr>
      <w:r w:rsidRPr="000107A9">
        <w:rPr>
          <w:rFonts w:asciiTheme="minorHAnsi" w:hAnsiTheme="minorHAnsi" w:cstheme="minorHAnsi"/>
          <w:b/>
          <w:sz w:val="22"/>
          <w:szCs w:val="22"/>
        </w:rPr>
        <w:t>Assumed time</w:t>
      </w:r>
      <w:r w:rsidRPr="000107A9">
        <w:rPr>
          <w:rFonts w:asciiTheme="minorHAnsi" w:hAnsiTheme="minorHAnsi" w:cstheme="minorHAnsi"/>
          <w:sz w:val="22"/>
          <w:szCs w:val="22"/>
        </w:rPr>
        <w:t xml:space="preserve"> or effort taken to complete the activity drawn from secondary sources, including:</w:t>
      </w:r>
    </w:p>
    <w:p w14:paraId="3BFA6E72" w14:textId="77777777" w:rsidR="00C01E92" w:rsidRPr="000107A9" w:rsidRDefault="00C01E92" w:rsidP="002806C5">
      <w:pPr>
        <w:pStyle w:val="EYBulletnoparaspace"/>
        <w:numPr>
          <w:ilvl w:val="1"/>
          <w:numId w:val="62"/>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the 2013 ACECQA Report on the National Quality Framework and Regulatory Burden</w:t>
      </w:r>
    </w:p>
    <w:p w14:paraId="116BDB97" w14:textId="77777777" w:rsidR="00C01E92" w:rsidRPr="000107A9" w:rsidRDefault="00C01E92" w:rsidP="002806C5">
      <w:pPr>
        <w:pStyle w:val="EYBulletnoparaspace"/>
        <w:numPr>
          <w:ilvl w:val="1"/>
          <w:numId w:val="62"/>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the 2009 RIS prepared for the last iteration of the Regulations</w:t>
      </w:r>
    </w:p>
    <w:p w14:paraId="71D3F0F7" w14:textId="77777777" w:rsidR="00C01E92" w:rsidRPr="000107A9" w:rsidRDefault="00C01E92" w:rsidP="002806C5">
      <w:pPr>
        <w:pStyle w:val="EYBulletnoparaspace"/>
        <w:numPr>
          <w:ilvl w:val="1"/>
          <w:numId w:val="62"/>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discussions with the Department</w:t>
      </w:r>
    </w:p>
    <w:p w14:paraId="6AD02E03" w14:textId="77777777" w:rsidR="00C01E92" w:rsidRPr="000107A9" w:rsidRDefault="00C01E92" w:rsidP="002806C5">
      <w:pPr>
        <w:pStyle w:val="EYBulletedText1"/>
        <w:numPr>
          <w:ilvl w:val="0"/>
          <w:numId w:val="62"/>
        </w:numPr>
        <w:spacing w:before="120" w:after="120"/>
        <w:rPr>
          <w:rFonts w:asciiTheme="minorHAnsi" w:hAnsiTheme="minorHAnsi" w:cstheme="minorHAnsi"/>
          <w:sz w:val="22"/>
          <w:szCs w:val="22"/>
        </w:rPr>
      </w:pPr>
      <w:r w:rsidRPr="000107A9">
        <w:rPr>
          <w:rFonts w:asciiTheme="minorHAnsi" w:hAnsiTheme="minorHAnsi" w:cstheme="minorHAnsi"/>
          <w:b/>
          <w:sz w:val="22"/>
          <w:szCs w:val="22"/>
        </w:rPr>
        <w:t>Minimum wage</w:t>
      </w:r>
      <w:r w:rsidRPr="000107A9">
        <w:rPr>
          <w:rFonts w:asciiTheme="minorHAnsi" w:hAnsiTheme="minorHAnsi" w:cstheme="minorHAnsi"/>
          <w:sz w:val="22"/>
          <w:szCs w:val="22"/>
        </w:rPr>
        <w:t xml:space="preserve"> rates set by the Children’s Services Award 2010.</w:t>
      </w:r>
    </w:p>
    <w:p w14:paraId="4C3B193D" w14:textId="2518B52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staffing costs reflect the minimum wage required to be paid under the Children’s Services Award 2010 plus a 20% mark-up to reflect overheads.</w:t>
      </w:r>
    </w:p>
    <w:tbl>
      <w:tblPr>
        <w:tblStyle w:val="TableGrid"/>
        <w:tblW w:w="0" w:type="auto"/>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3681"/>
        <w:gridCol w:w="1485"/>
        <w:gridCol w:w="1485"/>
        <w:gridCol w:w="1485"/>
        <w:gridCol w:w="1486"/>
      </w:tblGrid>
      <w:tr w:rsidR="00937695" w:rsidRPr="00937695" w14:paraId="3A1B16FE" w14:textId="77777777" w:rsidTr="005E5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right w:val="none" w:sz="0" w:space="0" w:color="auto"/>
            </w:tcBorders>
            <w:vAlign w:val="center"/>
          </w:tcPr>
          <w:p w14:paraId="12441720" w14:textId="77777777" w:rsidR="00937695" w:rsidRPr="00937695" w:rsidRDefault="00937695" w:rsidP="005E57BF">
            <w:pPr>
              <w:pStyle w:val="EYBodytextwithparaspace"/>
              <w:spacing w:after="0"/>
              <w:rPr>
                <w:rFonts w:ascii="Arial Narrow" w:hAnsi="Arial Narrow" w:cstheme="minorHAnsi"/>
                <w:b w:val="0"/>
                <w:sz w:val="22"/>
                <w:szCs w:val="22"/>
              </w:rPr>
            </w:pPr>
            <w:r w:rsidRPr="00937695">
              <w:rPr>
                <w:rFonts w:ascii="Arial Narrow" w:hAnsi="Arial Narrow" w:cstheme="minorHAnsi"/>
                <w:sz w:val="22"/>
                <w:szCs w:val="22"/>
              </w:rPr>
              <w:t>Staff member type</w:t>
            </w:r>
          </w:p>
        </w:tc>
        <w:tc>
          <w:tcPr>
            <w:tcW w:w="1485" w:type="dxa"/>
            <w:tcBorders>
              <w:left w:val="none" w:sz="0" w:space="0" w:color="auto"/>
              <w:right w:val="none" w:sz="0" w:space="0" w:color="auto"/>
            </w:tcBorders>
            <w:vAlign w:val="center"/>
          </w:tcPr>
          <w:p w14:paraId="5937D18F" w14:textId="6DF3DD24" w:rsidR="00937695" w:rsidRPr="00937695" w:rsidRDefault="00833A7D" w:rsidP="005E57BF">
            <w:pPr>
              <w:pStyle w:val="EYBodytextwithparaspace"/>
              <w:spacing w:after="0"/>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sz w:val="22"/>
                <w:szCs w:val="22"/>
              </w:rPr>
            </w:pPr>
            <w:r>
              <w:rPr>
                <w:rFonts w:ascii="Arial Narrow" w:hAnsi="Arial Narrow" w:cstheme="minorHAnsi"/>
                <w:sz w:val="22"/>
                <w:szCs w:val="22"/>
              </w:rPr>
              <w:t>Award level</w:t>
            </w:r>
          </w:p>
        </w:tc>
        <w:tc>
          <w:tcPr>
            <w:tcW w:w="1485" w:type="dxa"/>
            <w:tcBorders>
              <w:left w:val="none" w:sz="0" w:space="0" w:color="auto"/>
              <w:right w:val="none" w:sz="0" w:space="0" w:color="auto"/>
            </w:tcBorders>
            <w:vAlign w:val="center"/>
          </w:tcPr>
          <w:p w14:paraId="013C72AD" w14:textId="0094DDC6" w:rsidR="00937695" w:rsidRPr="00937695" w:rsidRDefault="00937695" w:rsidP="005E57BF">
            <w:pPr>
              <w:pStyle w:val="EYBodytextwithparaspace"/>
              <w:spacing w:after="0"/>
              <w:cnfStyle w:val="100000000000" w:firstRow="1"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 xml:space="preserve">Minimum </w:t>
            </w:r>
            <w:r w:rsidR="00833A7D">
              <w:rPr>
                <w:rFonts w:ascii="Arial Narrow" w:hAnsi="Arial Narrow" w:cstheme="minorHAnsi"/>
                <w:sz w:val="22"/>
                <w:szCs w:val="22"/>
              </w:rPr>
              <w:t>award wage</w:t>
            </w:r>
          </w:p>
        </w:tc>
        <w:tc>
          <w:tcPr>
            <w:tcW w:w="1485" w:type="dxa"/>
            <w:tcBorders>
              <w:left w:val="none" w:sz="0" w:space="0" w:color="auto"/>
              <w:right w:val="none" w:sz="0" w:space="0" w:color="auto"/>
            </w:tcBorders>
            <w:vAlign w:val="center"/>
          </w:tcPr>
          <w:p w14:paraId="4D6F37DC" w14:textId="719F2431" w:rsidR="00937695" w:rsidRPr="00937695" w:rsidRDefault="00937695" w:rsidP="005E57BF">
            <w:pPr>
              <w:pStyle w:val="EYBodytextwithparaspace"/>
              <w:spacing w:after="0"/>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sz w:val="22"/>
                <w:szCs w:val="22"/>
              </w:rPr>
            </w:pPr>
            <w:r w:rsidRPr="00937695">
              <w:rPr>
                <w:rFonts w:ascii="Arial Narrow" w:hAnsi="Arial Narrow" w:cstheme="minorHAnsi"/>
                <w:sz w:val="22"/>
                <w:szCs w:val="22"/>
              </w:rPr>
              <w:t>Overheads mark-up (20%)</w:t>
            </w:r>
          </w:p>
        </w:tc>
        <w:tc>
          <w:tcPr>
            <w:tcW w:w="1486" w:type="dxa"/>
            <w:tcBorders>
              <w:left w:val="none" w:sz="0" w:space="0" w:color="auto"/>
            </w:tcBorders>
            <w:vAlign w:val="center"/>
          </w:tcPr>
          <w:p w14:paraId="3EBED5C1" w14:textId="77777777" w:rsidR="00937695" w:rsidRPr="00937695" w:rsidRDefault="00937695" w:rsidP="005E57BF">
            <w:pPr>
              <w:pStyle w:val="EYBodytextwithparaspace"/>
              <w:spacing w:after="0"/>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sz w:val="22"/>
                <w:szCs w:val="22"/>
              </w:rPr>
            </w:pPr>
            <w:r w:rsidRPr="00937695">
              <w:rPr>
                <w:rFonts w:ascii="Arial Narrow" w:hAnsi="Arial Narrow" w:cstheme="minorHAnsi"/>
                <w:sz w:val="22"/>
                <w:szCs w:val="22"/>
              </w:rPr>
              <w:t>Cost to service per staff member, per hour</w:t>
            </w:r>
          </w:p>
        </w:tc>
      </w:tr>
      <w:tr w:rsidR="00937695" w:rsidRPr="00937695" w14:paraId="49DC89F9" w14:textId="77777777" w:rsidTr="005E57BF">
        <w:tc>
          <w:tcPr>
            <w:cnfStyle w:val="001000000000" w:firstRow="0" w:lastRow="0" w:firstColumn="1" w:lastColumn="0" w:oddVBand="0" w:evenVBand="0" w:oddHBand="0" w:evenHBand="0" w:firstRowFirstColumn="0" w:firstRowLastColumn="0" w:lastRowFirstColumn="0" w:lastRowLastColumn="0"/>
            <w:tcW w:w="3681" w:type="dxa"/>
          </w:tcPr>
          <w:p w14:paraId="3C4DEBDC" w14:textId="2F23A622" w:rsidR="00937695" w:rsidRPr="005E57BF" w:rsidRDefault="00937695" w:rsidP="00090AF4">
            <w:pPr>
              <w:pStyle w:val="EYBodytextwithparaspace"/>
              <w:spacing w:after="0"/>
              <w:rPr>
                <w:rFonts w:ascii="Arial Narrow" w:hAnsi="Arial Narrow" w:cstheme="minorHAnsi"/>
                <w:sz w:val="22"/>
                <w:szCs w:val="22"/>
              </w:rPr>
            </w:pPr>
            <w:r w:rsidRPr="005E57BF">
              <w:rPr>
                <w:rFonts w:ascii="Arial Narrow" w:hAnsi="Arial Narrow" w:cstheme="minorHAnsi"/>
                <w:sz w:val="22"/>
                <w:szCs w:val="22"/>
              </w:rPr>
              <w:t>Actively working towards Cert</w:t>
            </w:r>
            <w:r w:rsidR="005E57BF">
              <w:rPr>
                <w:rFonts w:ascii="Arial Narrow" w:hAnsi="Arial Narrow" w:cstheme="minorHAnsi"/>
                <w:sz w:val="22"/>
                <w:szCs w:val="22"/>
              </w:rPr>
              <w:t>ificate</w:t>
            </w:r>
            <w:r w:rsidRPr="005E57BF">
              <w:rPr>
                <w:rFonts w:ascii="Arial Narrow" w:hAnsi="Arial Narrow" w:cstheme="minorHAnsi"/>
                <w:sz w:val="22"/>
                <w:szCs w:val="22"/>
              </w:rPr>
              <w:t xml:space="preserve"> III</w:t>
            </w:r>
          </w:p>
        </w:tc>
        <w:tc>
          <w:tcPr>
            <w:tcW w:w="1485" w:type="dxa"/>
          </w:tcPr>
          <w:p w14:paraId="145E2BBE" w14:textId="755D46B3" w:rsidR="00937695" w:rsidRPr="00937695" w:rsidRDefault="00833A7D" w:rsidP="00833A7D">
            <w:pPr>
              <w:pStyle w:val="EYBodytextwithparaspace"/>
              <w:spacing w:after="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Level 2.1</w:t>
            </w:r>
          </w:p>
        </w:tc>
        <w:tc>
          <w:tcPr>
            <w:tcW w:w="1485" w:type="dxa"/>
          </w:tcPr>
          <w:p w14:paraId="5A3BE6EE" w14:textId="285EB8F5" w:rsidR="00937695" w:rsidRPr="00937695" w:rsidRDefault="00937695" w:rsidP="00833A7D">
            <w:pPr>
              <w:pStyle w:val="EYBodytextwithparaspace"/>
              <w:spacing w:after="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$20.70</w:t>
            </w:r>
          </w:p>
        </w:tc>
        <w:tc>
          <w:tcPr>
            <w:tcW w:w="1485" w:type="dxa"/>
          </w:tcPr>
          <w:p w14:paraId="7BC0E32C" w14:textId="07080887" w:rsidR="00937695" w:rsidRPr="00937695" w:rsidRDefault="00937695" w:rsidP="00833A7D">
            <w:pPr>
              <w:pStyle w:val="EYBodytextwithparaspace"/>
              <w:spacing w:after="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$4.14</w:t>
            </w:r>
          </w:p>
        </w:tc>
        <w:tc>
          <w:tcPr>
            <w:tcW w:w="1486" w:type="dxa"/>
          </w:tcPr>
          <w:p w14:paraId="31D8164E" w14:textId="77777777" w:rsidR="00937695" w:rsidRPr="00937695" w:rsidRDefault="00937695" w:rsidP="00833A7D">
            <w:pPr>
              <w:pStyle w:val="EYBodytextwithparaspace"/>
              <w:spacing w:after="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$24.84</w:t>
            </w:r>
          </w:p>
        </w:tc>
      </w:tr>
      <w:tr w:rsidR="00937695" w:rsidRPr="00937695" w14:paraId="77B3586B" w14:textId="77777777" w:rsidTr="005E57BF">
        <w:tc>
          <w:tcPr>
            <w:cnfStyle w:val="001000000000" w:firstRow="0" w:lastRow="0" w:firstColumn="1" w:lastColumn="0" w:oddVBand="0" w:evenVBand="0" w:oddHBand="0" w:evenHBand="0" w:firstRowFirstColumn="0" w:firstRowLastColumn="0" w:lastRowFirstColumn="0" w:lastRowLastColumn="0"/>
            <w:tcW w:w="3681" w:type="dxa"/>
          </w:tcPr>
          <w:p w14:paraId="2CA5F4EB" w14:textId="77777777" w:rsidR="00937695" w:rsidRPr="005E57BF" w:rsidRDefault="00937695" w:rsidP="00090AF4">
            <w:pPr>
              <w:pStyle w:val="EYBodytextwithparaspace"/>
              <w:spacing w:after="0"/>
              <w:rPr>
                <w:rFonts w:ascii="Arial Narrow" w:hAnsi="Arial Narrow" w:cstheme="minorHAnsi"/>
                <w:sz w:val="22"/>
                <w:szCs w:val="22"/>
              </w:rPr>
            </w:pPr>
            <w:r w:rsidRPr="005E57BF">
              <w:rPr>
                <w:rFonts w:ascii="Arial Narrow" w:hAnsi="Arial Narrow" w:cstheme="minorHAnsi"/>
                <w:sz w:val="22"/>
                <w:szCs w:val="22"/>
              </w:rPr>
              <w:t>Certificate III</w:t>
            </w:r>
          </w:p>
        </w:tc>
        <w:tc>
          <w:tcPr>
            <w:tcW w:w="1485" w:type="dxa"/>
          </w:tcPr>
          <w:p w14:paraId="75B19E94" w14:textId="6F769DA2" w:rsidR="00937695" w:rsidRPr="00937695" w:rsidRDefault="00833A7D" w:rsidP="00833A7D">
            <w:pPr>
              <w:pStyle w:val="EYBodytextwithparaspace"/>
              <w:spacing w:after="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Level 3.1</w:t>
            </w:r>
          </w:p>
        </w:tc>
        <w:tc>
          <w:tcPr>
            <w:tcW w:w="1485" w:type="dxa"/>
          </w:tcPr>
          <w:p w14:paraId="5A60FE8A" w14:textId="04011E4B" w:rsidR="00937695" w:rsidRPr="00937695" w:rsidRDefault="00937695" w:rsidP="00833A7D">
            <w:pPr>
              <w:pStyle w:val="EYBodytextwithparaspace"/>
              <w:spacing w:after="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$22.70</w:t>
            </w:r>
          </w:p>
        </w:tc>
        <w:tc>
          <w:tcPr>
            <w:tcW w:w="1485" w:type="dxa"/>
          </w:tcPr>
          <w:p w14:paraId="3A1D9159" w14:textId="47170D2B" w:rsidR="00937695" w:rsidRPr="00937695" w:rsidRDefault="00937695" w:rsidP="00833A7D">
            <w:pPr>
              <w:pStyle w:val="EYBodytextwithparaspace"/>
              <w:spacing w:after="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$4.54</w:t>
            </w:r>
          </w:p>
        </w:tc>
        <w:tc>
          <w:tcPr>
            <w:tcW w:w="1486" w:type="dxa"/>
          </w:tcPr>
          <w:p w14:paraId="1B5DC74B" w14:textId="77777777" w:rsidR="00937695" w:rsidRPr="00937695" w:rsidRDefault="00937695" w:rsidP="00833A7D">
            <w:pPr>
              <w:pStyle w:val="EYBodytextwithparaspace"/>
              <w:spacing w:after="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$27.24</w:t>
            </w:r>
          </w:p>
        </w:tc>
      </w:tr>
      <w:tr w:rsidR="00937695" w:rsidRPr="00937695" w14:paraId="332E84A5" w14:textId="77777777" w:rsidTr="005E57BF">
        <w:tc>
          <w:tcPr>
            <w:cnfStyle w:val="001000000000" w:firstRow="0" w:lastRow="0" w:firstColumn="1" w:lastColumn="0" w:oddVBand="0" w:evenVBand="0" w:oddHBand="0" w:evenHBand="0" w:firstRowFirstColumn="0" w:firstRowLastColumn="0" w:lastRowFirstColumn="0" w:lastRowLastColumn="0"/>
            <w:tcW w:w="3681" w:type="dxa"/>
          </w:tcPr>
          <w:p w14:paraId="3653E859" w14:textId="77777777" w:rsidR="00937695" w:rsidRPr="005E57BF" w:rsidRDefault="00937695" w:rsidP="00090AF4">
            <w:pPr>
              <w:pStyle w:val="EYBodytextwithparaspace"/>
              <w:spacing w:after="0"/>
              <w:rPr>
                <w:rFonts w:ascii="Arial Narrow" w:hAnsi="Arial Narrow" w:cstheme="minorHAnsi"/>
                <w:sz w:val="22"/>
                <w:szCs w:val="22"/>
              </w:rPr>
            </w:pPr>
            <w:r w:rsidRPr="005E57BF">
              <w:rPr>
                <w:rFonts w:ascii="Arial Narrow" w:hAnsi="Arial Narrow" w:cstheme="minorHAnsi"/>
                <w:sz w:val="22"/>
                <w:szCs w:val="22"/>
              </w:rPr>
              <w:t>Actively working towards Diploma</w:t>
            </w:r>
          </w:p>
        </w:tc>
        <w:tc>
          <w:tcPr>
            <w:tcW w:w="1485" w:type="dxa"/>
          </w:tcPr>
          <w:p w14:paraId="4C057254" w14:textId="3669B825" w:rsidR="00937695" w:rsidRPr="00937695" w:rsidRDefault="00833A7D" w:rsidP="00833A7D">
            <w:pPr>
              <w:pStyle w:val="EYBodytextwithparaspace"/>
              <w:spacing w:after="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Level 4A</w:t>
            </w:r>
          </w:p>
        </w:tc>
        <w:tc>
          <w:tcPr>
            <w:tcW w:w="1485" w:type="dxa"/>
          </w:tcPr>
          <w:p w14:paraId="069B7E2A" w14:textId="10A94D7E" w:rsidR="00937695" w:rsidRPr="00937695" w:rsidRDefault="00937695" w:rsidP="00833A7D">
            <w:pPr>
              <w:pStyle w:val="EYBodytextwithparaspace"/>
              <w:spacing w:after="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$24.22</w:t>
            </w:r>
          </w:p>
        </w:tc>
        <w:tc>
          <w:tcPr>
            <w:tcW w:w="1485" w:type="dxa"/>
          </w:tcPr>
          <w:p w14:paraId="07FFCBBF" w14:textId="5611DEC1" w:rsidR="00937695" w:rsidRPr="00937695" w:rsidRDefault="00937695" w:rsidP="00833A7D">
            <w:pPr>
              <w:pStyle w:val="EYBodytextwithparaspace"/>
              <w:spacing w:after="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$4.84</w:t>
            </w:r>
          </w:p>
        </w:tc>
        <w:tc>
          <w:tcPr>
            <w:tcW w:w="1486" w:type="dxa"/>
          </w:tcPr>
          <w:p w14:paraId="7B381FF2" w14:textId="77777777" w:rsidR="00937695" w:rsidRPr="00937695" w:rsidRDefault="00937695" w:rsidP="00833A7D">
            <w:pPr>
              <w:pStyle w:val="EYBodytextwithparaspace"/>
              <w:spacing w:after="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$29.06</w:t>
            </w:r>
          </w:p>
        </w:tc>
      </w:tr>
      <w:tr w:rsidR="00937695" w:rsidRPr="00937695" w14:paraId="1720229B" w14:textId="77777777" w:rsidTr="005E57BF">
        <w:tc>
          <w:tcPr>
            <w:cnfStyle w:val="001000000000" w:firstRow="0" w:lastRow="0" w:firstColumn="1" w:lastColumn="0" w:oddVBand="0" w:evenVBand="0" w:oddHBand="0" w:evenHBand="0" w:firstRowFirstColumn="0" w:firstRowLastColumn="0" w:lastRowFirstColumn="0" w:lastRowLastColumn="0"/>
            <w:tcW w:w="3681" w:type="dxa"/>
          </w:tcPr>
          <w:p w14:paraId="1AA37FFE" w14:textId="77777777" w:rsidR="00937695" w:rsidRPr="005E57BF" w:rsidRDefault="00937695" w:rsidP="00090AF4">
            <w:pPr>
              <w:pStyle w:val="EYBodytextwithparaspace"/>
              <w:spacing w:after="0"/>
              <w:rPr>
                <w:rFonts w:ascii="Arial Narrow" w:hAnsi="Arial Narrow" w:cstheme="minorHAnsi"/>
                <w:sz w:val="22"/>
                <w:szCs w:val="22"/>
              </w:rPr>
            </w:pPr>
            <w:r w:rsidRPr="005E57BF">
              <w:rPr>
                <w:rFonts w:ascii="Arial Narrow" w:hAnsi="Arial Narrow" w:cstheme="minorHAnsi"/>
                <w:sz w:val="22"/>
                <w:szCs w:val="22"/>
              </w:rPr>
              <w:t>Diploma</w:t>
            </w:r>
          </w:p>
        </w:tc>
        <w:tc>
          <w:tcPr>
            <w:tcW w:w="1485" w:type="dxa"/>
          </w:tcPr>
          <w:p w14:paraId="0D71E2C8" w14:textId="3EA14DF8" w:rsidR="00937695" w:rsidRPr="00937695" w:rsidRDefault="00833A7D" w:rsidP="00833A7D">
            <w:pPr>
              <w:pStyle w:val="EYBodytextwithparaspace"/>
              <w:spacing w:after="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Level 4.1</w:t>
            </w:r>
          </w:p>
        </w:tc>
        <w:tc>
          <w:tcPr>
            <w:tcW w:w="1485" w:type="dxa"/>
          </w:tcPr>
          <w:p w14:paraId="4071F6E2" w14:textId="5B57777B" w:rsidR="00937695" w:rsidRPr="00937695" w:rsidRDefault="00833A7D" w:rsidP="00833A7D">
            <w:pPr>
              <w:pStyle w:val="EYBodytextwithparaspace"/>
              <w:spacing w:after="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$26.74</w:t>
            </w:r>
          </w:p>
        </w:tc>
        <w:tc>
          <w:tcPr>
            <w:tcW w:w="1485" w:type="dxa"/>
          </w:tcPr>
          <w:p w14:paraId="6515CC46" w14:textId="1643C1E4" w:rsidR="00937695" w:rsidRPr="00937695" w:rsidRDefault="00937695" w:rsidP="00833A7D">
            <w:pPr>
              <w:pStyle w:val="EYBodytextwithparaspace"/>
              <w:spacing w:after="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$5.35</w:t>
            </w:r>
          </w:p>
        </w:tc>
        <w:tc>
          <w:tcPr>
            <w:tcW w:w="1486" w:type="dxa"/>
          </w:tcPr>
          <w:p w14:paraId="104A8D6C" w14:textId="77777777" w:rsidR="00937695" w:rsidRPr="00937695" w:rsidRDefault="00937695" w:rsidP="00833A7D">
            <w:pPr>
              <w:pStyle w:val="EYBodytextwithparaspace"/>
              <w:spacing w:after="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$32.09</w:t>
            </w:r>
          </w:p>
        </w:tc>
      </w:tr>
      <w:tr w:rsidR="00937695" w:rsidRPr="00937695" w14:paraId="6AE34FF6" w14:textId="77777777" w:rsidTr="005E57BF">
        <w:tc>
          <w:tcPr>
            <w:cnfStyle w:val="001000000000" w:firstRow="0" w:lastRow="0" w:firstColumn="1" w:lastColumn="0" w:oddVBand="0" w:evenVBand="0" w:oddHBand="0" w:evenHBand="0" w:firstRowFirstColumn="0" w:firstRowLastColumn="0" w:lastRowFirstColumn="0" w:lastRowLastColumn="0"/>
            <w:tcW w:w="3681" w:type="dxa"/>
          </w:tcPr>
          <w:p w14:paraId="46DC5AE4" w14:textId="77777777" w:rsidR="00937695" w:rsidRPr="005E57BF" w:rsidRDefault="00937695" w:rsidP="00090AF4">
            <w:pPr>
              <w:pStyle w:val="EYBodytextwithparaspace"/>
              <w:spacing w:after="0"/>
              <w:rPr>
                <w:rFonts w:ascii="Arial Narrow" w:hAnsi="Arial Narrow" w:cstheme="minorHAnsi"/>
                <w:sz w:val="22"/>
                <w:szCs w:val="22"/>
              </w:rPr>
            </w:pPr>
            <w:r w:rsidRPr="005E57BF">
              <w:rPr>
                <w:rFonts w:ascii="Arial Narrow" w:hAnsi="Arial Narrow" w:cstheme="minorHAnsi"/>
                <w:sz w:val="22"/>
                <w:szCs w:val="22"/>
              </w:rPr>
              <w:t>Degree/Director</w:t>
            </w:r>
          </w:p>
        </w:tc>
        <w:tc>
          <w:tcPr>
            <w:tcW w:w="1485" w:type="dxa"/>
          </w:tcPr>
          <w:p w14:paraId="0E97BAB7" w14:textId="083DF66C" w:rsidR="00937695" w:rsidRPr="00937695" w:rsidRDefault="00833A7D" w:rsidP="00833A7D">
            <w:pPr>
              <w:pStyle w:val="EYBodytextwithparaspace"/>
              <w:spacing w:after="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Level 6.1</w:t>
            </w:r>
          </w:p>
        </w:tc>
        <w:tc>
          <w:tcPr>
            <w:tcW w:w="1485" w:type="dxa"/>
          </w:tcPr>
          <w:p w14:paraId="30D30B91" w14:textId="6DC45A00" w:rsidR="00937695" w:rsidRPr="00937695" w:rsidRDefault="00833A7D" w:rsidP="00833A7D">
            <w:pPr>
              <w:pStyle w:val="EYBodytextwithparaspace"/>
              <w:spacing w:after="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$32.24</w:t>
            </w:r>
          </w:p>
        </w:tc>
        <w:tc>
          <w:tcPr>
            <w:tcW w:w="1485" w:type="dxa"/>
          </w:tcPr>
          <w:p w14:paraId="6DE2C8CF" w14:textId="6F1918A3" w:rsidR="00937695" w:rsidRPr="00937695" w:rsidRDefault="00937695" w:rsidP="00833A7D">
            <w:pPr>
              <w:pStyle w:val="EYBodytextwithparaspace"/>
              <w:spacing w:after="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$6.45</w:t>
            </w:r>
          </w:p>
        </w:tc>
        <w:tc>
          <w:tcPr>
            <w:tcW w:w="1486" w:type="dxa"/>
          </w:tcPr>
          <w:p w14:paraId="303E8E3C" w14:textId="77777777" w:rsidR="00937695" w:rsidRPr="00937695" w:rsidRDefault="00937695" w:rsidP="00833A7D">
            <w:pPr>
              <w:pStyle w:val="EYBodytextwithparaspace"/>
              <w:spacing w:after="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$38.69</w:t>
            </w:r>
          </w:p>
        </w:tc>
      </w:tr>
    </w:tbl>
    <w:p w14:paraId="2D7F8B1A" w14:textId="71E9FFFB" w:rsidR="00C01E92"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secondary sources used to develop the time assumptions for this RIS differ in how they categorise services. Data from the 2009 RIS and the Department use the licence types under the current Regulations, while the 2013 ACECQA Report uses the NQF service size framework: small, medium and large, defined as:</w:t>
      </w:r>
    </w:p>
    <w:tbl>
      <w:tblPr>
        <w:tblStyle w:val="TableGrid"/>
        <w:tblW w:w="0" w:type="auto"/>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4811"/>
        <w:gridCol w:w="4811"/>
      </w:tblGrid>
      <w:tr w:rsidR="000C0004" w:rsidRPr="000C0004" w14:paraId="574BC6E3" w14:textId="77777777" w:rsidTr="000C0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Borders>
              <w:right w:val="none" w:sz="0" w:space="0" w:color="auto"/>
            </w:tcBorders>
          </w:tcPr>
          <w:p w14:paraId="2CBE672B" w14:textId="5A37A45A" w:rsidR="000C0004" w:rsidRPr="000C0004" w:rsidRDefault="000C0004" w:rsidP="000C0004">
            <w:pPr>
              <w:pStyle w:val="EYBodytextwithparaspace"/>
              <w:spacing w:after="60"/>
              <w:rPr>
                <w:rFonts w:ascii="Arial Narrow" w:hAnsi="Arial Narrow" w:cstheme="minorHAnsi"/>
                <w:sz w:val="22"/>
                <w:szCs w:val="22"/>
              </w:rPr>
            </w:pPr>
            <w:r w:rsidRPr="000C0004">
              <w:rPr>
                <w:rFonts w:ascii="Arial Narrow" w:hAnsi="Arial Narrow" w:cstheme="minorHAnsi"/>
                <w:sz w:val="22"/>
                <w:szCs w:val="22"/>
              </w:rPr>
              <w:t>Services size</w:t>
            </w:r>
          </w:p>
        </w:tc>
        <w:tc>
          <w:tcPr>
            <w:tcW w:w="4811" w:type="dxa"/>
            <w:tcBorders>
              <w:left w:val="none" w:sz="0" w:space="0" w:color="auto"/>
            </w:tcBorders>
          </w:tcPr>
          <w:p w14:paraId="1F889F16" w14:textId="02166DA8" w:rsidR="000C0004" w:rsidRPr="000C0004" w:rsidRDefault="000C0004" w:rsidP="000C0004">
            <w:pPr>
              <w:pStyle w:val="EYBodytextwithparaspace"/>
              <w:spacing w:after="60"/>
              <w:cnfStyle w:val="100000000000" w:firstRow="1"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0C0004">
              <w:rPr>
                <w:rFonts w:ascii="Arial Narrow" w:hAnsi="Arial Narrow" w:cstheme="minorHAnsi"/>
                <w:sz w:val="22"/>
                <w:szCs w:val="22"/>
              </w:rPr>
              <w:t>NQF Approved Places</w:t>
            </w:r>
          </w:p>
        </w:tc>
      </w:tr>
      <w:tr w:rsidR="000C0004" w:rsidRPr="000C0004" w14:paraId="19FFCCF8" w14:textId="77777777" w:rsidTr="000C0004">
        <w:tc>
          <w:tcPr>
            <w:cnfStyle w:val="001000000000" w:firstRow="0" w:lastRow="0" w:firstColumn="1" w:lastColumn="0" w:oddVBand="0" w:evenVBand="0" w:oddHBand="0" w:evenHBand="0" w:firstRowFirstColumn="0" w:firstRowLastColumn="0" w:lastRowFirstColumn="0" w:lastRowLastColumn="0"/>
            <w:tcW w:w="4811" w:type="dxa"/>
          </w:tcPr>
          <w:p w14:paraId="293EA87C" w14:textId="2CC570D6" w:rsidR="000C0004" w:rsidRPr="000C0004" w:rsidRDefault="000C0004" w:rsidP="000C0004">
            <w:pPr>
              <w:pStyle w:val="EYBodytextwithparaspace"/>
              <w:spacing w:after="60"/>
              <w:rPr>
                <w:rFonts w:ascii="Arial Narrow" w:hAnsi="Arial Narrow" w:cstheme="minorHAnsi"/>
                <w:sz w:val="22"/>
                <w:szCs w:val="22"/>
              </w:rPr>
            </w:pPr>
            <w:r w:rsidRPr="000C0004">
              <w:rPr>
                <w:rFonts w:ascii="Arial Narrow" w:hAnsi="Arial Narrow" w:cstheme="minorHAnsi"/>
                <w:sz w:val="22"/>
                <w:szCs w:val="22"/>
              </w:rPr>
              <w:t>Small</w:t>
            </w:r>
          </w:p>
        </w:tc>
        <w:tc>
          <w:tcPr>
            <w:tcW w:w="4811" w:type="dxa"/>
          </w:tcPr>
          <w:p w14:paraId="63D2687F" w14:textId="6FB40CD5" w:rsidR="000C0004" w:rsidRPr="000C0004" w:rsidRDefault="000C0004" w:rsidP="000C0004">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0C0004">
              <w:rPr>
                <w:rFonts w:ascii="Arial Narrow" w:hAnsi="Arial Narrow" w:cstheme="minorHAnsi"/>
                <w:sz w:val="22"/>
                <w:szCs w:val="22"/>
              </w:rPr>
              <w:t>up to 24 places</w:t>
            </w:r>
          </w:p>
        </w:tc>
      </w:tr>
      <w:tr w:rsidR="000C0004" w:rsidRPr="000C0004" w14:paraId="4EFAA712" w14:textId="77777777" w:rsidTr="000C0004">
        <w:tc>
          <w:tcPr>
            <w:cnfStyle w:val="001000000000" w:firstRow="0" w:lastRow="0" w:firstColumn="1" w:lastColumn="0" w:oddVBand="0" w:evenVBand="0" w:oddHBand="0" w:evenHBand="0" w:firstRowFirstColumn="0" w:firstRowLastColumn="0" w:lastRowFirstColumn="0" w:lastRowLastColumn="0"/>
            <w:tcW w:w="4811" w:type="dxa"/>
          </w:tcPr>
          <w:p w14:paraId="28F4B3A1" w14:textId="35C8A88F" w:rsidR="000C0004" w:rsidRPr="000C0004" w:rsidRDefault="000C0004" w:rsidP="000C0004">
            <w:pPr>
              <w:pStyle w:val="EYBodytextwithparaspace"/>
              <w:spacing w:after="60"/>
              <w:rPr>
                <w:rFonts w:ascii="Arial Narrow" w:hAnsi="Arial Narrow" w:cstheme="minorHAnsi"/>
                <w:sz w:val="22"/>
                <w:szCs w:val="22"/>
              </w:rPr>
            </w:pPr>
            <w:r w:rsidRPr="000C0004">
              <w:rPr>
                <w:rFonts w:ascii="Arial Narrow" w:hAnsi="Arial Narrow" w:cstheme="minorHAnsi"/>
                <w:sz w:val="22"/>
                <w:szCs w:val="22"/>
              </w:rPr>
              <w:t>Medium</w:t>
            </w:r>
          </w:p>
        </w:tc>
        <w:tc>
          <w:tcPr>
            <w:tcW w:w="4811" w:type="dxa"/>
          </w:tcPr>
          <w:p w14:paraId="4E9BEDB2" w14:textId="5150388F" w:rsidR="000C0004" w:rsidRPr="000C0004" w:rsidRDefault="000C0004" w:rsidP="000C0004">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0C0004">
              <w:rPr>
                <w:rFonts w:ascii="Arial Narrow" w:hAnsi="Arial Narrow" w:cstheme="minorHAnsi"/>
                <w:sz w:val="22"/>
                <w:szCs w:val="22"/>
              </w:rPr>
              <w:t>from 25 to 80 places</w:t>
            </w:r>
          </w:p>
        </w:tc>
      </w:tr>
      <w:tr w:rsidR="000C0004" w:rsidRPr="000C0004" w14:paraId="342248CE" w14:textId="77777777" w:rsidTr="000C0004">
        <w:tc>
          <w:tcPr>
            <w:cnfStyle w:val="001000000000" w:firstRow="0" w:lastRow="0" w:firstColumn="1" w:lastColumn="0" w:oddVBand="0" w:evenVBand="0" w:oddHBand="0" w:evenHBand="0" w:firstRowFirstColumn="0" w:firstRowLastColumn="0" w:lastRowFirstColumn="0" w:lastRowLastColumn="0"/>
            <w:tcW w:w="4811" w:type="dxa"/>
          </w:tcPr>
          <w:p w14:paraId="02F11608" w14:textId="7DF9209C" w:rsidR="000C0004" w:rsidRPr="000C0004" w:rsidRDefault="000C0004" w:rsidP="000C0004">
            <w:pPr>
              <w:pStyle w:val="EYBodytextwithparaspace"/>
              <w:spacing w:after="60"/>
              <w:rPr>
                <w:rFonts w:ascii="Arial Narrow" w:hAnsi="Arial Narrow" w:cstheme="minorHAnsi"/>
                <w:sz w:val="22"/>
                <w:szCs w:val="22"/>
              </w:rPr>
            </w:pPr>
            <w:r w:rsidRPr="000C0004">
              <w:rPr>
                <w:rFonts w:ascii="Arial Narrow" w:hAnsi="Arial Narrow" w:cstheme="minorHAnsi"/>
                <w:sz w:val="22"/>
                <w:szCs w:val="22"/>
              </w:rPr>
              <w:t>Large</w:t>
            </w:r>
          </w:p>
        </w:tc>
        <w:tc>
          <w:tcPr>
            <w:tcW w:w="4811" w:type="dxa"/>
          </w:tcPr>
          <w:p w14:paraId="75E6D911" w14:textId="2B36BD88" w:rsidR="000C0004" w:rsidRPr="000C0004" w:rsidRDefault="000C0004" w:rsidP="000C0004">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0C0004">
              <w:rPr>
                <w:rFonts w:ascii="Arial Narrow" w:hAnsi="Arial Narrow" w:cstheme="minorHAnsi"/>
                <w:sz w:val="22"/>
                <w:szCs w:val="22"/>
              </w:rPr>
              <w:t>from 81 places and above</w:t>
            </w:r>
          </w:p>
        </w:tc>
      </w:tr>
    </w:tbl>
    <w:p w14:paraId="469F4A5D" w14:textId="497FCD85" w:rsidR="00C769E7"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average number of approved places across the Limited Hours type 2, Limited Hours type 1 and Standard licence types is 26, and departmental data shows that, as at December 2019, the sector is currently comprised of NQF equivalent services as follows:</w:t>
      </w:r>
    </w:p>
    <w:p w14:paraId="46FC523D" w14:textId="77777777" w:rsidR="00C769E7" w:rsidRDefault="00C769E7">
      <w:pPr>
        <w:spacing w:after="0"/>
        <w:rPr>
          <w:rFonts w:eastAsia="Times New Roman" w:cstheme="minorHAnsi"/>
          <w:szCs w:val="22"/>
          <w:lang w:val="en-AU"/>
        </w:rPr>
      </w:pPr>
      <w:r>
        <w:rPr>
          <w:rFonts w:cstheme="minorHAnsi"/>
          <w:szCs w:val="22"/>
        </w:rPr>
        <w:br w:type="page"/>
      </w:r>
    </w:p>
    <w:tbl>
      <w:tblPr>
        <w:tblStyle w:val="TableGrid"/>
        <w:tblW w:w="0" w:type="auto"/>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3292"/>
        <w:gridCol w:w="3000"/>
        <w:gridCol w:w="3330"/>
      </w:tblGrid>
      <w:tr w:rsidR="000C0004" w:rsidRPr="000C0004" w14:paraId="48417BA7" w14:textId="77777777" w:rsidTr="000C0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2" w:type="dxa"/>
          </w:tcPr>
          <w:p w14:paraId="1A269CCA" w14:textId="1AB36938" w:rsidR="000C0004" w:rsidRPr="000C0004" w:rsidRDefault="000C0004" w:rsidP="00A41349">
            <w:pPr>
              <w:pStyle w:val="EYBodytextwithparaspace"/>
              <w:spacing w:after="60"/>
              <w:rPr>
                <w:rFonts w:ascii="Arial Narrow" w:hAnsi="Arial Narrow" w:cstheme="minorHAnsi"/>
                <w:sz w:val="22"/>
                <w:szCs w:val="22"/>
              </w:rPr>
            </w:pPr>
            <w:r w:rsidRPr="000C0004">
              <w:rPr>
                <w:rFonts w:ascii="Arial Narrow" w:hAnsi="Arial Narrow" w:cstheme="minorHAnsi"/>
                <w:sz w:val="22"/>
                <w:szCs w:val="22"/>
              </w:rPr>
              <w:lastRenderedPageBreak/>
              <w:t>Services size</w:t>
            </w:r>
            <w:r w:rsidR="00A41349">
              <w:rPr>
                <w:rFonts w:ascii="Arial Narrow" w:hAnsi="Arial Narrow" w:cstheme="minorHAnsi"/>
                <w:sz w:val="22"/>
                <w:szCs w:val="22"/>
              </w:rPr>
              <w:t xml:space="preserve"> </w:t>
            </w:r>
          </w:p>
        </w:tc>
        <w:tc>
          <w:tcPr>
            <w:tcW w:w="3000" w:type="dxa"/>
          </w:tcPr>
          <w:p w14:paraId="17BD653C" w14:textId="2032B666" w:rsidR="000C0004" w:rsidRPr="000C0004" w:rsidRDefault="000C0004" w:rsidP="00A41349">
            <w:pPr>
              <w:pStyle w:val="EYBodytextwithparaspace"/>
              <w:spacing w:after="60"/>
              <w:cnfStyle w:val="100000000000" w:firstRow="1"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0C0004">
              <w:rPr>
                <w:rFonts w:ascii="Arial Narrow" w:hAnsi="Arial Narrow" w:cstheme="minorHAnsi"/>
                <w:sz w:val="22"/>
                <w:szCs w:val="22"/>
              </w:rPr>
              <w:t>% of Children’s Services Sector</w:t>
            </w:r>
          </w:p>
        </w:tc>
        <w:tc>
          <w:tcPr>
            <w:tcW w:w="3330" w:type="dxa"/>
          </w:tcPr>
          <w:p w14:paraId="5659A5FB" w14:textId="60DFF2EE" w:rsidR="000C0004" w:rsidRPr="000C0004" w:rsidRDefault="000C0004" w:rsidP="00A41349">
            <w:pPr>
              <w:pStyle w:val="EYBodytextwithparaspace"/>
              <w:spacing w:after="60"/>
              <w:cnfStyle w:val="100000000000" w:firstRow="1"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0C0004">
              <w:rPr>
                <w:rFonts w:ascii="Arial Narrow" w:hAnsi="Arial Narrow" w:cstheme="minorHAnsi"/>
                <w:sz w:val="22"/>
                <w:szCs w:val="22"/>
              </w:rPr>
              <w:t># of Children’s Services</w:t>
            </w:r>
          </w:p>
        </w:tc>
      </w:tr>
      <w:tr w:rsidR="000C0004" w:rsidRPr="000C0004" w14:paraId="3DC508D8" w14:textId="77777777" w:rsidTr="000C0004">
        <w:tc>
          <w:tcPr>
            <w:cnfStyle w:val="001000000000" w:firstRow="0" w:lastRow="0" w:firstColumn="1" w:lastColumn="0" w:oddVBand="0" w:evenVBand="0" w:oddHBand="0" w:evenHBand="0" w:firstRowFirstColumn="0" w:firstRowLastColumn="0" w:lastRowFirstColumn="0" w:lastRowLastColumn="0"/>
            <w:tcW w:w="3292" w:type="dxa"/>
          </w:tcPr>
          <w:p w14:paraId="13319DF9" w14:textId="77777777" w:rsidR="000C0004" w:rsidRPr="000C0004" w:rsidRDefault="000C0004" w:rsidP="00A41349">
            <w:pPr>
              <w:pStyle w:val="EYBodytextwithparaspace"/>
              <w:spacing w:after="60"/>
              <w:rPr>
                <w:rFonts w:ascii="Arial Narrow" w:hAnsi="Arial Narrow" w:cstheme="minorHAnsi"/>
                <w:sz w:val="22"/>
                <w:szCs w:val="22"/>
              </w:rPr>
            </w:pPr>
            <w:r w:rsidRPr="000C0004">
              <w:rPr>
                <w:rFonts w:ascii="Arial Narrow" w:hAnsi="Arial Narrow" w:cstheme="minorHAnsi"/>
                <w:sz w:val="22"/>
                <w:szCs w:val="22"/>
              </w:rPr>
              <w:t>Small</w:t>
            </w:r>
          </w:p>
        </w:tc>
        <w:tc>
          <w:tcPr>
            <w:tcW w:w="3000" w:type="dxa"/>
          </w:tcPr>
          <w:p w14:paraId="009765A9" w14:textId="6EBF94E1" w:rsidR="000C0004" w:rsidRPr="000C0004" w:rsidRDefault="000C0004"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58.5%</w:t>
            </w:r>
          </w:p>
        </w:tc>
        <w:tc>
          <w:tcPr>
            <w:tcW w:w="3330" w:type="dxa"/>
          </w:tcPr>
          <w:p w14:paraId="718606F0" w14:textId="69B7E53A" w:rsidR="000C0004" w:rsidRPr="000C0004" w:rsidRDefault="000C0004"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188 services</w:t>
            </w:r>
          </w:p>
        </w:tc>
      </w:tr>
      <w:tr w:rsidR="000C0004" w:rsidRPr="000C0004" w14:paraId="05A28D16" w14:textId="77777777" w:rsidTr="000C0004">
        <w:tc>
          <w:tcPr>
            <w:cnfStyle w:val="001000000000" w:firstRow="0" w:lastRow="0" w:firstColumn="1" w:lastColumn="0" w:oddVBand="0" w:evenVBand="0" w:oddHBand="0" w:evenHBand="0" w:firstRowFirstColumn="0" w:firstRowLastColumn="0" w:lastRowFirstColumn="0" w:lastRowLastColumn="0"/>
            <w:tcW w:w="3292" w:type="dxa"/>
          </w:tcPr>
          <w:p w14:paraId="4AF1106C" w14:textId="77777777" w:rsidR="000C0004" w:rsidRPr="000C0004" w:rsidRDefault="000C0004" w:rsidP="00A41349">
            <w:pPr>
              <w:pStyle w:val="EYBodytextwithparaspace"/>
              <w:spacing w:after="60"/>
              <w:rPr>
                <w:rFonts w:ascii="Arial Narrow" w:hAnsi="Arial Narrow" w:cstheme="minorHAnsi"/>
                <w:sz w:val="22"/>
                <w:szCs w:val="22"/>
              </w:rPr>
            </w:pPr>
            <w:r w:rsidRPr="000C0004">
              <w:rPr>
                <w:rFonts w:ascii="Arial Narrow" w:hAnsi="Arial Narrow" w:cstheme="minorHAnsi"/>
                <w:sz w:val="22"/>
                <w:szCs w:val="22"/>
              </w:rPr>
              <w:t>Medium</w:t>
            </w:r>
          </w:p>
        </w:tc>
        <w:tc>
          <w:tcPr>
            <w:tcW w:w="3000" w:type="dxa"/>
          </w:tcPr>
          <w:p w14:paraId="367C7EBA" w14:textId="4A5C9627" w:rsidR="000C0004" w:rsidRPr="000C0004" w:rsidRDefault="000C0004"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41.0%</w:t>
            </w:r>
          </w:p>
        </w:tc>
        <w:tc>
          <w:tcPr>
            <w:tcW w:w="3330" w:type="dxa"/>
          </w:tcPr>
          <w:p w14:paraId="1D0FE3CA" w14:textId="7E4FBE76" w:rsidR="000C0004" w:rsidRPr="000C0004" w:rsidRDefault="000C0004"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132 services</w:t>
            </w:r>
          </w:p>
        </w:tc>
      </w:tr>
      <w:tr w:rsidR="000C0004" w:rsidRPr="000C0004" w14:paraId="625379F9" w14:textId="77777777" w:rsidTr="000C0004">
        <w:tc>
          <w:tcPr>
            <w:cnfStyle w:val="001000000000" w:firstRow="0" w:lastRow="0" w:firstColumn="1" w:lastColumn="0" w:oddVBand="0" w:evenVBand="0" w:oddHBand="0" w:evenHBand="0" w:firstRowFirstColumn="0" w:firstRowLastColumn="0" w:lastRowFirstColumn="0" w:lastRowLastColumn="0"/>
            <w:tcW w:w="3292" w:type="dxa"/>
          </w:tcPr>
          <w:p w14:paraId="480B2A28" w14:textId="77777777" w:rsidR="000C0004" w:rsidRPr="000C0004" w:rsidRDefault="000C0004" w:rsidP="00A41349">
            <w:pPr>
              <w:pStyle w:val="EYBodytextwithparaspace"/>
              <w:spacing w:after="60"/>
              <w:rPr>
                <w:rFonts w:ascii="Arial Narrow" w:hAnsi="Arial Narrow" w:cstheme="minorHAnsi"/>
                <w:sz w:val="22"/>
                <w:szCs w:val="22"/>
              </w:rPr>
            </w:pPr>
            <w:r w:rsidRPr="000C0004">
              <w:rPr>
                <w:rFonts w:ascii="Arial Narrow" w:hAnsi="Arial Narrow" w:cstheme="minorHAnsi"/>
                <w:sz w:val="22"/>
                <w:szCs w:val="22"/>
              </w:rPr>
              <w:t>Large</w:t>
            </w:r>
          </w:p>
        </w:tc>
        <w:tc>
          <w:tcPr>
            <w:tcW w:w="3000" w:type="dxa"/>
          </w:tcPr>
          <w:p w14:paraId="34934E4E" w14:textId="0B360A60" w:rsidR="000C0004" w:rsidRPr="000C0004" w:rsidRDefault="000C0004"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0.5%</w:t>
            </w:r>
          </w:p>
        </w:tc>
        <w:tc>
          <w:tcPr>
            <w:tcW w:w="3330" w:type="dxa"/>
          </w:tcPr>
          <w:p w14:paraId="6F5D1DF7" w14:textId="4A18DCE4" w:rsidR="000C0004" w:rsidRPr="000C0004" w:rsidRDefault="000C0004"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2 services</w:t>
            </w:r>
          </w:p>
        </w:tc>
      </w:tr>
    </w:tbl>
    <w:p w14:paraId="3A3FA1E0" w14:textId="15CCF493" w:rsidR="00C01E92"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Together, Limited Hours type 2, Limited Hours type 1 and Standard licence services comprise 99% of the sector, with the remaining 1% of the sector holding a School Hours Care licence:</w:t>
      </w:r>
    </w:p>
    <w:tbl>
      <w:tblPr>
        <w:tblStyle w:val="TableGrid"/>
        <w:tblW w:w="0" w:type="auto"/>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3292"/>
        <w:gridCol w:w="3000"/>
        <w:gridCol w:w="3330"/>
      </w:tblGrid>
      <w:tr w:rsidR="00A41349" w:rsidRPr="00A41349" w14:paraId="3A319415" w14:textId="77777777" w:rsidTr="00A41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2" w:type="dxa"/>
          </w:tcPr>
          <w:p w14:paraId="12504844" w14:textId="77E78926" w:rsidR="00A41349" w:rsidRPr="00A41349" w:rsidRDefault="00A41349" w:rsidP="00A41349">
            <w:pPr>
              <w:pStyle w:val="EYBodytextwithparaspace"/>
              <w:spacing w:after="60"/>
              <w:rPr>
                <w:rFonts w:ascii="Arial Narrow" w:hAnsi="Arial Narrow" w:cstheme="minorHAnsi"/>
                <w:sz w:val="22"/>
                <w:szCs w:val="22"/>
              </w:rPr>
            </w:pPr>
            <w:r w:rsidRPr="00A41349">
              <w:rPr>
                <w:rFonts w:ascii="Arial Narrow" w:hAnsi="Arial Narrow" w:cstheme="minorHAnsi"/>
                <w:sz w:val="22"/>
                <w:szCs w:val="22"/>
              </w:rPr>
              <w:t>Licence type</w:t>
            </w:r>
          </w:p>
        </w:tc>
        <w:tc>
          <w:tcPr>
            <w:tcW w:w="3000" w:type="dxa"/>
          </w:tcPr>
          <w:p w14:paraId="2CF122BC" w14:textId="39B9C791" w:rsidR="00A41349" w:rsidRPr="00A41349" w:rsidRDefault="00A41349" w:rsidP="00A41349">
            <w:pPr>
              <w:pStyle w:val="EYBodytextwithparaspace"/>
              <w:spacing w:after="60"/>
              <w:cnfStyle w:val="100000000000" w:firstRow="1"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41349">
              <w:rPr>
                <w:rFonts w:ascii="Arial Narrow" w:hAnsi="Arial Narrow" w:cstheme="minorHAnsi"/>
                <w:sz w:val="22"/>
                <w:szCs w:val="22"/>
              </w:rPr>
              <w:t># of Services</w:t>
            </w:r>
          </w:p>
        </w:tc>
        <w:tc>
          <w:tcPr>
            <w:tcW w:w="3330" w:type="dxa"/>
          </w:tcPr>
          <w:p w14:paraId="39CE4B75" w14:textId="468240AD" w:rsidR="00A41349" w:rsidRPr="00A41349" w:rsidRDefault="00A41349" w:rsidP="00A41349">
            <w:pPr>
              <w:pStyle w:val="EYBodytextwithparaspace"/>
              <w:spacing w:after="60"/>
              <w:cnfStyle w:val="100000000000" w:firstRow="1"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41349">
              <w:rPr>
                <w:rFonts w:ascii="Arial Narrow" w:hAnsi="Arial Narrow" w:cstheme="minorHAnsi"/>
                <w:sz w:val="22"/>
                <w:szCs w:val="22"/>
              </w:rPr>
              <w:t>% of the Sector</w:t>
            </w:r>
          </w:p>
        </w:tc>
      </w:tr>
      <w:tr w:rsidR="00A41349" w:rsidRPr="00A41349" w14:paraId="1C8E873B" w14:textId="77777777" w:rsidTr="00A41349">
        <w:tc>
          <w:tcPr>
            <w:cnfStyle w:val="001000000000" w:firstRow="0" w:lastRow="0" w:firstColumn="1" w:lastColumn="0" w:oddVBand="0" w:evenVBand="0" w:oddHBand="0" w:evenHBand="0" w:firstRowFirstColumn="0" w:firstRowLastColumn="0" w:lastRowFirstColumn="0" w:lastRowLastColumn="0"/>
            <w:tcW w:w="3292" w:type="dxa"/>
          </w:tcPr>
          <w:p w14:paraId="1B0AB589" w14:textId="7F8D91F8" w:rsidR="00A41349" w:rsidRPr="00A41349" w:rsidRDefault="00A41349" w:rsidP="00A41349">
            <w:pPr>
              <w:pStyle w:val="EYBodytextwithparaspace"/>
              <w:spacing w:after="60"/>
              <w:rPr>
                <w:rFonts w:ascii="Arial Narrow" w:hAnsi="Arial Narrow" w:cstheme="minorHAnsi"/>
                <w:sz w:val="22"/>
                <w:szCs w:val="22"/>
              </w:rPr>
            </w:pPr>
            <w:r w:rsidRPr="00A41349">
              <w:rPr>
                <w:rFonts w:ascii="Arial Narrow" w:hAnsi="Arial Narrow" w:cstheme="minorHAnsi"/>
                <w:sz w:val="22"/>
                <w:szCs w:val="22"/>
              </w:rPr>
              <w:t>Limited Hours Type 2/LH2</w:t>
            </w:r>
          </w:p>
        </w:tc>
        <w:tc>
          <w:tcPr>
            <w:tcW w:w="3000" w:type="dxa"/>
          </w:tcPr>
          <w:p w14:paraId="04E2FC53" w14:textId="4DF7D6EC" w:rsidR="00A41349" w:rsidRPr="00A41349" w:rsidRDefault="00A41349"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41349">
              <w:rPr>
                <w:rFonts w:ascii="Arial Narrow" w:hAnsi="Arial Narrow" w:cstheme="minorHAnsi"/>
                <w:sz w:val="22"/>
                <w:szCs w:val="22"/>
              </w:rPr>
              <w:t>245 services</w:t>
            </w:r>
          </w:p>
        </w:tc>
        <w:tc>
          <w:tcPr>
            <w:tcW w:w="3330" w:type="dxa"/>
          </w:tcPr>
          <w:p w14:paraId="12F6AE6F" w14:textId="4D8992CB" w:rsidR="00A41349" w:rsidRPr="00A41349" w:rsidRDefault="00A41349"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41349">
              <w:rPr>
                <w:rFonts w:ascii="Arial Narrow" w:hAnsi="Arial Narrow" w:cstheme="minorHAnsi"/>
                <w:sz w:val="22"/>
                <w:szCs w:val="22"/>
              </w:rPr>
              <w:t>76% of the sector</w:t>
            </w:r>
          </w:p>
        </w:tc>
      </w:tr>
      <w:tr w:rsidR="00A41349" w:rsidRPr="00A41349" w14:paraId="4EC09A8D" w14:textId="77777777" w:rsidTr="00A41349">
        <w:tc>
          <w:tcPr>
            <w:cnfStyle w:val="001000000000" w:firstRow="0" w:lastRow="0" w:firstColumn="1" w:lastColumn="0" w:oddVBand="0" w:evenVBand="0" w:oddHBand="0" w:evenHBand="0" w:firstRowFirstColumn="0" w:firstRowLastColumn="0" w:lastRowFirstColumn="0" w:lastRowLastColumn="0"/>
            <w:tcW w:w="3292" w:type="dxa"/>
          </w:tcPr>
          <w:p w14:paraId="22E6B109" w14:textId="57A47626" w:rsidR="00A41349" w:rsidRPr="00A41349" w:rsidRDefault="00A41349" w:rsidP="00A41349">
            <w:pPr>
              <w:pStyle w:val="EYBodytextwithparaspace"/>
              <w:spacing w:after="60"/>
              <w:rPr>
                <w:rFonts w:ascii="Arial Narrow" w:hAnsi="Arial Narrow" w:cstheme="minorHAnsi"/>
                <w:sz w:val="22"/>
                <w:szCs w:val="22"/>
              </w:rPr>
            </w:pPr>
            <w:r w:rsidRPr="00A41349">
              <w:rPr>
                <w:rFonts w:ascii="Arial Narrow" w:hAnsi="Arial Narrow" w:cstheme="minorHAnsi"/>
                <w:sz w:val="22"/>
                <w:szCs w:val="22"/>
              </w:rPr>
              <w:t>Limited Hours Type 1/LH1</w:t>
            </w:r>
          </w:p>
        </w:tc>
        <w:tc>
          <w:tcPr>
            <w:tcW w:w="3000" w:type="dxa"/>
          </w:tcPr>
          <w:p w14:paraId="07226E81" w14:textId="1A60E8E5" w:rsidR="00A41349" w:rsidRPr="00A41349" w:rsidRDefault="00A41349"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41349">
              <w:rPr>
                <w:rFonts w:ascii="Arial Narrow" w:hAnsi="Arial Narrow" w:cstheme="minorHAnsi"/>
                <w:sz w:val="22"/>
                <w:szCs w:val="22"/>
              </w:rPr>
              <w:t>46 services</w:t>
            </w:r>
          </w:p>
        </w:tc>
        <w:tc>
          <w:tcPr>
            <w:tcW w:w="3330" w:type="dxa"/>
          </w:tcPr>
          <w:p w14:paraId="4EF6023C" w14:textId="1BD2D426" w:rsidR="00A41349" w:rsidRPr="00A41349" w:rsidRDefault="00A41349"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41349">
              <w:rPr>
                <w:rFonts w:ascii="Arial Narrow" w:hAnsi="Arial Narrow" w:cstheme="minorHAnsi"/>
                <w:sz w:val="22"/>
                <w:szCs w:val="22"/>
              </w:rPr>
              <w:t>14% of the sector</w:t>
            </w:r>
          </w:p>
        </w:tc>
      </w:tr>
      <w:tr w:rsidR="00A41349" w:rsidRPr="00A41349" w14:paraId="48C7E6C2" w14:textId="77777777" w:rsidTr="00A41349">
        <w:tc>
          <w:tcPr>
            <w:cnfStyle w:val="001000000000" w:firstRow="0" w:lastRow="0" w:firstColumn="1" w:lastColumn="0" w:oddVBand="0" w:evenVBand="0" w:oddHBand="0" w:evenHBand="0" w:firstRowFirstColumn="0" w:firstRowLastColumn="0" w:lastRowFirstColumn="0" w:lastRowLastColumn="0"/>
            <w:tcW w:w="3292" w:type="dxa"/>
          </w:tcPr>
          <w:p w14:paraId="4DF5FC7F" w14:textId="5D37969C" w:rsidR="00A41349" w:rsidRPr="00A41349" w:rsidRDefault="00A41349" w:rsidP="00A41349">
            <w:pPr>
              <w:pStyle w:val="EYBodytextwithparaspace"/>
              <w:spacing w:after="60"/>
              <w:rPr>
                <w:rFonts w:ascii="Arial Narrow" w:hAnsi="Arial Narrow" w:cstheme="minorHAnsi"/>
                <w:sz w:val="22"/>
                <w:szCs w:val="22"/>
              </w:rPr>
            </w:pPr>
            <w:r w:rsidRPr="00A41349">
              <w:rPr>
                <w:rFonts w:ascii="Arial Narrow" w:hAnsi="Arial Narrow" w:cstheme="minorHAnsi"/>
                <w:sz w:val="22"/>
                <w:szCs w:val="22"/>
              </w:rPr>
              <w:t>Standard Licence/SL</w:t>
            </w:r>
          </w:p>
        </w:tc>
        <w:tc>
          <w:tcPr>
            <w:tcW w:w="3000" w:type="dxa"/>
          </w:tcPr>
          <w:p w14:paraId="70E475D7" w14:textId="10F0BB4F" w:rsidR="00A41349" w:rsidRPr="00A41349" w:rsidRDefault="00A41349"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41349">
              <w:rPr>
                <w:rFonts w:ascii="Arial Narrow" w:hAnsi="Arial Narrow" w:cstheme="minorHAnsi"/>
                <w:sz w:val="22"/>
                <w:szCs w:val="22"/>
              </w:rPr>
              <w:t>29 services</w:t>
            </w:r>
          </w:p>
        </w:tc>
        <w:tc>
          <w:tcPr>
            <w:tcW w:w="3330" w:type="dxa"/>
          </w:tcPr>
          <w:p w14:paraId="0789B3EB" w14:textId="3F15D8E5" w:rsidR="00A41349" w:rsidRPr="00A41349" w:rsidRDefault="00A41349"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41349">
              <w:rPr>
                <w:rFonts w:ascii="Arial Narrow" w:hAnsi="Arial Narrow" w:cstheme="minorHAnsi"/>
                <w:sz w:val="22"/>
                <w:szCs w:val="22"/>
              </w:rPr>
              <w:t>9% of the sector</w:t>
            </w:r>
          </w:p>
        </w:tc>
      </w:tr>
      <w:tr w:rsidR="00A41349" w:rsidRPr="00A41349" w14:paraId="380C51A5" w14:textId="77777777" w:rsidTr="00A41349">
        <w:tc>
          <w:tcPr>
            <w:cnfStyle w:val="001000000000" w:firstRow="0" w:lastRow="0" w:firstColumn="1" w:lastColumn="0" w:oddVBand="0" w:evenVBand="0" w:oddHBand="0" w:evenHBand="0" w:firstRowFirstColumn="0" w:firstRowLastColumn="0" w:lastRowFirstColumn="0" w:lastRowLastColumn="0"/>
            <w:tcW w:w="3292" w:type="dxa"/>
          </w:tcPr>
          <w:p w14:paraId="14D01D2C" w14:textId="5FA1DB0F" w:rsidR="00A41349" w:rsidRPr="00A41349" w:rsidRDefault="00A41349" w:rsidP="00A41349">
            <w:pPr>
              <w:pStyle w:val="EYBodytextwithparaspace"/>
              <w:spacing w:after="60"/>
              <w:rPr>
                <w:rFonts w:ascii="Arial Narrow" w:hAnsi="Arial Narrow" w:cstheme="minorHAnsi"/>
                <w:sz w:val="22"/>
                <w:szCs w:val="22"/>
              </w:rPr>
            </w:pPr>
            <w:r w:rsidRPr="00A41349">
              <w:rPr>
                <w:rFonts w:ascii="Arial Narrow" w:hAnsi="Arial Narrow" w:cstheme="minorHAnsi"/>
                <w:sz w:val="22"/>
                <w:szCs w:val="22"/>
              </w:rPr>
              <w:t>School Hours Care/SHC</w:t>
            </w:r>
          </w:p>
        </w:tc>
        <w:tc>
          <w:tcPr>
            <w:tcW w:w="3000" w:type="dxa"/>
          </w:tcPr>
          <w:p w14:paraId="0EFBD044" w14:textId="3DBFE95D" w:rsidR="00A41349" w:rsidRPr="00A41349" w:rsidRDefault="00A41349"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41349">
              <w:rPr>
                <w:rFonts w:ascii="Arial Narrow" w:hAnsi="Arial Narrow" w:cstheme="minorHAnsi"/>
                <w:sz w:val="22"/>
                <w:szCs w:val="22"/>
              </w:rPr>
              <w:t>2 services</w:t>
            </w:r>
          </w:p>
        </w:tc>
        <w:tc>
          <w:tcPr>
            <w:tcW w:w="3330" w:type="dxa"/>
          </w:tcPr>
          <w:p w14:paraId="6D718BC7" w14:textId="479EBFD2" w:rsidR="00A41349" w:rsidRPr="00A41349" w:rsidRDefault="00A41349"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A41349">
              <w:rPr>
                <w:rFonts w:ascii="Arial Narrow" w:hAnsi="Arial Narrow" w:cstheme="minorHAnsi"/>
                <w:sz w:val="22"/>
                <w:szCs w:val="22"/>
              </w:rPr>
              <w:t>1% of the sector</w:t>
            </w:r>
          </w:p>
        </w:tc>
      </w:tr>
    </w:tbl>
    <w:p w14:paraId="7B74A5E3"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total cost to industry and forecasted expected cost over 10 years draw on the current sector profile including service size and type. It is assumed that each size and type will continue to be represented in approximately the same proportion as is currently the case, consistent with the trend observed over recent years.</w:t>
      </w:r>
    </w:p>
    <w:p w14:paraId="450CF4C5"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For ease of analysis, the two School Holidays Care (</w:t>
      </w:r>
      <w:r w:rsidRPr="000107A9">
        <w:rPr>
          <w:rFonts w:asciiTheme="minorHAnsi" w:hAnsiTheme="minorHAnsi" w:cstheme="minorHAnsi"/>
          <w:b/>
          <w:sz w:val="22"/>
          <w:szCs w:val="22"/>
        </w:rPr>
        <w:t>SHC</w:t>
      </w:r>
      <w:r w:rsidRPr="000107A9">
        <w:rPr>
          <w:rFonts w:asciiTheme="minorHAnsi" w:hAnsiTheme="minorHAnsi" w:cstheme="minorHAnsi"/>
          <w:sz w:val="22"/>
          <w:szCs w:val="22"/>
        </w:rPr>
        <w:t>) services have been rolled into the ‘LH2’ data. The key cost likely to differ between LH2 and SHC services is staffing. Given the staffing requirements for SHC services are overall less onerous than those for LH2 services, a conservative total cost estimate is considered.</w:t>
      </w:r>
    </w:p>
    <w:p w14:paraId="1D16F46C" w14:textId="38B6DECF" w:rsidR="00C01E92" w:rsidRPr="00C66909" w:rsidRDefault="00C66909" w:rsidP="00C66909">
      <w:pPr>
        <w:pStyle w:val="Heading3"/>
      </w:pPr>
      <w:bookmarkStart w:id="165" w:name="_Ref30174355"/>
      <w:bookmarkStart w:id="166" w:name="_Toc32936889"/>
      <w:r w:rsidRPr="00C66909">
        <w:t xml:space="preserve">6.2.1 </w:t>
      </w:r>
      <w:r w:rsidR="00247217">
        <w:t>Cost</w:t>
      </w:r>
      <w:r w:rsidR="00C01E92" w:rsidRPr="00C66909">
        <w:t xml:space="preserve"> to industry</w:t>
      </w:r>
      <w:bookmarkEnd w:id="165"/>
      <w:bookmarkEnd w:id="166"/>
    </w:p>
    <w:p w14:paraId="14AB9852" w14:textId="548F3D66" w:rsidR="00C01E92" w:rsidRPr="000107A9" w:rsidRDefault="00B92DEB" w:rsidP="00B92DEB">
      <w:pPr>
        <w:pStyle w:val="EYHeading4"/>
        <w:numPr>
          <w:ilvl w:val="0"/>
          <w:numId w:val="0"/>
        </w:numPr>
        <w:spacing w:before="120"/>
        <w:ind w:left="851" w:hanging="851"/>
        <w:rPr>
          <w:rFonts w:asciiTheme="minorHAnsi" w:hAnsiTheme="minorHAnsi" w:cstheme="minorHAnsi"/>
          <w:szCs w:val="22"/>
        </w:rPr>
      </w:pPr>
      <w:r>
        <w:rPr>
          <w:rFonts w:asciiTheme="minorHAnsi" w:hAnsiTheme="minorHAnsi" w:cstheme="minorHAnsi"/>
          <w:szCs w:val="22"/>
        </w:rPr>
        <w:t xml:space="preserve">6.2.1.1 </w:t>
      </w:r>
      <w:r w:rsidR="00C01E92" w:rsidRPr="000107A9">
        <w:rPr>
          <w:rFonts w:asciiTheme="minorHAnsi" w:hAnsiTheme="minorHAnsi" w:cstheme="minorHAnsi"/>
          <w:szCs w:val="22"/>
        </w:rPr>
        <w:t>Approval applications</w:t>
      </w:r>
    </w:p>
    <w:p w14:paraId="15FF4766"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Under the Act, new providers seeking to enter the market must apply for a provider approval (once only) and a service approval (per service). Existing providers can apply to vary or suspend their approvals. Both the current and proposed Regulations prescribe the documents and information required to accompany these applications.</w:t>
      </w:r>
    </w:p>
    <w:p w14:paraId="7D62E413" w14:textId="581B29A1"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There are two types of costs associated with these applications—</w:t>
      </w:r>
      <w:r w:rsidRPr="000107A9">
        <w:rPr>
          <w:rFonts w:asciiTheme="minorHAnsi" w:hAnsiTheme="minorHAnsi" w:cstheme="minorHAnsi"/>
          <w:b/>
          <w:sz w:val="22"/>
          <w:szCs w:val="22"/>
        </w:rPr>
        <w:t>time</w:t>
      </w:r>
      <w:r w:rsidRPr="000107A9">
        <w:rPr>
          <w:rFonts w:asciiTheme="minorHAnsi" w:hAnsiTheme="minorHAnsi" w:cstheme="minorHAnsi"/>
          <w:sz w:val="22"/>
          <w:szCs w:val="22"/>
        </w:rPr>
        <w:t xml:space="preserve"> taken to complete the applications and the </w:t>
      </w:r>
      <w:r w:rsidRPr="000107A9">
        <w:rPr>
          <w:rFonts w:asciiTheme="minorHAnsi" w:hAnsiTheme="minorHAnsi" w:cstheme="minorHAnsi"/>
          <w:b/>
          <w:sz w:val="22"/>
          <w:szCs w:val="22"/>
        </w:rPr>
        <w:t xml:space="preserve">fee </w:t>
      </w:r>
      <w:r w:rsidRPr="000107A9">
        <w:rPr>
          <w:rFonts w:asciiTheme="minorHAnsi" w:hAnsiTheme="minorHAnsi" w:cstheme="minorHAnsi"/>
          <w:sz w:val="22"/>
          <w:szCs w:val="22"/>
        </w:rPr>
        <w:t>for each</w:t>
      </w:r>
      <w:r w:rsidRPr="000107A9">
        <w:rPr>
          <w:rFonts w:asciiTheme="minorHAnsi" w:hAnsiTheme="minorHAnsi" w:cstheme="minorHAnsi"/>
          <w:b/>
          <w:sz w:val="22"/>
          <w:szCs w:val="22"/>
        </w:rPr>
        <w:t xml:space="preserve"> </w:t>
      </w:r>
      <w:r w:rsidRPr="000107A9">
        <w:rPr>
          <w:rFonts w:asciiTheme="minorHAnsi" w:hAnsiTheme="minorHAnsi" w:cstheme="minorHAnsi"/>
          <w:sz w:val="22"/>
          <w:szCs w:val="22"/>
        </w:rPr>
        <w:t xml:space="preserve">application. This section only assesses the application completion costs, while fees are assessed in section </w:t>
      </w: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_Ref24629979 \r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Pr>
          <w:rFonts w:asciiTheme="minorHAnsi" w:hAnsiTheme="minorHAnsi" w:cstheme="minorHAnsi"/>
          <w:sz w:val="22"/>
          <w:szCs w:val="22"/>
        </w:rPr>
        <w:t>6.2.1.8</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w:t>
      </w:r>
    </w:p>
    <w:p w14:paraId="5AF63712" w14:textId="77777777" w:rsidR="00C01E92" w:rsidRPr="000107A9" w:rsidRDefault="00C01E92" w:rsidP="00C01E92">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b/>
          <w:sz w:val="22"/>
          <w:szCs w:val="22"/>
        </w:rPr>
        <w:t>Base case</w:t>
      </w:r>
    </w:p>
    <w:p w14:paraId="32AB9E62"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As the Act requires providers to hold approvals in order to operate, costs under the base case would be similar to, or slightly higher than, those currently imposed and those incurred in Option A.2. Alignment, as the information required for an application would not be prescribed in Regulations; rather, it would be known to the Regulatory Authority. The slightly higher cost is associated with the applicant spending time on activity, such as contacting the Regulator, to determine the information required to fulfil on the application process in place of this being specified in regulations.</w:t>
      </w:r>
    </w:p>
    <w:p w14:paraId="3AD62B4E" w14:textId="77777777" w:rsidR="006C177D" w:rsidRDefault="006C177D">
      <w:pPr>
        <w:spacing w:after="0"/>
        <w:rPr>
          <w:rFonts w:eastAsia="Times New Roman" w:cstheme="minorHAnsi"/>
          <w:b/>
          <w:szCs w:val="22"/>
          <w:lang w:val="en-AU"/>
        </w:rPr>
      </w:pPr>
      <w:r>
        <w:rPr>
          <w:rFonts w:cstheme="minorHAnsi"/>
          <w:b/>
          <w:szCs w:val="22"/>
        </w:rPr>
        <w:br w:type="page"/>
      </w:r>
    </w:p>
    <w:p w14:paraId="7CE7DE34" w14:textId="2EB6EE06" w:rsidR="00C01E92" w:rsidRPr="000107A9" w:rsidRDefault="00C01E92" w:rsidP="00C01E92">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b/>
          <w:sz w:val="22"/>
          <w:szCs w:val="22"/>
        </w:rPr>
        <w:lastRenderedPageBreak/>
        <w:t>Status Quo</w:t>
      </w:r>
    </w:p>
    <w:p w14:paraId="66447177"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Under the current Regulations, applicants can apply for licences of up to 1, 3 or 5 year terms. This means that both application costs and fees recur at a frequency corresponding to the term of the licence chosen (every 1, 3 or 5 years). A service premises is approved indefinitely unless and until it is renovated, or the service moves or ceases to operate.</w:t>
      </w:r>
    </w:p>
    <w:p w14:paraId="6AC1D6BE"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proposed Regulations broadly require the same documents and information as the current Regulations. This means that the shift from licences and premises approvals to provider and service approvals is not expected to result in considerable variation of cost to industry. The Status Quo option is therefore neither scored nor weighted here.</w:t>
      </w:r>
    </w:p>
    <w:p w14:paraId="2958222C" w14:textId="77777777" w:rsidR="00C01E92" w:rsidRPr="000107A9" w:rsidRDefault="00C01E92" w:rsidP="00C01E92">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b/>
          <w:sz w:val="22"/>
          <w:szCs w:val="22"/>
        </w:rPr>
        <w:t>Alignment</w:t>
      </w:r>
    </w:p>
    <w:p w14:paraId="3523C215"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In contrast, under Option A.2. Alignment, provider and service approvals are granted in perpetuity and an annual fee is raised each year. This means that the application cost is a ‘once-off’ event while the fees recur annually, resulting in business saving. </w:t>
      </w:r>
    </w:p>
    <w:p w14:paraId="37D98023" w14:textId="74E5040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Additionally, aligning the approval system with the NQF is expected to reduce confusion and create efficiencies for providers currently operating services under both regimes, or for current NQF providers seeking to enter the children’s services sector. Feedback from consultations held with stakeholders in relation to the Amendment Act noted that it would be easier for those providers operating under both regimes to comply with consistent requirements.</w:t>
      </w:r>
    </w:p>
    <w:p w14:paraId="2E1596C2" w14:textId="77777777" w:rsidR="00C01E92" w:rsidRPr="000107A9" w:rsidRDefault="00C01E92" w:rsidP="00C01E92">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b/>
          <w:sz w:val="22"/>
          <w:szCs w:val="22"/>
        </w:rPr>
        <w:t>Assumptions</w:t>
      </w:r>
    </w:p>
    <w:p w14:paraId="0D45545D"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Time assumptions for Option A.2. Alignment are drawn from the NQF Regulatory Burden report (checked for applicability with the Department).</w:t>
      </w:r>
      <w:r w:rsidRPr="000107A9">
        <w:rPr>
          <w:rFonts w:asciiTheme="minorHAnsi" w:hAnsiTheme="minorHAnsi" w:cstheme="minorHAnsi"/>
          <w:sz w:val="22"/>
          <w:szCs w:val="22"/>
          <w:vertAlign w:val="superscript"/>
        </w:rPr>
        <w:footnoteReference w:id="39"/>
      </w:r>
      <w:r w:rsidRPr="000107A9">
        <w:rPr>
          <w:rFonts w:asciiTheme="minorHAnsi" w:hAnsiTheme="minorHAnsi" w:cstheme="minorHAnsi"/>
          <w:sz w:val="22"/>
          <w:szCs w:val="22"/>
        </w:rPr>
        <w:t xml:space="preserve"> Slightly longer time assumptions are made for the base case for the reasons discussed above. Time savings have also been assumed based on the intention that the current paper-based application system would be replaced with an online system (similar to that used in the NQF) within two years of the Regulations taking effect; this transition is expected to provide a modest time (and therefore cost) savings.</w:t>
      </w:r>
    </w:p>
    <w:p w14:paraId="37C23CFE"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Staffing cost assumes a Director-level staff member would complete the application process.</w:t>
      </w:r>
    </w:p>
    <w:p w14:paraId="31AAA182"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Figures for ‘cost over 10 years’ are based on the assumption that the approximately 320 services currently in the sector will continue to operate, with new services entering the sector at a rate of 20 per year (in the same proportion services are currently represented).</w:t>
      </w:r>
      <w:r w:rsidRPr="000107A9">
        <w:rPr>
          <w:rFonts w:asciiTheme="minorHAnsi" w:hAnsiTheme="minorHAnsi" w:cstheme="minorHAnsi"/>
          <w:sz w:val="22"/>
          <w:szCs w:val="22"/>
          <w:vertAlign w:val="superscript"/>
        </w:rPr>
        <w:footnoteReference w:id="40"/>
      </w:r>
      <w:r w:rsidRPr="000107A9">
        <w:rPr>
          <w:rFonts w:asciiTheme="minorHAnsi" w:hAnsiTheme="minorHAnsi" w:cstheme="minorHAnsi"/>
          <w:sz w:val="22"/>
          <w:szCs w:val="22"/>
        </w:rPr>
        <w:t xml:space="preserve"> </w:t>
      </w:r>
    </w:p>
    <w:p w14:paraId="585032B6" w14:textId="7E988A0B" w:rsidR="00937695" w:rsidRDefault="00C01E92" w:rsidP="00C01E92">
      <w:pPr>
        <w:pStyle w:val="EYBodytextwithparaspace"/>
        <w:spacing w:before="120" w:after="120"/>
        <w:rPr>
          <w:rFonts w:asciiTheme="minorHAnsi" w:hAnsiTheme="minorHAnsi" w:cstheme="minorHAnsi"/>
          <w:sz w:val="22"/>
          <w:szCs w:val="22"/>
        </w:rPr>
      </w:pPr>
      <w:r w:rsidRPr="00A710FC">
        <w:rPr>
          <w:rFonts w:asciiTheme="minorHAnsi" w:hAnsiTheme="minorHAnsi" w:cstheme="minorHAnsi"/>
          <w:sz w:val="22"/>
          <w:szCs w:val="22"/>
        </w:rPr>
        <w:fldChar w:fldCharType="begin"/>
      </w:r>
      <w:r w:rsidRPr="00A710FC">
        <w:rPr>
          <w:rFonts w:asciiTheme="minorHAnsi" w:hAnsiTheme="minorHAnsi" w:cstheme="minorHAnsi"/>
          <w:sz w:val="22"/>
          <w:szCs w:val="22"/>
        </w:rPr>
        <w:instrText xml:space="preserve"> REF _Ref23600930 \h  \* MERGEFORMAT </w:instrText>
      </w:r>
      <w:r w:rsidRPr="00A710FC">
        <w:rPr>
          <w:rFonts w:asciiTheme="minorHAnsi" w:hAnsiTheme="minorHAnsi" w:cstheme="minorHAnsi"/>
          <w:sz w:val="22"/>
          <w:szCs w:val="22"/>
        </w:rPr>
      </w:r>
      <w:r w:rsidRPr="00A710FC">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 xml:space="preserve">Table </w:t>
      </w:r>
      <w:r w:rsidR="00493211" w:rsidRPr="00493211">
        <w:rPr>
          <w:rFonts w:asciiTheme="minorHAnsi" w:hAnsiTheme="minorHAnsi" w:cstheme="minorHAnsi"/>
          <w:noProof/>
          <w:sz w:val="22"/>
          <w:szCs w:val="22"/>
        </w:rPr>
        <w:t>15</w:t>
      </w:r>
      <w:r w:rsidRPr="00A710FC">
        <w:rPr>
          <w:rFonts w:asciiTheme="minorHAnsi" w:hAnsiTheme="minorHAnsi" w:cstheme="minorHAnsi"/>
          <w:sz w:val="22"/>
          <w:szCs w:val="22"/>
        </w:rPr>
        <w:fldChar w:fldCharType="end"/>
      </w:r>
      <w:r w:rsidR="00A710FC" w:rsidRPr="00A710FC">
        <w:rPr>
          <w:rFonts w:asciiTheme="minorHAnsi" w:hAnsiTheme="minorHAnsi" w:cstheme="minorHAnsi"/>
          <w:sz w:val="22"/>
          <w:szCs w:val="22"/>
        </w:rPr>
        <w:t xml:space="preserve"> </w:t>
      </w:r>
      <w:r w:rsidRPr="00A710FC">
        <w:rPr>
          <w:rFonts w:asciiTheme="minorHAnsi" w:hAnsiTheme="minorHAnsi" w:cstheme="minorHAnsi"/>
          <w:sz w:val="22"/>
          <w:szCs w:val="22"/>
        </w:rPr>
        <w:t>outli</w:t>
      </w:r>
      <w:r w:rsidRPr="00CF5254">
        <w:rPr>
          <w:rFonts w:asciiTheme="minorHAnsi" w:hAnsiTheme="minorHAnsi" w:cstheme="minorHAnsi"/>
          <w:sz w:val="22"/>
          <w:szCs w:val="22"/>
        </w:rPr>
        <w:t>nes</w:t>
      </w:r>
      <w:r w:rsidRPr="000107A9">
        <w:rPr>
          <w:rFonts w:asciiTheme="minorHAnsi" w:hAnsiTheme="minorHAnsi" w:cstheme="minorHAnsi"/>
          <w:sz w:val="22"/>
          <w:szCs w:val="22"/>
        </w:rPr>
        <w:t xml:space="preserve"> the estimated time and costs for small providers of preparing initial applications for service and provider approvals under the base case and Option A.2. Alignment (the proposed Regulations).</w:t>
      </w:r>
      <w:r w:rsidR="00CF5254">
        <w:rPr>
          <w:rFonts w:asciiTheme="minorHAnsi" w:hAnsiTheme="minorHAnsi" w:cstheme="minorHAnsi"/>
          <w:sz w:val="22"/>
          <w:szCs w:val="22"/>
        </w:rPr>
        <w:t xml:space="preserve"> </w:t>
      </w: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_Ref23601011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Table</w:t>
      </w:r>
      <w:r w:rsidR="00493211" w:rsidRPr="000107A9">
        <w:t xml:space="preserve"> </w:t>
      </w:r>
      <w:r w:rsidR="00493211">
        <w:rPr>
          <w:noProof/>
        </w:rPr>
        <w:t>16</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provides the same</w:t>
      </w:r>
      <w:r w:rsidR="00CF5254">
        <w:rPr>
          <w:rFonts w:asciiTheme="minorHAnsi" w:hAnsiTheme="minorHAnsi" w:cstheme="minorHAnsi"/>
          <w:sz w:val="22"/>
          <w:szCs w:val="22"/>
        </w:rPr>
        <w:t xml:space="preserve"> analysis for medium providers.</w:t>
      </w:r>
    </w:p>
    <w:p w14:paraId="47570CA4" w14:textId="121D3913" w:rsidR="00C01E92" w:rsidRPr="000107A9" w:rsidRDefault="00C01E92" w:rsidP="00F7569F">
      <w:pPr>
        <w:pStyle w:val="Caption"/>
      </w:pPr>
      <w:bookmarkStart w:id="167" w:name="_Ref23600930"/>
      <w:bookmarkStart w:id="168" w:name="_Ref23600923"/>
      <w:bookmarkStart w:id="169" w:name="_Toc32592798"/>
      <w:r w:rsidRPr="000107A9">
        <w:t xml:space="preserve">Table </w:t>
      </w:r>
      <w:r w:rsidRPr="000107A9">
        <w:fldChar w:fldCharType="begin"/>
      </w:r>
      <w:r w:rsidRPr="000107A9">
        <w:instrText xml:space="preserve"> SEQ Table \* ARABIC </w:instrText>
      </w:r>
      <w:r w:rsidRPr="000107A9">
        <w:fldChar w:fldCharType="separate"/>
      </w:r>
      <w:r w:rsidR="00493211">
        <w:rPr>
          <w:noProof/>
        </w:rPr>
        <w:t>15</w:t>
      </w:r>
      <w:r w:rsidRPr="000107A9">
        <w:fldChar w:fldCharType="end"/>
      </w:r>
      <w:bookmarkEnd w:id="167"/>
      <w:r w:rsidRPr="000107A9">
        <w:t xml:space="preserve"> Approval application costs to industry - small </w:t>
      </w:r>
      <w:bookmarkEnd w:id="168"/>
      <w:r w:rsidRPr="000107A9">
        <w:t>services</w:t>
      </w:r>
      <w:bookmarkEnd w:id="169"/>
    </w:p>
    <w:tbl>
      <w:tblPr>
        <w:tblStyle w:val="TableGrid"/>
        <w:tblW w:w="9067" w:type="dxa"/>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ayout w:type="fixed"/>
        <w:tblLook w:val="04A0" w:firstRow="1" w:lastRow="0" w:firstColumn="1" w:lastColumn="0" w:noHBand="0" w:noVBand="1"/>
      </w:tblPr>
      <w:tblGrid>
        <w:gridCol w:w="2830"/>
        <w:gridCol w:w="993"/>
        <w:gridCol w:w="992"/>
        <w:gridCol w:w="1200"/>
        <w:gridCol w:w="926"/>
        <w:gridCol w:w="992"/>
        <w:gridCol w:w="1134"/>
      </w:tblGrid>
      <w:tr w:rsidR="00C01E92" w:rsidRPr="00937695" w14:paraId="6C267012" w14:textId="77777777" w:rsidTr="006C1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restart"/>
            <w:tcBorders>
              <w:right w:val="none" w:sz="0" w:space="0" w:color="auto"/>
            </w:tcBorders>
          </w:tcPr>
          <w:p w14:paraId="718CCE5C" w14:textId="3382AFBF" w:rsidR="00C01E92" w:rsidRPr="00937695" w:rsidRDefault="005E57BF" w:rsidP="0049086D">
            <w:pPr>
              <w:pStyle w:val="EYBodytextwithparaspace"/>
              <w:spacing w:after="60"/>
              <w:rPr>
                <w:rFonts w:ascii="Arial Narrow" w:hAnsi="Arial Narrow" w:cstheme="minorHAnsi"/>
                <w:sz w:val="22"/>
                <w:szCs w:val="22"/>
              </w:rPr>
            </w:pPr>
            <w:r>
              <w:rPr>
                <w:rFonts w:ascii="Arial Narrow" w:hAnsi="Arial Narrow" w:cstheme="minorHAnsi"/>
                <w:sz w:val="22"/>
                <w:szCs w:val="22"/>
              </w:rPr>
              <w:t xml:space="preserve">Approval application - </w:t>
            </w:r>
            <w:r>
              <w:rPr>
                <w:rFonts w:ascii="Arial Narrow" w:hAnsi="Arial Narrow" w:cstheme="minorHAnsi"/>
                <w:sz w:val="22"/>
                <w:szCs w:val="22"/>
              </w:rPr>
              <w:br/>
              <w:t>Small services</w:t>
            </w:r>
          </w:p>
        </w:tc>
        <w:tc>
          <w:tcPr>
            <w:tcW w:w="3185" w:type="dxa"/>
            <w:gridSpan w:val="3"/>
            <w:tcBorders>
              <w:left w:val="none" w:sz="0" w:space="0" w:color="auto"/>
              <w:right w:val="none" w:sz="0" w:space="0" w:color="auto"/>
            </w:tcBorders>
          </w:tcPr>
          <w:p w14:paraId="41D59702" w14:textId="77777777" w:rsidR="00C01E92" w:rsidRPr="00937695" w:rsidRDefault="00C01E92" w:rsidP="0049086D">
            <w:pPr>
              <w:pStyle w:val="EYBodytextwithparaspace"/>
              <w:spacing w:after="60"/>
              <w:cnfStyle w:val="100000000000" w:firstRow="1"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Base case</w:t>
            </w:r>
          </w:p>
        </w:tc>
        <w:tc>
          <w:tcPr>
            <w:tcW w:w="3052" w:type="dxa"/>
            <w:gridSpan w:val="3"/>
            <w:tcBorders>
              <w:left w:val="none" w:sz="0" w:space="0" w:color="auto"/>
            </w:tcBorders>
          </w:tcPr>
          <w:p w14:paraId="3A0EFDAC" w14:textId="77777777" w:rsidR="00C01E92" w:rsidRPr="00937695" w:rsidRDefault="00C01E92" w:rsidP="0049086D">
            <w:pPr>
              <w:pStyle w:val="EYBodytextwithparaspace"/>
              <w:spacing w:after="60"/>
              <w:cnfStyle w:val="100000000000" w:firstRow="1"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Option A.2. Alignment</w:t>
            </w:r>
          </w:p>
        </w:tc>
      </w:tr>
      <w:tr w:rsidR="00C01E92" w:rsidRPr="00937695" w14:paraId="29CA67E9" w14:textId="77777777" w:rsidTr="006C177D">
        <w:trPr>
          <w:trHeight w:val="689"/>
        </w:trPr>
        <w:tc>
          <w:tcPr>
            <w:cnfStyle w:val="001000000000" w:firstRow="0" w:lastRow="0" w:firstColumn="1" w:lastColumn="0" w:oddVBand="0" w:evenVBand="0" w:oddHBand="0" w:evenHBand="0" w:firstRowFirstColumn="0" w:firstRowLastColumn="0" w:lastRowFirstColumn="0" w:lastRowLastColumn="0"/>
            <w:tcW w:w="2830" w:type="dxa"/>
            <w:vMerge/>
          </w:tcPr>
          <w:p w14:paraId="19A65269" w14:textId="77777777" w:rsidR="00C01E92" w:rsidRPr="00937695" w:rsidRDefault="00C01E92" w:rsidP="0049086D">
            <w:pPr>
              <w:pStyle w:val="EYBodytextwithparaspace"/>
              <w:spacing w:after="60"/>
              <w:rPr>
                <w:rFonts w:ascii="Arial Narrow" w:hAnsi="Arial Narrow" w:cstheme="minorHAnsi"/>
                <w:sz w:val="22"/>
                <w:szCs w:val="22"/>
              </w:rPr>
            </w:pPr>
          </w:p>
        </w:tc>
        <w:tc>
          <w:tcPr>
            <w:tcW w:w="993" w:type="dxa"/>
          </w:tcPr>
          <w:p w14:paraId="1CB440F7" w14:textId="77777777" w:rsidR="00C01E92" w:rsidRPr="00937695" w:rsidRDefault="00C01E92" w:rsidP="0049086D">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937695">
              <w:rPr>
                <w:rFonts w:ascii="Arial Narrow" w:hAnsi="Arial Narrow" w:cstheme="minorHAnsi"/>
                <w:b/>
                <w:sz w:val="22"/>
                <w:szCs w:val="22"/>
              </w:rPr>
              <w:t>Hours</w:t>
            </w:r>
          </w:p>
        </w:tc>
        <w:tc>
          <w:tcPr>
            <w:tcW w:w="992" w:type="dxa"/>
          </w:tcPr>
          <w:p w14:paraId="4A2D0DC2" w14:textId="77777777" w:rsidR="00C01E92" w:rsidRPr="00937695" w:rsidRDefault="00C01E92" w:rsidP="0049086D">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937695">
              <w:rPr>
                <w:rFonts w:ascii="Arial Narrow" w:hAnsi="Arial Narrow" w:cstheme="minorHAnsi"/>
                <w:b/>
                <w:sz w:val="22"/>
                <w:szCs w:val="22"/>
              </w:rPr>
              <w:t>Cost per app.</w:t>
            </w:r>
          </w:p>
        </w:tc>
        <w:tc>
          <w:tcPr>
            <w:tcW w:w="1200" w:type="dxa"/>
          </w:tcPr>
          <w:p w14:paraId="3D75B700" w14:textId="77777777" w:rsidR="00C01E92" w:rsidRPr="00937695" w:rsidRDefault="00C01E92" w:rsidP="0049086D">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937695">
              <w:rPr>
                <w:rFonts w:ascii="Arial Narrow" w:hAnsi="Arial Narrow" w:cstheme="minorHAnsi"/>
                <w:b/>
                <w:sz w:val="22"/>
                <w:szCs w:val="22"/>
              </w:rPr>
              <w:t>Cost over 10 years</w:t>
            </w:r>
          </w:p>
        </w:tc>
        <w:tc>
          <w:tcPr>
            <w:tcW w:w="926" w:type="dxa"/>
          </w:tcPr>
          <w:p w14:paraId="67FA4793" w14:textId="77777777" w:rsidR="00C01E92" w:rsidRPr="00937695" w:rsidRDefault="00C01E92" w:rsidP="0049086D">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937695">
              <w:rPr>
                <w:rFonts w:ascii="Arial Narrow" w:hAnsi="Arial Narrow" w:cstheme="minorHAnsi"/>
                <w:b/>
                <w:sz w:val="22"/>
                <w:szCs w:val="22"/>
              </w:rPr>
              <w:t>Hours</w:t>
            </w:r>
          </w:p>
        </w:tc>
        <w:tc>
          <w:tcPr>
            <w:tcW w:w="992" w:type="dxa"/>
          </w:tcPr>
          <w:p w14:paraId="0798C4AC" w14:textId="77777777" w:rsidR="00C01E92" w:rsidRPr="00937695" w:rsidRDefault="00C01E92" w:rsidP="0049086D">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937695">
              <w:rPr>
                <w:rFonts w:ascii="Arial Narrow" w:hAnsi="Arial Narrow" w:cstheme="minorHAnsi"/>
                <w:b/>
                <w:sz w:val="22"/>
                <w:szCs w:val="22"/>
              </w:rPr>
              <w:t>Cost per app.</w:t>
            </w:r>
          </w:p>
        </w:tc>
        <w:tc>
          <w:tcPr>
            <w:tcW w:w="1134" w:type="dxa"/>
          </w:tcPr>
          <w:p w14:paraId="0ABDAE0A" w14:textId="77777777" w:rsidR="00C01E92" w:rsidRPr="00937695" w:rsidRDefault="00C01E92" w:rsidP="0049086D">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937695">
              <w:rPr>
                <w:rFonts w:ascii="Arial Narrow" w:hAnsi="Arial Narrow" w:cstheme="minorHAnsi"/>
                <w:b/>
                <w:sz w:val="22"/>
                <w:szCs w:val="22"/>
              </w:rPr>
              <w:t>Cost over 10 years</w:t>
            </w:r>
          </w:p>
        </w:tc>
      </w:tr>
      <w:tr w:rsidR="00C01E92" w:rsidRPr="00937695" w14:paraId="67F42244" w14:textId="77777777" w:rsidTr="006C177D">
        <w:tc>
          <w:tcPr>
            <w:cnfStyle w:val="001000000000" w:firstRow="0" w:lastRow="0" w:firstColumn="1" w:lastColumn="0" w:oddVBand="0" w:evenVBand="0" w:oddHBand="0" w:evenHBand="0" w:firstRowFirstColumn="0" w:firstRowLastColumn="0" w:lastRowFirstColumn="0" w:lastRowLastColumn="0"/>
            <w:tcW w:w="2830" w:type="dxa"/>
          </w:tcPr>
          <w:p w14:paraId="55012AE9" w14:textId="77777777" w:rsidR="00C01E92" w:rsidRPr="00937695" w:rsidRDefault="00C01E92" w:rsidP="0049086D">
            <w:pPr>
              <w:pStyle w:val="EYBodytextwithparaspace"/>
              <w:spacing w:after="60"/>
              <w:rPr>
                <w:rFonts w:ascii="Arial Narrow" w:hAnsi="Arial Narrow" w:cstheme="minorHAnsi"/>
                <w:sz w:val="22"/>
                <w:szCs w:val="22"/>
              </w:rPr>
            </w:pPr>
            <w:r w:rsidRPr="00937695">
              <w:rPr>
                <w:rFonts w:ascii="Arial Narrow" w:hAnsi="Arial Narrow" w:cstheme="minorHAnsi"/>
                <w:sz w:val="22"/>
                <w:szCs w:val="22"/>
              </w:rPr>
              <w:t>Provider approval/licence</w:t>
            </w:r>
          </w:p>
        </w:tc>
        <w:tc>
          <w:tcPr>
            <w:tcW w:w="993" w:type="dxa"/>
          </w:tcPr>
          <w:p w14:paraId="28D8219C" w14:textId="77777777" w:rsidR="00C01E92" w:rsidRPr="00937695" w:rsidRDefault="00C01E92" w:rsidP="0049086D">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2</w:t>
            </w:r>
          </w:p>
        </w:tc>
        <w:tc>
          <w:tcPr>
            <w:tcW w:w="992" w:type="dxa"/>
          </w:tcPr>
          <w:p w14:paraId="068E25E8" w14:textId="77777777" w:rsidR="00C01E92" w:rsidRPr="00937695" w:rsidRDefault="00C01E92" w:rsidP="0049086D">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$77.38</w:t>
            </w:r>
          </w:p>
        </w:tc>
        <w:tc>
          <w:tcPr>
            <w:tcW w:w="1200" w:type="dxa"/>
          </w:tcPr>
          <w:p w14:paraId="1650ECA8" w14:textId="77777777" w:rsidR="00C01E92" w:rsidRPr="00937695" w:rsidRDefault="00C01E92" w:rsidP="0049086D">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$9,035.68</w:t>
            </w:r>
          </w:p>
        </w:tc>
        <w:tc>
          <w:tcPr>
            <w:tcW w:w="926" w:type="dxa"/>
          </w:tcPr>
          <w:p w14:paraId="3993A56D" w14:textId="77777777" w:rsidR="00C01E92" w:rsidRPr="00937695" w:rsidRDefault="00C01E92" w:rsidP="0049086D">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1.7</w:t>
            </w:r>
          </w:p>
        </w:tc>
        <w:tc>
          <w:tcPr>
            <w:tcW w:w="992" w:type="dxa"/>
          </w:tcPr>
          <w:p w14:paraId="703E0982" w14:textId="77777777" w:rsidR="00C01E92" w:rsidRPr="00937695" w:rsidRDefault="00C01E92" w:rsidP="0049086D">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$65.78</w:t>
            </w:r>
          </w:p>
        </w:tc>
        <w:tc>
          <w:tcPr>
            <w:tcW w:w="1134" w:type="dxa"/>
          </w:tcPr>
          <w:p w14:paraId="16FFA1F0" w14:textId="77777777" w:rsidR="00C01E92" w:rsidRPr="00937695" w:rsidRDefault="00C01E92" w:rsidP="0049086D">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$7,680.33</w:t>
            </w:r>
          </w:p>
        </w:tc>
      </w:tr>
      <w:tr w:rsidR="00C01E92" w:rsidRPr="00937695" w14:paraId="560884E5" w14:textId="77777777" w:rsidTr="006C177D">
        <w:tc>
          <w:tcPr>
            <w:cnfStyle w:val="001000000000" w:firstRow="0" w:lastRow="0" w:firstColumn="1" w:lastColumn="0" w:oddVBand="0" w:evenVBand="0" w:oddHBand="0" w:evenHBand="0" w:firstRowFirstColumn="0" w:firstRowLastColumn="0" w:lastRowFirstColumn="0" w:lastRowLastColumn="0"/>
            <w:tcW w:w="2830" w:type="dxa"/>
          </w:tcPr>
          <w:p w14:paraId="1BD37FBE" w14:textId="77777777" w:rsidR="00C01E92" w:rsidRPr="00937695" w:rsidRDefault="00C01E92" w:rsidP="0049086D">
            <w:pPr>
              <w:pStyle w:val="EYBodytextwithparaspace"/>
              <w:spacing w:after="60"/>
              <w:rPr>
                <w:rFonts w:ascii="Arial Narrow" w:hAnsi="Arial Narrow" w:cstheme="minorHAnsi"/>
                <w:sz w:val="22"/>
                <w:szCs w:val="22"/>
              </w:rPr>
            </w:pPr>
            <w:r w:rsidRPr="00937695">
              <w:rPr>
                <w:rFonts w:ascii="Arial Narrow" w:hAnsi="Arial Narrow" w:cstheme="minorHAnsi"/>
                <w:sz w:val="22"/>
                <w:szCs w:val="22"/>
              </w:rPr>
              <w:t>Premises approval/service approval</w:t>
            </w:r>
          </w:p>
        </w:tc>
        <w:tc>
          <w:tcPr>
            <w:tcW w:w="993" w:type="dxa"/>
          </w:tcPr>
          <w:p w14:paraId="1BD86B3A" w14:textId="77777777" w:rsidR="00C01E92" w:rsidRPr="00937695" w:rsidRDefault="00C01E92" w:rsidP="0049086D">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1.7</w:t>
            </w:r>
          </w:p>
        </w:tc>
        <w:tc>
          <w:tcPr>
            <w:tcW w:w="992" w:type="dxa"/>
          </w:tcPr>
          <w:p w14:paraId="58964352" w14:textId="77777777" w:rsidR="00C01E92" w:rsidRPr="00937695" w:rsidRDefault="00C01E92" w:rsidP="0049086D">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$65.78</w:t>
            </w:r>
          </w:p>
        </w:tc>
        <w:tc>
          <w:tcPr>
            <w:tcW w:w="1200" w:type="dxa"/>
          </w:tcPr>
          <w:p w14:paraId="17A183EC" w14:textId="77777777" w:rsidR="00C01E92" w:rsidRPr="00937695" w:rsidRDefault="00C01E92" w:rsidP="0049086D">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$7,680.33</w:t>
            </w:r>
          </w:p>
        </w:tc>
        <w:tc>
          <w:tcPr>
            <w:tcW w:w="926" w:type="dxa"/>
          </w:tcPr>
          <w:p w14:paraId="2A4EB420" w14:textId="77777777" w:rsidR="00C01E92" w:rsidRPr="00937695" w:rsidRDefault="00C01E92" w:rsidP="0049086D">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1.4</w:t>
            </w:r>
          </w:p>
        </w:tc>
        <w:tc>
          <w:tcPr>
            <w:tcW w:w="992" w:type="dxa"/>
          </w:tcPr>
          <w:p w14:paraId="2860FCBA" w14:textId="77777777" w:rsidR="00C01E92" w:rsidRPr="00937695" w:rsidRDefault="00C01E92" w:rsidP="0049086D">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$54.17</w:t>
            </w:r>
          </w:p>
        </w:tc>
        <w:tc>
          <w:tcPr>
            <w:tcW w:w="1134" w:type="dxa"/>
          </w:tcPr>
          <w:p w14:paraId="2BCC41E4" w14:textId="77777777" w:rsidR="00C01E92" w:rsidRPr="00937695" w:rsidRDefault="00C01E92" w:rsidP="0049086D">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$6,324.97</w:t>
            </w:r>
          </w:p>
        </w:tc>
      </w:tr>
    </w:tbl>
    <w:p w14:paraId="1FDF2075" w14:textId="79A72A76" w:rsidR="00C01E92" w:rsidRPr="000107A9" w:rsidRDefault="00C01E92" w:rsidP="00F7569F">
      <w:pPr>
        <w:pStyle w:val="Caption"/>
      </w:pPr>
      <w:bookmarkStart w:id="170" w:name="_Ref23601011"/>
      <w:bookmarkStart w:id="171" w:name="_Toc32592799"/>
      <w:r w:rsidRPr="000107A9">
        <w:lastRenderedPageBreak/>
        <w:t xml:space="preserve">Table </w:t>
      </w:r>
      <w:r w:rsidRPr="000107A9">
        <w:fldChar w:fldCharType="begin"/>
      </w:r>
      <w:r w:rsidRPr="000107A9">
        <w:instrText xml:space="preserve"> SEQ Table \* ARABIC </w:instrText>
      </w:r>
      <w:r w:rsidRPr="000107A9">
        <w:fldChar w:fldCharType="separate"/>
      </w:r>
      <w:r w:rsidR="00493211">
        <w:rPr>
          <w:noProof/>
        </w:rPr>
        <w:t>16</w:t>
      </w:r>
      <w:r w:rsidRPr="000107A9">
        <w:fldChar w:fldCharType="end"/>
      </w:r>
      <w:bookmarkEnd w:id="170"/>
      <w:r w:rsidRPr="000107A9">
        <w:t xml:space="preserve"> Approval application costs to industry - medium services</w:t>
      </w:r>
      <w:bookmarkEnd w:id="171"/>
    </w:p>
    <w:tbl>
      <w:tblPr>
        <w:tblStyle w:val="TableGrid"/>
        <w:tblW w:w="9067" w:type="dxa"/>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ayout w:type="fixed"/>
        <w:tblLook w:val="04A0" w:firstRow="1" w:lastRow="0" w:firstColumn="1" w:lastColumn="0" w:noHBand="0" w:noVBand="1"/>
      </w:tblPr>
      <w:tblGrid>
        <w:gridCol w:w="2830"/>
        <w:gridCol w:w="993"/>
        <w:gridCol w:w="992"/>
        <w:gridCol w:w="1183"/>
        <w:gridCol w:w="943"/>
        <w:gridCol w:w="992"/>
        <w:gridCol w:w="1134"/>
      </w:tblGrid>
      <w:tr w:rsidR="00C01E92" w:rsidRPr="00937695" w14:paraId="0DE8D83E" w14:textId="77777777" w:rsidTr="005E5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restart"/>
            <w:tcBorders>
              <w:right w:val="none" w:sz="0" w:space="0" w:color="auto"/>
            </w:tcBorders>
          </w:tcPr>
          <w:p w14:paraId="4DECE51F" w14:textId="12244F68" w:rsidR="00C01E92" w:rsidRPr="00937695" w:rsidRDefault="005E57BF" w:rsidP="00A41349">
            <w:pPr>
              <w:pStyle w:val="EYBodytextwithparaspace"/>
              <w:spacing w:after="60"/>
              <w:rPr>
                <w:rFonts w:ascii="Arial Narrow" w:hAnsi="Arial Narrow" w:cstheme="minorHAnsi"/>
                <w:sz w:val="22"/>
                <w:szCs w:val="22"/>
              </w:rPr>
            </w:pPr>
            <w:bookmarkStart w:id="172" w:name="_Ref23408859"/>
            <w:r>
              <w:rPr>
                <w:rFonts w:ascii="Arial Narrow" w:hAnsi="Arial Narrow" w:cstheme="minorHAnsi"/>
                <w:sz w:val="22"/>
                <w:szCs w:val="22"/>
              </w:rPr>
              <w:t>Approval application - Medium services</w:t>
            </w:r>
          </w:p>
        </w:tc>
        <w:tc>
          <w:tcPr>
            <w:tcW w:w="3168" w:type="dxa"/>
            <w:gridSpan w:val="3"/>
            <w:tcBorders>
              <w:left w:val="none" w:sz="0" w:space="0" w:color="auto"/>
              <w:right w:val="none" w:sz="0" w:space="0" w:color="auto"/>
            </w:tcBorders>
          </w:tcPr>
          <w:p w14:paraId="141EAE15" w14:textId="77777777" w:rsidR="00C01E92" w:rsidRPr="00937695" w:rsidRDefault="00C01E92" w:rsidP="00A41349">
            <w:pPr>
              <w:pStyle w:val="EYBodytextwithparaspace"/>
              <w:spacing w:after="60"/>
              <w:cnfStyle w:val="100000000000" w:firstRow="1"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Base case</w:t>
            </w:r>
          </w:p>
        </w:tc>
        <w:tc>
          <w:tcPr>
            <w:tcW w:w="3069" w:type="dxa"/>
            <w:gridSpan w:val="3"/>
            <w:tcBorders>
              <w:left w:val="none" w:sz="0" w:space="0" w:color="auto"/>
            </w:tcBorders>
          </w:tcPr>
          <w:p w14:paraId="78090A9B" w14:textId="77777777" w:rsidR="00C01E92" w:rsidRPr="00937695" w:rsidRDefault="00C01E92" w:rsidP="00A41349">
            <w:pPr>
              <w:pStyle w:val="EYBodytextwithparaspace"/>
              <w:spacing w:after="60"/>
              <w:cnfStyle w:val="100000000000" w:firstRow="1"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Option A.2. Alignment</w:t>
            </w:r>
          </w:p>
        </w:tc>
      </w:tr>
      <w:tr w:rsidR="00C01E92" w:rsidRPr="00937695" w14:paraId="57872A2E" w14:textId="77777777" w:rsidTr="006C177D">
        <w:trPr>
          <w:trHeight w:val="754"/>
        </w:trPr>
        <w:tc>
          <w:tcPr>
            <w:cnfStyle w:val="001000000000" w:firstRow="0" w:lastRow="0" w:firstColumn="1" w:lastColumn="0" w:oddVBand="0" w:evenVBand="0" w:oddHBand="0" w:evenHBand="0" w:firstRowFirstColumn="0" w:firstRowLastColumn="0" w:lastRowFirstColumn="0" w:lastRowLastColumn="0"/>
            <w:tcW w:w="2830" w:type="dxa"/>
            <w:vMerge/>
          </w:tcPr>
          <w:p w14:paraId="38BC86C9" w14:textId="77777777" w:rsidR="00C01E92" w:rsidRPr="00937695" w:rsidRDefault="00C01E92" w:rsidP="00A41349">
            <w:pPr>
              <w:pStyle w:val="EYBodytextwithparaspace"/>
              <w:spacing w:after="60"/>
              <w:rPr>
                <w:rFonts w:ascii="Arial Narrow" w:hAnsi="Arial Narrow" w:cstheme="minorHAnsi"/>
                <w:sz w:val="22"/>
                <w:szCs w:val="22"/>
              </w:rPr>
            </w:pPr>
          </w:p>
        </w:tc>
        <w:tc>
          <w:tcPr>
            <w:tcW w:w="993" w:type="dxa"/>
          </w:tcPr>
          <w:p w14:paraId="338B92B4" w14:textId="77777777" w:rsidR="00C01E92" w:rsidRPr="00937695" w:rsidRDefault="00C01E92"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937695">
              <w:rPr>
                <w:rFonts w:ascii="Arial Narrow" w:hAnsi="Arial Narrow" w:cstheme="minorHAnsi"/>
                <w:b/>
                <w:sz w:val="22"/>
                <w:szCs w:val="22"/>
              </w:rPr>
              <w:t>Hours</w:t>
            </w:r>
          </w:p>
        </w:tc>
        <w:tc>
          <w:tcPr>
            <w:tcW w:w="992" w:type="dxa"/>
          </w:tcPr>
          <w:p w14:paraId="0C87DA63" w14:textId="77777777" w:rsidR="00C01E92" w:rsidRPr="00937695" w:rsidRDefault="00C01E92"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937695">
              <w:rPr>
                <w:rFonts w:ascii="Arial Narrow" w:hAnsi="Arial Narrow" w:cstheme="minorHAnsi"/>
                <w:b/>
                <w:sz w:val="22"/>
                <w:szCs w:val="22"/>
              </w:rPr>
              <w:t>Cost per app.</w:t>
            </w:r>
          </w:p>
        </w:tc>
        <w:tc>
          <w:tcPr>
            <w:tcW w:w="1183" w:type="dxa"/>
          </w:tcPr>
          <w:p w14:paraId="52D1B705" w14:textId="77777777" w:rsidR="00C01E92" w:rsidRPr="00937695" w:rsidRDefault="00C01E92"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937695">
              <w:rPr>
                <w:rFonts w:ascii="Arial Narrow" w:hAnsi="Arial Narrow" w:cstheme="minorHAnsi"/>
                <w:b/>
                <w:sz w:val="22"/>
                <w:szCs w:val="22"/>
              </w:rPr>
              <w:t>Cost over 10 years</w:t>
            </w:r>
          </w:p>
        </w:tc>
        <w:tc>
          <w:tcPr>
            <w:tcW w:w="943" w:type="dxa"/>
          </w:tcPr>
          <w:p w14:paraId="5267175A" w14:textId="77777777" w:rsidR="00C01E92" w:rsidRPr="00937695" w:rsidRDefault="00C01E92"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937695">
              <w:rPr>
                <w:rFonts w:ascii="Arial Narrow" w:hAnsi="Arial Narrow" w:cstheme="minorHAnsi"/>
                <w:b/>
                <w:sz w:val="22"/>
                <w:szCs w:val="22"/>
              </w:rPr>
              <w:t>Hours</w:t>
            </w:r>
          </w:p>
        </w:tc>
        <w:tc>
          <w:tcPr>
            <w:tcW w:w="992" w:type="dxa"/>
          </w:tcPr>
          <w:p w14:paraId="57F7BE0C" w14:textId="77777777" w:rsidR="00C01E92" w:rsidRPr="00937695" w:rsidRDefault="00C01E92"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937695">
              <w:rPr>
                <w:rFonts w:ascii="Arial Narrow" w:hAnsi="Arial Narrow" w:cstheme="minorHAnsi"/>
                <w:b/>
                <w:sz w:val="22"/>
                <w:szCs w:val="22"/>
              </w:rPr>
              <w:t>Cost per app.</w:t>
            </w:r>
          </w:p>
        </w:tc>
        <w:tc>
          <w:tcPr>
            <w:tcW w:w="1134" w:type="dxa"/>
          </w:tcPr>
          <w:p w14:paraId="5642B0D8" w14:textId="77777777" w:rsidR="00C01E92" w:rsidRPr="00937695" w:rsidRDefault="00C01E92"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937695">
              <w:rPr>
                <w:rFonts w:ascii="Arial Narrow" w:hAnsi="Arial Narrow" w:cstheme="minorHAnsi"/>
                <w:b/>
                <w:sz w:val="22"/>
                <w:szCs w:val="22"/>
              </w:rPr>
              <w:t>Cost over 10 years</w:t>
            </w:r>
          </w:p>
        </w:tc>
      </w:tr>
      <w:tr w:rsidR="00C01E92" w:rsidRPr="00937695" w14:paraId="0A63BCF2" w14:textId="77777777" w:rsidTr="005E57BF">
        <w:tc>
          <w:tcPr>
            <w:cnfStyle w:val="001000000000" w:firstRow="0" w:lastRow="0" w:firstColumn="1" w:lastColumn="0" w:oddVBand="0" w:evenVBand="0" w:oddHBand="0" w:evenHBand="0" w:firstRowFirstColumn="0" w:firstRowLastColumn="0" w:lastRowFirstColumn="0" w:lastRowLastColumn="0"/>
            <w:tcW w:w="2830" w:type="dxa"/>
          </w:tcPr>
          <w:p w14:paraId="776A0D23" w14:textId="77777777" w:rsidR="00C01E92" w:rsidRPr="00937695" w:rsidRDefault="00C01E92" w:rsidP="00A41349">
            <w:pPr>
              <w:pStyle w:val="EYBodytextwithparaspace"/>
              <w:spacing w:after="60"/>
              <w:rPr>
                <w:rFonts w:ascii="Arial Narrow" w:hAnsi="Arial Narrow" w:cstheme="minorHAnsi"/>
                <w:sz w:val="22"/>
                <w:szCs w:val="22"/>
              </w:rPr>
            </w:pPr>
            <w:r w:rsidRPr="00937695">
              <w:rPr>
                <w:rFonts w:ascii="Arial Narrow" w:hAnsi="Arial Narrow" w:cstheme="minorHAnsi"/>
                <w:sz w:val="22"/>
                <w:szCs w:val="22"/>
              </w:rPr>
              <w:t>Provider approval/licence</w:t>
            </w:r>
          </w:p>
        </w:tc>
        <w:tc>
          <w:tcPr>
            <w:tcW w:w="993" w:type="dxa"/>
          </w:tcPr>
          <w:p w14:paraId="3A86DD2B" w14:textId="77777777" w:rsidR="00C01E92" w:rsidRPr="00937695" w:rsidRDefault="00C01E92"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2.4</w:t>
            </w:r>
          </w:p>
        </w:tc>
        <w:tc>
          <w:tcPr>
            <w:tcW w:w="992" w:type="dxa"/>
          </w:tcPr>
          <w:p w14:paraId="62DF925C" w14:textId="77777777" w:rsidR="00C01E92" w:rsidRPr="00937695" w:rsidRDefault="00C01E92"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$92.86</w:t>
            </w:r>
          </w:p>
        </w:tc>
        <w:tc>
          <w:tcPr>
            <w:tcW w:w="1183" w:type="dxa"/>
          </w:tcPr>
          <w:p w14:paraId="35FEC829" w14:textId="77777777" w:rsidR="00C01E92" w:rsidRPr="00937695" w:rsidRDefault="00C01E92"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$7,613.04</w:t>
            </w:r>
          </w:p>
        </w:tc>
        <w:tc>
          <w:tcPr>
            <w:tcW w:w="943" w:type="dxa"/>
          </w:tcPr>
          <w:p w14:paraId="0A51A696" w14:textId="77777777" w:rsidR="00C01E92" w:rsidRPr="00937695" w:rsidRDefault="00C01E92"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2.1</w:t>
            </w:r>
          </w:p>
        </w:tc>
        <w:tc>
          <w:tcPr>
            <w:tcW w:w="992" w:type="dxa"/>
          </w:tcPr>
          <w:p w14:paraId="79708C39" w14:textId="77777777" w:rsidR="00C01E92" w:rsidRPr="00937695" w:rsidRDefault="00C01E92"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$81.25</w:t>
            </w:r>
          </w:p>
        </w:tc>
        <w:tc>
          <w:tcPr>
            <w:tcW w:w="1134" w:type="dxa"/>
          </w:tcPr>
          <w:p w14:paraId="6DC06EB3" w14:textId="77777777" w:rsidR="00C01E92" w:rsidRPr="00937695" w:rsidRDefault="00C01E92"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$6,661.41</w:t>
            </w:r>
          </w:p>
        </w:tc>
      </w:tr>
      <w:tr w:rsidR="00C01E92" w:rsidRPr="00937695" w14:paraId="72A5909B" w14:textId="77777777" w:rsidTr="005E57BF">
        <w:tc>
          <w:tcPr>
            <w:cnfStyle w:val="001000000000" w:firstRow="0" w:lastRow="0" w:firstColumn="1" w:lastColumn="0" w:oddVBand="0" w:evenVBand="0" w:oddHBand="0" w:evenHBand="0" w:firstRowFirstColumn="0" w:firstRowLastColumn="0" w:lastRowFirstColumn="0" w:lastRowLastColumn="0"/>
            <w:tcW w:w="2830" w:type="dxa"/>
          </w:tcPr>
          <w:p w14:paraId="2F544364" w14:textId="77777777" w:rsidR="00C01E92" w:rsidRPr="00937695" w:rsidRDefault="00C01E92" w:rsidP="00A41349">
            <w:pPr>
              <w:pStyle w:val="EYBodytextwithparaspace"/>
              <w:spacing w:after="60"/>
              <w:rPr>
                <w:rFonts w:ascii="Arial Narrow" w:hAnsi="Arial Narrow" w:cstheme="minorHAnsi"/>
                <w:sz w:val="22"/>
                <w:szCs w:val="22"/>
              </w:rPr>
            </w:pPr>
            <w:r w:rsidRPr="00937695">
              <w:rPr>
                <w:rFonts w:ascii="Arial Narrow" w:hAnsi="Arial Narrow" w:cstheme="minorHAnsi"/>
                <w:sz w:val="22"/>
                <w:szCs w:val="22"/>
              </w:rPr>
              <w:t>Premises approval/service approval</w:t>
            </w:r>
          </w:p>
        </w:tc>
        <w:tc>
          <w:tcPr>
            <w:tcW w:w="993" w:type="dxa"/>
          </w:tcPr>
          <w:p w14:paraId="4EAA2500" w14:textId="77777777" w:rsidR="00C01E92" w:rsidRPr="00937695" w:rsidRDefault="00C01E92"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2.8</w:t>
            </w:r>
          </w:p>
        </w:tc>
        <w:tc>
          <w:tcPr>
            <w:tcW w:w="992" w:type="dxa"/>
          </w:tcPr>
          <w:p w14:paraId="705A4A63" w14:textId="77777777" w:rsidR="00C01E92" w:rsidRPr="00937695" w:rsidRDefault="00C01E92"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$108.33</w:t>
            </w:r>
          </w:p>
        </w:tc>
        <w:tc>
          <w:tcPr>
            <w:tcW w:w="1183" w:type="dxa"/>
          </w:tcPr>
          <w:p w14:paraId="52E4AC8D" w14:textId="77777777" w:rsidR="00C01E92" w:rsidRPr="00937695" w:rsidRDefault="00C01E92"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$8,881.88</w:t>
            </w:r>
          </w:p>
        </w:tc>
        <w:tc>
          <w:tcPr>
            <w:tcW w:w="943" w:type="dxa"/>
          </w:tcPr>
          <w:p w14:paraId="29BC8F57" w14:textId="77777777" w:rsidR="00C01E92" w:rsidRPr="00937695" w:rsidRDefault="00C01E92"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2.5</w:t>
            </w:r>
          </w:p>
        </w:tc>
        <w:tc>
          <w:tcPr>
            <w:tcW w:w="992" w:type="dxa"/>
          </w:tcPr>
          <w:p w14:paraId="41D3C895" w14:textId="77777777" w:rsidR="00C01E92" w:rsidRPr="00937695" w:rsidRDefault="00C01E92"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$96.73</w:t>
            </w:r>
          </w:p>
        </w:tc>
        <w:tc>
          <w:tcPr>
            <w:tcW w:w="1134" w:type="dxa"/>
          </w:tcPr>
          <w:p w14:paraId="74C2DD02" w14:textId="77777777" w:rsidR="00C01E92" w:rsidRPr="00937695" w:rsidRDefault="00C01E92"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$7,930.25</w:t>
            </w:r>
          </w:p>
        </w:tc>
      </w:tr>
    </w:tbl>
    <w:p w14:paraId="54A98650"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Costs shown should be viewed as </w:t>
      </w:r>
      <w:r w:rsidRPr="000107A9">
        <w:rPr>
          <w:rFonts w:asciiTheme="minorHAnsi" w:hAnsiTheme="minorHAnsi" w:cstheme="minorHAnsi"/>
          <w:b/>
          <w:sz w:val="22"/>
          <w:szCs w:val="22"/>
        </w:rPr>
        <w:t>opportunity costs</w:t>
      </w:r>
      <w:r w:rsidRPr="000107A9">
        <w:rPr>
          <w:rFonts w:asciiTheme="minorHAnsi" w:hAnsiTheme="minorHAnsi" w:cstheme="minorHAnsi"/>
          <w:sz w:val="22"/>
          <w:szCs w:val="22"/>
        </w:rPr>
        <w:t xml:space="preserve"> rather than additional costs i.e. applications would be completed by staff during their working hours (thus included in staffing costs to providers), therefore representing costs associated with time that staff could otherwise spend on other tasks.</w:t>
      </w:r>
    </w:p>
    <w:p w14:paraId="06929C95" w14:textId="4EF09D71"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This similarly applies to the estimated costs of preparing applications to vary or suspend approvals as provided in </w:t>
      </w:r>
      <w:bookmarkEnd w:id="172"/>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_Ref23411843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Table 17</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These tasks impose a much smaller time burden than the initial applications; as reflected in the time assumptions used.</w:t>
      </w:r>
    </w:p>
    <w:p w14:paraId="418DBAB9" w14:textId="15004E32" w:rsidR="00C01E92" w:rsidRPr="000107A9" w:rsidRDefault="00C01E92" w:rsidP="00F7569F">
      <w:pPr>
        <w:pStyle w:val="Caption"/>
      </w:pPr>
      <w:bookmarkStart w:id="173" w:name="_Ref23411843"/>
      <w:bookmarkStart w:id="174" w:name="_Toc32592800"/>
      <w:r w:rsidRPr="000107A9">
        <w:t xml:space="preserve">Table </w:t>
      </w:r>
      <w:r w:rsidRPr="000107A9">
        <w:fldChar w:fldCharType="begin"/>
      </w:r>
      <w:r w:rsidRPr="000107A9">
        <w:instrText xml:space="preserve"> SEQ Table \* ARABIC </w:instrText>
      </w:r>
      <w:r w:rsidRPr="000107A9">
        <w:fldChar w:fldCharType="separate"/>
      </w:r>
      <w:r w:rsidR="00493211">
        <w:rPr>
          <w:noProof/>
        </w:rPr>
        <w:t>17</w:t>
      </w:r>
      <w:r w:rsidRPr="000107A9">
        <w:fldChar w:fldCharType="end"/>
      </w:r>
      <w:bookmarkEnd w:id="173"/>
      <w:r w:rsidRPr="000107A9">
        <w:t xml:space="preserve"> Vary or suspend approval application - costs to industry</w:t>
      </w:r>
      <w:bookmarkEnd w:id="174"/>
    </w:p>
    <w:tbl>
      <w:tblPr>
        <w:tblStyle w:val="TableGrid"/>
        <w:tblW w:w="9067" w:type="dxa"/>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2972"/>
        <w:gridCol w:w="1523"/>
        <w:gridCol w:w="1524"/>
        <w:gridCol w:w="1524"/>
        <w:gridCol w:w="1524"/>
      </w:tblGrid>
      <w:tr w:rsidR="00C01E92" w:rsidRPr="00937695" w14:paraId="66D7394B" w14:textId="77777777" w:rsidTr="005E5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val="restart"/>
            <w:tcBorders>
              <w:right w:val="none" w:sz="0" w:space="0" w:color="auto"/>
            </w:tcBorders>
          </w:tcPr>
          <w:p w14:paraId="754126B1" w14:textId="025C3974" w:rsidR="00C01E92" w:rsidRPr="00937695" w:rsidRDefault="005E57BF" w:rsidP="00A41349">
            <w:pPr>
              <w:pStyle w:val="EYBodytextwithparaspace"/>
              <w:spacing w:after="60"/>
              <w:rPr>
                <w:rFonts w:ascii="Arial Narrow" w:hAnsi="Arial Narrow" w:cstheme="minorHAnsi"/>
                <w:sz w:val="22"/>
                <w:szCs w:val="22"/>
              </w:rPr>
            </w:pPr>
            <w:r>
              <w:rPr>
                <w:rFonts w:ascii="Arial Narrow" w:hAnsi="Arial Narrow" w:cstheme="minorHAnsi"/>
                <w:sz w:val="22"/>
                <w:szCs w:val="22"/>
              </w:rPr>
              <w:t>Vary or suspend approval application</w:t>
            </w:r>
          </w:p>
        </w:tc>
        <w:tc>
          <w:tcPr>
            <w:tcW w:w="3047" w:type="dxa"/>
            <w:gridSpan w:val="2"/>
            <w:tcBorders>
              <w:left w:val="none" w:sz="0" w:space="0" w:color="auto"/>
              <w:right w:val="none" w:sz="0" w:space="0" w:color="auto"/>
            </w:tcBorders>
          </w:tcPr>
          <w:p w14:paraId="5F764C2F" w14:textId="77777777" w:rsidR="00C01E92" w:rsidRPr="00937695" w:rsidRDefault="00C01E92" w:rsidP="00A41349">
            <w:pPr>
              <w:pStyle w:val="EYBodytextwithparaspace"/>
              <w:spacing w:after="60"/>
              <w:cnfStyle w:val="100000000000" w:firstRow="1"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Base case</w:t>
            </w:r>
          </w:p>
        </w:tc>
        <w:tc>
          <w:tcPr>
            <w:tcW w:w="3048" w:type="dxa"/>
            <w:gridSpan w:val="2"/>
            <w:tcBorders>
              <w:left w:val="none" w:sz="0" w:space="0" w:color="auto"/>
            </w:tcBorders>
          </w:tcPr>
          <w:p w14:paraId="585598E4" w14:textId="77777777" w:rsidR="00C01E92" w:rsidRPr="00937695" w:rsidRDefault="00C01E92" w:rsidP="00A41349">
            <w:pPr>
              <w:pStyle w:val="EYBodytextwithparaspace"/>
              <w:spacing w:after="60"/>
              <w:cnfStyle w:val="100000000000" w:firstRow="1"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Option A.2 Alignment</w:t>
            </w:r>
          </w:p>
        </w:tc>
      </w:tr>
      <w:tr w:rsidR="00C01E92" w:rsidRPr="00937695" w14:paraId="3E59DDD0" w14:textId="77777777" w:rsidTr="005E57BF">
        <w:tc>
          <w:tcPr>
            <w:cnfStyle w:val="001000000000" w:firstRow="0" w:lastRow="0" w:firstColumn="1" w:lastColumn="0" w:oddVBand="0" w:evenVBand="0" w:oddHBand="0" w:evenHBand="0" w:firstRowFirstColumn="0" w:firstRowLastColumn="0" w:lastRowFirstColumn="0" w:lastRowLastColumn="0"/>
            <w:tcW w:w="2972" w:type="dxa"/>
            <w:vMerge/>
          </w:tcPr>
          <w:p w14:paraId="69BDE39C" w14:textId="77777777" w:rsidR="00C01E92" w:rsidRPr="00937695" w:rsidRDefault="00C01E92" w:rsidP="00A41349">
            <w:pPr>
              <w:pStyle w:val="EYBodytextwithparaspace"/>
              <w:spacing w:after="60"/>
              <w:rPr>
                <w:rFonts w:ascii="Arial Narrow" w:hAnsi="Arial Narrow" w:cstheme="minorHAnsi"/>
                <w:sz w:val="22"/>
                <w:szCs w:val="22"/>
              </w:rPr>
            </w:pPr>
          </w:p>
        </w:tc>
        <w:tc>
          <w:tcPr>
            <w:tcW w:w="1523" w:type="dxa"/>
          </w:tcPr>
          <w:p w14:paraId="34D1D10F" w14:textId="77777777" w:rsidR="00C01E92" w:rsidRPr="00937695" w:rsidRDefault="00C01E92"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937695">
              <w:rPr>
                <w:rFonts w:ascii="Arial Narrow" w:hAnsi="Arial Narrow" w:cstheme="minorHAnsi"/>
                <w:b/>
                <w:sz w:val="22"/>
                <w:szCs w:val="22"/>
              </w:rPr>
              <w:t>Hours</w:t>
            </w:r>
          </w:p>
        </w:tc>
        <w:tc>
          <w:tcPr>
            <w:tcW w:w="1524" w:type="dxa"/>
          </w:tcPr>
          <w:p w14:paraId="704DE9D0" w14:textId="77777777" w:rsidR="00C01E92" w:rsidRPr="00937695" w:rsidRDefault="00C01E92"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937695">
              <w:rPr>
                <w:rFonts w:ascii="Arial Narrow" w:hAnsi="Arial Narrow" w:cstheme="minorHAnsi"/>
                <w:b/>
                <w:sz w:val="22"/>
                <w:szCs w:val="22"/>
              </w:rPr>
              <w:t>Cost per app.</w:t>
            </w:r>
          </w:p>
        </w:tc>
        <w:tc>
          <w:tcPr>
            <w:tcW w:w="1524" w:type="dxa"/>
          </w:tcPr>
          <w:p w14:paraId="780FC7B2" w14:textId="77777777" w:rsidR="00C01E92" w:rsidRPr="00937695" w:rsidRDefault="00C01E92"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937695">
              <w:rPr>
                <w:rFonts w:ascii="Arial Narrow" w:hAnsi="Arial Narrow" w:cstheme="minorHAnsi"/>
                <w:b/>
                <w:sz w:val="22"/>
                <w:szCs w:val="22"/>
              </w:rPr>
              <w:t>Hours</w:t>
            </w:r>
          </w:p>
        </w:tc>
        <w:tc>
          <w:tcPr>
            <w:tcW w:w="1524" w:type="dxa"/>
          </w:tcPr>
          <w:p w14:paraId="106CF0AD" w14:textId="77777777" w:rsidR="00C01E92" w:rsidRPr="00937695" w:rsidRDefault="00C01E92"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937695">
              <w:rPr>
                <w:rFonts w:ascii="Arial Narrow" w:hAnsi="Arial Narrow" w:cstheme="minorHAnsi"/>
                <w:b/>
                <w:sz w:val="22"/>
                <w:szCs w:val="22"/>
              </w:rPr>
              <w:t>Cost per app.</w:t>
            </w:r>
          </w:p>
        </w:tc>
      </w:tr>
      <w:tr w:rsidR="00C01E92" w:rsidRPr="00937695" w14:paraId="2591EC28" w14:textId="77777777" w:rsidTr="005E57BF">
        <w:tc>
          <w:tcPr>
            <w:cnfStyle w:val="001000000000" w:firstRow="0" w:lastRow="0" w:firstColumn="1" w:lastColumn="0" w:oddVBand="0" w:evenVBand="0" w:oddHBand="0" w:evenHBand="0" w:firstRowFirstColumn="0" w:firstRowLastColumn="0" w:lastRowFirstColumn="0" w:lastRowLastColumn="0"/>
            <w:tcW w:w="2972" w:type="dxa"/>
          </w:tcPr>
          <w:p w14:paraId="189F3A8C" w14:textId="121FF720" w:rsidR="00C01E92" w:rsidRPr="00937695" w:rsidRDefault="00C01E92" w:rsidP="00A41349">
            <w:pPr>
              <w:pStyle w:val="EYBodytextwithparaspace"/>
              <w:spacing w:after="60"/>
              <w:rPr>
                <w:rFonts w:ascii="Arial Narrow" w:hAnsi="Arial Narrow" w:cstheme="minorHAnsi"/>
                <w:sz w:val="22"/>
                <w:szCs w:val="22"/>
              </w:rPr>
            </w:pPr>
            <w:r w:rsidRPr="00937695">
              <w:rPr>
                <w:rFonts w:ascii="Arial Narrow" w:hAnsi="Arial Narrow" w:cstheme="minorHAnsi"/>
                <w:sz w:val="22"/>
                <w:szCs w:val="22"/>
              </w:rPr>
              <w:t xml:space="preserve">Small </w:t>
            </w:r>
            <w:r w:rsidR="005E57BF">
              <w:rPr>
                <w:rFonts w:ascii="Arial Narrow" w:hAnsi="Arial Narrow" w:cstheme="minorHAnsi"/>
                <w:sz w:val="22"/>
                <w:szCs w:val="22"/>
              </w:rPr>
              <w:t>services</w:t>
            </w:r>
          </w:p>
        </w:tc>
        <w:tc>
          <w:tcPr>
            <w:tcW w:w="1523" w:type="dxa"/>
          </w:tcPr>
          <w:p w14:paraId="2F95D95D" w14:textId="77777777" w:rsidR="00C01E92" w:rsidRPr="00937695" w:rsidRDefault="00C01E92"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0.4</w:t>
            </w:r>
          </w:p>
        </w:tc>
        <w:tc>
          <w:tcPr>
            <w:tcW w:w="1524" w:type="dxa"/>
          </w:tcPr>
          <w:p w14:paraId="22C089B9" w14:textId="77777777" w:rsidR="00C01E92" w:rsidRPr="00937695" w:rsidRDefault="00C01E92"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$15.48</w:t>
            </w:r>
          </w:p>
        </w:tc>
        <w:tc>
          <w:tcPr>
            <w:tcW w:w="1524" w:type="dxa"/>
          </w:tcPr>
          <w:p w14:paraId="4F7035E1" w14:textId="77777777" w:rsidR="00C01E92" w:rsidRPr="00937695" w:rsidRDefault="00C01E92"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0.3</w:t>
            </w:r>
          </w:p>
        </w:tc>
        <w:tc>
          <w:tcPr>
            <w:tcW w:w="1524" w:type="dxa"/>
          </w:tcPr>
          <w:p w14:paraId="1ECFD102" w14:textId="77777777" w:rsidR="00C01E92" w:rsidRPr="00937695" w:rsidRDefault="00C01E92"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$11.61</w:t>
            </w:r>
          </w:p>
        </w:tc>
      </w:tr>
      <w:tr w:rsidR="00C01E92" w:rsidRPr="00937695" w14:paraId="58AEF029" w14:textId="77777777" w:rsidTr="005E57BF">
        <w:tc>
          <w:tcPr>
            <w:cnfStyle w:val="001000000000" w:firstRow="0" w:lastRow="0" w:firstColumn="1" w:lastColumn="0" w:oddVBand="0" w:evenVBand="0" w:oddHBand="0" w:evenHBand="0" w:firstRowFirstColumn="0" w:firstRowLastColumn="0" w:lastRowFirstColumn="0" w:lastRowLastColumn="0"/>
            <w:tcW w:w="2972" w:type="dxa"/>
          </w:tcPr>
          <w:p w14:paraId="6A1D775F" w14:textId="04296134" w:rsidR="00C01E92" w:rsidRPr="00937695" w:rsidRDefault="00C01E92" w:rsidP="00A41349">
            <w:pPr>
              <w:pStyle w:val="EYBodytextwithparaspace"/>
              <w:spacing w:after="60"/>
              <w:rPr>
                <w:rFonts w:ascii="Arial Narrow" w:hAnsi="Arial Narrow" w:cstheme="minorHAnsi"/>
                <w:sz w:val="22"/>
                <w:szCs w:val="22"/>
              </w:rPr>
            </w:pPr>
            <w:r w:rsidRPr="00937695">
              <w:rPr>
                <w:rFonts w:ascii="Arial Narrow" w:hAnsi="Arial Narrow" w:cstheme="minorHAnsi"/>
                <w:sz w:val="22"/>
                <w:szCs w:val="22"/>
              </w:rPr>
              <w:t xml:space="preserve">Medium </w:t>
            </w:r>
            <w:r w:rsidR="005E57BF">
              <w:rPr>
                <w:rFonts w:ascii="Arial Narrow" w:hAnsi="Arial Narrow" w:cstheme="minorHAnsi"/>
                <w:sz w:val="22"/>
                <w:szCs w:val="22"/>
              </w:rPr>
              <w:t>services</w:t>
            </w:r>
          </w:p>
        </w:tc>
        <w:tc>
          <w:tcPr>
            <w:tcW w:w="1523" w:type="dxa"/>
          </w:tcPr>
          <w:p w14:paraId="0779643D" w14:textId="77777777" w:rsidR="00C01E92" w:rsidRPr="00937695" w:rsidRDefault="00C01E92"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0.6</w:t>
            </w:r>
          </w:p>
        </w:tc>
        <w:tc>
          <w:tcPr>
            <w:tcW w:w="1524" w:type="dxa"/>
          </w:tcPr>
          <w:p w14:paraId="57071AC7" w14:textId="77777777" w:rsidR="00C01E92" w:rsidRPr="00937695" w:rsidRDefault="00C01E92"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$23.21</w:t>
            </w:r>
          </w:p>
        </w:tc>
        <w:tc>
          <w:tcPr>
            <w:tcW w:w="1524" w:type="dxa"/>
          </w:tcPr>
          <w:p w14:paraId="469B1AFC" w14:textId="77777777" w:rsidR="00C01E92" w:rsidRPr="00937695" w:rsidRDefault="00C01E92"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0.5</w:t>
            </w:r>
          </w:p>
        </w:tc>
        <w:tc>
          <w:tcPr>
            <w:tcW w:w="1524" w:type="dxa"/>
          </w:tcPr>
          <w:p w14:paraId="47671574" w14:textId="77777777" w:rsidR="00C01E92" w:rsidRPr="00937695" w:rsidRDefault="00C01E92" w:rsidP="00A4134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37695">
              <w:rPr>
                <w:rFonts w:ascii="Arial Narrow" w:hAnsi="Arial Narrow" w:cstheme="minorHAnsi"/>
                <w:sz w:val="22"/>
                <w:szCs w:val="22"/>
              </w:rPr>
              <w:t>$19.36</w:t>
            </w:r>
          </w:p>
        </w:tc>
      </w:tr>
    </w:tbl>
    <w:p w14:paraId="4A4039BF" w14:textId="188610E4"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While available data</w:t>
      </w:r>
      <w:r w:rsidRPr="006D5023">
        <w:rPr>
          <w:rStyle w:val="FootnoteReference"/>
          <w:rFonts w:asciiTheme="minorHAnsi" w:hAnsiTheme="minorHAnsi" w:cstheme="minorHAnsi"/>
          <w:color w:val="auto"/>
          <w:sz w:val="22"/>
          <w:szCs w:val="22"/>
        </w:rPr>
        <w:footnoteReference w:id="41"/>
      </w:r>
      <w:r w:rsidRPr="006D5023">
        <w:rPr>
          <w:rFonts w:asciiTheme="minorHAnsi" w:hAnsiTheme="minorHAnsi" w:cstheme="minorHAnsi"/>
          <w:sz w:val="22"/>
          <w:szCs w:val="22"/>
        </w:rPr>
        <w:t xml:space="preserve"> </w:t>
      </w:r>
      <w:r w:rsidRPr="000107A9">
        <w:rPr>
          <w:rFonts w:asciiTheme="minorHAnsi" w:hAnsiTheme="minorHAnsi" w:cstheme="minorHAnsi"/>
          <w:sz w:val="22"/>
          <w:szCs w:val="22"/>
        </w:rPr>
        <w:t xml:space="preserve">shows a declining trend in the number of new children’s services entering the market, it does not accurately reflect the real number of new services (or providers). Provisions under the current Regulations do not allow for the transfer of provider or service approvals (as is available in the NQF). Instead a provider or service must surrender their approval/licence. Another provider, existing or new, seeking to operate a children’s service from a “surrendered” premises, must apply anew to operate in that location, thereby triggering new application activity, rendering the data misleading. Said another way, current data does not capture the difference between a “new” provider or service, as opposed to a “transferred” provider or service. </w:t>
      </w:r>
      <w:r w:rsidRPr="006C177D">
        <w:rPr>
          <w:rFonts w:asciiTheme="minorHAnsi" w:hAnsiTheme="minorHAnsi" w:cstheme="minorHAnsi"/>
          <w:sz w:val="22"/>
          <w:szCs w:val="22"/>
        </w:rPr>
        <w:t>For this reason, the total cost to industry over 10 years in relation to new providers and services entering the market, has not been quantified in this RIS.</w:t>
      </w:r>
    </w:p>
    <w:p w14:paraId="1CF440F6" w14:textId="3E57C38A"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_Ref23412116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 xml:space="preserve">Table </w:t>
      </w:r>
      <w:r w:rsidR="00493211" w:rsidRPr="00493211">
        <w:rPr>
          <w:rFonts w:asciiTheme="minorHAnsi" w:hAnsiTheme="minorHAnsi" w:cstheme="minorHAnsi"/>
          <w:noProof/>
          <w:sz w:val="22"/>
          <w:szCs w:val="22"/>
        </w:rPr>
        <w:t>18</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provides the score allocated to the approvals option in relation to the cost to industry criterion, as assessed against the base case. Option A.2. Alignment is expected to result in slightly reduced costs in comparison to the base case, mainly through time savings associated with clearer guidance to applicants.</w:t>
      </w:r>
    </w:p>
    <w:p w14:paraId="616CD869"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Although a Status Quo option has not been considered in relation to approval applications, three factors under the proposed Regulations would result in slightly reduced costs in comparison to the current Regulations; being the:</w:t>
      </w:r>
    </w:p>
    <w:p w14:paraId="27B71315" w14:textId="77777777" w:rsidR="00C01E92" w:rsidRPr="000107A9" w:rsidRDefault="00C01E92" w:rsidP="002806C5">
      <w:pPr>
        <w:pStyle w:val="EYBulletnoparaspace"/>
        <w:numPr>
          <w:ilvl w:val="0"/>
          <w:numId w:val="78"/>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lastRenderedPageBreak/>
        <w:t>shift to perpetual service approvals thereby removing costs associated with periodic licence renewals</w:t>
      </w:r>
    </w:p>
    <w:p w14:paraId="3563C56D" w14:textId="77777777" w:rsidR="00C01E92" w:rsidRPr="000107A9" w:rsidRDefault="00C01E92" w:rsidP="002806C5">
      <w:pPr>
        <w:pStyle w:val="EYBulletnoparaspace"/>
        <w:numPr>
          <w:ilvl w:val="0"/>
          <w:numId w:val="78"/>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ability to hold one provider approval in respect of multiple service approvals</w:t>
      </w:r>
    </w:p>
    <w:p w14:paraId="4F99B44C" w14:textId="77777777" w:rsidR="00C01E92" w:rsidRPr="000107A9" w:rsidRDefault="00C01E92" w:rsidP="002806C5">
      <w:pPr>
        <w:pStyle w:val="EYBulletnoparaspace"/>
        <w:numPr>
          <w:ilvl w:val="0"/>
          <w:numId w:val="78"/>
        </w:numPr>
        <w:spacing w:before="120" w:after="120"/>
        <w:contextualSpacing w:val="0"/>
        <w:rPr>
          <w:rFonts w:asciiTheme="minorHAnsi" w:hAnsiTheme="minorHAnsi" w:cstheme="minorHAnsi"/>
          <w:sz w:val="22"/>
          <w:szCs w:val="22"/>
        </w:rPr>
      </w:pPr>
      <w:proofErr w:type="gramStart"/>
      <w:r w:rsidRPr="000107A9">
        <w:rPr>
          <w:rFonts w:asciiTheme="minorHAnsi" w:hAnsiTheme="minorHAnsi" w:cstheme="minorHAnsi"/>
          <w:sz w:val="22"/>
          <w:szCs w:val="22"/>
        </w:rPr>
        <w:t>movement</w:t>
      </w:r>
      <w:proofErr w:type="gramEnd"/>
      <w:r w:rsidRPr="000107A9">
        <w:rPr>
          <w:rFonts w:asciiTheme="minorHAnsi" w:hAnsiTheme="minorHAnsi" w:cstheme="minorHAnsi"/>
          <w:sz w:val="22"/>
          <w:szCs w:val="22"/>
        </w:rPr>
        <w:t xml:space="preserve"> from paper-based to online application system expected within two years of the proposed Regulations coming into effect.</w:t>
      </w:r>
    </w:p>
    <w:p w14:paraId="56A6AF4F" w14:textId="10CA5984" w:rsidR="00C01E92" w:rsidRPr="000107A9" w:rsidRDefault="00C01E92" w:rsidP="00F7569F">
      <w:pPr>
        <w:pStyle w:val="Caption"/>
      </w:pPr>
      <w:bookmarkStart w:id="175" w:name="_Ref23412116"/>
      <w:bookmarkStart w:id="176" w:name="_Toc32592801"/>
      <w:r w:rsidRPr="000107A9">
        <w:t xml:space="preserve">Table </w:t>
      </w:r>
      <w:r w:rsidRPr="000107A9">
        <w:fldChar w:fldCharType="begin"/>
      </w:r>
      <w:r w:rsidRPr="000107A9">
        <w:instrText xml:space="preserve"> SEQ Table \* ARABIC </w:instrText>
      </w:r>
      <w:r w:rsidRPr="000107A9">
        <w:fldChar w:fldCharType="separate"/>
      </w:r>
      <w:r w:rsidR="00493211">
        <w:rPr>
          <w:noProof/>
        </w:rPr>
        <w:t>18</w:t>
      </w:r>
      <w:r w:rsidRPr="000107A9">
        <w:fldChar w:fldCharType="end"/>
      </w:r>
      <w:bookmarkEnd w:id="175"/>
      <w:r w:rsidRPr="000107A9">
        <w:t xml:space="preserve"> </w:t>
      </w:r>
      <w:r w:rsidR="00F3682F">
        <w:t xml:space="preserve">Approval applications </w:t>
      </w:r>
      <w:r w:rsidR="00247217">
        <w:t>–</w:t>
      </w:r>
      <w:r w:rsidRPr="000107A9">
        <w:t xml:space="preserve"> </w:t>
      </w:r>
      <w:r w:rsidR="00247217">
        <w:t>costs to industry</w:t>
      </w:r>
      <w:bookmarkEnd w:id="176"/>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627"/>
        <w:gridCol w:w="3762"/>
        <w:gridCol w:w="1411"/>
        <w:gridCol w:w="1411"/>
        <w:gridCol w:w="1411"/>
      </w:tblGrid>
      <w:tr w:rsidR="00C01E92" w:rsidRPr="005E57BF" w14:paraId="7C04190C" w14:textId="77777777" w:rsidTr="006C1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pct"/>
            <w:tcBorders>
              <w:right w:val="none" w:sz="0" w:space="0" w:color="auto"/>
            </w:tcBorders>
          </w:tcPr>
          <w:p w14:paraId="53A05286" w14:textId="77777777" w:rsidR="00C01E92" w:rsidRPr="005E57BF" w:rsidRDefault="00C01E92" w:rsidP="00090AF4">
            <w:pPr>
              <w:spacing w:after="60"/>
              <w:rPr>
                <w:rStyle w:val="Strong"/>
                <w:rFonts w:cstheme="minorHAnsi"/>
                <w:b/>
                <w:szCs w:val="22"/>
              </w:rPr>
            </w:pPr>
            <w:r w:rsidRPr="005E57BF">
              <w:rPr>
                <w:rStyle w:val="Strong"/>
                <w:rFonts w:cstheme="minorHAnsi"/>
                <w:b/>
                <w:szCs w:val="22"/>
              </w:rPr>
              <w:t>Criterion</w:t>
            </w:r>
          </w:p>
        </w:tc>
        <w:tc>
          <w:tcPr>
            <w:tcW w:w="1955" w:type="pct"/>
            <w:tcBorders>
              <w:left w:val="none" w:sz="0" w:space="0" w:color="auto"/>
              <w:right w:val="none" w:sz="0" w:space="0" w:color="auto"/>
            </w:tcBorders>
          </w:tcPr>
          <w:p w14:paraId="488ABCF0" w14:textId="77777777" w:rsidR="00C01E92" w:rsidRPr="005E57BF" w:rsidRDefault="00C01E92" w:rsidP="00090AF4">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5E57BF">
              <w:rPr>
                <w:rStyle w:val="Strong"/>
                <w:rFonts w:cstheme="minorHAnsi"/>
                <w:b/>
                <w:szCs w:val="22"/>
              </w:rPr>
              <w:t>Description</w:t>
            </w:r>
          </w:p>
        </w:tc>
        <w:tc>
          <w:tcPr>
            <w:tcW w:w="733" w:type="pct"/>
            <w:tcBorders>
              <w:left w:val="none" w:sz="0" w:space="0" w:color="auto"/>
              <w:right w:val="none" w:sz="0" w:space="0" w:color="auto"/>
            </w:tcBorders>
          </w:tcPr>
          <w:p w14:paraId="0D7F305D" w14:textId="77777777" w:rsidR="00C01E92" w:rsidRPr="005E57BF" w:rsidRDefault="00C01E92" w:rsidP="00090AF4">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5E57BF">
              <w:rPr>
                <w:rStyle w:val="Strong"/>
                <w:rFonts w:cstheme="minorHAnsi"/>
                <w:b/>
                <w:szCs w:val="22"/>
              </w:rPr>
              <w:t>Weighting</w:t>
            </w:r>
          </w:p>
        </w:tc>
        <w:tc>
          <w:tcPr>
            <w:tcW w:w="733" w:type="pct"/>
            <w:tcBorders>
              <w:left w:val="none" w:sz="0" w:space="0" w:color="auto"/>
              <w:right w:val="none" w:sz="0" w:space="0" w:color="auto"/>
            </w:tcBorders>
          </w:tcPr>
          <w:p w14:paraId="636F05D9" w14:textId="77777777" w:rsidR="00C01E92" w:rsidRPr="005E57BF" w:rsidRDefault="00C01E92" w:rsidP="00090AF4">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5E57BF">
              <w:rPr>
                <w:rStyle w:val="Strong"/>
                <w:rFonts w:cstheme="minorHAnsi"/>
                <w:b/>
                <w:szCs w:val="22"/>
              </w:rPr>
              <w:t xml:space="preserve">Option A.1 </w:t>
            </w:r>
          </w:p>
        </w:tc>
        <w:tc>
          <w:tcPr>
            <w:tcW w:w="733" w:type="pct"/>
            <w:tcBorders>
              <w:left w:val="none" w:sz="0" w:space="0" w:color="auto"/>
            </w:tcBorders>
          </w:tcPr>
          <w:p w14:paraId="35403A29" w14:textId="77777777" w:rsidR="00C01E92" w:rsidRPr="005E57BF" w:rsidRDefault="00C01E92" w:rsidP="00090AF4">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5E57BF">
              <w:rPr>
                <w:rStyle w:val="Strong"/>
                <w:rFonts w:cstheme="minorHAnsi"/>
                <w:b/>
                <w:szCs w:val="22"/>
              </w:rPr>
              <w:t xml:space="preserve">Option A.2 </w:t>
            </w:r>
          </w:p>
        </w:tc>
      </w:tr>
      <w:tr w:rsidR="00C01E92" w:rsidRPr="005E57BF" w14:paraId="7C2072FC" w14:textId="77777777" w:rsidTr="006C177D">
        <w:trPr>
          <w:trHeight w:val="358"/>
        </w:trPr>
        <w:tc>
          <w:tcPr>
            <w:cnfStyle w:val="001000000000" w:firstRow="0" w:lastRow="0" w:firstColumn="1" w:lastColumn="0" w:oddVBand="0" w:evenVBand="0" w:oddHBand="0" w:evenHBand="0" w:firstRowFirstColumn="0" w:firstRowLastColumn="0" w:lastRowFirstColumn="0" w:lastRowLastColumn="0"/>
            <w:tcW w:w="846" w:type="pct"/>
            <w:tcBorders>
              <w:bottom w:val="single" w:sz="4" w:space="0" w:color="004EA8" w:themeColor="accent1"/>
            </w:tcBorders>
          </w:tcPr>
          <w:p w14:paraId="4441DF9D" w14:textId="77777777" w:rsidR="00C01E92" w:rsidRPr="005E57BF" w:rsidRDefault="00C01E92" w:rsidP="00090AF4">
            <w:pPr>
              <w:spacing w:after="60"/>
              <w:rPr>
                <w:rFonts w:cstheme="minorHAnsi"/>
                <w:szCs w:val="22"/>
              </w:rPr>
            </w:pPr>
            <w:r w:rsidRPr="005E57BF">
              <w:rPr>
                <w:rFonts w:cstheme="minorHAnsi"/>
                <w:szCs w:val="22"/>
              </w:rPr>
              <w:t>Cost to industry</w:t>
            </w:r>
          </w:p>
        </w:tc>
        <w:tc>
          <w:tcPr>
            <w:tcW w:w="1955" w:type="pct"/>
            <w:tcBorders>
              <w:bottom w:val="single" w:sz="4" w:space="0" w:color="004EA8" w:themeColor="accent1"/>
            </w:tcBorders>
          </w:tcPr>
          <w:p w14:paraId="2E2C666C" w14:textId="77777777" w:rsidR="00C01E92" w:rsidRPr="005E57BF" w:rsidRDefault="00C01E92" w:rsidP="00090AF4">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E57BF">
              <w:rPr>
                <w:rFonts w:cstheme="minorHAnsi"/>
                <w:szCs w:val="22"/>
              </w:rPr>
              <w:t>Cost to industry of preparing provider and service approval applications in line with regulation requirements</w:t>
            </w:r>
          </w:p>
        </w:tc>
        <w:tc>
          <w:tcPr>
            <w:tcW w:w="733" w:type="pct"/>
            <w:tcBorders>
              <w:bottom w:val="single" w:sz="4" w:space="0" w:color="004EA8" w:themeColor="accent1"/>
            </w:tcBorders>
          </w:tcPr>
          <w:p w14:paraId="786215A6" w14:textId="77777777" w:rsidR="00C01E92" w:rsidRPr="005E57BF" w:rsidRDefault="00C01E92" w:rsidP="00090AF4">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5E57BF">
              <w:rPr>
                <w:rFonts w:cstheme="minorHAnsi"/>
                <w:szCs w:val="22"/>
              </w:rPr>
              <w:t>35%</w:t>
            </w:r>
          </w:p>
        </w:tc>
        <w:tc>
          <w:tcPr>
            <w:tcW w:w="733" w:type="pct"/>
            <w:tcBorders>
              <w:bottom w:val="single" w:sz="4" w:space="0" w:color="004EA8" w:themeColor="accent1"/>
            </w:tcBorders>
          </w:tcPr>
          <w:p w14:paraId="65E56808" w14:textId="77777777" w:rsidR="00C01E92" w:rsidRPr="005E57BF" w:rsidRDefault="00C01E92" w:rsidP="00090AF4">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5E57BF">
              <w:rPr>
                <w:rFonts w:cstheme="minorHAnsi"/>
                <w:szCs w:val="22"/>
              </w:rPr>
              <w:t>0</w:t>
            </w:r>
          </w:p>
        </w:tc>
        <w:tc>
          <w:tcPr>
            <w:tcW w:w="733" w:type="pct"/>
            <w:tcBorders>
              <w:bottom w:val="single" w:sz="4" w:space="0" w:color="004EA8" w:themeColor="accent1"/>
            </w:tcBorders>
          </w:tcPr>
          <w:p w14:paraId="2CD4D5F2" w14:textId="77777777" w:rsidR="00C01E92" w:rsidRPr="005E57BF" w:rsidRDefault="00C01E92" w:rsidP="00090AF4">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5E57BF">
              <w:rPr>
                <w:rFonts w:cstheme="minorHAnsi"/>
                <w:szCs w:val="22"/>
              </w:rPr>
              <w:t>3</w:t>
            </w:r>
          </w:p>
        </w:tc>
      </w:tr>
      <w:tr w:rsidR="00C01E92" w:rsidRPr="005E57BF" w14:paraId="63283836" w14:textId="77777777" w:rsidTr="006C177D">
        <w:trPr>
          <w:trHeight w:val="358"/>
        </w:trPr>
        <w:tc>
          <w:tcPr>
            <w:cnfStyle w:val="001000000000" w:firstRow="0" w:lastRow="0" w:firstColumn="1" w:lastColumn="0" w:oddVBand="0" w:evenVBand="0" w:oddHBand="0" w:evenHBand="0" w:firstRowFirstColumn="0" w:firstRowLastColumn="0" w:lastRowFirstColumn="0" w:lastRowLastColumn="0"/>
            <w:tcW w:w="846" w:type="pct"/>
            <w:tcBorders>
              <w:right w:val="nil"/>
            </w:tcBorders>
          </w:tcPr>
          <w:p w14:paraId="03E83818" w14:textId="77777777" w:rsidR="00C01E92" w:rsidRPr="005E57BF" w:rsidRDefault="00C01E92" w:rsidP="00090AF4">
            <w:pPr>
              <w:spacing w:after="60"/>
              <w:rPr>
                <w:rFonts w:cstheme="minorHAnsi"/>
                <w:b/>
                <w:szCs w:val="22"/>
              </w:rPr>
            </w:pPr>
            <w:r w:rsidRPr="005E57BF">
              <w:rPr>
                <w:rFonts w:cstheme="minorHAnsi"/>
                <w:b/>
                <w:szCs w:val="22"/>
              </w:rPr>
              <w:t>Total</w:t>
            </w:r>
          </w:p>
        </w:tc>
        <w:tc>
          <w:tcPr>
            <w:tcW w:w="1955" w:type="pct"/>
            <w:tcBorders>
              <w:left w:val="nil"/>
              <w:right w:val="nil"/>
            </w:tcBorders>
          </w:tcPr>
          <w:p w14:paraId="7EBC9EA5" w14:textId="77777777" w:rsidR="00C01E92" w:rsidRPr="005E57BF" w:rsidRDefault="00C01E92" w:rsidP="00090AF4">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733" w:type="pct"/>
            <w:tcBorders>
              <w:left w:val="nil"/>
              <w:right w:val="nil"/>
            </w:tcBorders>
          </w:tcPr>
          <w:p w14:paraId="251F2D68" w14:textId="77777777" w:rsidR="00C01E92" w:rsidRPr="005E57BF" w:rsidRDefault="00C01E92" w:rsidP="00090AF4">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733" w:type="pct"/>
            <w:tcBorders>
              <w:left w:val="nil"/>
              <w:right w:val="nil"/>
            </w:tcBorders>
          </w:tcPr>
          <w:p w14:paraId="381DC639" w14:textId="77777777" w:rsidR="00C01E92" w:rsidRPr="005E57BF" w:rsidRDefault="00C01E92" w:rsidP="00090AF4">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5E57BF">
              <w:rPr>
                <w:rFonts w:cstheme="minorHAnsi"/>
                <w:b/>
                <w:szCs w:val="22"/>
              </w:rPr>
              <w:t>0</w:t>
            </w:r>
          </w:p>
        </w:tc>
        <w:tc>
          <w:tcPr>
            <w:tcW w:w="733" w:type="pct"/>
            <w:tcBorders>
              <w:left w:val="nil"/>
            </w:tcBorders>
          </w:tcPr>
          <w:p w14:paraId="694A5192" w14:textId="77777777" w:rsidR="00C01E92" w:rsidRPr="005E57BF" w:rsidRDefault="00C01E92" w:rsidP="00090AF4">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5E57BF">
              <w:rPr>
                <w:rFonts w:cstheme="minorHAnsi"/>
                <w:b/>
                <w:szCs w:val="22"/>
              </w:rPr>
              <w:t>1.05</w:t>
            </w:r>
          </w:p>
        </w:tc>
      </w:tr>
    </w:tbl>
    <w:p w14:paraId="19015838" w14:textId="331EA2F9" w:rsidR="00C01E92" w:rsidRPr="000107A9" w:rsidRDefault="00F3682F" w:rsidP="002806C5">
      <w:pPr>
        <w:pStyle w:val="EYHeading4"/>
        <w:numPr>
          <w:ilvl w:val="3"/>
          <w:numId w:val="80"/>
        </w:numPr>
        <w:spacing w:before="120"/>
        <w:rPr>
          <w:rFonts w:asciiTheme="minorHAnsi" w:hAnsiTheme="minorHAnsi" w:cstheme="minorHAnsi"/>
          <w:szCs w:val="22"/>
        </w:rPr>
      </w:pPr>
      <w:r>
        <w:rPr>
          <w:rFonts w:asciiTheme="minorHAnsi" w:hAnsiTheme="minorHAnsi" w:cstheme="minorHAnsi"/>
          <w:szCs w:val="22"/>
        </w:rPr>
        <w:t>Service approval types</w:t>
      </w:r>
    </w:p>
    <w:p w14:paraId="63A225B2" w14:textId="7E993549"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Two options are considered in relation to service approval</w:t>
      </w:r>
      <w:r w:rsidR="00F3682F">
        <w:rPr>
          <w:rFonts w:asciiTheme="minorHAnsi" w:hAnsiTheme="minorHAnsi" w:cstheme="minorHAnsi"/>
          <w:sz w:val="22"/>
          <w:szCs w:val="22"/>
        </w:rPr>
        <w:t xml:space="preserve"> type</w:t>
      </w:r>
      <w:r w:rsidRPr="000107A9">
        <w:rPr>
          <w:rFonts w:asciiTheme="minorHAnsi" w:hAnsiTheme="minorHAnsi" w:cstheme="minorHAnsi"/>
          <w:sz w:val="22"/>
          <w:szCs w:val="22"/>
        </w:rPr>
        <w:t xml:space="preserve">s: Option B.1 Status Quo and Option B.2 Alignment. </w:t>
      </w:r>
    </w:p>
    <w:p w14:paraId="5E8D1732" w14:textId="1778C4B6" w:rsidR="00C01E92" w:rsidRPr="000107A9" w:rsidRDefault="00C01E92" w:rsidP="00C01E92">
      <w:pPr>
        <w:pStyle w:val="EYBodytextwithparaspace"/>
        <w:spacing w:before="120" w:after="120"/>
        <w:rPr>
          <w:rFonts w:asciiTheme="minorHAnsi" w:hAnsiTheme="minorHAnsi" w:cstheme="minorHAnsi"/>
          <w:sz w:val="22"/>
          <w:szCs w:val="22"/>
        </w:rPr>
      </w:pPr>
      <w:r w:rsidRPr="00F3682F">
        <w:rPr>
          <w:rFonts w:asciiTheme="minorHAnsi" w:hAnsiTheme="minorHAnsi" w:cstheme="minorHAnsi"/>
          <w:sz w:val="22"/>
          <w:szCs w:val="22"/>
        </w:rPr>
        <w:t>As the Act does not provide for service approval</w:t>
      </w:r>
      <w:r w:rsidR="00F3682F" w:rsidRPr="00F3682F">
        <w:rPr>
          <w:rFonts w:asciiTheme="minorHAnsi" w:hAnsiTheme="minorHAnsi" w:cstheme="minorHAnsi"/>
          <w:sz w:val="22"/>
          <w:szCs w:val="22"/>
        </w:rPr>
        <w:t xml:space="preserve"> type</w:t>
      </w:r>
      <w:r w:rsidRPr="00F3682F">
        <w:rPr>
          <w:rFonts w:asciiTheme="minorHAnsi" w:hAnsiTheme="minorHAnsi" w:cstheme="minorHAnsi"/>
          <w:sz w:val="22"/>
          <w:szCs w:val="22"/>
        </w:rPr>
        <w:t>s; they would not exist in the base case scenario. The absence of service approval</w:t>
      </w:r>
      <w:r w:rsidR="00F3682F" w:rsidRPr="00F3682F">
        <w:rPr>
          <w:rFonts w:asciiTheme="minorHAnsi" w:hAnsiTheme="minorHAnsi" w:cstheme="minorHAnsi"/>
          <w:sz w:val="22"/>
          <w:szCs w:val="22"/>
        </w:rPr>
        <w:t xml:space="preserve"> type</w:t>
      </w:r>
      <w:r w:rsidRPr="00F3682F">
        <w:rPr>
          <w:rFonts w:asciiTheme="minorHAnsi" w:hAnsiTheme="minorHAnsi" w:cstheme="minorHAnsi"/>
          <w:sz w:val="22"/>
          <w:szCs w:val="22"/>
        </w:rPr>
        <w:t>s would have no real impact on costs to providers as the Regulatory Authority can attach conditions to service approval</w:t>
      </w:r>
      <w:r w:rsidR="00F3682F" w:rsidRPr="00F3682F">
        <w:rPr>
          <w:rFonts w:asciiTheme="minorHAnsi" w:hAnsiTheme="minorHAnsi" w:cstheme="minorHAnsi"/>
          <w:sz w:val="22"/>
          <w:szCs w:val="22"/>
        </w:rPr>
        <w:t xml:space="preserve"> type</w:t>
      </w:r>
      <w:r w:rsidRPr="00F3682F">
        <w:rPr>
          <w:rFonts w:asciiTheme="minorHAnsi" w:hAnsiTheme="minorHAnsi" w:cstheme="minorHAnsi"/>
          <w:sz w:val="22"/>
          <w:szCs w:val="22"/>
        </w:rPr>
        <w:t>s under the Amendment Act,</w:t>
      </w:r>
      <w:r w:rsidRPr="00F3682F">
        <w:rPr>
          <w:rStyle w:val="FootnoteReference"/>
          <w:rFonts w:asciiTheme="minorHAnsi" w:hAnsiTheme="minorHAnsi" w:cstheme="minorHAnsi"/>
          <w:color w:val="auto"/>
          <w:sz w:val="22"/>
          <w:szCs w:val="22"/>
        </w:rPr>
        <w:footnoteReference w:id="42"/>
      </w:r>
      <w:r w:rsidRPr="00F3682F">
        <w:rPr>
          <w:rFonts w:asciiTheme="minorHAnsi" w:hAnsiTheme="minorHAnsi" w:cstheme="minorHAnsi"/>
          <w:sz w:val="22"/>
          <w:szCs w:val="22"/>
        </w:rPr>
        <w:t xml:space="preserve"> which would take the place of the limitations imposed through the licence structure in the current Regulations.</w:t>
      </w:r>
    </w:p>
    <w:p w14:paraId="65BFCAD4" w14:textId="298BBC2D"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It is unlikely that service providers would experience a difference in costs between conditions specifically imposed on their licence type (current Regulations), and conditions attached to service approval</w:t>
      </w:r>
      <w:r w:rsidR="00F3682F">
        <w:rPr>
          <w:rFonts w:asciiTheme="minorHAnsi" w:hAnsiTheme="minorHAnsi" w:cstheme="minorHAnsi"/>
          <w:sz w:val="22"/>
          <w:szCs w:val="22"/>
        </w:rPr>
        <w:t xml:space="preserve"> type</w:t>
      </w:r>
      <w:r w:rsidRPr="000107A9">
        <w:rPr>
          <w:rFonts w:asciiTheme="minorHAnsi" w:hAnsiTheme="minorHAnsi" w:cstheme="minorHAnsi"/>
          <w:sz w:val="22"/>
          <w:szCs w:val="22"/>
        </w:rPr>
        <w:t xml:space="preserve">s (proposed Regulations). The cost burden to the regulator of imposing conditions is addressed at section </w:t>
      </w:r>
      <w:r w:rsidRPr="000107A9">
        <w:rPr>
          <w:rFonts w:asciiTheme="minorHAnsi" w:hAnsiTheme="minorHAnsi" w:cstheme="minorHAnsi"/>
          <w:sz w:val="22"/>
          <w:szCs w:val="22"/>
          <w:highlight w:val="yellow"/>
        </w:rPr>
        <w:fldChar w:fldCharType="begin"/>
      </w:r>
      <w:r w:rsidRPr="000107A9">
        <w:rPr>
          <w:rFonts w:asciiTheme="minorHAnsi" w:hAnsiTheme="minorHAnsi" w:cstheme="minorHAnsi"/>
          <w:sz w:val="22"/>
          <w:szCs w:val="22"/>
        </w:rPr>
        <w:instrText xml:space="preserve"> REF _Ref27650026 \r \h </w:instrText>
      </w:r>
      <w:r w:rsidRPr="000107A9">
        <w:rPr>
          <w:rFonts w:asciiTheme="minorHAnsi" w:hAnsiTheme="minorHAnsi" w:cstheme="minorHAnsi"/>
          <w:sz w:val="22"/>
          <w:szCs w:val="22"/>
          <w:highlight w:val="yellow"/>
        </w:rPr>
        <w:instrText xml:space="preserve"> \* MERGEFORMAT </w:instrText>
      </w:r>
      <w:r w:rsidRPr="000107A9">
        <w:rPr>
          <w:rFonts w:asciiTheme="minorHAnsi" w:hAnsiTheme="minorHAnsi" w:cstheme="minorHAnsi"/>
          <w:sz w:val="22"/>
          <w:szCs w:val="22"/>
          <w:highlight w:val="yellow"/>
        </w:rPr>
      </w:r>
      <w:r w:rsidRPr="000107A9">
        <w:rPr>
          <w:rFonts w:asciiTheme="minorHAnsi" w:hAnsiTheme="minorHAnsi" w:cstheme="minorHAnsi"/>
          <w:sz w:val="22"/>
          <w:szCs w:val="22"/>
          <w:highlight w:val="yellow"/>
        </w:rPr>
        <w:fldChar w:fldCharType="separate"/>
      </w:r>
      <w:r w:rsidR="00493211">
        <w:rPr>
          <w:rFonts w:asciiTheme="minorHAnsi" w:hAnsiTheme="minorHAnsi" w:cstheme="minorHAnsi"/>
          <w:sz w:val="22"/>
          <w:szCs w:val="22"/>
        </w:rPr>
        <w:t>6.2.2.2</w:t>
      </w:r>
      <w:r w:rsidRPr="000107A9">
        <w:rPr>
          <w:rFonts w:asciiTheme="minorHAnsi" w:hAnsiTheme="minorHAnsi" w:cstheme="minorHAnsi"/>
          <w:sz w:val="22"/>
          <w:szCs w:val="22"/>
          <w:highlight w:val="yellow"/>
        </w:rPr>
        <w:fldChar w:fldCharType="end"/>
      </w:r>
      <w:r w:rsidRPr="000107A9">
        <w:rPr>
          <w:rFonts w:asciiTheme="minorHAnsi" w:hAnsiTheme="minorHAnsi" w:cstheme="minorHAnsi"/>
          <w:sz w:val="22"/>
          <w:szCs w:val="22"/>
        </w:rPr>
        <w:t xml:space="preserve">. </w:t>
      </w:r>
    </w:p>
    <w:p w14:paraId="09D515EA" w14:textId="2A82B95B"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In Option B.1 Status Quo, providers apply for one of seven licence types prescribed in the </w:t>
      </w:r>
      <w:r w:rsidR="00F3682F">
        <w:rPr>
          <w:rFonts w:asciiTheme="minorHAnsi" w:hAnsiTheme="minorHAnsi" w:cstheme="minorHAnsi"/>
          <w:sz w:val="22"/>
          <w:szCs w:val="22"/>
        </w:rPr>
        <w:t xml:space="preserve">current </w:t>
      </w:r>
      <w:r w:rsidRPr="000107A9">
        <w:rPr>
          <w:rFonts w:asciiTheme="minorHAnsi" w:hAnsiTheme="minorHAnsi" w:cstheme="minorHAnsi"/>
          <w:sz w:val="22"/>
          <w:szCs w:val="22"/>
        </w:rPr>
        <w:t>Regulations. Each licence type carries different conditions on the duration of a child’s attendance, staffing number and qualification requirements, and outdoor space requirements.</w:t>
      </w:r>
    </w:p>
    <w:p w14:paraId="4EB65EE4" w14:textId="48B54DA4" w:rsidR="00C01E92" w:rsidRPr="000107A9" w:rsidRDefault="00C01E92" w:rsidP="00C01E92">
      <w:pPr>
        <w:pStyle w:val="EYBodytextwithparaspace"/>
        <w:spacing w:before="120" w:after="120"/>
        <w:rPr>
          <w:rFonts w:asciiTheme="minorHAnsi" w:hAnsiTheme="minorHAnsi" w:cstheme="minorHAnsi"/>
          <w:sz w:val="22"/>
          <w:szCs w:val="22"/>
        </w:rPr>
      </w:pPr>
      <w:r w:rsidRPr="00D86736">
        <w:rPr>
          <w:rFonts w:asciiTheme="minorHAnsi" w:hAnsiTheme="minorHAnsi" w:cstheme="minorHAnsi"/>
          <w:sz w:val="22"/>
          <w:szCs w:val="22"/>
        </w:rPr>
        <w:t>In Option B.2 Alignment, the proposed Regulations streamline these licence types into two service approval</w:t>
      </w:r>
      <w:r w:rsidR="00D86736" w:rsidRPr="00D86736">
        <w:rPr>
          <w:rFonts w:asciiTheme="minorHAnsi" w:hAnsiTheme="minorHAnsi" w:cstheme="minorHAnsi"/>
          <w:sz w:val="22"/>
          <w:szCs w:val="22"/>
        </w:rPr>
        <w:t xml:space="preserve"> type</w:t>
      </w:r>
      <w:r w:rsidRPr="00D86736">
        <w:rPr>
          <w:rFonts w:asciiTheme="minorHAnsi" w:hAnsiTheme="minorHAnsi" w:cstheme="minorHAnsi"/>
          <w:sz w:val="22"/>
          <w:szCs w:val="22"/>
        </w:rPr>
        <w:t>s — Occasional Care and Limited Hours. The aim of this approach is to increase the</w:t>
      </w:r>
      <w:r w:rsidRPr="000107A9">
        <w:rPr>
          <w:rFonts w:asciiTheme="minorHAnsi" w:hAnsiTheme="minorHAnsi" w:cstheme="minorHAnsi"/>
          <w:sz w:val="22"/>
          <w:szCs w:val="22"/>
        </w:rPr>
        <w:t xml:space="preserve"> quality of services operating in the ‘middle’ of the current licensing structure, but recognises that services operating for very limited hours require specific, more li</w:t>
      </w:r>
      <w:r w:rsidR="00D86736">
        <w:rPr>
          <w:rFonts w:asciiTheme="minorHAnsi" w:hAnsiTheme="minorHAnsi" w:cstheme="minorHAnsi"/>
          <w:sz w:val="22"/>
          <w:szCs w:val="22"/>
        </w:rPr>
        <w:t>mited, regulatory requirements.</w:t>
      </w:r>
    </w:p>
    <w:p w14:paraId="45632319" w14:textId="4A8DBEDD"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new </w:t>
      </w:r>
      <w:r w:rsidRPr="000107A9">
        <w:rPr>
          <w:rFonts w:asciiTheme="minorHAnsi" w:hAnsiTheme="minorHAnsi" w:cstheme="minorHAnsi"/>
          <w:b/>
          <w:sz w:val="22"/>
          <w:szCs w:val="22"/>
        </w:rPr>
        <w:t>Limited Hours</w:t>
      </w:r>
      <w:r w:rsidRPr="000107A9">
        <w:rPr>
          <w:rFonts w:asciiTheme="minorHAnsi" w:hAnsiTheme="minorHAnsi" w:cstheme="minorHAnsi"/>
          <w:sz w:val="22"/>
          <w:szCs w:val="22"/>
        </w:rPr>
        <w:t xml:space="preserve"> service approval </w:t>
      </w:r>
      <w:r w:rsidR="00D86736">
        <w:rPr>
          <w:rFonts w:asciiTheme="minorHAnsi" w:hAnsiTheme="minorHAnsi" w:cstheme="minorHAnsi"/>
          <w:sz w:val="22"/>
          <w:szCs w:val="22"/>
        </w:rPr>
        <w:t xml:space="preserve">type </w:t>
      </w:r>
      <w:r w:rsidRPr="000107A9">
        <w:rPr>
          <w:rFonts w:asciiTheme="minorHAnsi" w:hAnsiTheme="minorHAnsi" w:cstheme="minorHAnsi"/>
          <w:sz w:val="22"/>
          <w:szCs w:val="22"/>
        </w:rPr>
        <w:t xml:space="preserve">will be restricted to services caring for </w:t>
      </w:r>
      <w:r w:rsidR="00BA5E0C">
        <w:rPr>
          <w:rFonts w:asciiTheme="minorHAnsi" w:hAnsiTheme="minorHAnsi" w:cstheme="minorHAnsi"/>
          <w:sz w:val="22"/>
          <w:szCs w:val="22"/>
        </w:rPr>
        <w:t>each child</w:t>
      </w:r>
      <w:r w:rsidRPr="000107A9">
        <w:rPr>
          <w:rFonts w:asciiTheme="minorHAnsi" w:hAnsiTheme="minorHAnsi" w:cstheme="minorHAnsi"/>
          <w:sz w:val="22"/>
          <w:szCs w:val="22"/>
        </w:rPr>
        <w:t xml:space="preserve"> for no more than 3 hours per day (expanded from the current 2 hours per day), and no more than 6 hours per week. All other services would hold the new </w:t>
      </w:r>
      <w:r w:rsidRPr="000107A9">
        <w:rPr>
          <w:rFonts w:asciiTheme="minorHAnsi" w:hAnsiTheme="minorHAnsi" w:cstheme="minorHAnsi"/>
          <w:b/>
          <w:sz w:val="22"/>
          <w:szCs w:val="22"/>
        </w:rPr>
        <w:t>Occasional Care</w:t>
      </w:r>
      <w:r w:rsidRPr="000107A9">
        <w:rPr>
          <w:rFonts w:asciiTheme="minorHAnsi" w:hAnsiTheme="minorHAnsi" w:cstheme="minorHAnsi"/>
          <w:sz w:val="22"/>
          <w:szCs w:val="22"/>
        </w:rPr>
        <w:t xml:space="preserve"> service approval</w:t>
      </w:r>
      <w:r w:rsidR="00D86736">
        <w:rPr>
          <w:rFonts w:asciiTheme="minorHAnsi" w:hAnsiTheme="minorHAnsi" w:cstheme="minorHAnsi"/>
          <w:sz w:val="22"/>
          <w:szCs w:val="22"/>
        </w:rPr>
        <w:t xml:space="preserve"> type</w:t>
      </w:r>
      <w:r w:rsidRPr="000107A9">
        <w:rPr>
          <w:rFonts w:asciiTheme="minorHAnsi" w:hAnsiTheme="minorHAnsi" w:cstheme="minorHAnsi"/>
          <w:sz w:val="22"/>
          <w:szCs w:val="22"/>
        </w:rPr>
        <w:t>.</w:t>
      </w:r>
    </w:p>
    <w:p w14:paraId="074660DC" w14:textId="0D2D22F8"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Services in the</w:t>
      </w:r>
      <w:r w:rsidR="00D86736">
        <w:rPr>
          <w:rFonts w:asciiTheme="minorHAnsi" w:hAnsiTheme="minorHAnsi" w:cstheme="minorHAnsi"/>
          <w:sz w:val="22"/>
          <w:szCs w:val="22"/>
        </w:rPr>
        <w:t xml:space="preserve"> current</w:t>
      </w:r>
      <w:r w:rsidRPr="000107A9">
        <w:rPr>
          <w:rFonts w:asciiTheme="minorHAnsi" w:hAnsiTheme="minorHAnsi" w:cstheme="minorHAnsi"/>
          <w:sz w:val="22"/>
          <w:szCs w:val="22"/>
        </w:rPr>
        <w:t xml:space="preserve"> ‘middle’ group will move to one of the two new service approval</w:t>
      </w:r>
      <w:r w:rsidR="00D86736">
        <w:rPr>
          <w:rFonts w:asciiTheme="minorHAnsi" w:hAnsiTheme="minorHAnsi" w:cstheme="minorHAnsi"/>
          <w:sz w:val="22"/>
          <w:szCs w:val="22"/>
        </w:rPr>
        <w:t xml:space="preserve"> type</w:t>
      </w:r>
      <w:r w:rsidRPr="000107A9">
        <w:rPr>
          <w:rFonts w:asciiTheme="minorHAnsi" w:hAnsiTheme="minorHAnsi" w:cstheme="minorHAnsi"/>
          <w:sz w:val="22"/>
          <w:szCs w:val="22"/>
        </w:rPr>
        <w:t xml:space="preserve">s, depending on whether they are able or willing to meet the higher requirements for </w:t>
      </w:r>
      <w:r w:rsidR="00D86736">
        <w:rPr>
          <w:rFonts w:asciiTheme="minorHAnsi" w:hAnsiTheme="minorHAnsi" w:cstheme="minorHAnsi"/>
          <w:sz w:val="22"/>
          <w:szCs w:val="22"/>
        </w:rPr>
        <w:t xml:space="preserve">the </w:t>
      </w:r>
      <w:r w:rsidRPr="000107A9">
        <w:rPr>
          <w:rFonts w:asciiTheme="minorHAnsi" w:hAnsiTheme="minorHAnsi" w:cstheme="minorHAnsi"/>
          <w:sz w:val="22"/>
          <w:szCs w:val="22"/>
        </w:rPr>
        <w:t>Occasional Care service approval</w:t>
      </w:r>
      <w:r w:rsidR="00D86736">
        <w:rPr>
          <w:rFonts w:asciiTheme="minorHAnsi" w:hAnsiTheme="minorHAnsi" w:cstheme="minorHAnsi"/>
          <w:sz w:val="22"/>
          <w:szCs w:val="22"/>
        </w:rPr>
        <w:t xml:space="preserve"> type</w:t>
      </w:r>
      <w:r w:rsidRPr="000107A9">
        <w:rPr>
          <w:rFonts w:asciiTheme="minorHAnsi" w:hAnsiTheme="minorHAnsi" w:cstheme="minorHAnsi"/>
          <w:sz w:val="22"/>
          <w:szCs w:val="22"/>
        </w:rPr>
        <w:t>. Noting that the previous ‘integrated service’ licence</w:t>
      </w:r>
      <w:r w:rsidR="00D86736">
        <w:rPr>
          <w:rFonts w:asciiTheme="minorHAnsi" w:hAnsiTheme="minorHAnsi" w:cstheme="minorHAnsi"/>
          <w:sz w:val="22"/>
          <w:szCs w:val="22"/>
        </w:rPr>
        <w:t xml:space="preserve"> type</w:t>
      </w:r>
      <w:r w:rsidRPr="000107A9">
        <w:rPr>
          <w:rFonts w:asciiTheme="minorHAnsi" w:hAnsiTheme="minorHAnsi" w:cstheme="minorHAnsi"/>
          <w:sz w:val="22"/>
          <w:szCs w:val="22"/>
        </w:rPr>
        <w:t xml:space="preserve"> would be discontinued as it would no longer be required in the alignment option.</w:t>
      </w:r>
    </w:p>
    <w:p w14:paraId="31FE852E" w14:textId="03B399D3" w:rsidR="00991C2A"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diagram below illustrates the potential movement of current licence types to the new service approval.</w:t>
      </w:r>
    </w:p>
    <w:p w14:paraId="1C20ED93" w14:textId="77777777" w:rsidR="00991C2A" w:rsidRDefault="00991C2A">
      <w:pPr>
        <w:spacing w:after="0"/>
        <w:rPr>
          <w:rFonts w:eastAsia="Times New Roman" w:cstheme="minorHAnsi"/>
          <w:szCs w:val="22"/>
          <w:lang w:val="en-AU"/>
        </w:rPr>
      </w:pPr>
      <w:r>
        <w:rPr>
          <w:rFonts w:cstheme="minorHAnsi"/>
          <w:szCs w:val="22"/>
        </w:rPr>
        <w:br w:type="page"/>
      </w:r>
    </w:p>
    <w:tbl>
      <w:tblPr>
        <w:tblStyle w:val="GridTable5Dark-Accent21"/>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6"/>
        <w:gridCol w:w="1086"/>
        <w:gridCol w:w="2537"/>
        <w:gridCol w:w="1056"/>
        <w:gridCol w:w="2273"/>
      </w:tblGrid>
      <w:tr w:rsidR="00C01E92" w:rsidRPr="00937695" w14:paraId="2B353863" w14:textId="77777777" w:rsidTr="00D8673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46" w:type="dxa"/>
            <w:tcBorders>
              <w:top w:val="none" w:sz="0" w:space="0" w:color="auto"/>
              <w:left w:val="none" w:sz="0" w:space="0" w:color="auto"/>
            </w:tcBorders>
            <w:shd w:val="clear" w:color="auto" w:fill="004EA8"/>
            <w:vAlign w:val="center"/>
          </w:tcPr>
          <w:p w14:paraId="0C480477" w14:textId="7DA03A7C" w:rsidR="00C01E92" w:rsidRPr="00937695" w:rsidRDefault="00D23581" w:rsidP="00D86736">
            <w:pPr>
              <w:spacing w:before="60" w:after="60"/>
              <w:jc w:val="center"/>
              <w:rPr>
                <w:rFonts w:ascii="Arial Narrow" w:hAnsi="Arial Narrow" w:cstheme="minorHAnsi"/>
                <w:b w:val="0"/>
                <w:bCs w:val="0"/>
              </w:rPr>
            </w:pPr>
            <w:r>
              <w:rPr>
                <w:rFonts w:ascii="Arial Narrow" w:hAnsi="Arial Narrow" w:cstheme="minorHAnsi"/>
                <w:bCs w:val="0"/>
              </w:rPr>
              <w:lastRenderedPageBreak/>
              <w:t>New</w:t>
            </w:r>
            <w:r w:rsidR="00D86736">
              <w:rPr>
                <w:rFonts w:ascii="Arial Narrow" w:hAnsi="Arial Narrow" w:cstheme="minorHAnsi"/>
                <w:bCs w:val="0"/>
              </w:rPr>
              <w:t xml:space="preserve"> </w:t>
            </w:r>
            <w:r w:rsidR="00C01E92" w:rsidRPr="00937695">
              <w:rPr>
                <w:rFonts w:ascii="Arial Narrow" w:hAnsi="Arial Narrow" w:cstheme="minorHAnsi"/>
                <w:bCs w:val="0"/>
              </w:rPr>
              <w:t>Limited Hours</w:t>
            </w:r>
            <w:r>
              <w:rPr>
                <w:rFonts w:ascii="Arial Narrow" w:hAnsi="Arial Narrow" w:cstheme="minorHAnsi"/>
                <w:b w:val="0"/>
                <w:bCs w:val="0"/>
              </w:rPr>
              <w:t xml:space="preserve"> </w:t>
            </w:r>
            <w:r w:rsidR="00D86736" w:rsidRPr="00D86736">
              <w:rPr>
                <w:rFonts w:ascii="Arial Narrow" w:hAnsi="Arial Narrow" w:cstheme="minorHAnsi"/>
                <w:b w:val="0"/>
                <w:bCs w:val="0"/>
              </w:rPr>
              <w:t>Service Approval Type</w:t>
            </w:r>
          </w:p>
        </w:tc>
        <w:tc>
          <w:tcPr>
            <w:tcW w:w="1086" w:type="dxa"/>
            <w:vMerge w:val="restart"/>
            <w:tcBorders>
              <w:top w:val="none" w:sz="0" w:space="0" w:color="auto"/>
            </w:tcBorders>
            <w:shd w:val="clear" w:color="auto" w:fill="auto"/>
          </w:tcPr>
          <w:p w14:paraId="41DFF909" w14:textId="77777777" w:rsidR="00C01E92" w:rsidRPr="00937695" w:rsidRDefault="00C01E92" w:rsidP="00090AF4">
            <w:pPr>
              <w:spacing w:before="60" w:after="60"/>
              <w:jc w:val="center"/>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rPr>
            </w:pPr>
            <w:r w:rsidRPr="00937695">
              <w:rPr>
                <w:rFonts w:ascii="Arial Narrow" w:hAnsi="Arial Narrow" w:cstheme="minorHAnsi"/>
                <w:i/>
                <w:noProof/>
                <w:lang w:eastAsia="en-AU"/>
              </w:rPr>
              <mc:AlternateContent>
                <mc:Choice Requires="wps">
                  <w:drawing>
                    <wp:inline distT="0" distB="0" distL="0" distR="0" wp14:anchorId="484D2213" wp14:editId="7545BCB5">
                      <wp:extent cx="514350" cy="1104900"/>
                      <wp:effectExtent l="19050" t="38100" r="19050" b="57150"/>
                      <wp:docPr id="6" name="Striped Right Arrow 6" descr="This is a black arrow pointing to the left"/>
                      <wp:cNvGraphicFramePr/>
                      <a:graphic xmlns:a="http://schemas.openxmlformats.org/drawingml/2006/main">
                        <a:graphicData uri="http://schemas.microsoft.com/office/word/2010/wordprocessingShape">
                          <wps:wsp>
                            <wps:cNvSpPr/>
                            <wps:spPr>
                              <a:xfrm rot="10800000">
                                <a:off x="0" y="0"/>
                                <a:ext cx="514350" cy="1104900"/>
                              </a:xfrm>
                              <a:prstGeom prst="stripedRightArrow">
                                <a:avLst>
                                  <a:gd name="adj1" fmla="val 50000"/>
                                  <a:gd name="adj2" fmla="val 50000"/>
                                </a:avLst>
                              </a:prstGeom>
                              <a:solidFill>
                                <a:schemeClr val="tx1"/>
                              </a:solidFill>
                              <a:ln w="12700" cap="flat" cmpd="sng" algn="ctr">
                                <a:solidFill>
                                  <a:schemeClr val="bg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0AEDF65"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6" o:spid="_x0000_s1026" type="#_x0000_t93" alt="This is a black arrow pointing to the left" style="width:40.5pt;height:87pt;rotation:18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Aw1wAIAAJkFAAAOAAAAZHJzL2Uyb0RvYy54bWysVNtu2zAMfR+wfxD0vjrOkl6COkXQosOA&#10;oi2WDn1mZDnWptskJk739aVkN023Pg0LAoES6UPy8HJ+sTOabWWIytmKl0cjzqQVrlZ2XfHvD9ef&#10;TjmLCLYG7ays+JOM/GL+8cN552dy7FqnaxkYgdg463zFW0Q/K4ooWmkgHjkvLSkbFwwgXcO6qAN0&#10;hG50MR6NjovOhdoHJ2SM9HrVK/k84zeNFHjXNFEi0xWn2DCfIZ+rdBbzc5itA/hWiSEM+IcoDChL&#10;TvdQV4DANkH9BWWUCC66Bo+EM4VrGiVkzoGyKUd/ZLNswcucC5ET/Z6m+P9gxe32PjBVV/yYMwuG&#10;SrTEoLys2Te1bpEtQnAdI2UtoyDiHloVGf2BrTSInwyy3jtlkfhn6Bi2kmnZYOK283FGLpb+Pgy3&#10;SGIiatcEw4KjgpSj01H6Zf6IEbbL5Xnal0fukAl6nJaTz1MqoiBVWY4mZ/QNoRY9WAL1IeIX6QxL&#10;QsVjn0lOJOeRXcD2JmKuVT1kDPWPkrPGaCr9FjSb5nD61jiwGb9rQ+4HRJJeAkjw0WlVXyut8yU1&#10;tLzUgZGDiuOuHEJ/Y6Ut6yi38QllxgTQPDQakETjqULRrjkDvaZBExhyLm++zkPz6mO1ftdHCvEK&#10;YtsHkgFSKDAzCmkUtTIVHwrSk6tt0so8TMRcekxl7QuZpJWrn6iJcjEp7ujFtSInNxDxHgJxSo+0&#10;IvCOjkY7ytANEmetC7/fe0/21OWk5ayj8aTsf20gSM70V0v9f1ZOJgSL+TKZnozpEg41q0ON3ZhL&#10;R7RTlSm6LCZ71C9iE5x5pE2ySF5JBVaQ757n4XKJ/dqgXSTkYpHNaIY94I1depHAE0+J3ofdIwQ/&#10;NCFS+966l1EemqVn9tU2fWndYoOuUXuGe14Humn+c6sPuyotmMN7tnrdqPNnAAAA//8DAFBLAwQU&#10;AAYACAAAACEAoKZaCNgAAAAEAQAADwAAAGRycy9kb3ducmV2LnhtbEyPT0vDQBDF74LfYRmhN7vp&#10;HzTEbEopCJ4UEy+5bbNjEszOhOy2jX56Ry96GXi8x5vfy3ezH9QZp9AzGVgtE1BIDbueWgNv1eNt&#10;CipES84OTGjgEwPsiuur3GaOL/SK5zK2SkooZNZAF+OYaR2aDr0NSx6RxHvnydsocmq1m+xFyv2g&#10;10lyp73tST50dsRDh81HefIG1ly91HXNHKpNmeL26+k5EBuzuJn3D6AizvEvDD/4gg6FMB35RC6o&#10;wYAMib9XvHQl6iiZ+20Cusj1f/jiGwAA//8DAFBLAQItABQABgAIAAAAIQC2gziS/gAAAOEBAAAT&#10;AAAAAAAAAAAAAAAAAAAAAABbQ29udGVudF9UeXBlc10ueG1sUEsBAi0AFAAGAAgAAAAhADj9If/W&#10;AAAAlAEAAAsAAAAAAAAAAAAAAAAALwEAAF9yZWxzLy5yZWxzUEsBAi0AFAAGAAgAAAAhAFewDDXA&#10;AgAAmQUAAA4AAAAAAAAAAAAAAAAALgIAAGRycy9lMm9Eb2MueG1sUEsBAi0AFAAGAAgAAAAhAKCm&#10;WgjYAAAABAEAAA8AAAAAAAAAAAAAAAAAGgUAAGRycy9kb3ducmV2LnhtbFBLBQYAAAAABAAEAPMA&#10;AAAfBgAAAAA=&#10;" adj="10800" fillcolor="black [3213]" strokecolor="white [3212]" strokeweight="1pt">
                      <w10:anchorlock/>
                    </v:shape>
                  </w:pict>
                </mc:Fallback>
              </mc:AlternateContent>
            </w:r>
          </w:p>
        </w:tc>
        <w:tc>
          <w:tcPr>
            <w:tcW w:w="2537" w:type="dxa"/>
            <w:tcBorders>
              <w:top w:val="none" w:sz="0" w:space="0" w:color="auto"/>
            </w:tcBorders>
            <w:shd w:val="clear" w:color="auto" w:fill="auto"/>
            <w:vAlign w:val="center"/>
          </w:tcPr>
          <w:p w14:paraId="4861A3C3" w14:textId="77777777" w:rsidR="00C01E92" w:rsidRPr="00937695" w:rsidRDefault="00C01E92" w:rsidP="00090AF4">
            <w:pPr>
              <w:spacing w:before="60" w:after="60"/>
              <w:jc w:val="center"/>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rPr>
            </w:pPr>
          </w:p>
        </w:tc>
        <w:tc>
          <w:tcPr>
            <w:tcW w:w="1056" w:type="dxa"/>
            <w:vMerge w:val="restart"/>
            <w:tcBorders>
              <w:top w:val="none" w:sz="0" w:space="0" w:color="auto"/>
            </w:tcBorders>
            <w:shd w:val="clear" w:color="auto" w:fill="auto"/>
          </w:tcPr>
          <w:p w14:paraId="64D45358" w14:textId="77777777" w:rsidR="00C01E92" w:rsidRPr="00937695" w:rsidRDefault="00C01E92" w:rsidP="00090AF4">
            <w:pPr>
              <w:spacing w:before="60" w:after="60"/>
              <w:jc w:val="center"/>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rPr>
            </w:pPr>
            <w:r w:rsidRPr="00937695">
              <w:rPr>
                <w:rFonts w:ascii="Arial Narrow" w:hAnsi="Arial Narrow" w:cstheme="minorHAnsi"/>
                <w:i/>
                <w:noProof/>
                <w:lang w:eastAsia="en-AU"/>
              </w:rPr>
              <mc:AlternateContent>
                <mc:Choice Requires="wps">
                  <w:drawing>
                    <wp:inline distT="0" distB="0" distL="0" distR="0" wp14:anchorId="59E9DB92" wp14:editId="67472C72">
                      <wp:extent cx="488950" cy="1104900"/>
                      <wp:effectExtent l="0" t="38100" r="44450" b="57150"/>
                      <wp:docPr id="9" name="Striped Right Arrow 9" descr="This is a black arrow pointing to the right"/>
                      <wp:cNvGraphicFramePr/>
                      <a:graphic xmlns:a="http://schemas.openxmlformats.org/drawingml/2006/main">
                        <a:graphicData uri="http://schemas.microsoft.com/office/word/2010/wordprocessingShape">
                          <wps:wsp>
                            <wps:cNvSpPr/>
                            <wps:spPr>
                              <a:xfrm>
                                <a:off x="0" y="0"/>
                                <a:ext cx="488950" cy="1104900"/>
                              </a:xfrm>
                              <a:prstGeom prst="stripedRightArrow">
                                <a:avLst>
                                  <a:gd name="adj1" fmla="val 50000"/>
                                  <a:gd name="adj2" fmla="val 50000"/>
                                </a:avLst>
                              </a:prstGeom>
                              <a:solidFill>
                                <a:schemeClr val="tx1"/>
                              </a:solidFill>
                              <a:ln w="12700" cap="flat" cmpd="sng" algn="ctr">
                                <a:solidFill>
                                  <a:schemeClr val="bg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1AB2B24" id="Striped Right Arrow 9" o:spid="_x0000_s1026" type="#_x0000_t93" alt="This is a black arrow pointing to the right" style="width:38.5pt;height:8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7EtgIAAIsFAAAOAAAAZHJzL2Uyb0RvYy54bWysVFlv2zAMfh+w/0DofXUSpGsS1CmCFh0G&#10;FG3RdOgzI8uxNl2TlDjdrx8lO0e3Pg0LApkUKR4fj8urnVawFT5Ia0o2PBswEIbbSpp1yb49336a&#10;MAgRTYXKGlGyVxHY1fzjh8vWzcTINlZVwgMZMWHWupI1MbpZUQTeCI3hzDphSFhbrzES69dF5bEl&#10;61oVo8Hgc9FaXzlvuQiBbm86IZtn+3UteHyo6yAiqJJRbDGfPp+rdBbzS5ytPbpG8j4M/IcoNEpD&#10;Tg+mbjAibLz8y5SW3Ntg63jGrS5sXUsucg6UzXDwRzbLBp3IuRA4wR1gCv/PLL/fPnqQVcmmDAxq&#10;KtEyeulEBU9y3URYeG9bIGElAifgnhsZgP4IK4X8B2CWOytNJPwhWoiNAJ/eJnBbF2bkY+kefc8F&#10;IhNSu9rr9CUMYJcL8nooiNhF4HQ5nkym51Q2TqLhcDCeDnLFiuNr50P8IqyGRJQsdLHn0HPkuSi4&#10;vQsxV6fqc8Tq+5BBrRUVe4sKzgf065vhRGf0rg657y0StQ8gmQ9WyepWKpWZ1MLiWnkgByWLu2Gy&#10;Ty/eaCkDLeU2uiD3wJEmoFYYidSOahLMmgGqNY0Wjz7n8uZ1HpOjj9X6XR8pxBsMTRdINtClqmWk&#10;4VNSl2ySANiDq0xKQOTxIeRS2KmOXeUStbLVK7WNt908BcdvJTm5wxAf0ROmlAwthfhAR60sZWh7&#10;ikFj/a/37pM+9TVJGbQ0kJT9zw16wUB9NdTx0+F4nCY4M+PzixEx/lSyOpWYjb62BDtVmaLLZNKP&#10;ak/W3uoX2h2L5JVEaDj57nDumevYLQraPlwsFlmNptZhvDNLx5PxhFOC93n3gt71TRipfe/tfnj7&#10;Zulqf9RNL41dbKKt5QHhDtcebpr43C/9dkor5ZTPWscdOv8NAAD//wMAUEsDBBQABgAIAAAAIQAH&#10;Ipho2gAAAAQBAAAPAAAAZHJzL2Rvd25yZXYueG1sTI/BTsMwEETvSP0Haytxo06rilQhToWqwgUu&#10;hApxdONtnGKvo9htw9+zcKGXlUYzmn1TrkfvxBmH2AVSMJ9lIJCaYDpqFezen+5WIGLSZLQLhAq+&#10;McK6mtyUujDhQm94rlMruIRioRXYlPpCythY9DrOQo/E3iEMXieWQyvNoC9c7p1cZNm99Loj/mB1&#10;jxuLzVd98gpc3X3YFb48L/LP5XG3NU27Ca9K3U7HxwcQCcf0H4ZffEaHipn24UQmCqeAh6S/y16e&#10;s9pzJl9mIKtSXsNXPwAAAP//AwBQSwECLQAUAAYACAAAACEAtoM4kv4AAADhAQAAEwAAAAAAAAAA&#10;AAAAAAAAAAAAW0NvbnRlbnRfVHlwZXNdLnhtbFBLAQItABQABgAIAAAAIQA4/SH/1gAAAJQBAAAL&#10;AAAAAAAAAAAAAAAAAC8BAABfcmVscy8ucmVsc1BLAQItABQABgAIAAAAIQAWU/7EtgIAAIsFAAAO&#10;AAAAAAAAAAAAAAAAAC4CAABkcnMvZTJvRG9jLnhtbFBLAQItABQABgAIAAAAIQAHIpho2gAAAAQB&#10;AAAPAAAAAAAAAAAAAAAAABAFAABkcnMvZG93bnJldi54bWxQSwUGAAAAAAQABADzAAAAFwYAAAAA&#10;" adj="10800" fillcolor="black [3213]" strokecolor="white [3212]" strokeweight="1pt">
                      <w10:anchorlock/>
                    </v:shape>
                  </w:pict>
                </mc:Fallback>
              </mc:AlternateContent>
            </w:r>
          </w:p>
        </w:tc>
        <w:tc>
          <w:tcPr>
            <w:tcW w:w="2273" w:type="dxa"/>
            <w:tcBorders>
              <w:top w:val="none" w:sz="0" w:space="0" w:color="auto"/>
              <w:right w:val="none" w:sz="0" w:space="0" w:color="auto"/>
            </w:tcBorders>
            <w:shd w:val="clear" w:color="auto" w:fill="004EA8"/>
            <w:vAlign w:val="center"/>
          </w:tcPr>
          <w:p w14:paraId="408E3933" w14:textId="66DCE920" w:rsidR="00C01E92" w:rsidRPr="00937695" w:rsidRDefault="00D23581" w:rsidP="00D86736">
            <w:pPr>
              <w:spacing w:before="60" w:after="60"/>
              <w:jc w:val="center"/>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bCs w:val="0"/>
              </w:rPr>
            </w:pPr>
            <w:r>
              <w:rPr>
                <w:rFonts w:ascii="Arial Narrow" w:hAnsi="Arial Narrow" w:cstheme="minorHAnsi"/>
                <w:bCs w:val="0"/>
              </w:rPr>
              <w:t>New</w:t>
            </w:r>
            <w:r w:rsidR="00D86736">
              <w:rPr>
                <w:rFonts w:ascii="Arial Narrow" w:hAnsi="Arial Narrow" w:cstheme="minorHAnsi"/>
                <w:bCs w:val="0"/>
              </w:rPr>
              <w:t xml:space="preserve"> </w:t>
            </w:r>
            <w:r w:rsidR="00C01E92" w:rsidRPr="00937695">
              <w:rPr>
                <w:rFonts w:ascii="Arial Narrow" w:hAnsi="Arial Narrow" w:cstheme="minorHAnsi"/>
                <w:bCs w:val="0"/>
              </w:rPr>
              <w:t>Occasional Care</w:t>
            </w:r>
            <w:r>
              <w:rPr>
                <w:rFonts w:ascii="Arial Narrow" w:hAnsi="Arial Narrow" w:cstheme="minorHAnsi"/>
                <w:b w:val="0"/>
                <w:bCs w:val="0"/>
              </w:rPr>
              <w:t xml:space="preserve"> </w:t>
            </w:r>
            <w:r w:rsidR="00D86736">
              <w:rPr>
                <w:rFonts w:ascii="Arial Narrow" w:hAnsi="Arial Narrow" w:cstheme="minorHAnsi"/>
                <w:b w:val="0"/>
                <w:bCs w:val="0"/>
              </w:rPr>
              <w:t>Service Approval Type</w:t>
            </w:r>
          </w:p>
        </w:tc>
      </w:tr>
      <w:tr w:rsidR="00C01E92" w:rsidRPr="00937695" w14:paraId="1018B92D" w14:textId="77777777" w:rsidTr="00D86736">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346" w:type="dxa"/>
            <w:shd w:val="clear" w:color="auto" w:fill="0070C0"/>
            <w:vAlign w:val="center"/>
          </w:tcPr>
          <w:p w14:paraId="4D5B305D" w14:textId="4C390D15" w:rsidR="00D86736" w:rsidRPr="00D86736" w:rsidRDefault="00D86736" w:rsidP="00090AF4">
            <w:pPr>
              <w:spacing w:before="60" w:after="60"/>
              <w:jc w:val="center"/>
              <w:rPr>
                <w:rFonts w:ascii="Arial Narrow" w:hAnsi="Arial Narrow" w:cstheme="minorHAnsi"/>
              </w:rPr>
            </w:pPr>
            <w:r w:rsidRPr="00D86736">
              <w:rPr>
                <w:rFonts w:ascii="Arial Narrow" w:hAnsi="Arial Narrow" w:cstheme="minorHAnsi"/>
              </w:rPr>
              <w:t>Current Licence Type</w:t>
            </w:r>
          </w:p>
          <w:p w14:paraId="33C10628" w14:textId="5000E4ED" w:rsidR="00C01E92" w:rsidRPr="00937695" w:rsidRDefault="00C01E92" w:rsidP="00090AF4">
            <w:pPr>
              <w:spacing w:before="60" w:after="60"/>
              <w:jc w:val="center"/>
              <w:rPr>
                <w:rFonts w:ascii="Arial Narrow" w:hAnsi="Arial Narrow" w:cstheme="minorHAnsi"/>
                <w:b w:val="0"/>
              </w:rPr>
            </w:pPr>
            <w:r w:rsidRPr="00937695">
              <w:rPr>
                <w:rFonts w:ascii="Arial Narrow" w:hAnsi="Arial Narrow" w:cstheme="minorHAnsi"/>
                <w:b w:val="0"/>
              </w:rPr>
              <w:t>Limited Hours Type 1</w:t>
            </w:r>
          </w:p>
          <w:p w14:paraId="0F15FE5B" w14:textId="2DAB788E" w:rsidR="00D86736" w:rsidRPr="00D86736" w:rsidRDefault="00C01E92" w:rsidP="00D86736">
            <w:pPr>
              <w:spacing w:before="60" w:after="60"/>
              <w:jc w:val="center"/>
              <w:rPr>
                <w:rFonts w:ascii="Arial Narrow" w:hAnsi="Arial Narrow" w:cstheme="minorHAnsi"/>
                <w:b w:val="0"/>
              </w:rPr>
            </w:pPr>
            <w:r w:rsidRPr="00937695">
              <w:rPr>
                <w:rFonts w:ascii="Arial Narrow" w:hAnsi="Arial Narrow" w:cstheme="minorHAnsi"/>
                <w:b w:val="0"/>
              </w:rPr>
              <w:t>Short Term Type 2</w:t>
            </w:r>
          </w:p>
        </w:tc>
        <w:tc>
          <w:tcPr>
            <w:tcW w:w="1086" w:type="dxa"/>
            <w:vMerge/>
            <w:shd w:val="clear" w:color="auto" w:fill="auto"/>
          </w:tcPr>
          <w:p w14:paraId="59CBAA05" w14:textId="77777777" w:rsidR="00C01E92" w:rsidRPr="00937695" w:rsidRDefault="00C01E92" w:rsidP="00090AF4">
            <w:pPr>
              <w:spacing w:before="60" w:after="60"/>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inorHAnsi"/>
                <w:i/>
              </w:rPr>
            </w:pPr>
          </w:p>
        </w:tc>
        <w:tc>
          <w:tcPr>
            <w:tcW w:w="2537" w:type="dxa"/>
            <w:shd w:val="clear" w:color="auto" w:fill="BADAFF" w:themeFill="accent1" w:themeFillTint="33"/>
            <w:vAlign w:val="center"/>
          </w:tcPr>
          <w:p w14:paraId="2CAA7F0A" w14:textId="1FAF4526" w:rsidR="00D86736" w:rsidRPr="00206AFA" w:rsidRDefault="00C01E92" w:rsidP="00090AF4">
            <w:pPr>
              <w:pStyle w:val="EYBodytextwithparaspace"/>
              <w:spacing w:before="60" w:after="60"/>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inorHAnsi"/>
                <w:sz w:val="22"/>
                <w:szCs w:val="22"/>
              </w:rPr>
            </w:pPr>
            <w:r w:rsidRPr="00206AFA">
              <w:rPr>
                <w:rFonts w:ascii="Arial Narrow" w:hAnsi="Arial Narrow" w:cstheme="minorHAnsi"/>
                <w:b/>
                <w:sz w:val="22"/>
                <w:szCs w:val="22"/>
              </w:rPr>
              <w:t xml:space="preserve">Current </w:t>
            </w:r>
            <w:r w:rsidR="00D86736" w:rsidRPr="00206AFA">
              <w:rPr>
                <w:rFonts w:ascii="Arial Narrow" w:hAnsi="Arial Narrow" w:cstheme="minorHAnsi"/>
                <w:b/>
                <w:sz w:val="22"/>
                <w:szCs w:val="22"/>
              </w:rPr>
              <w:t>Licence Types</w:t>
            </w:r>
            <w:r w:rsidR="00D86736" w:rsidRPr="00206AFA">
              <w:rPr>
                <w:rFonts w:ascii="Arial Narrow" w:hAnsi="Arial Narrow" w:cstheme="minorHAnsi"/>
                <w:sz w:val="22"/>
                <w:szCs w:val="22"/>
              </w:rPr>
              <w:t xml:space="preserve"> (</w:t>
            </w:r>
            <w:r w:rsidRPr="00206AFA">
              <w:rPr>
                <w:rFonts w:ascii="Arial Narrow" w:hAnsi="Arial Narrow" w:cstheme="minorHAnsi"/>
                <w:sz w:val="22"/>
                <w:szCs w:val="22"/>
              </w:rPr>
              <w:t>‘</w:t>
            </w:r>
            <w:r w:rsidRPr="00206AFA">
              <w:rPr>
                <w:rFonts w:ascii="Arial Narrow" w:hAnsi="Arial Narrow" w:cstheme="minorHAnsi"/>
                <w:b/>
                <w:sz w:val="22"/>
                <w:szCs w:val="22"/>
              </w:rPr>
              <w:t>middle’</w:t>
            </w:r>
            <w:r w:rsidR="00D86736" w:rsidRPr="00206AFA">
              <w:rPr>
                <w:rFonts w:ascii="Arial Narrow" w:hAnsi="Arial Narrow" w:cstheme="minorHAnsi"/>
                <w:sz w:val="22"/>
                <w:szCs w:val="22"/>
              </w:rPr>
              <w:t xml:space="preserve"> group)*</w:t>
            </w:r>
          </w:p>
          <w:p w14:paraId="29FD0DC3" w14:textId="77777777" w:rsidR="00C01E92" w:rsidRPr="00206AFA" w:rsidRDefault="00C01E92" w:rsidP="00090AF4">
            <w:pPr>
              <w:spacing w:before="60" w:after="60"/>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inorHAnsi"/>
              </w:rPr>
            </w:pPr>
            <w:r w:rsidRPr="00206AFA">
              <w:rPr>
                <w:rFonts w:ascii="Arial Narrow" w:hAnsi="Arial Narrow" w:cstheme="minorHAnsi"/>
              </w:rPr>
              <w:t xml:space="preserve">School Holidays Care </w:t>
            </w:r>
          </w:p>
          <w:p w14:paraId="6C05B6D9" w14:textId="77777777" w:rsidR="00C01E92" w:rsidRPr="00206AFA" w:rsidRDefault="00C01E92" w:rsidP="00090AF4">
            <w:pPr>
              <w:spacing w:before="60" w:after="60"/>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inorHAnsi"/>
              </w:rPr>
            </w:pPr>
            <w:r w:rsidRPr="00206AFA">
              <w:rPr>
                <w:rFonts w:ascii="Arial Narrow" w:hAnsi="Arial Narrow" w:cstheme="minorHAnsi"/>
              </w:rPr>
              <w:t>Limited Hours Type 2</w:t>
            </w:r>
          </w:p>
          <w:p w14:paraId="324487D6" w14:textId="77777777" w:rsidR="00C01E92" w:rsidRPr="00206AFA" w:rsidRDefault="00C01E92" w:rsidP="00090AF4">
            <w:pPr>
              <w:spacing w:before="60" w:after="60"/>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inorHAnsi"/>
                <w:i/>
              </w:rPr>
            </w:pPr>
            <w:r w:rsidRPr="00206AFA">
              <w:rPr>
                <w:rFonts w:ascii="Arial Narrow" w:hAnsi="Arial Narrow" w:cstheme="minorHAnsi"/>
              </w:rPr>
              <w:t>Short Term Type 1</w:t>
            </w:r>
          </w:p>
        </w:tc>
        <w:tc>
          <w:tcPr>
            <w:tcW w:w="1056" w:type="dxa"/>
            <w:vMerge/>
            <w:shd w:val="clear" w:color="auto" w:fill="auto"/>
          </w:tcPr>
          <w:p w14:paraId="0A1BF0E4" w14:textId="77777777" w:rsidR="00C01E92" w:rsidRPr="00937695" w:rsidRDefault="00C01E92" w:rsidP="00090AF4">
            <w:pPr>
              <w:spacing w:before="60" w:after="60"/>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inorHAnsi"/>
                <w:i/>
              </w:rPr>
            </w:pPr>
          </w:p>
        </w:tc>
        <w:tc>
          <w:tcPr>
            <w:tcW w:w="2273" w:type="dxa"/>
            <w:shd w:val="clear" w:color="auto" w:fill="0070C0"/>
            <w:vAlign w:val="center"/>
          </w:tcPr>
          <w:p w14:paraId="7B0DBB19" w14:textId="77777777" w:rsidR="00D86736" w:rsidRPr="00D86736" w:rsidRDefault="00D86736" w:rsidP="00D86736">
            <w:pPr>
              <w:spacing w:before="60" w:after="60"/>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inorHAnsi"/>
                <w:b/>
                <w:color w:val="FFFFFF" w:themeColor="background1"/>
              </w:rPr>
            </w:pPr>
            <w:r w:rsidRPr="00D86736">
              <w:rPr>
                <w:rFonts w:ascii="Arial Narrow" w:hAnsi="Arial Narrow" w:cstheme="minorHAnsi"/>
                <w:b/>
                <w:color w:val="FFFFFF" w:themeColor="background1"/>
              </w:rPr>
              <w:t>Current Licence Type</w:t>
            </w:r>
          </w:p>
          <w:p w14:paraId="6CF50DA1" w14:textId="38F292A6" w:rsidR="00C01E92" w:rsidRPr="00937695" w:rsidRDefault="00C01E92" w:rsidP="00090AF4">
            <w:pPr>
              <w:spacing w:before="60" w:after="60"/>
              <w:jc w:val="center"/>
              <w:cnfStyle w:val="000000100000" w:firstRow="0" w:lastRow="0" w:firstColumn="0" w:lastColumn="0" w:oddVBand="0" w:evenVBand="0" w:oddHBand="1" w:evenHBand="0" w:firstRowFirstColumn="0" w:firstRowLastColumn="0" w:lastRowFirstColumn="0" w:lastRowLastColumn="0"/>
              <w:rPr>
                <w:rFonts w:ascii="Arial Narrow" w:hAnsi="Arial Narrow" w:cstheme="minorHAnsi"/>
                <w:color w:val="FFFFFF" w:themeColor="background1"/>
              </w:rPr>
            </w:pPr>
            <w:r w:rsidRPr="00937695">
              <w:rPr>
                <w:rFonts w:ascii="Arial Narrow" w:hAnsi="Arial Narrow" w:cstheme="minorHAnsi"/>
                <w:color w:val="FFFFFF" w:themeColor="background1"/>
              </w:rPr>
              <w:t>Standard</w:t>
            </w:r>
          </w:p>
        </w:tc>
      </w:tr>
      <w:tr w:rsidR="00D86736" w:rsidRPr="00937695" w14:paraId="2D715698" w14:textId="77777777" w:rsidTr="00D86736">
        <w:trPr>
          <w:trHeight w:val="439"/>
        </w:trPr>
        <w:tc>
          <w:tcPr>
            <w:cnfStyle w:val="001000000000" w:firstRow="0" w:lastRow="0" w:firstColumn="1" w:lastColumn="0" w:oddVBand="0" w:evenVBand="0" w:oddHBand="0" w:evenHBand="0" w:firstRowFirstColumn="0" w:firstRowLastColumn="0" w:lastRowFirstColumn="0" w:lastRowLastColumn="0"/>
            <w:tcW w:w="2346" w:type="dxa"/>
            <w:tcBorders>
              <w:left w:val="none" w:sz="0" w:space="0" w:color="auto"/>
              <w:bottom w:val="none" w:sz="0" w:space="0" w:color="auto"/>
            </w:tcBorders>
            <w:shd w:val="clear" w:color="auto" w:fill="auto"/>
            <w:vAlign w:val="center"/>
          </w:tcPr>
          <w:p w14:paraId="635F58B4" w14:textId="77777777" w:rsidR="00D86736" w:rsidRPr="00D86736" w:rsidRDefault="00D86736" w:rsidP="00090AF4">
            <w:pPr>
              <w:spacing w:before="60" w:after="60"/>
              <w:jc w:val="center"/>
              <w:rPr>
                <w:rFonts w:ascii="Arial Narrow" w:hAnsi="Arial Narrow" w:cstheme="minorHAnsi"/>
              </w:rPr>
            </w:pPr>
          </w:p>
        </w:tc>
        <w:tc>
          <w:tcPr>
            <w:tcW w:w="4679" w:type="dxa"/>
            <w:gridSpan w:val="3"/>
            <w:shd w:val="clear" w:color="auto" w:fill="auto"/>
          </w:tcPr>
          <w:p w14:paraId="65410C7F" w14:textId="433FFAB3" w:rsidR="00D86736" w:rsidRPr="00D86736" w:rsidRDefault="00D86736" w:rsidP="00090AF4">
            <w:pPr>
              <w:spacing w:before="60"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i/>
                <w:sz w:val="20"/>
                <w:szCs w:val="20"/>
              </w:rPr>
            </w:pPr>
            <w:r>
              <w:rPr>
                <w:rFonts w:ascii="Arial Narrow" w:hAnsi="Arial Narrow" w:cstheme="minorHAnsi"/>
                <w:i/>
                <w:sz w:val="20"/>
                <w:szCs w:val="20"/>
              </w:rPr>
              <w:t>*</w:t>
            </w:r>
            <w:r w:rsidRPr="00D86736">
              <w:rPr>
                <w:rFonts w:ascii="Arial Narrow" w:hAnsi="Arial Narrow" w:cstheme="minorHAnsi"/>
                <w:i/>
                <w:sz w:val="20"/>
                <w:szCs w:val="20"/>
              </w:rPr>
              <w:t>Licence types that could move to either of the two proposed service approval types</w:t>
            </w:r>
          </w:p>
        </w:tc>
        <w:tc>
          <w:tcPr>
            <w:tcW w:w="2273" w:type="dxa"/>
            <w:shd w:val="clear" w:color="auto" w:fill="auto"/>
            <w:vAlign w:val="center"/>
          </w:tcPr>
          <w:p w14:paraId="0B894D90" w14:textId="77777777" w:rsidR="00D86736" w:rsidRPr="00D86736" w:rsidRDefault="00D86736" w:rsidP="00D86736">
            <w:pPr>
              <w:spacing w:before="60"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color w:val="FFFFFF" w:themeColor="background1"/>
              </w:rPr>
            </w:pPr>
          </w:p>
        </w:tc>
      </w:tr>
    </w:tbl>
    <w:p w14:paraId="1F84A52D"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costs currently imposed by the licence types are not readily quantifiable, but it can be assumed that the process of researching and deciding upon which licence type to apply for contributes to the overall cost of the initial set-up of a service. For this reason, the specificity of the seven licence types may impose a greater administrative burden in comparison to the alignment option. Three of the licence types (Short-Term Types 1 and 2, and Integrated) are not currently held by any service provider in Victoria, suggesting that the current level of licence specificity may be unnecessary.</w:t>
      </w:r>
    </w:p>
    <w:p w14:paraId="3EC1812B"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Similarly, while the cost to determine the new service approval is not easily quantifiable, it is not expected to be significant. The Department have advised that under an alignment option, readily accessible guidance would be available to help the applicant quickly determine which service approval is appropriate for their operations.</w:t>
      </w:r>
    </w:p>
    <w:p w14:paraId="208535F3" w14:textId="1619291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_Ref24548103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 xml:space="preserve">Table </w:t>
      </w:r>
      <w:r w:rsidR="00493211" w:rsidRPr="00493211">
        <w:rPr>
          <w:rFonts w:asciiTheme="minorHAnsi" w:hAnsiTheme="minorHAnsi" w:cstheme="minorHAnsi"/>
          <w:noProof/>
          <w:sz w:val="22"/>
          <w:szCs w:val="22"/>
        </w:rPr>
        <w:t>19</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provides the score given to the Status Quo and alignment options against the cost to industry criterion.</w:t>
      </w:r>
    </w:p>
    <w:p w14:paraId="31737143" w14:textId="1D9A1AE6" w:rsidR="00C01E92" w:rsidRPr="000107A9" w:rsidRDefault="00C01E92" w:rsidP="00F7569F">
      <w:pPr>
        <w:pStyle w:val="Caption"/>
      </w:pPr>
      <w:bookmarkStart w:id="177" w:name="_Ref24548103"/>
      <w:bookmarkStart w:id="178" w:name="_Toc32592802"/>
      <w:r w:rsidRPr="000107A9">
        <w:t xml:space="preserve">Table </w:t>
      </w:r>
      <w:r w:rsidRPr="000107A9">
        <w:fldChar w:fldCharType="begin"/>
      </w:r>
      <w:r w:rsidRPr="000107A9">
        <w:instrText xml:space="preserve"> SEQ Table \* ARABIC </w:instrText>
      </w:r>
      <w:r w:rsidRPr="000107A9">
        <w:fldChar w:fldCharType="separate"/>
      </w:r>
      <w:r w:rsidR="00493211">
        <w:rPr>
          <w:noProof/>
        </w:rPr>
        <w:t>19</w:t>
      </w:r>
      <w:r w:rsidRPr="000107A9">
        <w:fldChar w:fldCharType="end"/>
      </w:r>
      <w:bookmarkEnd w:id="177"/>
      <w:r w:rsidRPr="000107A9">
        <w:t xml:space="preserve"> Service </w:t>
      </w:r>
      <w:r w:rsidR="00247217">
        <w:t>approval types</w:t>
      </w:r>
      <w:r w:rsidRPr="000107A9">
        <w:t xml:space="preserve"> - costs to industr</w:t>
      </w:r>
      <w:r w:rsidR="00247217">
        <w:t>y</w:t>
      </w:r>
      <w:bookmarkEnd w:id="178"/>
    </w:p>
    <w:tbl>
      <w:tblPr>
        <w:tblStyle w:val="TableGrid"/>
        <w:tblW w:w="4933"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554"/>
        <w:gridCol w:w="3286"/>
        <w:gridCol w:w="1551"/>
        <w:gridCol w:w="1551"/>
        <w:gridCol w:w="1551"/>
      </w:tblGrid>
      <w:tr w:rsidR="00C01E92" w:rsidRPr="00D23581" w14:paraId="045E7F40" w14:textId="77777777" w:rsidTr="00B50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tcBorders>
              <w:right w:val="none" w:sz="0" w:space="0" w:color="auto"/>
            </w:tcBorders>
          </w:tcPr>
          <w:p w14:paraId="34CCE3D8" w14:textId="77777777" w:rsidR="00C01E92" w:rsidRPr="00D23581" w:rsidRDefault="00C01E92" w:rsidP="00090AF4">
            <w:pPr>
              <w:spacing w:after="60"/>
              <w:rPr>
                <w:rStyle w:val="Strong"/>
                <w:rFonts w:cstheme="minorHAnsi"/>
                <w:b/>
                <w:szCs w:val="22"/>
              </w:rPr>
            </w:pPr>
            <w:r w:rsidRPr="00D23581">
              <w:rPr>
                <w:rStyle w:val="Strong"/>
                <w:rFonts w:cstheme="minorHAnsi"/>
                <w:b/>
                <w:szCs w:val="22"/>
              </w:rPr>
              <w:t>Criterion</w:t>
            </w:r>
          </w:p>
        </w:tc>
        <w:tc>
          <w:tcPr>
            <w:tcW w:w="1729" w:type="pct"/>
            <w:tcBorders>
              <w:left w:val="none" w:sz="0" w:space="0" w:color="auto"/>
              <w:right w:val="none" w:sz="0" w:space="0" w:color="auto"/>
            </w:tcBorders>
          </w:tcPr>
          <w:p w14:paraId="334D9A67" w14:textId="77777777" w:rsidR="00C01E92" w:rsidRPr="00D23581" w:rsidRDefault="00C01E92" w:rsidP="00090AF4">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D23581">
              <w:rPr>
                <w:rStyle w:val="Strong"/>
                <w:rFonts w:cstheme="minorHAnsi"/>
                <w:b/>
                <w:szCs w:val="22"/>
              </w:rPr>
              <w:t>Description</w:t>
            </w:r>
          </w:p>
        </w:tc>
        <w:tc>
          <w:tcPr>
            <w:tcW w:w="817" w:type="pct"/>
            <w:tcBorders>
              <w:left w:val="none" w:sz="0" w:space="0" w:color="auto"/>
              <w:right w:val="none" w:sz="0" w:space="0" w:color="auto"/>
            </w:tcBorders>
          </w:tcPr>
          <w:p w14:paraId="43293F74" w14:textId="77777777" w:rsidR="00C01E92" w:rsidRPr="00D23581" w:rsidRDefault="00C01E92" w:rsidP="00090AF4">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D23581">
              <w:rPr>
                <w:rStyle w:val="Strong"/>
                <w:rFonts w:cstheme="minorHAnsi"/>
                <w:b/>
                <w:szCs w:val="22"/>
              </w:rPr>
              <w:t>Weighting</w:t>
            </w:r>
          </w:p>
        </w:tc>
        <w:tc>
          <w:tcPr>
            <w:tcW w:w="817" w:type="pct"/>
            <w:tcBorders>
              <w:left w:val="none" w:sz="0" w:space="0" w:color="auto"/>
              <w:right w:val="none" w:sz="0" w:space="0" w:color="auto"/>
            </w:tcBorders>
          </w:tcPr>
          <w:p w14:paraId="20741D69" w14:textId="77777777" w:rsidR="00C01E92" w:rsidRPr="00D23581" w:rsidRDefault="00C01E92" w:rsidP="00090AF4">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D23581">
              <w:rPr>
                <w:rStyle w:val="Strong"/>
                <w:rFonts w:cstheme="minorHAnsi"/>
                <w:b/>
                <w:szCs w:val="22"/>
              </w:rPr>
              <w:t xml:space="preserve">Option B.1 </w:t>
            </w:r>
          </w:p>
        </w:tc>
        <w:tc>
          <w:tcPr>
            <w:tcW w:w="817" w:type="pct"/>
            <w:tcBorders>
              <w:left w:val="none" w:sz="0" w:space="0" w:color="auto"/>
            </w:tcBorders>
          </w:tcPr>
          <w:p w14:paraId="2198F793" w14:textId="77777777" w:rsidR="00C01E92" w:rsidRPr="00D23581" w:rsidRDefault="00C01E92" w:rsidP="00090AF4">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D23581">
              <w:rPr>
                <w:rStyle w:val="Strong"/>
                <w:rFonts w:cstheme="minorHAnsi"/>
                <w:b/>
                <w:szCs w:val="22"/>
              </w:rPr>
              <w:t xml:space="preserve">Option B.2 </w:t>
            </w:r>
          </w:p>
        </w:tc>
      </w:tr>
      <w:tr w:rsidR="00C01E92" w:rsidRPr="00D23581" w14:paraId="7BDA2E86" w14:textId="77777777" w:rsidTr="00B50BC1">
        <w:trPr>
          <w:trHeight w:val="358"/>
        </w:trPr>
        <w:tc>
          <w:tcPr>
            <w:cnfStyle w:val="001000000000" w:firstRow="0" w:lastRow="0" w:firstColumn="1" w:lastColumn="0" w:oddVBand="0" w:evenVBand="0" w:oddHBand="0" w:evenHBand="0" w:firstRowFirstColumn="0" w:firstRowLastColumn="0" w:lastRowFirstColumn="0" w:lastRowLastColumn="0"/>
            <w:tcW w:w="818" w:type="pct"/>
            <w:tcBorders>
              <w:bottom w:val="single" w:sz="4" w:space="0" w:color="004EA8" w:themeColor="accent1"/>
            </w:tcBorders>
          </w:tcPr>
          <w:p w14:paraId="38445A3F" w14:textId="77777777" w:rsidR="00C01E92" w:rsidRPr="00D23581" w:rsidRDefault="00C01E92" w:rsidP="00090AF4">
            <w:pPr>
              <w:spacing w:after="60"/>
              <w:rPr>
                <w:rFonts w:cstheme="minorHAnsi"/>
                <w:szCs w:val="22"/>
              </w:rPr>
            </w:pPr>
            <w:r w:rsidRPr="00D23581">
              <w:rPr>
                <w:rFonts w:cstheme="minorHAnsi"/>
                <w:szCs w:val="22"/>
              </w:rPr>
              <w:t>Cost to industry</w:t>
            </w:r>
          </w:p>
        </w:tc>
        <w:tc>
          <w:tcPr>
            <w:tcW w:w="1729" w:type="pct"/>
            <w:tcBorders>
              <w:bottom w:val="single" w:sz="4" w:space="0" w:color="004EA8" w:themeColor="accent1"/>
            </w:tcBorders>
          </w:tcPr>
          <w:p w14:paraId="3146EBDE" w14:textId="32F743FD" w:rsidR="00C01E92" w:rsidRPr="00D23581" w:rsidRDefault="00C01E92" w:rsidP="00247217">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D23581">
              <w:rPr>
                <w:rFonts w:cstheme="minorHAnsi"/>
                <w:szCs w:val="22"/>
              </w:rPr>
              <w:t xml:space="preserve">Costs to industry imposed by regulated service </w:t>
            </w:r>
            <w:r w:rsidR="00247217">
              <w:rPr>
                <w:rFonts w:cstheme="minorHAnsi"/>
                <w:szCs w:val="22"/>
              </w:rPr>
              <w:t>approval types</w:t>
            </w:r>
            <w:r w:rsidRPr="00D23581">
              <w:rPr>
                <w:rFonts w:cstheme="minorHAnsi"/>
                <w:szCs w:val="22"/>
              </w:rPr>
              <w:t xml:space="preserve"> </w:t>
            </w:r>
          </w:p>
        </w:tc>
        <w:tc>
          <w:tcPr>
            <w:tcW w:w="817" w:type="pct"/>
            <w:tcBorders>
              <w:bottom w:val="single" w:sz="4" w:space="0" w:color="004EA8" w:themeColor="accent1"/>
            </w:tcBorders>
          </w:tcPr>
          <w:p w14:paraId="08D37A58" w14:textId="77777777" w:rsidR="00C01E92" w:rsidRPr="00D23581" w:rsidRDefault="00C01E92" w:rsidP="00090AF4">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D23581">
              <w:rPr>
                <w:rFonts w:cstheme="minorHAnsi"/>
                <w:szCs w:val="22"/>
              </w:rPr>
              <w:t>35%</w:t>
            </w:r>
          </w:p>
        </w:tc>
        <w:tc>
          <w:tcPr>
            <w:tcW w:w="817" w:type="pct"/>
            <w:tcBorders>
              <w:bottom w:val="single" w:sz="4" w:space="0" w:color="004EA8" w:themeColor="accent1"/>
            </w:tcBorders>
          </w:tcPr>
          <w:p w14:paraId="34093B84" w14:textId="77777777" w:rsidR="00C01E92" w:rsidRPr="00D23581" w:rsidRDefault="00C01E92" w:rsidP="00090AF4">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D23581">
              <w:rPr>
                <w:rFonts w:cstheme="minorHAnsi"/>
                <w:szCs w:val="22"/>
              </w:rPr>
              <w:t>-2</w:t>
            </w:r>
          </w:p>
        </w:tc>
        <w:tc>
          <w:tcPr>
            <w:tcW w:w="817" w:type="pct"/>
            <w:tcBorders>
              <w:bottom w:val="single" w:sz="4" w:space="0" w:color="004EA8" w:themeColor="accent1"/>
            </w:tcBorders>
          </w:tcPr>
          <w:p w14:paraId="613CFD9C" w14:textId="77777777" w:rsidR="00C01E92" w:rsidRPr="00D23581" w:rsidRDefault="00C01E92" w:rsidP="00090AF4">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D23581">
              <w:rPr>
                <w:rFonts w:cstheme="minorHAnsi"/>
                <w:szCs w:val="22"/>
              </w:rPr>
              <w:t>-1</w:t>
            </w:r>
          </w:p>
        </w:tc>
      </w:tr>
      <w:tr w:rsidR="00C01E92" w:rsidRPr="00D23581" w14:paraId="109C1A67" w14:textId="77777777" w:rsidTr="00B50BC1">
        <w:trPr>
          <w:trHeight w:val="358"/>
        </w:trPr>
        <w:tc>
          <w:tcPr>
            <w:cnfStyle w:val="001000000000" w:firstRow="0" w:lastRow="0" w:firstColumn="1" w:lastColumn="0" w:oddVBand="0" w:evenVBand="0" w:oddHBand="0" w:evenHBand="0" w:firstRowFirstColumn="0" w:firstRowLastColumn="0" w:lastRowFirstColumn="0" w:lastRowLastColumn="0"/>
            <w:tcW w:w="818" w:type="pct"/>
            <w:tcBorders>
              <w:right w:val="nil"/>
            </w:tcBorders>
          </w:tcPr>
          <w:p w14:paraId="7C37B73F" w14:textId="77777777" w:rsidR="00C01E92" w:rsidRPr="00D23581" w:rsidRDefault="00C01E92" w:rsidP="00090AF4">
            <w:pPr>
              <w:spacing w:after="60"/>
              <w:rPr>
                <w:rFonts w:cstheme="minorHAnsi"/>
                <w:b/>
                <w:szCs w:val="22"/>
              </w:rPr>
            </w:pPr>
            <w:r w:rsidRPr="00D23581">
              <w:rPr>
                <w:rFonts w:cstheme="minorHAnsi"/>
                <w:b/>
                <w:szCs w:val="22"/>
              </w:rPr>
              <w:t>Total</w:t>
            </w:r>
          </w:p>
        </w:tc>
        <w:tc>
          <w:tcPr>
            <w:tcW w:w="1729" w:type="pct"/>
            <w:tcBorders>
              <w:left w:val="nil"/>
              <w:right w:val="nil"/>
            </w:tcBorders>
          </w:tcPr>
          <w:p w14:paraId="007DF3BC" w14:textId="77777777" w:rsidR="00C01E92" w:rsidRPr="00D23581" w:rsidRDefault="00C01E92" w:rsidP="00090AF4">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817" w:type="pct"/>
            <w:tcBorders>
              <w:left w:val="nil"/>
              <w:right w:val="nil"/>
            </w:tcBorders>
          </w:tcPr>
          <w:p w14:paraId="7AFC32E8" w14:textId="77777777" w:rsidR="00C01E92" w:rsidRPr="00D23581" w:rsidRDefault="00C01E92" w:rsidP="00090AF4">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817" w:type="pct"/>
            <w:tcBorders>
              <w:left w:val="nil"/>
              <w:right w:val="nil"/>
            </w:tcBorders>
          </w:tcPr>
          <w:p w14:paraId="3839F6A7" w14:textId="77777777" w:rsidR="00C01E92" w:rsidRPr="00D23581" w:rsidRDefault="00C01E92" w:rsidP="00090AF4">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D23581">
              <w:rPr>
                <w:rFonts w:cstheme="minorHAnsi"/>
                <w:b/>
                <w:szCs w:val="22"/>
              </w:rPr>
              <w:t>-0.7</w:t>
            </w:r>
          </w:p>
        </w:tc>
        <w:tc>
          <w:tcPr>
            <w:tcW w:w="817" w:type="pct"/>
            <w:tcBorders>
              <w:left w:val="nil"/>
            </w:tcBorders>
          </w:tcPr>
          <w:p w14:paraId="22B83A2A" w14:textId="77777777" w:rsidR="00C01E92" w:rsidRPr="00D23581" w:rsidRDefault="00C01E92" w:rsidP="00090AF4">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D23581">
              <w:rPr>
                <w:rFonts w:cstheme="minorHAnsi"/>
                <w:b/>
                <w:szCs w:val="22"/>
              </w:rPr>
              <w:t>-0.35</w:t>
            </w:r>
          </w:p>
        </w:tc>
      </w:tr>
    </w:tbl>
    <w:p w14:paraId="4FAD9D49" w14:textId="63ABE1F0" w:rsidR="00C01E92" w:rsidRPr="000107A9" w:rsidRDefault="00C01E92" w:rsidP="002806C5">
      <w:pPr>
        <w:pStyle w:val="EYHeading4"/>
        <w:numPr>
          <w:ilvl w:val="3"/>
          <w:numId w:val="80"/>
        </w:numPr>
        <w:spacing w:before="120"/>
        <w:rPr>
          <w:rFonts w:asciiTheme="minorHAnsi" w:hAnsiTheme="minorHAnsi" w:cstheme="minorHAnsi"/>
          <w:szCs w:val="22"/>
        </w:rPr>
      </w:pPr>
      <w:bookmarkStart w:id="179" w:name="_Ref23442668"/>
      <w:r w:rsidRPr="000107A9">
        <w:rPr>
          <w:rFonts w:asciiTheme="minorHAnsi" w:hAnsiTheme="minorHAnsi" w:cstheme="minorHAnsi"/>
          <w:szCs w:val="22"/>
        </w:rPr>
        <w:t>Staffing</w:t>
      </w:r>
      <w:bookmarkEnd w:id="179"/>
    </w:p>
    <w:p w14:paraId="5277D861"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Act requires service providers to ensure that whenever children are being cared for or educated at a service, the number of staff is not less than the prescribed number. The Act also requires providers to ensure that staff have the qualifications prescribed in the Regulations.</w:t>
      </w:r>
    </w:p>
    <w:p w14:paraId="5AB4D96D"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In the base case scenario, no regulatory detail would support these provisions. However, due to other requirements in the Act, such as the need to develop and provide an educational program and nominate a qualified supervisor to be in day-to-day charge of a service, and the practicalities of caring for children, it is unlikely that fewer than two staff members or entirely untrained staff, would be employed by services. This means that there would still be some staffing-related costs incurred under the base case, but they may be expected to be lower than the two regulatory options because staff numbers and qualifications may not meet the current or proposed requirements. On the other hand, market forces could play a role in pushing services towards higher levels of staffing as parents may prefer services employing more or better qualified staff.</w:t>
      </w:r>
    </w:p>
    <w:p w14:paraId="670622C8"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Under Option C.1. Status Quo, the Regulations provide for staff to child ratios for each of the seven licence types, which differ according to the age of the children and qualification held by the </w:t>
      </w:r>
      <w:r w:rsidRPr="000107A9">
        <w:rPr>
          <w:rFonts w:asciiTheme="minorHAnsi" w:hAnsiTheme="minorHAnsi" w:cstheme="minorHAnsi"/>
          <w:sz w:val="22"/>
          <w:szCs w:val="22"/>
        </w:rPr>
        <w:lastRenderedPageBreak/>
        <w:t>staff member. Additionally, the Regulations require that at least two staff members (or a staff member and a responsible adult, in the case of school holidays care services) must be in attendance when children are present.</w:t>
      </w:r>
    </w:p>
    <w:p w14:paraId="717139FB"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Under Option C.2. Alignment, the proposed Regulations provide stronger staff to child ratios for both service approvals and a minimum number of staff requirement.</w:t>
      </w:r>
    </w:p>
    <w:p w14:paraId="1FCA3E88"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Some requirements under the Alignment option can be expected to impose additional costs on business in comparison to the Status Quo or the base case, while other requirements would reduce costs.</w:t>
      </w:r>
    </w:p>
    <w:p w14:paraId="2CCDB40F" w14:textId="684D7E1C" w:rsidR="00C01E92" w:rsidRPr="000107A9" w:rsidRDefault="00C01E92" w:rsidP="00C01E92">
      <w:pPr>
        <w:pStyle w:val="EYBodytextwithparaspace"/>
        <w:spacing w:before="120" w:after="120"/>
        <w:rPr>
          <w:rFonts w:asciiTheme="minorHAnsi" w:hAnsiTheme="minorHAnsi" w:cstheme="minorHAnsi"/>
          <w:sz w:val="22"/>
          <w:szCs w:val="22"/>
        </w:rPr>
      </w:pPr>
      <w:r w:rsidRPr="0001719C">
        <w:rPr>
          <w:rFonts w:asciiTheme="minorHAnsi" w:hAnsiTheme="minorHAnsi" w:cstheme="minorHAnsi"/>
          <w:sz w:val="22"/>
          <w:szCs w:val="22"/>
        </w:rPr>
        <w:t xml:space="preserve">Requirements under Option C.2. Alignment expected to </w:t>
      </w:r>
      <w:r w:rsidRPr="0001719C">
        <w:rPr>
          <w:rFonts w:asciiTheme="minorHAnsi" w:hAnsiTheme="minorHAnsi" w:cstheme="minorHAnsi"/>
          <w:b/>
          <w:sz w:val="22"/>
          <w:szCs w:val="22"/>
        </w:rPr>
        <w:t>increase</w:t>
      </w:r>
      <w:r w:rsidRPr="0001719C">
        <w:rPr>
          <w:rFonts w:asciiTheme="minorHAnsi" w:hAnsiTheme="minorHAnsi" w:cstheme="minorHAnsi"/>
          <w:sz w:val="22"/>
          <w:szCs w:val="22"/>
        </w:rPr>
        <w:t xml:space="preserve"> costs to providers are:</w:t>
      </w:r>
    </w:p>
    <w:p w14:paraId="6A817651" w14:textId="77777777" w:rsidR="00C01E92" w:rsidRPr="000107A9" w:rsidRDefault="00C01E92" w:rsidP="002806C5">
      <w:pPr>
        <w:pStyle w:val="EYBulletnoparaspace"/>
        <w:numPr>
          <w:ilvl w:val="0"/>
          <w:numId w:val="64"/>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Increased staff to child ratios for current Limited Hours type 2 and Limited Hours type 1 providers</w:t>
      </w:r>
      <w:r w:rsidRPr="00746091">
        <w:rPr>
          <w:rStyle w:val="FootnoteReference"/>
          <w:rFonts w:asciiTheme="minorHAnsi" w:hAnsiTheme="minorHAnsi" w:cstheme="minorHAnsi"/>
          <w:color w:val="auto"/>
          <w:sz w:val="22"/>
          <w:szCs w:val="22"/>
        </w:rPr>
        <w:footnoteReference w:id="43"/>
      </w:r>
    </w:p>
    <w:p w14:paraId="03A4FD96" w14:textId="77777777" w:rsidR="00C01E92" w:rsidRPr="000107A9" w:rsidRDefault="00C01E92" w:rsidP="002806C5">
      <w:pPr>
        <w:pStyle w:val="EYBulletnoparaspace"/>
        <w:numPr>
          <w:ilvl w:val="0"/>
          <w:numId w:val="64"/>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An increase to 50 per cent of educators across the service for existing Standard, Limited Hours type 2 and School Holidays Care services needing to have Diploma level qualified educators.</w:t>
      </w:r>
    </w:p>
    <w:p w14:paraId="6BA11624"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Requirements under Option C.2. Alignment expected to </w:t>
      </w:r>
      <w:r w:rsidRPr="000107A9">
        <w:rPr>
          <w:rFonts w:asciiTheme="minorHAnsi" w:hAnsiTheme="minorHAnsi" w:cstheme="minorHAnsi"/>
          <w:b/>
          <w:sz w:val="22"/>
          <w:szCs w:val="22"/>
        </w:rPr>
        <w:t>reduce</w:t>
      </w:r>
      <w:r w:rsidRPr="000107A9">
        <w:rPr>
          <w:rFonts w:asciiTheme="minorHAnsi" w:hAnsiTheme="minorHAnsi" w:cstheme="minorHAnsi"/>
          <w:sz w:val="22"/>
          <w:szCs w:val="22"/>
        </w:rPr>
        <w:t xml:space="preserve"> costs to providers are:</w:t>
      </w:r>
    </w:p>
    <w:p w14:paraId="1DDB5B31" w14:textId="77777777" w:rsidR="00C01E92" w:rsidRPr="000107A9" w:rsidRDefault="00C01E92" w:rsidP="002806C5">
      <w:pPr>
        <w:pStyle w:val="EYBulletnoparaspace"/>
        <w:numPr>
          <w:ilvl w:val="0"/>
          <w:numId w:val="65"/>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Allowance for staff to be ‘actively working towards’ a qualification to be counted in ratios</w:t>
      </w:r>
    </w:p>
    <w:p w14:paraId="034620E0" w14:textId="77777777" w:rsidR="00C01E92" w:rsidRPr="000107A9" w:rsidRDefault="00C01E92" w:rsidP="002806C5">
      <w:pPr>
        <w:pStyle w:val="EYBulletnoparaspace"/>
        <w:numPr>
          <w:ilvl w:val="0"/>
          <w:numId w:val="65"/>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Allowance for staff in a 3-month period prior to enrolment in a qualification to be counted in ratios</w:t>
      </w:r>
    </w:p>
    <w:p w14:paraId="3467DC16" w14:textId="77777777" w:rsidR="00C01E92" w:rsidRPr="000107A9" w:rsidRDefault="00C01E92" w:rsidP="002806C5">
      <w:pPr>
        <w:pStyle w:val="EYBulletnoparaspace"/>
        <w:numPr>
          <w:ilvl w:val="0"/>
          <w:numId w:val="65"/>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Services providing education and care to any child for less than 30 hours per week would no longer need to employ a degree-qualified early childhood teacher.</w:t>
      </w:r>
    </w:p>
    <w:p w14:paraId="0F730001"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Interactions between these requirements mean that, for many providers, staffing costs under Option C.2. Alignment are not expected to differ significantly from costs currently incurred by providers under Option C.1. Status Quo. For example, under Option C.2. Alignment, one in two educators at a service holding an Occasional Care service approval caring for children 36 months of age or over must be at a Diploma level, as opposed to one in three educators under the current Regulations. As a Diploma-qualified educator must be paid at a minimum $26.74 per hour, in contrast to a Certificate III-qualified employee paid at least $22.70 per hour, this may be expected to raise costs to businesses.</w:t>
      </w:r>
    </w:p>
    <w:p w14:paraId="49D3DFD5"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However, this requirement applies across all educators educating and caring for children and the total number of children attending the service at the time, rather than in relation to the educator to child ratios in particular rooms. Additionally, an educator could be qualified at Certificate III level but actively working towards a Diploma and therefore counted in the ratios but paid at a lower rate, such as the Award rate for a Certificate III employee with one year of experience ($23.48 per hour). </w:t>
      </w:r>
    </w:p>
    <w:p w14:paraId="603ED46E" w14:textId="3D96FED8"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As the costs imposed under both options will vary depending on the type and size of providers and the number of children that attend on a particular day, </w:t>
      </w:r>
      <w:r w:rsidRPr="000107A9">
        <w:rPr>
          <w:rFonts w:asciiTheme="minorHAnsi" w:hAnsiTheme="minorHAnsi" w:cstheme="minorHAnsi"/>
          <w:b/>
          <w:sz w:val="22"/>
          <w:szCs w:val="22"/>
        </w:rPr>
        <w:t>three examples</w:t>
      </w:r>
      <w:r w:rsidRPr="000107A9">
        <w:rPr>
          <w:rFonts w:asciiTheme="minorHAnsi" w:hAnsiTheme="minorHAnsi" w:cstheme="minorHAnsi"/>
          <w:sz w:val="22"/>
          <w:szCs w:val="22"/>
        </w:rPr>
        <w:t xml:space="preserve"> </w:t>
      </w:r>
      <w:r w:rsidR="00BC4796">
        <w:rPr>
          <w:rFonts w:asciiTheme="minorHAnsi" w:hAnsiTheme="minorHAnsi" w:cstheme="minorHAnsi"/>
          <w:sz w:val="22"/>
          <w:szCs w:val="22"/>
        </w:rPr>
        <w:t xml:space="preserve">(Service A, B and C) </w:t>
      </w:r>
      <w:r w:rsidRPr="000107A9">
        <w:rPr>
          <w:rFonts w:asciiTheme="minorHAnsi" w:hAnsiTheme="minorHAnsi" w:cstheme="minorHAnsi"/>
          <w:sz w:val="22"/>
          <w:szCs w:val="22"/>
        </w:rPr>
        <w:t xml:space="preserve">have been developed to illustrate the changing requirements and the costs associated with them. </w:t>
      </w:r>
    </w:p>
    <w:p w14:paraId="718E8505"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staffing costs reflect the minimum wage required to be paid under the Children’s Services Award plus a 20 per cent mark-up to reflect overheads.</w:t>
      </w:r>
    </w:p>
    <w:p w14:paraId="0391F5C0"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For the Option C.2. Alignment calculations, it has been assumed that some services would take advantage of the ability to hire staff who are actively working towards the required qualification, but not all. This has been modelled by shifting staffing costs from the fully qualified wage to a cost </w:t>
      </w:r>
      <w:r w:rsidRPr="000107A9">
        <w:rPr>
          <w:rFonts w:asciiTheme="minorHAnsi" w:hAnsiTheme="minorHAnsi" w:cstheme="minorHAnsi"/>
          <w:sz w:val="22"/>
          <w:szCs w:val="22"/>
        </w:rPr>
        <w:lastRenderedPageBreak/>
        <w:t>reflecting 50% at the actively working toward wage and 50% at the fully qualified wage for Certificate III and Diploma.</w:t>
      </w:r>
    </w:p>
    <w:p w14:paraId="79B3EA77" w14:textId="0795055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b/>
          <w:sz w:val="22"/>
          <w:szCs w:val="22"/>
        </w:rPr>
        <w:t>Service A</w:t>
      </w:r>
      <w:r w:rsidRPr="000107A9">
        <w:rPr>
          <w:rFonts w:asciiTheme="minorHAnsi" w:hAnsiTheme="minorHAnsi" w:cstheme="minorHAnsi"/>
          <w:sz w:val="22"/>
          <w:szCs w:val="22"/>
        </w:rPr>
        <w:t xml:space="preserve"> holds a Limited Hours type 2 licence or ‘Occasional Care’ service approval under proposed Regulations. On this particular day, 16 children attend of whom 9 are at least 3 years of age and 7 are under 3 years of age. Service A is approved to care for children for a maximum of 15 hours per week.</w:t>
      </w:r>
    </w:p>
    <w:tbl>
      <w:tblPr>
        <w:tblStyle w:val="TableGrid"/>
        <w:tblW w:w="9493" w:type="dxa"/>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880"/>
        <w:gridCol w:w="2406"/>
        <w:gridCol w:w="2372"/>
        <w:gridCol w:w="2835"/>
      </w:tblGrid>
      <w:tr w:rsidR="00C01E92" w:rsidRPr="00A41349" w14:paraId="01274CBF" w14:textId="77777777" w:rsidTr="00A41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tcPr>
          <w:p w14:paraId="0636D8C9" w14:textId="09FBDB54" w:rsidR="00C01E92" w:rsidRPr="00A41349" w:rsidRDefault="00C01E92" w:rsidP="00A41349">
            <w:pPr>
              <w:spacing w:after="60"/>
              <w:rPr>
                <w:rFonts w:cstheme="minorHAnsi"/>
                <w:color w:val="000000"/>
                <w:szCs w:val="22"/>
              </w:rPr>
            </w:pPr>
            <w:r w:rsidRPr="00A41349">
              <w:rPr>
                <w:rFonts w:cstheme="minorHAnsi"/>
                <w:szCs w:val="22"/>
              </w:rPr>
              <w:t xml:space="preserve">Service A has 16 children attending on the day – </w:t>
            </w:r>
            <w:r w:rsidR="00BC4796" w:rsidRPr="00A41349">
              <w:rPr>
                <w:rFonts w:cstheme="minorHAnsi"/>
                <w:szCs w:val="22"/>
              </w:rPr>
              <w:br/>
            </w:r>
            <w:r w:rsidRPr="00A41349">
              <w:rPr>
                <w:rFonts w:cstheme="minorHAnsi"/>
                <w:szCs w:val="22"/>
              </w:rPr>
              <w:t>9 at least 3 years and 7 under 3 years</w:t>
            </w:r>
          </w:p>
        </w:tc>
      </w:tr>
      <w:tr w:rsidR="00C01E92" w:rsidRPr="00A41349" w14:paraId="205242AB" w14:textId="77777777" w:rsidTr="00A41349">
        <w:trPr>
          <w:trHeight w:val="130"/>
        </w:trPr>
        <w:tc>
          <w:tcPr>
            <w:cnfStyle w:val="001000000000" w:firstRow="0" w:lastRow="0" w:firstColumn="1" w:lastColumn="0" w:oddVBand="0" w:evenVBand="0" w:oddHBand="0" w:evenHBand="0" w:firstRowFirstColumn="0" w:firstRowLastColumn="0" w:lastRowFirstColumn="0" w:lastRowLastColumn="0"/>
            <w:tcW w:w="1880" w:type="dxa"/>
          </w:tcPr>
          <w:p w14:paraId="5BB7F7ED" w14:textId="77777777" w:rsidR="00C01E92" w:rsidRPr="00A41349" w:rsidRDefault="00C01E92" w:rsidP="00A41349">
            <w:pPr>
              <w:spacing w:after="60"/>
              <w:rPr>
                <w:rFonts w:cstheme="minorHAnsi"/>
                <w:b/>
                <w:szCs w:val="22"/>
              </w:rPr>
            </w:pPr>
          </w:p>
        </w:tc>
        <w:tc>
          <w:tcPr>
            <w:tcW w:w="4778" w:type="dxa"/>
            <w:gridSpan w:val="2"/>
          </w:tcPr>
          <w:p w14:paraId="3BAF364F"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A41349">
              <w:rPr>
                <w:rFonts w:cstheme="minorHAnsi"/>
                <w:b/>
                <w:szCs w:val="22"/>
              </w:rPr>
              <w:t>Option C.1. Status Quo</w:t>
            </w:r>
          </w:p>
        </w:tc>
        <w:tc>
          <w:tcPr>
            <w:tcW w:w="2835" w:type="dxa"/>
          </w:tcPr>
          <w:p w14:paraId="4BC359A1"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A41349">
              <w:rPr>
                <w:rFonts w:cstheme="minorHAnsi"/>
                <w:b/>
                <w:szCs w:val="22"/>
              </w:rPr>
              <w:t>Option C.2. Alignment</w:t>
            </w:r>
          </w:p>
        </w:tc>
      </w:tr>
      <w:tr w:rsidR="00C01E92" w:rsidRPr="00A41349" w14:paraId="2F670196" w14:textId="77777777" w:rsidTr="00A41349">
        <w:trPr>
          <w:trHeight w:val="491"/>
        </w:trPr>
        <w:tc>
          <w:tcPr>
            <w:cnfStyle w:val="001000000000" w:firstRow="0" w:lastRow="0" w:firstColumn="1" w:lastColumn="0" w:oddVBand="0" w:evenVBand="0" w:oddHBand="0" w:evenHBand="0" w:firstRowFirstColumn="0" w:firstRowLastColumn="0" w:lastRowFirstColumn="0" w:lastRowLastColumn="0"/>
            <w:tcW w:w="1880" w:type="dxa"/>
          </w:tcPr>
          <w:p w14:paraId="0ED4510C" w14:textId="26EF584C" w:rsidR="00C01E92" w:rsidRPr="00A41349" w:rsidRDefault="00C01E92" w:rsidP="00A41349">
            <w:pPr>
              <w:spacing w:after="60"/>
              <w:rPr>
                <w:rFonts w:cstheme="minorHAnsi"/>
                <w:szCs w:val="22"/>
              </w:rPr>
            </w:pPr>
            <w:r w:rsidRPr="00A41349">
              <w:rPr>
                <w:rFonts w:cstheme="minorHAnsi"/>
                <w:szCs w:val="22"/>
              </w:rPr>
              <w:t xml:space="preserve">Licence/Service </w:t>
            </w:r>
            <w:r w:rsidR="00BC4796" w:rsidRPr="00A41349">
              <w:rPr>
                <w:rFonts w:cstheme="minorHAnsi"/>
                <w:szCs w:val="22"/>
              </w:rPr>
              <w:t>type</w:t>
            </w:r>
          </w:p>
        </w:tc>
        <w:tc>
          <w:tcPr>
            <w:tcW w:w="2406" w:type="dxa"/>
          </w:tcPr>
          <w:p w14:paraId="0235F24F"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Limited Hours type 2 licence</w:t>
            </w:r>
          </w:p>
        </w:tc>
        <w:tc>
          <w:tcPr>
            <w:tcW w:w="2372" w:type="dxa"/>
          </w:tcPr>
          <w:p w14:paraId="6A9D75F9"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Standard licence</w:t>
            </w:r>
          </w:p>
        </w:tc>
        <w:tc>
          <w:tcPr>
            <w:tcW w:w="2835" w:type="dxa"/>
          </w:tcPr>
          <w:p w14:paraId="35C3B0EB" w14:textId="10E7282D"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 xml:space="preserve">Occasional Care service </w:t>
            </w:r>
            <w:r w:rsidR="00BC4796" w:rsidRPr="00A41349">
              <w:rPr>
                <w:rFonts w:cstheme="minorHAnsi"/>
                <w:szCs w:val="22"/>
              </w:rPr>
              <w:t>type</w:t>
            </w:r>
          </w:p>
        </w:tc>
      </w:tr>
      <w:tr w:rsidR="00C01E92" w:rsidRPr="00A41349" w14:paraId="166E9461" w14:textId="77777777" w:rsidTr="00A41349">
        <w:tc>
          <w:tcPr>
            <w:cnfStyle w:val="001000000000" w:firstRow="0" w:lastRow="0" w:firstColumn="1" w:lastColumn="0" w:oddVBand="0" w:evenVBand="0" w:oddHBand="0" w:evenHBand="0" w:firstRowFirstColumn="0" w:firstRowLastColumn="0" w:lastRowFirstColumn="0" w:lastRowLastColumn="0"/>
            <w:tcW w:w="1880" w:type="dxa"/>
          </w:tcPr>
          <w:p w14:paraId="1DB4A5A5" w14:textId="275C6B3E" w:rsidR="00C01E92" w:rsidRPr="00A41349" w:rsidRDefault="00BC4796" w:rsidP="00A41349">
            <w:pPr>
              <w:spacing w:after="60"/>
              <w:rPr>
                <w:rFonts w:cstheme="minorHAnsi"/>
                <w:szCs w:val="22"/>
              </w:rPr>
            </w:pPr>
            <w:r w:rsidRPr="00A41349">
              <w:rPr>
                <w:rFonts w:cstheme="minorHAnsi"/>
                <w:szCs w:val="22"/>
              </w:rPr>
              <w:t xml:space="preserve">Educator to </w:t>
            </w:r>
            <w:r w:rsidR="00C01E92" w:rsidRPr="00A41349">
              <w:rPr>
                <w:rFonts w:cstheme="minorHAnsi"/>
                <w:szCs w:val="22"/>
              </w:rPr>
              <w:t>child ratio requirements</w:t>
            </w:r>
          </w:p>
        </w:tc>
        <w:tc>
          <w:tcPr>
            <w:tcW w:w="2406" w:type="dxa"/>
          </w:tcPr>
          <w:p w14:paraId="36436FBA" w14:textId="77777777" w:rsidR="00C01E92" w:rsidRPr="00A41349" w:rsidRDefault="00C01E92" w:rsidP="002806C5">
            <w:pPr>
              <w:pStyle w:val="ListParagraph"/>
              <w:numPr>
                <w:ilvl w:val="0"/>
                <w:numId w:val="52"/>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Under 3yo (1:5)</w:t>
            </w:r>
          </w:p>
          <w:p w14:paraId="542202AB" w14:textId="77777777" w:rsidR="00C01E92" w:rsidRPr="00A41349" w:rsidRDefault="00C01E92" w:rsidP="002806C5">
            <w:pPr>
              <w:pStyle w:val="ListParagraph"/>
              <w:numPr>
                <w:ilvl w:val="0"/>
                <w:numId w:val="52"/>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3yo and over (1:15)</w:t>
            </w:r>
          </w:p>
        </w:tc>
        <w:tc>
          <w:tcPr>
            <w:tcW w:w="2372" w:type="dxa"/>
          </w:tcPr>
          <w:p w14:paraId="37CD3AA1" w14:textId="77777777" w:rsidR="00C01E92" w:rsidRPr="00A41349" w:rsidRDefault="00C01E92" w:rsidP="002806C5">
            <w:pPr>
              <w:pStyle w:val="ListParagraph"/>
              <w:numPr>
                <w:ilvl w:val="0"/>
                <w:numId w:val="52"/>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Under 3yo (1:4)</w:t>
            </w:r>
          </w:p>
          <w:p w14:paraId="574F0A87" w14:textId="77777777" w:rsidR="00C01E92" w:rsidRPr="00A41349" w:rsidRDefault="00C01E92" w:rsidP="002806C5">
            <w:pPr>
              <w:pStyle w:val="ListParagraph"/>
              <w:numPr>
                <w:ilvl w:val="0"/>
                <w:numId w:val="52"/>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3yo and over (1:15)</w:t>
            </w:r>
          </w:p>
        </w:tc>
        <w:tc>
          <w:tcPr>
            <w:tcW w:w="2835" w:type="dxa"/>
          </w:tcPr>
          <w:p w14:paraId="0E53C74B" w14:textId="77777777" w:rsidR="00C01E92" w:rsidRPr="00A41349" w:rsidRDefault="00C01E92" w:rsidP="002806C5">
            <w:pPr>
              <w:pStyle w:val="ListParagraph"/>
              <w:numPr>
                <w:ilvl w:val="0"/>
                <w:numId w:val="52"/>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Up to 36 months (1:4)</w:t>
            </w:r>
          </w:p>
          <w:p w14:paraId="3F115174" w14:textId="77777777" w:rsidR="00C01E92" w:rsidRPr="00A41349" w:rsidRDefault="00C01E92" w:rsidP="002806C5">
            <w:pPr>
              <w:pStyle w:val="ListParagraph"/>
              <w:numPr>
                <w:ilvl w:val="0"/>
                <w:numId w:val="52"/>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36 months and over (1:11)</w:t>
            </w:r>
          </w:p>
        </w:tc>
      </w:tr>
      <w:tr w:rsidR="00C01E92" w:rsidRPr="00A41349" w14:paraId="2678958F" w14:textId="77777777" w:rsidTr="00A41349">
        <w:tc>
          <w:tcPr>
            <w:cnfStyle w:val="001000000000" w:firstRow="0" w:lastRow="0" w:firstColumn="1" w:lastColumn="0" w:oddVBand="0" w:evenVBand="0" w:oddHBand="0" w:evenHBand="0" w:firstRowFirstColumn="0" w:firstRowLastColumn="0" w:lastRowFirstColumn="0" w:lastRowLastColumn="0"/>
            <w:tcW w:w="1880" w:type="dxa"/>
          </w:tcPr>
          <w:p w14:paraId="2B3EFA6C" w14:textId="77777777" w:rsidR="00C01E92" w:rsidRPr="00A41349" w:rsidRDefault="00C01E92" w:rsidP="00A41349">
            <w:pPr>
              <w:spacing w:after="60"/>
              <w:rPr>
                <w:rFonts w:cstheme="minorHAnsi"/>
                <w:szCs w:val="22"/>
              </w:rPr>
            </w:pPr>
            <w:r w:rsidRPr="00A41349">
              <w:rPr>
                <w:rFonts w:cstheme="minorHAnsi"/>
                <w:szCs w:val="22"/>
              </w:rPr>
              <w:t>Minimum qualification requirements</w:t>
            </w:r>
          </w:p>
        </w:tc>
        <w:tc>
          <w:tcPr>
            <w:tcW w:w="2406" w:type="dxa"/>
          </w:tcPr>
          <w:p w14:paraId="2A19C904"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3 staff required</w:t>
            </w:r>
          </w:p>
          <w:p w14:paraId="3A4178BE"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2 qualified staff</w:t>
            </w:r>
          </w:p>
          <w:p w14:paraId="7CC1E623" w14:textId="50B39EF2" w:rsidR="00C01E92" w:rsidRPr="00A41349" w:rsidRDefault="00C01E92" w:rsidP="002806C5">
            <w:pPr>
              <w:pStyle w:val="ListParagraph"/>
              <w:numPr>
                <w:ilvl w:val="0"/>
                <w:numId w:val="52"/>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All hold at least Cert III</w:t>
            </w:r>
          </w:p>
          <w:p w14:paraId="35A6DA1B" w14:textId="1509A4CB" w:rsidR="00C01E92" w:rsidRPr="00A41349" w:rsidRDefault="00C01E92" w:rsidP="002806C5">
            <w:pPr>
              <w:pStyle w:val="ListParagraph"/>
              <w:numPr>
                <w:ilvl w:val="0"/>
                <w:numId w:val="52"/>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2 hold a Diploma</w:t>
            </w:r>
          </w:p>
        </w:tc>
        <w:tc>
          <w:tcPr>
            <w:tcW w:w="2372" w:type="dxa"/>
          </w:tcPr>
          <w:p w14:paraId="5D0A0E5B"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3 staff required</w:t>
            </w:r>
          </w:p>
          <w:p w14:paraId="65D59D03"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2 qualified staff</w:t>
            </w:r>
          </w:p>
          <w:p w14:paraId="4EF561C4" w14:textId="6ECC3356" w:rsidR="00C01E92" w:rsidRPr="00A41349" w:rsidRDefault="00C01E92" w:rsidP="002806C5">
            <w:pPr>
              <w:pStyle w:val="ListParagraph"/>
              <w:numPr>
                <w:ilvl w:val="0"/>
                <w:numId w:val="52"/>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All hold at least Cert III</w:t>
            </w:r>
          </w:p>
          <w:p w14:paraId="36B488B3" w14:textId="33986715" w:rsidR="00C01E92" w:rsidRPr="00A41349" w:rsidRDefault="00C01E92" w:rsidP="002806C5">
            <w:pPr>
              <w:pStyle w:val="ListParagraph"/>
              <w:numPr>
                <w:ilvl w:val="0"/>
                <w:numId w:val="52"/>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2 hold a Diploma</w:t>
            </w:r>
          </w:p>
        </w:tc>
        <w:tc>
          <w:tcPr>
            <w:tcW w:w="2835" w:type="dxa"/>
          </w:tcPr>
          <w:p w14:paraId="46ED1577"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3 educators required</w:t>
            </w:r>
          </w:p>
          <w:p w14:paraId="105D594A" w14:textId="0E99E3AC" w:rsidR="00C01E92" w:rsidRPr="00A41349" w:rsidRDefault="00C01E92" w:rsidP="002806C5">
            <w:pPr>
              <w:pStyle w:val="ListParagraph"/>
              <w:numPr>
                <w:ilvl w:val="0"/>
                <w:numId w:val="53"/>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2 hold or are AWT</w:t>
            </w:r>
            <w:r w:rsidRPr="00A41349">
              <w:rPr>
                <w:rFonts w:cstheme="minorHAnsi"/>
                <w:szCs w:val="22"/>
                <w:vertAlign w:val="superscript"/>
              </w:rPr>
              <w:footnoteReference w:id="44"/>
            </w:r>
            <w:r w:rsidRPr="00A41349">
              <w:rPr>
                <w:rFonts w:cstheme="minorHAnsi"/>
                <w:szCs w:val="22"/>
              </w:rPr>
              <w:t xml:space="preserve"> a Diploma</w:t>
            </w:r>
            <w:r w:rsidRPr="00A41349">
              <w:rPr>
                <w:rStyle w:val="FootnoteReference"/>
                <w:rFonts w:cstheme="minorHAnsi"/>
                <w:color w:val="auto"/>
                <w:sz w:val="22"/>
                <w:szCs w:val="22"/>
              </w:rPr>
              <w:footnoteReference w:id="45"/>
            </w:r>
          </w:p>
          <w:p w14:paraId="6837244D" w14:textId="5B7624B5" w:rsidR="00C01E92" w:rsidRPr="00A41349" w:rsidRDefault="00C01E92" w:rsidP="002806C5">
            <w:pPr>
              <w:pStyle w:val="ListParagraph"/>
              <w:numPr>
                <w:ilvl w:val="0"/>
                <w:numId w:val="53"/>
              </w:numPr>
              <w:autoSpaceDE w:val="0"/>
              <w:autoSpaceDN w:val="0"/>
              <w:adjustRightInd w:val="0"/>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1 holds or is AWT a Cert III</w:t>
            </w:r>
            <w:r w:rsidRPr="00A41349">
              <w:rPr>
                <w:rStyle w:val="FootnoteReference"/>
                <w:rFonts w:cstheme="minorHAnsi"/>
                <w:color w:val="auto"/>
                <w:sz w:val="22"/>
                <w:szCs w:val="22"/>
              </w:rPr>
              <w:footnoteReference w:id="46"/>
            </w:r>
          </w:p>
        </w:tc>
      </w:tr>
      <w:tr w:rsidR="00C01E92" w:rsidRPr="00A41349" w14:paraId="55651613" w14:textId="77777777" w:rsidTr="00A41349">
        <w:tc>
          <w:tcPr>
            <w:cnfStyle w:val="001000000000" w:firstRow="0" w:lastRow="0" w:firstColumn="1" w:lastColumn="0" w:oddVBand="0" w:evenVBand="0" w:oddHBand="0" w:evenHBand="0" w:firstRowFirstColumn="0" w:firstRowLastColumn="0" w:lastRowFirstColumn="0" w:lastRowLastColumn="0"/>
            <w:tcW w:w="1880" w:type="dxa"/>
          </w:tcPr>
          <w:p w14:paraId="7B0E64E4" w14:textId="77777777" w:rsidR="00C01E92" w:rsidRPr="00A41349" w:rsidRDefault="00C01E92" w:rsidP="00A41349">
            <w:pPr>
              <w:spacing w:after="60"/>
              <w:rPr>
                <w:rFonts w:cstheme="minorHAnsi"/>
                <w:b/>
                <w:szCs w:val="22"/>
              </w:rPr>
            </w:pPr>
            <w:r w:rsidRPr="00A41349">
              <w:rPr>
                <w:rFonts w:cstheme="minorHAnsi"/>
                <w:b/>
                <w:szCs w:val="22"/>
              </w:rPr>
              <w:t>Staff costs</w:t>
            </w:r>
          </w:p>
        </w:tc>
        <w:tc>
          <w:tcPr>
            <w:tcW w:w="2406" w:type="dxa"/>
          </w:tcPr>
          <w:p w14:paraId="724165C7"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A41349">
              <w:rPr>
                <w:rFonts w:cstheme="minorHAnsi"/>
                <w:b/>
                <w:szCs w:val="22"/>
              </w:rPr>
              <w:t>$1,371.30</w:t>
            </w:r>
          </w:p>
        </w:tc>
        <w:tc>
          <w:tcPr>
            <w:tcW w:w="2372" w:type="dxa"/>
          </w:tcPr>
          <w:p w14:paraId="51EA734F"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A41349">
              <w:rPr>
                <w:rFonts w:cstheme="minorHAnsi"/>
                <w:b/>
                <w:szCs w:val="22"/>
              </w:rPr>
              <w:t>$1,371.30</w:t>
            </w:r>
          </w:p>
        </w:tc>
        <w:tc>
          <w:tcPr>
            <w:tcW w:w="2835" w:type="dxa"/>
          </w:tcPr>
          <w:p w14:paraId="2A568CD2"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A41349">
              <w:rPr>
                <w:rFonts w:cstheme="minorHAnsi"/>
                <w:b/>
                <w:szCs w:val="22"/>
              </w:rPr>
              <w:t>$1,325.85^</w:t>
            </w:r>
          </w:p>
        </w:tc>
      </w:tr>
    </w:tbl>
    <w:p w14:paraId="220CC32D" w14:textId="77777777" w:rsidR="00C01E92" w:rsidRPr="00135EF5" w:rsidRDefault="00C01E92" w:rsidP="00C01E92">
      <w:pPr>
        <w:pStyle w:val="EYBodytextwithparaspace"/>
        <w:spacing w:before="120" w:after="120"/>
        <w:rPr>
          <w:rFonts w:ascii="Arial Narrow" w:hAnsi="Arial Narrow" w:cstheme="minorHAnsi"/>
          <w:i/>
          <w:sz w:val="22"/>
          <w:szCs w:val="22"/>
        </w:rPr>
      </w:pPr>
      <w:r w:rsidRPr="00135EF5">
        <w:rPr>
          <w:rFonts w:ascii="Arial Narrow" w:hAnsi="Arial Narrow" w:cstheme="minorHAnsi"/>
          <w:i/>
          <w:sz w:val="22"/>
          <w:szCs w:val="22"/>
        </w:rPr>
        <w:t>^ Staffing costs for Service A under the Alignment option have assumed 1 fully qualified Cert III educator; 1 AWT Diploma educator and 1 fully qualified Diploma educator.</w:t>
      </w:r>
    </w:p>
    <w:p w14:paraId="2A703131" w14:textId="4F2E1FBA"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b/>
          <w:sz w:val="22"/>
          <w:szCs w:val="22"/>
        </w:rPr>
        <w:t>Service B</w:t>
      </w:r>
      <w:r w:rsidRPr="000107A9">
        <w:rPr>
          <w:rFonts w:asciiTheme="minorHAnsi" w:hAnsiTheme="minorHAnsi" w:cstheme="minorHAnsi"/>
          <w:sz w:val="22"/>
          <w:szCs w:val="22"/>
        </w:rPr>
        <w:t xml:space="preserve"> holds a Limited Hours type 1 licence or ‘Limited Hours’ service approval under proposed Regulations. On this particular day, 32 children attend: 20 at least 3 years of age and 12 under 3 years of age. Service B is approved to </w:t>
      </w:r>
      <w:r w:rsidR="00000852">
        <w:rPr>
          <w:rFonts w:asciiTheme="minorHAnsi" w:hAnsiTheme="minorHAnsi" w:cstheme="minorHAnsi"/>
          <w:sz w:val="22"/>
          <w:szCs w:val="22"/>
        </w:rPr>
        <w:t>care for each child for not more than</w:t>
      </w:r>
      <w:r w:rsidRPr="000107A9">
        <w:rPr>
          <w:rFonts w:asciiTheme="minorHAnsi" w:hAnsiTheme="minorHAnsi" w:cstheme="minorHAnsi"/>
          <w:sz w:val="22"/>
          <w:szCs w:val="22"/>
        </w:rPr>
        <w:t xml:space="preserve"> 3 hours a day to a maximum of 6 hours per week.</w:t>
      </w:r>
    </w:p>
    <w:p w14:paraId="2D1C00BD" w14:textId="66D247F0" w:rsidR="00823B07"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Under the Alignment option, Service B would hold a Limited Hours service approval, which means that any Certificate III-level staff it employs </w:t>
      </w:r>
      <w:r w:rsidRPr="000107A9">
        <w:rPr>
          <w:rFonts w:asciiTheme="minorHAnsi" w:hAnsiTheme="minorHAnsi" w:cstheme="minorHAnsi"/>
          <w:b/>
          <w:sz w:val="22"/>
          <w:szCs w:val="22"/>
        </w:rPr>
        <w:t>must</w:t>
      </w:r>
      <w:r w:rsidRPr="000107A9">
        <w:rPr>
          <w:rFonts w:asciiTheme="minorHAnsi" w:hAnsiTheme="minorHAnsi" w:cstheme="minorHAnsi"/>
          <w:sz w:val="22"/>
          <w:szCs w:val="22"/>
        </w:rPr>
        <w:t xml:space="preserve"> </w:t>
      </w:r>
      <w:r w:rsidRPr="000107A9">
        <w:rPr>
          <w:rFonts w:asciiTheme="minorHAnsi" w:hAnsiTheme="minorHAnsi" w:cstheme="minorHAnsi"/>
          <w:b/>
          <w:sz w:val="22"/>
          <w:szCs w:val="22"/>
        </w:rPr>
        <w:t>hold</w:t>
      </w:r>
      <w:r w:rsidRPr="000107A9">
        <w:rPr>
          <w:rFonts w:asciiTheme="minorHAnsi" w:hAnsiTheme="minorHAnsi" w:cstheme="minorHAnsi"/>
          <w:sz w:val="22"/>
          <w:szCs w:val="22"/>
        </w:rPr>
        <w:t xml:space="preserve"> their qualification; they cannot be ‘actively working towards’ it.</w:t>
      </w:r>
    </w:p>
    <w:tbl>
      <w:tblPr>
        <w:tblStyle w:val="TableGrid"/>
        <w:tblW w:w="0" w:type="auto"/>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2263"/>
        <w:gridCol w:w="3615"/>
        <w:gridCol w:w="3615"/>
      </w:tblGrid>
      <w:tr w:rsidR="00C01E92" w:rsidRPr="00A41349" w14:paraId="2BDE2494" w14:textId="77777777" w:rsidTr="00A41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3"/>
          </w:tcPr>
          <w:p w14:paraId="265527A1" w14:textId="25C8048D" w:rsidR="00C01E92" w:rsidRPr="00A41349" w:rsidRDefault="00C01E92" w:rsidP="00A41349">
            <w:pPr>
              <w:spacing w:after="60"/>
              <w:rPr>
                <w:rFonts w:cstheme="minorHAnsi"/>
                <w:szCs w:val="22"/>
              </w:rPr>
            </w:pPr>
            <w:r w:rsidRPr="00A41349">
              <w:rPr>
                <w:rFonts w:cstheme="minorHAnsi"/>
                <w:szCs w:val="22"/>
              </w:rPr>
              <w:t xml:space="preserve">Service B has 32 children attending on the day – </w:t>
            </w:r>
            <w:r w:rsidR="00BC4796" w:rsidRPr="00A41349">
              <w:rPr>
                <w:rFonts w:cstheme="minorHAnsi"/>
                <w:szCs w:val="22"/>
              </w:rPr>
              <w:br/>
            </w:r>
            <w:r w:rsidRPr="00A41349">
              <w:rPr>
                <w:rFonts w:cstheme="minorHAnsi"/>
                <w:szCs w:val="22"/>
              </w:rPr>
              <w:t>20 at least 3 years and 12 under 3 years</w:t>
            </w:r>
          </w:p>
        </w:tc>
      </w:tr>
      <w:tr w:rsidR="00C01E92" w:rsidRPr="00A41349" w14:paraId="43ED2ABC" w14:textId="77777777" w:rsidTr="00A41349">
        <w:tc>
          <w:tcPr>
            <w:cnfStyle w:val="001000000000" w:firstRow="0" w:lastRow="0" w:firstColumn="1" w:lastColumn="0" w:oddVBand="0" w:evenVBand="0" w:oddHBand="0" w:evenHBand="0" w:firstRowFirstColumn="0" w:firstRowLastColumn="0" w:lastRowFirstColumn="0" w:lastRowLastColumn="0"/>
            <w:tcW w:w="2263" w:type="dxa"/>
          </w:tcPr>
          <w:p w14:paraId="042E1A7C" w14:textId="2F925324" w:rsidR="00C01E92" w:rsidRPr="00A41349" w:rsidRDefault="00C01E92" w:rsidP="00A41349">
            <w:pPr>
              <w:spacing w:after="60"/>
              <w:rPr>
                <w:rFonts w:cstheme="minorHAnsi"/>
                <w:b/>
                <w:szCs w:val="22"/>
              </w:rPr>
            </w:pPr>
          </w:p>
        </w:tc>
        <w:tc>
          <w:tcPr>
            <w:tcW w:w="3615" w:type="dxa"/>
          </w:tcPr>
          <w:p w14:paraId="77BABCEB"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A41349">
              <w:rPr>
                <w:rFonts w:cstheme="minorHAnsi"/>
                <w:b/>
                <w:szCs w:val="22"/>
              </w:rPr>
              <w:t>Option C.1. Status Quo</w:t>
            </w:r>
          </w:p>
        </w:tc>
        <w:tc>
          <w:tcPr>
            <w:tcW w:w="3615" w:type="dxa"/>
          </w:tcPr>
          <w:p w14:paraId="51EE7436"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A41349">
              <w:rPr>
                <w:rFonts w:cstheme="minorHAnsi"/>
                <w:b/>
                <w:szCs w:val="22"/>
              </w:rPr>
              <w:t>Option C.2. Alignment</w:t>
            </w:r>
          </w:p>
        </w:tc>
      </w:tr>
      <w:tr w:rsidR="00C01E92" w:rsidRPr="00A41349" w14:paraId="3416B2E2" w14:textId="77777777" w:rsidTr="00A41349">
        <w:tc>
          <w:tcPr>
            <w:cnfStyle w:val="001000000000" w:firstRow="0" w:lastRow="0" w:firstColumn="1" w:lastColumn="0" w:oddVBand="0" w:evenVBand="0" w:oddHBand="0" w:evenHBand="0" w:firstRowFirstColumn="0" w:firstRowLastColumn="0" w:lastRowFirstColumn="0" w:lastRowLastColumn="0"/>
            <w:tcW w:w="2263" w:type="dxa"/>
          </w:tcPr>
          <w:p w14:paraId="7C8D5672" w14:textId="586DFC5B" w:rsidR="00C01E92" w:rsidRPr="00A41349" w:rsidRDefault="00C01E92" w:rsidP="00A41349">
            <w:pPr>
              <w:spacing w:after="60"/>
              <w:rPr>
                <w:rFonts w:cstheme="minorHAnsi"/>
                <w:szCs w:val="22"/>
              </w:rPr>
            </w:pPr>
            <w:r w:rsidRPr="00A41349">
              <w:rPr>
                <w:rFonts w:cstheme="minorHAnsi"/>
                <w:szCs w:val="22"/>
              </w:rPr>
              <w:t xml:space="preserve">Licence/Service </w:t>
            </w:r>
            <w:r w:rsidR="00BC4796" w:rsidRPr="00A41349">
              <w:rPr>
                <w:rFonts w:cstheme="minorHAnsi"/>
                <w:szCs w:val="22"/>
              </w:rPr>
              <w:t>type</w:t>
            </w:r>
          </w:p>
        </w:tc>
        <w:tc>
          <w:tcPr>
            <w:tcW w:w="3615" w:type="dxa"/>
          </w:tcPr>
          <w:p w14:paraId="553A3FAF"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Limited Hours type 1 licence</w:t>
            </w:r>
          </w:p>
        </w:tc>
        <w:tc>
          <w:tcPr>
            <w:tcW w:w="3615" w:type="dxa"/>
          </w:tcPr>
          <w:p w14:paraId="36AA088C"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Limited Hours service approval</w:t>
            </w:r>
          </w:p>
        </w:tc>
      </w:tr>
      <w:tr w:rsidR="00C01E92" w:rsidRPr="00A41349" w14:paraId="6CBD917D" w14:textId="77777777" w:rsidTr="00A41349">
        <w:tc>
          <w:tcPr>
            <w:cnfStyle w:val="001000000000" w:firstRow="0" w:lastRow="0" w:firstColumn="1" w:lastColumn="0" w:oddVBand="0" w:evenVBand="0" w:oddHBand="0" w:evenHBand="0" w:firstRowFirstColumn="0" w:firstRowLastColumn="0" w:lastRowFirstColumn="0" w:lastRowLastColumn="0"/>
            <w:tcW w:w="2263" w:type="dxa"/>
          </w:tcPr>
          <w:p w14:paraId="65D961A4" w14:textId="2FA85966" w:rsidR="00C01E92" w:rsidRPr="00A41349" w:rsidRDefault="00BC4796" w:rsidP="00A41349">
            <w:pPr>
              <w:spacing w:after="60"/>
              <w:rPr>
                <w:rFonts w:cstheme="minorHAnsi"/>
                <w:szCs w:val="22"/>
              </w:rPr>
            </w:pPr>
            <w:r w:rsidRPr="00A41349">
              <w:rPr>
                <w:rFonts w:cstheme="minorHAnsi"/>
                <w:szCs w:val="22"/>
              </w:rPr>
              <w:t xml:space="preserve">Educator to </w:t>
            </w:r>
            <w:r w:rsidR="00C01E92" w:rsidRPr="00A41349">
              <w:rPr>
                <w:rFonts w:cstheme="minorHAnsi"/>
                <w:szCs w:val="22"/>
              </w:rPr>
              <w:t>child ratio requirements</w:t>
            </w:r>
          </w:p>
        </w:tc>
        <w:tc>
          <w:tcPr>
            <w:tcW w:w="3615" w:type="dxa"/>
          </w:tcPr>
          <w:p w14:paraId="5F83ACBD" w14:textId="77777777" w:rsidR="00C01E92" w:rsidRPr="00A41349" w:rsidRDefault="00C01E92" w:rsidP="002806C5">
            <w:pPr>
              <w:pStyle w:val="ListParagraph"/>
              <w:numPr>
                <w:ilvl w:val="0"/>
                <w:numId w:val="55"/>
              </w:numPr>
              <w:autoSpaceDE w:val="0"/>
              <w:autoSpaceDN w:val="0"/>
              <w:adjustRightInd w:val="0"/>
              <w:spacing w:after="60"/>
              <w:ind w:left="0" w:firstLine="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Under 3yo (1:5)</w:t>
            </w:r>
          </w:p>
          <w:p w14:paraId="5986B888" w14:textId="77777777" w:rsidR="00C01E92" w:rsidRPr="00A41349" w:rsidRDefault="00C01E92" w:rsidP="002806C5">
            <w:pPr>
              <w:pStyle w:val="ListParagraph"/>
              <w:numPr>
                <w:ilvl w:val="0"/>
                <w:numId w:val="55"/>
              </w:numPr>
              <w:autoSpaceDE w:val="0"/>
              <w:autoSpaceDN w:val="0"/>
              <w:adjustRightInd w:val="0"/>
              <w:spacing w:after="60"/>
              <w:ind w:left="0" w:firstLine="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3yo and over (1:15)</w:t>
            </w:r>
          </w:p>
        </w:tc>
        <w:tc>
          <w:tcPr>
            <w:tcW w:w="3615" w:type="dxa"/>
          </w:tcPr>
          <w:p w14:paraId="20622C80" w14:textId="77777777" w:rsidR="00C01E92" w:rsidRPr="00A41349" w:rsidRDefault="00C01E92" w:rsidP="002806C5">
            <w:pPr>
              <w:pStyle w:val="ListParagraph"/>
              <w:numPr>
                <w:ilvl w:val="0"/>
                <w:numId w:val="55"/>
              </w:numPr>
              <w:autoSpaceDE w:val="0"/>
              <w:autoSpaceDN w:val="0"/>
              <w:adjustRightInd w:val="0"/>
              <w:spacing w:after="60"/>
              <w:ind w:left="0" w:firstLine="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Up to 36 months (1:4)</w:t>
            </w:r>
          </w:p>
          <w:p w14:paraId="7151DDF9" w14:textId="77777777" w:rsidR="00C01E92" w:rsidRPr="00A41349" w:rsidRDefault="00C01E92" w:rsidP="002806C5">
            <w:pPr>
              <w:pStyle w:val="ListParagraph"/>
              <w:numPr>
                <w:ilvl w:val="0"/>
                <w:numId w:val="55"/>
              </w:numPr>
              <w:autoSpaceDE w:val="0"/>
              <w:autoSpaceDN w:val="0"/>
              <w:adjustRightInd w:val="0"/>
              <w:spacing w:after="60"/>
              <w:ind w:left="0" w:firstLine="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36 months and over (1:11)</w:t>
            </w:r>
          </w:p>
        </w:tc>
      </w:tr>
      <w:tr w:rsidR="00C01E92" w:rsidRPr="00A41349" w14:paraId="5F5641BF" w14:textId="77777777" w:rsidTr="00A41349">
        <w:tc>
          <w:tcPr>
            <w:cnfStyle w:val="001000000000" w:firstRow="0" w:lastRow="0" w:firstColumn="1" w:lastColumn="0" w:oddVBand="0" w:evenVBand="0" w:oddHBand="0" w:evenHBand="0" w:firstRowFirstColumn="0" w:firstRowLastColumn="0" w:lastRowFirstColumn="0" w:lastRowLastColumn="0"/>
            <w:tcW w:w="2263" w:type="dxa"/>
          </w:tcPr>
          <w:p w14:paraId="3F836850" w14:textId="77777777" w:rsidR="00C01E92" w:rsidRPr="00A41349" w:rsidRDefault="00C01E92" w:rsidP="00A41349">
            <w:pPr>
              <w:spacing w:after="60"/>
              <w:rPr>
                <w:rFonts w:cstheme="minorHAnsi"/>
                <w:szCs w:val="22"/>
              </w:rPr>
            </w:pPr>
            <w:r w:rsidRPr="00A41349">
              <w:rPr>
                <w:rFonts w:cstheme="minorHAnsi"/>
                <w:szCs w:val="22"/>
              </w:rPr>
              <w:lastRenderedPageBreak/>
              <w:t>Minimum qualification requirements</w:t>
            </w:r>
          </w:p>
        </w:tc>
        <w:tc>
          <w:tcPr>
            <w:tcW w:w="3615" w:type="dxa"/>
          </w:tcPr>
          <w:p w14:paraId="2F45A14D"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5 staff required</w:t>
            </w:r>
          </w:p>
          <w:p w14:paraId="1D49D174" w14:textId="77777777" w:rsidR="00C01E92" w:rsidRPr="00A41349" w:rsidRDefault="00C01E92" w:rsidP="002806C5">
            <w:pPr>
              <w:pStyle w:val="ListParagraph"/>
              <w:numPr>
                <w:ilvl w:val="0"/>
                <w:numId w:val="54"/>
              </w:numPr>
              <w:autoSpaceDE w:val="0"/>
              <w:autoSpaceDN w:val="0"/>
              <w:adjustRightInd w:val="0"/>
              <w:spacing w:after="60"/>
              <w:ind w:left="0" w:firstLine="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All hold at least Cert III</w:t>
            </w:r>
          </w:p>
          <w:p w14:paraId="33F517BF" w14:textId="77777777" w:rsidR="00C01E92" w:rsidRPr="00A41349" w:rsidRDefault="00C01E92" w:rsidP="002806C5">
            <w:pPr>
              <w:pStyle w:val="ListParagraph"/>
              <w:numPr>
                <w:ilvl w:val="0"/>
                <w:numId w:val="54"/>
              </w:numPr>
              <w:autoSpaceDE w:val="0"/>
              <w:autoSpaceDN w:val="0"/>
              <w:adjustRightInd w:val="0"/>
              <w:spacing w:after="60"/>
              <w:ind w:left="0" w:firstLine="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No Diploma required</w:t>
            </w:r>
          </w:p>
        </w:tc>
        <w:tc>
          <w:tcPr>
            <w:tcW w:w="3615" w:type="dxa"/>
          </w:tcPr>
          <w:p w14:paraId="5C9CD499"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5 educators required</w:t>
            </w:r>
          </w:p>
          <w:p w14:paraId="0794E619" w14:textId="77777777" w:rsidR="00C01E92" w:rsidRPr="00A41349" w:rsidRDefault="00C01E92" w:rsidP="002806C5">
            <w:pPr>
              <w:pStyle w:val="ListParagraph"/>
              <w:numPr>
                <w:ilvl w:val="0"/>
                <w:numId w:val="54"/>
              </w:numPr>
              <w:autoSpaceDE w:val="0"/>
              <w:autoSpaceDN w:val="0"/>
              <w:adjustRightInd w:val="0"/>
              <w:spacing w:after="60"/>
              <w:ind w:left="0" w:firstLine="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All hold at least a Cert III</w:t>
            </w:r>
          </w:p>
          <w:p w14:paraId="764C11DD" w14:textId="77777777" w:rsidR="00C01E92" w:rsidRPr="00A41349" w:rsidRDefault="00C01E92" w:rsidP="002806C5">
            <w:pPr>
              <w:pStyle w:val="ListParagraph"/>
              <w:numPr>
                <w:ilvl w:val="0"/>
                <w:numId w:val="54"/>
              </w:numPr>
              <w:autoSpaceDE w:val="0"/>
              <w:autoSpaceDN w:val="0"/>
              <w:adjustRightInd w:val="0"/>
              <w:spacing w:after="60"/>
              <w:ind w:left="0" w:firstLine="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No Diploma required</w:t>
            </w:r>
          </w:p>
        </w:tc>
      </w:tr>
      <w:tr w:rsidR="00C01E92" w:rsidRPr="00A41349" w14:paraId="39E62CFC" w14:textId="77777777" w:rsidTr="00A41349">
        <w:tc>
          <w:tcPr>
            <w:cnfStyle w:val="001000000000" w:firstRow="0" w:lastRow="0" w:firstColumn="1" w:lastColumn="0" w:oddVBand="0" w:evenVBand="0" w:oddHBand="0" w:evenHBand="0" w:firstRowFirstColumn="0" w:firstRowLastColumn="0" w:lastRowFirstColumn="0" w:lastRowLastColumn="0"/>
            <w:tcW w:w="2263" w:type="dxa"/>
          </w:tcPr>
          <w:p w14:paraId="0B251CF9" w14:textId="77777777" w:rsidR="00C01E92" w:rsidRPr="00A41349" w:rsidRDefault="00C01E92" w:rsidP="00A41349">
            <w:pPr>
              <w:spacing w:after="60"/>
              <w:rPr>
                <w:rFonts w:cstheme="minorHAnsi"/>
                <w:b/>
                <w:szCs w:val="22"/>
              </w:rPr>
            </w:pPr>
            <w:r w:rsidRPr="00A41349">
              <w:rPr>
                <w:rFonts w:cstheme="minorHAnsi"/>
                <w:b/>
                <w:szCs w:val="22"/>
              </w:rPr>
              <w:t>Staff costs</w:t>
            </w:r>
          </w:p>
        </w:tc>
        <w:tc>
          <w:tcPr>
            <w:tcW w:w="3615" w:type="dxa"/>
          </w:tcPr>
          <w:p w14:paraId="29D5351B"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A41349">
              <w:rPr>
                <w:rFonts w:cstheme="minorHAnsi"/>
                <w:b/>
                <w:szCs w:val="22"/>
              </w:rPr>
              <w:t>$817.20</w:t>
            </w:r>
          </w:p>
        </w:tc>
        <w:tc>
          <w:tcPr>
            <w:tcW w:w="3615" w:type="dxa"/>
          </w:tcPr>
          <w:p w14:paraId="73630C92"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A41349">
              <w:rPr>
                <w:rFonts w:cstheme="minorHAnsi"/>
                <w:b/>
                <w:szCs w:val="22"/>
              </w:rPr>
              <w:t>$817.20</w:t>
            </w:r>
          </w:p>
        </w:tc>
      </w:tr>
    </w:tbl>
    <w:p w14:paraId="34696606" w14:textId="50CB1D8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b/>
          <w:sz w:val="22"/>
          <w:szCs w:val="22"/>
        </w:rPr>
        <w:t>Service C</w:t>
      </w:r>
      <w:r w:rsidRPr="000107A9">
        <w:rPr>
          <w:rFonts w:asciiTheme="minorHAnsi" w:hAnsiTheme="minorHAnsi" w:cstheme="minorHAnsi"/>
          <w:sz w:val="22"/>
          <w:szCs w:val="22"/>
        </w:rPr>
        <w:t xml:space="preserve"> holds a Standard licence type or ‘Occasional Care’ service approval under the proposed Regulations. On this particular day, 50 children attend: 30 at least 3 years of age</w:t>
      </w:r>
      <w:r w:rsidRPr="000107A9" w:rsidDel="00ED0132">
        <w:rPr>
          <w:rFonts w:asciiTheme="minorHAnsi" w:hAnsiTheme="minorHAnsi" w:cstheme="minorHAnsi"/>
          <w:sz w:val="22"/>
          <w:szCs w:val="22"/>
        </w:rPr>
        <w:t xml:space="preserve"> </w:t>
      </w:r>
      <w:r w:rsidRPr="000107A9">
        <w:rPr>
          <w:rFonts w:asciiTheme="minorHAnsi" w:hAnsiTheme="minorHAnsi" w:cstheme="minorHAnsi"/>
          <w:sz w:val="22"/>
          <w:szCs w:val="22"/>
        </w:rPr>
        <w:t>and 20 under 3 years of age. Service C is approved to operate for a maximum of 30 hours per week.</w:t>
      </w:r>
    </w:p>
    <w:tbl>
      <w:tblPr>
        <w:tblStyle w:val="TableGrid"/>
        <w:tblW w:w="0" w:type="auto"/>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2263"/>
        <w:gridCol w:w="3625"/>
        <w:gridCol w:w="3605"/>
      </w:tblGrid>
      <w:tr w:rsidR="00C01E92" w:rsidRPr="00A41349" w14:paraId="06F251A7" w14:textId="77777777" w:rsidTr="00A41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3"/>
          </w:tcPr>
          <w:p w14:paraId="4A7BB597" w14:textId="4B0DBBF7" w:rsidR="00C01E92" w:rsidRPr="00A41349" w:rsidRDefault="00C01E92" w:rsidP="00A41349">
            <w:pPr>
              <w:spacing w:after="60"/>
              <w:rPr>
                <w:rFonts w:cstheme="minorHAnsi"/>
                <w:szCs w:val="22"/>
              </w:rPr>
            </w:pPr>
            <w:r w:rsidRPr="00A41349">
              <w:rPr>
                <w:rFonts w:cstheme="minorHAnsi"/>
                <w:szCs w:val="22"/>
              </w:rPr>
              <w:t xml:space="preserve">Service C has 50 children attending on the day – </w:t>
            </w:r>
            <w:r w:rsidR="00BC4796" w:rsidRPr="00A41349">
              <w:rPr>
                <w:rFonts w:cstheme="minorHAnsi"/>
                <w:szCs w:val="22"/>
              </w:rPr>
              <w:br/>
            </w:r>
            <w:r w:rsidRPr="00A41349">
              <w:rPr>
                <w:rFonts w:cstheme="minorHAnsi"/>
                <w:szCs w:val="22"/>
              </w:rPr>
              <w:t>30 at least 3 years and 20 under 3 years</w:t>
            </w:r>
          </w:p>
        </w:tc>
      </w:tr>
      <w:tr w:rsidR="00C01E92" w:rsidRPr="00A41349" w14:paraId="57722822" w14:textId="77777777" w:rsidTr="00A41349">
        <w:tc>
          <w:tcPr>
            <w:cnfStyle w:val="001000000000" w:firstRow="0" w:lastRow="0" w:firstColumn="1" w:lastColumn="0" w:oddVBand="0" w:evenVBand="0" w:oddHBand="0" w:evenHBand="0" w:firstRowFirstColumn="0" w:firstRowLastColumn="0" w:lastRowFirstColumn="0" w:lastRowLastColumn="0"/>
            <w:tcW w:w="2263" w:type="dxa"/>
          </w:tcPr>
          <w:p w14:paraId="19332772" w14:textId="77777777" w:rsidR="00C01E92" w:rsidRPr="00A41349" w:rsidRDefault="00C01E92" w:rsidP="00A41349">
            <w:pPr>
              <w:spacing w:after="60"/>
              <w:rPr>
                <w:rFonts w:cstheme="minorHAnsi"/>
                <w:b/>
                <w:szCs w:val="22"/>
              </w:rPr>
            </w:pPr>
          </w:p>
        </w:tc>
        <w:tc>
          <w:tcPr>
            <w:tcW w:w="3625" w:type="dxa"/>
          </w:tcPr>
          <w:p w14:paraId="5A7D0798"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A41349">
              <w:rPr>
                <w:rFonts w:cstheme="minorHAnsi"/>
                <w:b/>
                <w:szCs w:val="22"/>
              </w:rPr>
              <w:t>Option C.1. Status Quo</w:t>
            </w:r>
          </w:p>
        </w:tc>
        <w:tc>
          <w:tcPr>
            <w:tcW w:w="3605" w:type="dxa"/>
          </w:tcPr>
          <w:p w14:paraId="0999417E"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A41349">
              <w:rPr>
                <w:rFonts w:cstheme="minorHAnsi"/>
                <w:b/>
                <w:szCs w:val="22"/>
              </w:rPr>
              <w:t>Option C.2. Alignment</w:t>
            </w:r>
          </w:p>
        </w:tc>
      </w:tr>
      <w:tr w:rsidR="00C01E92" w:rsidRPr="00A41349" w14:paraId="5FF58222" w14:textId="77777777" w:rsidTr="00A41349">
        <w:tc>
          <w:tcPr>
            <w:cnfStyle w:val="001000000000" w:firstRow="0" w:lastRow="0" w:firstColumn="1" w:lastColumn="0" w:oddVBand="0" w:evenVBand="0" w:oddHBand="0" w:evenHBand="0" w:firstRowFirstColumn="0" w:firstRowLastColumn="0" w:lastRowFirstColumn="0" w:lastRowLastColumn="0"/>
            <w:tcW w:w="2263" w:type="dxa"/>
          </w:tcPr>
          <w:p w14:paraId="517A8461" w14:textId="0CCA9B2F" w:rsidR="00C01E92" w:rsidRPr="00A41349" w:rsidRDefault="00C01E92" w:rsidP="00A41349">
            <w:pPr>
              <w:spacing w:after="60"/>
              <w:rPr>
                <w:rFonts w:cstheme="minorHAnsi"/>
                <w:szCs w:val="22"/>
              </w:rPr>
            </w:pPr>
            <w:r w:rsidRPr="00A41349">
              <w:rPr>
                <w:rFonts w:cstheme="minorHAnsi"/>
                <w:szCs w:val="22"/>
              </w:rPr>
              <w:t xml:space="preserve">Licence/Service </w:t>
            </w:r>
            <w:r w:rsidR="00BC4796" w:rsidRPr="00A41349">
              <w:rPr>
                <w:rFonts w:cstheme="minorHAnsi"/>
                <w:szCs w:val="22"/>
              </w:rPr>
              <w:t>type</w:t>
            </w:r>
          </w:p>
        </w:tc>
        <w:tc>
          <w:tcPr>
            <w:tcW w:w="3625" w:type="dxa"/>
          </w:tcPr>
          <w:p w14:paraId="643569E2"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Standard licence</w:t>
            </w:r>
          </w:p>
        </w:tc>
        <w:tc>
          <w:tcPr>
            <w:tcW w:w="3605" w:type="dxa"/>
          </w:tcPr>
          <w:p w14:paraId="702BEB79"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Occasional Care service approval</w:t>
            </w:r>
          </w:p>
        </w:tc>
      </w:tr>
      <w:tr w:rsidR="00C01E92" w:rsidRPr="00A41349" w14:paraId="0A18B743" w14:textId="77777777" w:rsidTr="00A41349">
        <w:tc>
          <w:tcPr>
            <w:cnfStyle w:val="001000000000" w:firstRow="0" w:lastRow="0" w:firstColumn="1" w:lastColumn="0" w:oddVBand="0" w:evenVBand="0" w:oddHBand="0" w:evenHBand="0" w:firstRowFirstColumn="0" w:firstRowLastColumn="0" w:lastRowFirstColumn="0" w:lastRowLastColumn="0"/>
            <w:tcW w:w="2263" w:type="dxa"/>
          </w:tcPr>
          <w:p w14:paraId="688E31E2" w14:textId="0C1F44B4" w:rsidR="00C01E92" w:rsidRPr="00A41349" w:rsidRDefault="00C01E92" w:rsidP="00A41349">
            <w:pPr>
              <w:spacing w:after="60"/>
              <w:rPr>
                <w:rFonts w:cstheme="minorHAnsi"/>
                <w:szCs w:val="22"/>
              </w:rPr>
            </w:pPr>
            <w:r w:rsidRPr="00A41349">
              <w:rPr>
                <w:rFonts w:cstheme="minorHAnsi"/>
                <w:szCs w:val="22"/>
              </w:rPr>
              <w:t>Educator</w:t>
            </w:r>
            <w:r w:rsidR="00BC4796" w:rsidRPr="00A41349">
              <w:rPr>
                <w:rFonts w:cstheme="minorHAnsi"/>
                <w:szCs w:val="22"/>
              </w:rPr>
              <w:t xml:space="preserve"> to </w:t>
            </w:r>
            <w:r w:rsidRPr="00A41349">
              <w:rPr>
                <w:rFonts w:cstheme="minorHAnsi"/>
                <w:szCs w:val="22"/>
              </w:rPr>
              <w:t>child ratio requirements</w:t>
            </w:r>
          </w:p>
        </w:tc>
        <w:tc>
          <w:tcPr>
            <w:tcW w:w="3625" w:type="dxa"/>
          </w:tcPr>
          <w:p w14:paraId="321C9BA5" w14:textId="77777777" w:rsidR="00C01E92" w:rsidRPr="00A41349" w:rsidRDefault="00C01E92" w:rsidP="002806C5">
            <w:pPr>
              <w:pStyle w:val="ListParagraph"/>
              <w:numPr>
                <w:ilvl w:val="0"/>
                <w:numId w:val="55"/>
              </w:numPr>
              <w:autoSpaceDE w:val="0"/>
              <w:autoSpaceDN w:val="0"/>
              <w:adjustRightInd w:val="0"/>
              <w:spacing w:after="60"/>
              <w:ind w:left="0" w:firstLine="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Under 3yo (1:4)</w:t>
            </w:r>
          </w:p>
          <w:p w14:paraId="0E8BDC0A" w14:textId="77777777" w:rsidR="00C01E92" w:rsidRPr="00A41349" w:rsidRDefault="00C01E92" w:rsidP="002806C5">
            <w:pPr>
              <w:pStyle w:val="ListParagraph"/>
              <w:numPr>
                <w:ilvl w:val="0"/>
                <w:numId w:val="55"/>
              </w:numPr>
              <w:autoSpaceDE w:val="0"/>
              <w:autoSpaceDN w:val="0"/>
              <w:adjustRightInd w:val="0"/>
              <w:spacing w:after="60"/>
              <w:ind w:left="0" w:firstLine="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3yo and over (1:15)</w:t>
            </w:r>
          </w:p>
        </w:tc>
        <w:tc>
          <w:tcPr>
            <w:tcW w:w="3605" w:type="dxa"/>
          </w:tcPr>
          <w:p w14:paraId="26852FF8" w14:textId="77777777" w:rsidR="00C01E92" w:rsidRPr="00A41349" w:rsidRDefault="00C01E92" w:rsidP="002806C5">
            <w:pPr>
              <w:pStyle w:val="ListParagraph"/>
              <w:numPr>
                <w:ilvl w:val="0"/>
                <w:numId w:val="55"/>
              </w:numPr>
              <w:autoSpaceDE w:val="0"/>
              <w:autoSpaceDN w:val="0"/>
              <w:adjustRightInd w:val="0"/>
              <w:spacing w:after="60"/>
              <w:ind w:left="0" w:firstLine="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Up to 36 months (1:4)</w:t>
            </w:r>
          </w:p>
          <w:p w14:paraId="5E8E09BE" w14:textId="77777777" w:rsidR="00C01E92" w:rsidRPr="00A41349" w:rsidRDefault="00C01E92" w:rsidP="002806C5">
            <w:pPr>
              <w:pStyle w:val="ListParagraph"/>
              <w:numPr>
                <w:ilvl w:val="0"/>
                <w:numId w:val="55"/>
              </w:numPr>
              <w:autoSpaceDE w:val="0"/>
              <w:autoSpaceDN w:val="0"/>
              <w:adjustRightInd w:val="0"/>
              <w:spacing w:after="60"/>
              <w:ind w:left="0" w:firstLine="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36 months and over (1:11)</w:t>
            </w:r>
          </w:p>
        </w:tc>
      </w:tr>
      <w:tr w:rsidR="00C01E92" w:rsidRPr="00A41349" w14:paraId="3FAEE8E1" w14:textId="77777777" w:rsidTr="00A41349">
        <w:tc>
          <w:tcPr>
            <w:cnfStyle w:val="001000000000" w:firstRow="0" w:lastRow="0" w:firstColumn="1" w:lastColumn="0" w:oddVBand="0" w:evenVBand="0" w:oddHBand="0" w:evenHBand="0" w:firstRowFirstColumn="0" w:firstRowLastColumn="0" w:lastRowFirstColumn="0" w:lastRowLastColumn="0"/>
            <w:tcW w:w="2263" w:type="dxa"/>
          </w:tcPr>
          <w:p w14:paraId="713B34C4" w14:textId="77777777" w:rsidR="00C01E92" w:rsidRPr="00A41349" w:rsidRDefault="00C01E92" w:rsidP="00A41349">
            <w:pPr>
              <w:spacing w:after="60"/>
              <w:rPr>
                <w:rFonts w:cstheme="minorHAnsi"/>
                <w:szCs w:val="22"/>
              </w:rPr>
            </w:pPr>
            <w:r w:rsidRPr="00A41349">
              <w:rPr>
                <w:rFonts w:cstheme="minorHAnsi"/>
                <w:szCs w:val="22"/>
              </w:rPr>
              <w:t>Minimum qualification requirements</w:t>
            </w:r>
          </w:p>
        </w:tc>
        <w:tc>
          <w:tcPr>
            <w:tcW w:w="3625" w:type="dxa"/>
          </w:tcPr>
          <w:p w14:paraId="07644296"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7 staff required</w:t>
            </w:r>
          </w:p>
          <w:p w14:paraId="2C5B1FE1"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3 qualified staff</w:t>
            </w:r>
          </w:p>
          <w:p w14:paraId="3EE2B4BC" w14:textId="77777777" w:rsidR="00C01E92" w:rsidRPr="00A41349" w:rsidRDefault="00C01E92" w:rsidP="002806C5">
            <w:pPr>
              <w:pStyle w:val="ListParagraph"/>
              <w:numPr>
                <w:ilvl w:val="0"/>
                <w:numId w:val="55"/>
              </w:numPr>
              <w:autoSpaceDE w:val="0"/>
              <w:autoSpaceDN w:val="0"/>
              <w:adjustRightInd w:val="0"/>
              <w:spacing w:after="60"/>
              <w:ind w:left="0" w:firstLine="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3 hold at least Cert III</w:t>
            </w:r>
          </w:p>
          <w:p w14:paraId="1A3C5A67" w14:textId="77777777" w:rsidR="00C01E92" w:rsidRPr="00A41349" w:rsidRDefault="00C01E92" w:rsidP="002806C5">
            <w:pPr>
              <w:pStyle w:val="ListParagraph"/>
              <w:numPr>
                <w:ilvl w:val="0"/>
                <w:numId w:val="55"/>
              </w:numPr>
              <w:autoSpaceDE w:val="0"/>
              <w:autoSpaceDN w:val="0"/>
              <w:adjustRightInd w:val="0"/>
              <w:spacing w:after="60"/>
              <w:ind w:left="0" w:firstLine="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3 hold a Diploma</w:t>
            </w:r>
          </w:p>
          <w:p w14:paraId="1864ED8C" w14:textId="77777777" w:rsidR="00C01E92" w:rsidRPr="00A41349" w:rsidRDefault="00C01E92" w:rsidP="002806C5">
            <w:pPr>
              <w:pStyle w:val="ListParagraph"/>
              <w:numPr>
                <w:ilvl w:val="0"/>
                <w:numId w:val="55"/>
              </w:numPr>
              <w:autoSpaceDE w:val="0"/>
              <w:autoSpaceDN w:val="0"/>
              <w:adjustRightInd w:val="0"/>
              <w:spacing w:after="60"/>
              <w:ind w:left="0" w:firstLine="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1 holds a Degree</w:t>
            </w:r>
            <w:r w:rsidRPr="00A41349">
              <w:rPr>
                <w:rStyle w:val="FootnoteReference"/>
                <w:rFonts w:cstheme="minorHAnsi"/>
                <w:color w:val="auto"/>
                <w:sz w:val="22"/>
                <w:szCs w:val="22"/>
              </w:rPr>
              <w:footnoteReference w:id="47"/>
            </w:r>
          </w:p>
        </w:tc>
        <w:tc>
          <w:tcPr>
            <w:tcW w:w="3605" w:type="dxa"/>
          </w:tcPr>
          <w:p w14:paraId="72F9DC50"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8 educators required</w:t>
            </w:r>
          </w:p>
          <w:p w14:paraId="7685DBB3" w14:textId="77777777" w:rsidR="00C01E92" w:rsidRPr="00A41349" w:rsidRDefault="00C01E92" w:rsidP="002806C5">
            <w:pPr>
              <w:pStyle w:val="ListParagraph"/>
              <w:numPr>
                <w:ilvl w:val="0"/>
                <w:numId w:val="53"/>
              </w:numPr>
              <w:autoSpaceDE w:val="0"/>
              <w:autoSpaceDN w:val="0"/>
              <w:adjustRightInd w:val="0"/>
              <w:spacing w:after="60"/>
              <w:ind w:left="0" w:firstLine="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4 hold or are AWT a Cert III</w:t>
            </w:r>
          </w:p>
          <w:p w14:paraId="084A5EF0" w14:textId="77777777" w:rsidR="00C01E92" w:rsidRPr="00A41349" w:rsidRDefault="00C01E92" w:rsidP="002806C5">
            <w:pPr>
              <w:pStyle w:val="ListParagraph"/>
              <w:numPr>
                <w:ilvl w:val="0"/>
                <w:numId w:val="53"/>
              </w:numPr>
              <w:autoSpaceDE w:val="0"/>
              <w:autoSpaceDN w:val="0"/>
              <w:adjustRightInd w:val="0"/>
              <w:spacing w:after="60"/>
              <w:ind w:left="0" w:firstLine="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3 hold or are AWT a Diploma</w:t>
            </w:r>
          </w:p>
          <w:p w14:paraId="2828C8DF" w14:textId="77777777" w:rsidR="00C01E92" w:rsidRPr="00A41349" w:rsidRDefault="00C01E92" w:rsidP="002806C5">
            <w:pPr>
              <w:pStyle w:val="ListParagraph"/>
              <w:numPr>
                <w:ilvl w:val="0"/>
                <w:numId w:val="53"/>
              </w:numPr>
              <w:autoSpaceDE w:val="0"/>
              <w:autoSpaceDN w:val="0"/>
              <w:adjustRightInd w:val="0"/>
              <w:spacing w:after="60"/>
              <w:ind w:left="0" w:firstLine="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1 holds a Degree</w:t>
            </w:r>
            <w:r w:rsidRPr="00A41349">
              <w:rPr>
                <w:rStyle w:val="FootnoteReference"/>
                <w:rFonts w:cstheme="minorHAnsi"/>
                <w:color w:val="auto"/>
                <w:sz w:val="22"/>
                <w:szCs w:val="22"/>
              </w:rPr>
              <w:footnoteReference w:id="48"/>
            </w:r>
          </w:p>
        </w:tc>
      </w:tr>
      <w:tr w:rsidR="00C01E92" w:rsidRPr="00A41349" w14:paraId="1862CC1F" w14:textId="77777777" w:rsidTr="00A41349">
        <w:tc>
          <w:tcPr>
            <w:cnfStyle w:val="001000000000" w:firstRow="0" w:lastRow="0" w:firstColumn="1" w:lastColumn="0" w:oddVBand="0" w:evenVBand="0" w:oddHBand="0" w:evenHBand="0" w:firstRowFirstColumn="0" w:firstRowLastColumn="0" w:lastRowFirstColumn="0" w:lastRowLastColumn="0"/>
            <w:tcW w:w="2263" w:type="dxa"/>
          </w:tcPr>
          <w:p w14:paraId="3428DFB9" w14:textId="77777777" w:rsidR="00C01E92" w:rsidRPr="00A41349" w:rsidRDefault="00C01E92" w:rsidP="00A41349">
            <w:pPr>
              <w:spacing w:after="60"/>
              <w:rPr>
                <w:rFonts w:cstheme="minorHAnsi"/>
                <w:b/>
                <w:szCs w:val="22"/>
              </w:rPr>
            </w:pPr>
            <w:r w:rsidRPr="00A41349">
              <w:rPr>
                <w:rFonts w:cstheme="minorHAnsi"/>
                <w:b/>
                <w:szCs w:val="22"/>
              </w:rPr>
              <w:t>Staff costs</w:t>
            </w:r>
          </w:p>
        </w:tc>
        <w:tc>
          <w:tcPr>
            <w:tcW w:w="3625" w:type="dxa"/>
          </w:tcPr>
          <w:p w14:paraId="1F1B89D6"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A41349">
              <w:rPr>
                <w:rFonts w:cstheme="minorHAnsi"/>
                <w:b/>
                <w:szCs w:val="22"/>
              </w:rPr>
              <w:t>$6,500.40</w:t>
            </w:r>
          </w:p>
        </w:tc>
        <w:tc>
          <w:tcPr>
            <w:tcW w:w="3605" w:type="dxa"/>
          </w:tcPr>
          <w:p w14:paraId="7E83911C"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A41349">
              <w:rPr>
                <w:rFonts w:cstheme="minorHAnsi"/>
                <w:b/>
                <w:szCs w:val="22"/>
              </w:rPr>
              <w:t>$7,037.25^^</w:t>
            </w:r>
          </w:p>
        </w:tc>
      </w:tr>
    </w:tbl>
    <w:p w14:paraId="213D78F0" w14:textId="77777777" w:rsidR="00C01E92" w:rsidRPr="00135EF5" w:rsidRDefault="00C01E92" w:rsidP="00C01E92">
      <w:pPr>
        <w:pStyle w:val="EYBodytextwithparaspace"/>
        <w:spacing w:before="120" w:after="120"/>
        <w:rPr>
          <w:rFonts w:ascii="Arial Narrow" w:hAnsi="Arial Narrow" w:cstheme="minorHAnsi"/>
          <w:i/>
          <w:sz w:val="22"/>
          <w:szCs w:val="22"/>
        </w:rPr>
      </w:pPr>
      <w:r w:rsidRPr="00135EF5">
        <w:rPr>
          <w:rFonts w:ascii="Arial Narrow" w:hAnsi="Arial Narrow" w:cstheme="minorHAnsi"/>
          <w:i/>
          <w:sz w:val="22"/>
          <w:szCs w:val="22"/>
        </w:rPr>
        <w:t xml:space="preserve">^^ Staffing costs for Service C in the Alignment options, have assumed that 2 of the 4 Certificate III staff are actively working towards their qualification, and have used a 50:50 split between the fully qualified wage and actively working towards wage for the 3 Diploma educators. </w:t>
      </w:r>
    </w:p>
    <w:p w14:paraId="4E554117"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costs calculated for these examples depend on how many staff are actively working towards their qualification as opposed to being fully qualified. If a service were to retain fully qualified staff under the proposed Regulations, staffing costs would </w:t>
      </w:r>
      <w:r w:rsidRPr="000107A9">
        <w:rPr>
          <w:rFonts w:asciiTheme="minorHAnsi" w:hAnsiTheme="minorHAnsi" w:cstheme="minorHAnsi"/>
          <w:b/>
          <w:sz w:val="22"/>
          <w:szCs w:val="22"/>
        </w:rPr>
        <w:t>increase</w:t>
      </w:r>
      <w:r w:rsidRPr="000107A9">
        <w:rPr>
          <w:rFonts w:asciiTheme="minorHAnsi" w:hAnsiTheme="minorHAnsi" w:cstheme="minorHAnsi"/>
          <w:sz w:val="22"/>
          <w:szCs w:val="22"/>
        </w:rPr>
        <w:t xml:space="preserve"> for services required to meet the increased staff to child ratios. On the other hand, if a service employed as many staff as possible who are ‘actively working towards’ their qualifications, its staffing costs would be </w:t>
      </w:r>
      <w:r w:rsidRPr="000107A9">
        <w:rPr>
          <w:rFonts w:asciiTheme="minorHAnsi" w:hAnsiTheme="minorHAnsi" w:cstheme="minorHAnsi"/>
          <w:b/>
          <w:sz w:val="22"/>
          <w:szCs w:val="22"/>
        </w:rPr>
        <w:t>lower</w:t>
      </w:r>
      <w:r w:rsidRPr="000107A9">
        <w:rPr>
          <w:rFonts w:asciiTheme="minorHAnsi" w:hAnsiTheme="minorHAnsi" w:cstheme="minorHAnsi"/>
          <w:sz w:val="22"/>
          <w:szCs w:val="22"/>
        </w:rPr>
        <w:t xml:space="preserve">. </w:t>
      </w:r>
    </w:p>
    <w:p w14:paraId="37AEE825"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For example, if Service A continued to employ only fully qualified staff under the Alignment scenario, its weekly staffing costs would be $1,371.30 – the same as under the Status Quo option because it is not affected by the changing staff to child ratios.</w:t>
      </w:r>
    </w:p>
    <w:p w14:paraId="4C0CB6A5"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By contrast, the weekly staffing costs for Service C under the Alignment option could vary from $7,317.60 if all staff were fully qualified to $7,756.90 if all eligible staff were actively working towards or in the pre-enrolment period for their qualification. </w:t>
      </w:r>
    </w:p>
    <w:p w14:paraId="1EC7C4AA"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Information gathered from compliance and monitoring visits to children’s services in the last 12 months indicates that the majority of services sampled would already comply with the proposed requirements under Option C.2. Alignment, with approximately 18 per cent of services inspected in </w:t>
      </w:r>
      <w:r w:rsidRPr="000107A9">
        <w:rPr>
          <w:rFonts w:asciiTheme="minorHAnsi" w:hAnsiTheme="minorHAnsi" w:cstheme="minorHAnsi"/>
          <w:sz w:val="22"/>
          <w:szCs w:val="22"/>
        </w:rPr>
        <w:lastRenderedPageBreak/>
        <w:t>2019 needing to replace a current Certificate III level employee with a Diploma qualified employee. Furthermore, the flexibility offered in the Alignment option of allowing  educators to be ‘actively working towards’ a qualification being counted in ratios, means that it would be sufficient for services to have one Certificate III level employee enrol in a Diploma to meet the proposed requirement.</w:t>
      </w:r>
    </w:p>
    <w:p w14:paraId="70D076BC"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However, for services choosing to enrol an existing employee in a Certificate III or Diploma to meet any changing requirement under the Alignment option, there may be an education cost to be borne by either the service or the employee to obtain the qualification. Notably, under the Victorian Government’s ‘free TAFE’ scheme, both the Certificate III and Diploma of Early Childhood Education and Care will be free to study in 2020 which could off-set any potential educational costs to services or employees. How long these courses will remain free is unknown, therefore this aspect of potential costs has not been quantified in the Alignment option.</w:t>
      </w:r>
    </w:p>
    <w:p w14:paraId="0868075B" w14:textId="4E89A274" w:rsidR="00C01E92"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_Ref24710044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 xml:space="preserve">Table </w:t>
      </w:r>
      <w:r w:rsidR="00493211" w:rsidRPr="00493211">
        <w:rPr>
          <w:rFonts w:asciiTheme="minorHAnsi" w:hAnsiTheme="minorHAnsi" w:cstheme="minorHAnsi"/>
          <w:noProof/>
          <w:sz w:val="22"/>
          <w:szCs w:val="22"/>
        </w:rPr>
        <w:t>20</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provides the </w:t>
      </w:r>
      <w:r w:rsidRPr="000107A9">
        <w:rPr>
          <w:rFonts w:asciiTheme="minorHAnsi" w:hAnsiTheme="minorHAnsi" w:cstheme="minorHAnsi"/>
          <w:b/>
          <w:sz w:val="22"/>
          <w:szCs w:val="22"/>
        </w:rPr>
        <w:t>estimated total costs to industry</w:t>
      </w:r>
      <w:r w:rsidRPr="000107A9">
        <w:rPr>
          <w:rFonts w:asciiTheme="minorHAnsi" w:hAnsiTheme="minorHAnsi" w:cstheme="minorHAnsi"/>
          <w:sz w:val="22"/>
          <w:szCs w:val="22"/>
        </w:rPr>
        <w:t xml:space="preserve"> imposed by the requirements under Option C.1. Status Quo and Option C.2. Alignment. As stated, a significant proportion of these costs would still be incurred in the base case but it is difficult to discern to provide a meaningful comparison. These overall costs are based on the average size (in terms of number of approved places) and day-to-day attendance of existing services in the sector, drawn from compliance and monitoring visit data.</w:t>
      </w:r>
    </w:p>
    <w:p w14:paraId="19EEE7AE" w14:textId="29C20D99" w:rsidR="00C01E92" w:rsidRPr="000107A9" w:rsidRDefault="00C01E92" w:rsidP="00F7569F">
      <w:pPr>
        <w:pStyle w:val="Caption"/>
      </w:pPr>
      <w:bookmarkStart w:id="180" w:name="_Ref24710044"/>
      <w:bookmarkStart w:id="181" w:name="_Toc32592803"/>
      <w:r w:rsidRPr="000107A9">
        <w:t xml:space="preserve">Table </w:t>
      </w:r>
      <w:r w:rsidRPr="000107A9">
        <w:fldChar w:fldCharType="begin"/>
      </w:r>
      <w:r w:rsidRPr="000107A9">
        <w:instrText xml:space="preserve"> SEQ Table \* ARABIC </w:instrText>
      </w:r>
      <w:r w:rsidRPr="000107A9">
        <w:fldChar w:fldCharType="separate"/>
      </w:r>
      <w:r w:rsidR="00493211">
        <w:rPr>
          <w:noProof/>
        </w:rPr>
        <w:t>20</w:t>
      </w:r>
      <w:r w:rsidRPr="000107A9">
        <w:fldChar w:fldCharType="end"/>
      </w:r>
      <w:bookmarkEnd w:id="180"/>
      <w:r w:rsidRPr="000107A9">
        <w:t xml:space="preserve"> Staffing - total costs to industry</w:t>
      </w:r>
      <w:bookmarkEnd w:id="181"/>
    </w:p>
    <w:tbl>
      <w:tblPr>
        <w:tblStyle w:val="TableGrid"/>
        <w:tblW w:w="0" w:type="auto"/>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ayout w:type="fixed"/>
        <w:tblLook w:val="04A0" w:firstRow="1" w:lastRow="0" w:firstColumn="1" w:lastColumn="0" w:noHBand="0" w:noVBand="1"/>
      </w:tblPr>
      <w:tblGrid>
        <w:gridCol w:w="1271"/>
        <w:gridCol w:w="1473"/>
        <w:gridCol w:w="1473"/>
        <w:gridCol w:w="1474"/>
        <w:gridCol w:w="1817"/>
        <w:gridCol w:w="1985"/>
      </w:tblGrid>
      <w:tr w:rsidR="00C01E92" w:rsidRPr="00A41349" w14:paraId="56406AAC" w14:textId="77777777" w:rsidTr="00A41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tcBorders>
              <w:right w:val="none" w:sz="0" w:space="0" w:color="auto"/>
            </w:tcBorders>
          </w:tcPr>
          <w:p w14:paraId="7D3ACBD5" w14:textId="2729D938" w:rsidR="00C01E92" w:rsidRPr="00A41349" w:rsidRDefault="00A41349" w:rsidP="00A41349">
            <w:pPr>
              <w:spacing w:after="60"/>
              <w:rPr>
                <w:rFonts w:cstheme="minorHAnsi"/>
                <w:szCs w:val="22"/>
              </w:rPr>
            </w:pPr>
            <w:r>
              <w:rPr>
                <w:rFonts w:cstheme="minorHAnsi"/>
                <w:szCs w:val="22"/>
              </w:rPr>
              <w:t>Option</w:t>
            </w:r>
          </w:p>
        </w:tc>
        <w:tc>
          <w:tcPr>
            <w:tcW w:w="4420" w:type="dxa"/>
            <w:gridSpan w:val="3"/>
            <w:tcBorders>
              <w:left w:val="none" w:sz="0" w:space="0" w:color="auto"/>
              <w:right w:val="none" w:sz="0" w:space="0" w:color="auto"/>
            </w:tcBorders>
          </w:tcPr>
          <w:p w14:paraId="53AAB179" w14:textId="77777777" w:rsidR="00C01E92" w:rsidRPr="00A41349" w:rsidRDefault="00C01E92" w:rsidP="00A41349">
            <w:pPr>
              <w:spacing w:after="60"/>
              <w:cnfStyle w:val="100000000000" w:firstRow="1"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Staffing costs per service per year</w:t>
            </w:r>
          </w:p>
        </w:tc>
        <w:tc>
          <w:tcPr>
            <w:tcW w:w="3802" w:type="dxa"/>
            <w:gridSpan w:val="2"/>
            <w:tcBorders>
              <w:left w:val="none" w:sz="0" w:space="0" w:color="auto"/>
            </w:tcBorders>
          </w:tcPr>
          <w:p w14:paraId="56675BFA" w14:textId="77777777" w:rsidR="00C01E92" w:rsidRPr="00A41349" w:rsidRDefault="00C01E92" w:rsidP="00A41349">
            <w:pPr>
              <w:spacing w:after="60"/>
              <w:cnfStyle w:val="100000000000" w:firstRow="1"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Staffing costs to industry as a whole</w:t>
            </w:r>
          </w:p>
        </w:tc>
      </w:tr>
      <w:tr w:rsidR="00C01E92" w:rsidRPr="00937695" w14:paraId="2C7E905C" w14:textId="77777777" w:rsidTr="00A41349">
        <w:tc>
          <w:tcPr>
            <w:cnfStyle w:val="001000000000" w:firstRow="0" w:lastRow="0" w:firstColumn="1" w:lastColumn="0" w:oddVBand="0" w:evenVBand="0" w:oddHBand="0" w:evenHBand="0" w:firstRowFirstColumn="0" w:firstRowLastColumn="0" w:lastRowFirstColumn="0" w:lastRowLastColumn="0"/>
            <w:tcW w:w="1271" w:type="dxa"/>
            <w:vMerge/>
          </w:tcPr>
          <w:p w14:paraId="0049350F" w14:textId="77777777" w:rsidR="00C01E92" w:rsidRPr="00937695" w:rsidRDefault="00C01E92" w:rsidP="00A41349">
            <w:pPr>
              <w:spacing w:after="60"/>
              <w:rPr>
                <w:rFonts w:cstheme="minorHAnsi"/>
                <w:szCs w:val="22"/>
              </w:rPr>
            </w:pPr>
          </w:p>
        </w:tc>
        <w:tc>
          <w:tcPr>
            <w:tcW w:w="1473" w:type="dxa"/>
          </w:tcPr>
          <w:p w14:paraId="13853B7F"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A41349">
              <w:rPr>
                <w:rFonts w:cstheme="minorHAnsi"/>
                <w:b/>
                <w:szCs w:val="22"/>
              </w:rPr>
              <w:t>LH2</w:t>
            </w:r>
          </w:p>
        </w:tc>
        <w:tc>
          <w:tcPr>
            <w:tcW w:w="1473" w:type="dxa"/>
          </w:tcPr>
          <w:p w14:paraId="79482FB5"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A41349">
              <w:rPr>
                <w:rFonts w:cstheme="minorHAnsi"/>
                <w:b/>
                <w:szCs w:val="22"/>
              </w:rPr>
              <w:t>LH1</w:t>
            </w:r>
          </w:p>
        </w:tc>
        <w:tc>
          <w:tcPr>
            <w:tcW w:w="1474" w:type="dxa"/>
          </w:tcPr>
          <w:p w14:paraId="615B2047"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A41349">
              <w:rPr>
                <w:rFonts w:cstheme="minorHAnsi"/>
                <w:b/>
                <w:szCs w:val="22"/>
              </w:rPr>
              <w:t>SL</w:t>
            </w:r>
          </w:p>
        </w:tc>
        <w:tc>
          <w:tcPr>
            <w:tcW w:w="1817" w:type="dxa"/>
          </w:tcPr>
          <w:p w14:paraId="7FF23B00"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A41349">
              <w:rPr>
                <w:rFonts w:cstheme="minorHAnsi"/>
                <w:b/>
                <w:szCs w:val="22"/>
              </w:rPr>
              <w:t>Total per year</w:t>
            </w:r>
          </w:p>
        </w:tc>
        <w:tc>
          <w:tcPr>
            <w:tcW w:w="1985" w:type="dxa"/>
          </w:tcPr>
          <w:p w14:paraId="0ACE6ED5"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A41349">
              <w:rPr>
                <w:rFonts w:cstheme="minorHAnsi"/>
                <w:b/>
                <w:szCs w:val="22"/>
              </w:rPr>
              <w:t>Total over 10 years</w:t>
            </w:r>
          </w:p>
        </w:tc>
      </w:tr>
      <w:tr w:rsidR="00C01E92" w:rsidRPr="00937695" w14:paraId="791570FB" w14:textId="77777777" w:rsidTr="00A41349">
        <w:tc>
          <w:tcPr>
            <w:cnfStyle w:val="001000000000" w:firstRow="0" w:lastRow="0" w:firstColumn="1" w:lastColumn="0" w:oddVBand="0" w:evenVBand="0" w:oddHBand="0" w:evenHBand="0" w:firstRowFirstColumn="0" w:firstRowLastColumn="0" w:lastRowFirstColumn="0" w:lastRowLastColumn="0"/>
            <w:tcW w:w="1271" w:type="dxa"/>
          </w:tcPr>
          <w:p w14:paraId="0E74EEFE" w14:textId="77777777" w:rsidR="00C01E92" w:rsidRPr="00937695" w:rsidRDefault="00C01E92" w:rsidP="00A41349">
            <w:pPr>
              <w:spacing w:after="60"/>
              <w:rPr>
                <w:rFonts w:cstheme="minorHAnsi"/>
                <w:szCs w:val="22"/>
              </w:rPr>
            </w:pPr>
            <w:r w:rsidRPr="00937695">
              <w:rPr>
                <w:rFonts w:cstheme="minorHAnsi"/>
                <w:szCs w:val="22"/>
              </w:rPr>
              <w:t>Option C.1.</w:t>
            </w:r>
          </w:p>
        </w:tc>
        <w:tc>
          <w:tcPr>
            <w:tcW w:w="1473" w:type="dxa"/>
          </w:tcPr>
          <w:p w14:paraId="37014A62" w14:textId="0D365042" w:rsidR="00C01E92" w:rsidRPr="00937695" w:rsidRDefault="00C01E92" w:rsidP="00A4134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937695">
              <w:rPr>
                <w:rFonts w:ascii="Arial Narrow" w:hAnsi="Arial Narrow" w:cstheme="minorHAnsi"/>
                <w:sz w:val="22"/>
                <w:szCs w:val="22"/>
                <w:lang w:val="en-US"/>
              </w:rPr>
              <w:t>$67,525</w:t>
            </w:r>
          </w:p>
        </w:tc>
        <w:tc>
          <w:tcPr>
            <w:tcW w:w="1473" w:type="dxa"/>
          </w:tcPr>
          <w:p w14:paraId="478F6FB6" w14:textId="56F089F2" w:rsidR="00C01E92" w:rsidRPr="00937695" w:rsidRDefault="00C01E92" w:rsidP="00A4134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937695">
              <w:rPr>
                <w:rFonts w:ascii="Arial Narrow" w:hAnsi="Arial Narrow" w:cstheme="minorHAnsi"/>
                <w:sz w:val="22"/>
                <w:szCs w:val="22"/>
                <w:lang w:val="en-US"/>
              </w:rPr>
              <w:t>$25,496</w:t>
            </w:r>
          </w:p>
        </w:tc>
        <w:tc>
          <w:tcPr>
            <w:tcW w:w="1474" w:type="dxa"/>
          </w:tcPr>
          <w:p w14:paraId="64BD7859" w14:textId="4BF26E4A" w:rsidR="00C01E92" w:rsidRPr="00937695" w:rsidRDefault="00C01E92" w:rsidP="00A4134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937695">
              <w:rPr>
                <w:rFonts w:ascii="Arial Narrow" w:hAnsi="Arial Narrow" w:cstheme="minorHAnsi"/>
                <w:sz w:val="22"/>
                <w:szCs w:val="22"/>
                <w:lang w:val="en-US"/>
              </w:rPr>
              <w:t>$152,911</w:t>
            </w:r>
          </w:p>
        </w:tc>
        <w:tc>
          <w:tcPr>
            <w:tcW w:w="1817" w:type="dxa"/>
          </w:tcPr>
          <w:p w14:paraId="53BEE95D" w14:textId="23602F6E" w:rsidR="00C01E92" w:rsidRPr="00937695" w:rsidRDefault="00C01E92" w:rsidP="00A4134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937695">
              <w:rPr>
                <w:rFonts w:ascii="Arial Narrow" w:hAnsi="Arial Narrow" w:cstheme="minorHAnsi"/>
                <w:sz w:val="22"/>
                <w:szCs w:val="22"/>
                <w:lang w:val="en-US"/>
              </w:rPr>
              <w:t>$22,285,846</w:t>
            </w:r>
          </w:p>
        </w:tc>
        <w:tc>
          <w:tcPr>
            <w:tcW w:w="1985" w:type="dxa"/>
          </w:tcPr>
          <w:p w14:paraId="5E0B785D" w14:textId="58342E39" w:rsidR="00C01E92" w:rsidRPr="00937695" w:rsidRDefault="00C01E92" w:rsidP="00A4134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937695">
              <w:rPr>
                <w:rFonts w:ascii="Arial Narrow" w:hAnsi="Arial Narrow" w:cstheme="minorHAnsi"/>
                <w:sz w:val="22"/>
                <w:szCs w:val="22"/>
                <w:lang w:val="en-US"/>
              </w:rPr>
              <w:t>$285,148,097</w:t>
            </w:r>
          </w:p>
        </w:tc>
      </w:tr>
      <w:tr w:rsidR="00C01E92" w:rsidRPr="00937695" w14:paraId="3FD06460" w14:textId="77777777" w:rsidTr="00A41349">
        <w:tc>
          <w:tcPr>
            <w:cnfStyle w:val="001000000000" w:firstRow="0" w:lastRow="0" w:firstColumn="1" w:lastColumn="0" w:oddVBand="0" w:evenVBand="0" w:oddHBand="0" w:evenHBand="0" w:firstRowFirstColumn="0" w:firstRowLastColumn="0" w:lastRowFirstColumn="0" w:lastRowLastColumn="0"/>
            <w:tcW w:w="1271" w:type="dxa"/>
          </w:tcPr>
          <w:p w14:paraId="469C4E49" w14:textId="77777777" w:rsidR="00C01E92" w:rsidRPr="00937695" w:rsidRDefault="00C01E92" w:rsidP="00A41349">
            <w:pPr>
              <w:spacing w:after="60"/>
              <w:rPr>
                <w:rFonts w:cstheme="minorHAnsi"/>
                <w:szCs w:val="22"/>
              </w:rPr>
            </w:pPr>
            <w:r w:rsidRPr="00937695">
              <w:rPr>
                <w:rFonts w:cstheme="minorHAnsi"/>
                <w:szCs w:val="22"/>
              </w:rPr>
              <w:t>Option C.2.</w:t>
            </w:r>
          </w:p>
        </w:tc>
        <w:tc>
          <w:tcPr>
            <w:tcW w:w="1473" w:type="dxa"/>
          </w:tcPr>
          <w:p w14:paraId="75741F28" w14:textId="25EACFBE" w:rsidR="00C01E92" w:rsidRPr="00937695" w:rsidRDefault="00C01E92" w:rsidP="00A4134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937695">
              <w:rPr>
                <w:rFonts w:ascii="Arial Narrow" w:hAnsi="Arial Narrow" w:cstheme="minorHAnsi"/>
                <w:sz w:val="22"/>
                <w:szCs w:val="22"/>
                <w:lang w:val="en-US"/>
              </w:rPr>
              <w:t>$64,470</w:t>
            </w:r>
          </w:p>
        </w:tc>
        <w:tc>
          <w:tcPr>
            <w:tcW w:w="1473" w:type="dxa"/>
          </w:tcPr>
          <w:p w14:paraId="02DC3D2B" w14:textId="549EBE91" w:rsidR="00C01E92" w:rsidRPr="00937695" w:rsidRDefault="00C01E92" w:rsidP="00A4134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937695">
              <w:rPr>
                <w:rFonts w:ascii="Arial Narrow" w:hAnsi="Arial Narrow" w:cstheme="minorHAnsi"/>
                <w:sz w:val="22"/>
                <w:szCs w:val="22"/>
                <w:lang w:val="en-US"/>
              </w:rPr>
              <w:t>$25,496</w:t>
            </w:r>
          </w:p>
        </w:tc>
        <w:tc>
          <w:tcPr>
            <w:tcW w:w="1474" w:type="dxa"/>
          </w:tcPr>
          <w:p w14:paraId="56234302" w14:textId="793AF4E6" w:rsidR="00C01E92" w:rsidRPr="00937695" w:rsidRDefault="00C01E92" w:rsidP="00A4134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937695">
              <w:rPr>
                <w:rFonts w:ascii="Arial Narrow" w:hAnsi="Arial Narrow" w:cstheme="minorHAnsi"/>
                <w:sz w:val="22"/>
                <w:szCs w:val="22"/>
                <w:lang w:val="en-US"/>
              </w:rPr>
              <w:t>$148,676</w:t>
            </w:r>
          </w:p>
        </w:tc>
        <w:tc>
          <w:tcPr>
            <w:tcW w:w="1817" w:type="dxa"/>
          </w:tcPr>
          <w:p w14:paraId="21CE79E6" w14:textId="7B94FE0E" w:rsidR="00C01E92" w:rsidRPr="00937695" w:rsidRDefault="00C01E92" w:rsidP="00A4134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937695">
              <w:rPr>
                <w:rFonts w:ascii="Arial Narrow" w:hAnsi="Arial Narrow" w:cstheme="minorHAnsi"/>
                <w:sz w:val="22"/>
                <w:szCs w:val="22"/>
                <w:lang w:val="en-US"/>
              </w:rPr>
              <w:t>$21,408,755</w:t>
            </w:r>
          </w:p>
        </w:tc>
        <w:tc>
          <w:tcPr>
            <w:tcW w:w="1985" w:type="dxa"/>
          </w:tcPr>
          <w:p w14:paraId="092732B1" w14:textId="6180E231" w:rsidR="00C01E92" w:rsidRPr="00937695" w:rsidRDefault="00C01E92" w:rsidP="00A4134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937695">
              <w:rPr>
                <w:rFonts w:ascii="Arial Narrow" w:hAnsi="Arial Narrow" w:cstheme="minorHAnsi"/>
                <w:sz w:val="22"/>
                <w:szCs w:val="22"/>
                <w:lang w:val="en-US"/>
              </w:rPr>
              <w:t>$273,925,697</w:t>
            </w:r>
          </w:p>
        </w:tc>
      </w:tr>
    </w:tbl>
    <w:p w14:paraId="38A799EE" w14:textId="55F9E041" w:rsidR="00C01E92"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_Ref23517226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Table 21</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gives the score allocated to Option C.1. Status Quo and Option C.2. Alignment based on the costs they impose on providers and the industry as a whole relative to the base case.</w:t>
      </w:r>
    </w:p>
    <w:p w14:paraId="10C91E40" w14:textId="176BF482" w:rsidR="00C01E92" w:rsidRPr="000107A9" w:rsidRDefault="00C01E92" w:rsidP="00F7569F">
      <w:pPr>
        <w:pStyle w:val="Caption"/>
      </w:pPr>
      <w:bookmarkStart w:id="182" w:name="_Ref23517226"/>
      <w:bookmarkStart w:id="183" w:name="_Toc32592804"/>
      <w:r w:rsidRPr="000107A9">
        <w:t xml:space="preserve">Table </w:t>
      </w:r>
      <w:r w:rsidRPr="000107A9">
        <w:fldChar w:fldCharType="begin"/>
      </w:r>
      <w:r w:rsidRPr="000107A9">
        <w:instrText xml:space="preserve"> SEQ Table \* ARABIC </w:instrText>
      </w:r>
      <w:r w:rsidRPr="000107A9">
        <w:fldChar w:fldCharType="separate"/>
      </w:r>
      <w:r w:rsidR="00493211">
        <w:rPr>
          <w:noProof/>
        </w:rPr>
        <w:t>21</w:t>
      </w:r>
      <w:r w:rsidRPr="000107A9">
        <w:fldChar w:fldCharType="end"/>
      </w:r>
      <w:bookmarkEnd w:id="182"/>
      <w:r w:rsidRPr="000107A9">
        <w:t xml:space="preserve"> Staffing - costs to industry</w:t>
      </w:r>
      <w:bookmarkEnd w:id="183"/>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609"/>
        <w:gridCol w:w="3774"/>
        <w:gridCol w:w="1413"/>
        <w:gridCol w:w="1413"/>
        <w:gridCol w:w="1413"/>
      </w:tblGrid>
      <w:tr w:rsidR="00C01E92" w:rsidRPr="00A41349" w14:paraId="705F9AF5" w14:textId="77777777" w:rsidTr="000171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Borders>
              <w:right w:val="none" w:sz="0" w:space="0" w:color="auto"/>
            </w:tcBorders>
          </w:tcPr>
          <w:p w14:paraId="0E9A281D" w14:textId="77777777" w:rsidR="00C01E92" w:rsidRPr="00A41349" w:rsidRDefault="00C01E92" w:rsidP="00A41349">
            <w:pPr>
              <w:spacing w:after="60"/>
              <w:rPr>
                <w:rStyle w:val="Strong"/>
                <w:rFonts w:cstheme="minorHAnsi"/>
                <w:b/>
                <w:szCs w:val="22"/>
              </w:rPr>
            </w:pPr>
            <w:r w:rsidRPr="00A41349">
              <w:rPr>
                <w:rStyle w:val="Strong"/>
                <w:rFonts w:cstheme="minorHAnsi"/>
                <w:b/>
                <w:szCs w:val="22"/>
              </w:rPr>
              <w:t>Criterion</w:t>
            </w:r>
          </w:p>
        </w:tc>
        <w:tc>
          <w:tcPr>
            <w:tcW w:w="1961" w:type="pct"/>
            <w:tcBorders>
              <w:left w:val="none" w:sz="0" w:space="0" w:color="auto"/>
              <w:right w:val="none" w:sz="0" w:space="0" w:color="auto"/>
            </w:tcBorders>
          </w:tcPr>
          <w:p w14:paraId="4B01901D" w14:textId="77777777" w:rsidR="00C01E92" w:rsidRPr="00A41349" w:rsidRDefault="00C01E92" w:rsidP="00A41349">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41349">
              <w:rPr>
                <w:rStyle w:val="Strong"/>
                <w:rFonts w:cstheme="minorHAnsi"/>
                <w:b/>
                <w:szCs w:val="22"/>
              </w:rPr>
              <w:t>Description</w:t>
            </w:r>
          </w:p>
        </w:tc>
        <w:tc>
          <w:tcPr>
            <w:tcW w:w="734" w:type="pct"/>
            <w:tcBorders>
              <w:left w:val="none" w:sz="0" w:space="0" w:color="auto"/>
              <w:right w:val="none" w:sz="0" w:space="0" w:color="auto"/>
            </w:tcBorders>
          </w:tcPr>
          <w:p w14:paraId="16028F7D" w14:textId="77777777" w:rsidR="00C01E92" w:rsidRPr="00A41349" w:rsidRDefault="00C01E92" w:rsidP="00A41349">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41349">
              <w:rPr>
                <w:rStyle w:val="Strong"/>
                <w:rFonts w:cstheme="minorHAnsi"/>
                <w:b/>
                <w:szCs w:val="22"/>
              </w:rPr>
              <w:t>Weighting</w:t>
            </w:r>
          </w:p>
        </w:tc>
        <w:tc>
          <w:tcPr>
            <w:tcW w:w="734" w:type="pct"/>
            <w:tcBorders>
              <w:left w:val="none" w:sz="0" w:space="0" w:color="auto"/>
              <w:right w:val="none" w:sz="0" w:space="0" w:color="auto"/>
            </w:tcBorders>
          </w:tcPr>
          <w:p w14:paraId="7B4777E9" w14:textId="77777777" w:rsidR="00C01E92" w:rsidRPr="00A41349" w:rsidRDefault="00C01E92" w:rsidP="00A41349">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41349">
              <w:rPr>
                <w:rStyle w:val="Strong"/>
                <w:rFonts w:cstheme="minorHAnsi"/>
                <w:b/>
                <w:szCs w:val="22"/>
              </w:rPr>
              <w:t>Option C.1</w:t>
            </w:r>
          </w:p>
        </w:tc>
        <w:tc>
          <w:tcPr>
            <w:tcW w:w="734" w:type="pct"/>
            <w:tcBorders>
              <w:left w:val="none" w:sz="0" w:space="0" w:color="auto"/>
            </w:tcBorders>
          </w:tcPr>
          <w:p w14:paraId="7FD02D1C" w14:textId="77777777" w:rsidR="00C01E92" w:rsidRPr="00A41349" w:rsidRDefault="00C01E92" w:rsidP="00A41349">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41349">
              <w:rPr>
                <w:rStyle w:val="Strong"/>
                <w:rFonts w:cstheme="minorHAnsi"/>
                <w:b/>
                <w:szCs w:val="22"/>
              </w:rPr>
              <w:t>Option C.2</w:t>
            </w:r>
          </w:p>
        </w:tc>
      </w:tr>
      <w:tr w:rsidR="00C01E92" w:rsidRPr="00A41349" w14:paraId="7F28DF05" w14:textId="77777777" w:rsidTr="0001719C">
        <w:trPr>
          <w:trHeight w:val="358"/>
        </w:trPr>
        <w:tc>
          <w:tcPr>
            <w:cnfStyle w:val="001000000000" w:firstRow="0" w:lastRow="0" w:firstColumn="1" w:lastColumn="0" w:oddVBand="0" w:evenVBand="0" w:oddHBand="0" w:evenHBand="0" w:firstRowFirstColumn="0" w:firstRowLastColumn="0" w:lastRowFirstColumn="0" w:lastRowLastColumn="0"/>
            <w:tcW w:w="836" w:type="pct"/>
            <w:tcBorders>
              <w:bottom w:val="single" w:sz="4" w:space="0" w:color="004EA8" w:themeColor="accent1"/>
            </w:tcBorders>
          </w:tcPr>
          <w:p w14:paraId="1EC898B9" w14:textId="77777777" w:rsidR="00C01E92" w:rsidRPr="00A41349" w:rsidRDefault="00C01E92" w:rsidP="00A41349">
            <w:pPr>
              <w:spacing w:after="60"/>
              <w:rPr>
                <w:rFonts w:cstheme="minorHAnsi"/>
                <w:szCs w:val="22"/>
              </w:rPr>
            </w:pPr>
            <w:r w:rsidRPr="00A41349">
              <w:rPr>
                <w:rFonts w:cstheme="minorHAnsi"/>
                <w:szCs w:val="22"/>
              </w:rPr>
              <w:t>Cost to industry</w:t>
            </w:r>
          </w:p>
        </w:tc>
        <w:tc>
          <w:tcPr>
            <w:tcW w:w="1961" w:type="pct"/>
            <w:tcBorders>
              <w:bottom w:val="single" w:sz="4" w:space="0" w:color="004EA8" w:themeColor="accent1"/>
            </w:tcBorders>
          </w:tcPr>
          <w:p w14:paraId="1097C475" w14:textId="082EAC1D"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Costs to industry imposed by staffing requirements under the Regulations.</w:t>
            </w:r>
          </w:p>
        </w:tc>
        <w:tc>
          <w:tcPr>
            <w:tcW w:w="734" w:type="pct"/>
            <w:tcBorders>
              <w:bottom w:val="single" w:sz="4" w:space="0" w:color="004EA8" w:themeColor="accent1"/>
            </w:tcBorders>
          </w:tcPr>
          <w:p w14:paraId="2958686A" w14:textId="77777777" w:rsidR="00C01E92" w:rsidRPr="00A41349" w:rsidRDefault="00C01E92" w:rsidP="00A41349">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35%</w:t>
            </w:r>
          </w:p>
        </w:tc>
        <w:tc>
          <w:tcPr>
            <w:tcW w:w="734" w:type="pct"/>
            <w:tcBorders>
              <w:bottom w:val="single" w:sz="4" w:space="0" w:color="004EA8" w:themeColor="accent1"/>
            </w:tcBorders>
          </w:tcPr>
          <w:p w14:paraId="3FAA6EEB" w14:textId="77777777" w:rsidR="00C01E92" w:rsidRPr="00A41349" w:rsidRDefault="00C01E92" w:rsidP="00A41349">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-3</w:t>
            </w:r>
          </w:p>
        </w:tc>
        <w:tc>
          <w:tcPr>
            <w:tcW w:w="734" w:type="pct"/>
            <w:tcBorders>
              <w:bottom w:val="single" w:sz="4" w:space="0" w:color="004EA8" w:themeColor="accent1"/>
            </w:tcBorders>
          </w:tcPr>
          <w:p w14:paraId="086E00FF" w14:textId="77777777" w:rsidR="00C01E92" w:rsidRPr="00A41349" w:rsidRDefault="00C01E92" w:rsidP="00A41349">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-2.5</w:t>
            </w:r>
          </w:p>
        </w:tc>
      </w:tr>
      <w:tr w:rsidR="00C01E92" w:rsidRPr="00A41349" w14:paraId="775D0CF4" w14:textId="77777777" w:rsidTr="0001719C">
        <w:trPr>
          <w:trHeight w:val="358"/>
        </w:trPr>
        <w:tc>
          <w:tcPr>
            <w:cnfStyle w:val="001000000000" w:firstRow="0" w:lastRow="0" w:firstColumn="1" w:lastColumn="0" w:oddVBand="0" w:evenVBand="0" w:oddHBand="0" w:evenHBand="0" w:firstRowFirstColumn="0" w:firstRowLastColumn="0" w:lastRowFirstColumn="0" w:lastRowLastColumn="0"/>
            <w:tcW w:w="836" w:type="pct"/>
            <w:tcBorders>
              <w:right w:val="nil"/>
            </w:tcBorders>
          </w:tcPr>
          <w:p w14:paraId="5E00BF59" w14:textId="77777777" w:rsidR="00C01E92" w:rsidRPr="00A41349" w:rsidRDefault="00C01E92" w:rsidP="00A41349">
            <w:pPr>
              <w:spacing w:after="60"/>
              <w:rPr>
                <w:rFonts w:cstheme="minorHAnsi"/>
                <w:b/>
                <w:szCs w:val="22"/>
              </w:rPr>
            </w:pPr>
            <w:r w:rsidRPr="00A41349">
              <w:rPr>
                <w:rFonts w:cstheme="minorHAnsi"/>
                <w:b/>
                <w:szCs w:val="22"/>
              </w:rPr>
              <w:t>Total</w:t>
            </w:r>
          </w:p>
        </w:tc>
        <w:tc>
          <w:tcPr>
            <w:tcW w:w="1961" w:type="pct"/>
            <w:tcBorders>
              <w:left w:val="nil"/>
              <w:right w:val="nil"/>
            </w:tcBorders>
          </w:tcPr>
          <w:p w14:paraId="5DB98EF9"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734" w:type="pct"/>
            <w:tcBorders>
              <w:left w:val="nil"/>
              <w:right w:val="nil"/>
            </w:tcBorders>
          </w:tcPr>
          <w:p w14:paraId="32AED7E6" w14:textId="77777777" w:rsidR="00C01E92" w:rsidRPr="00A41349" w:rsidRDefault="00C01E92" w:rsidP="00A41349">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734" w:type="pct"/>
            <w:tcBorders>
              <w:left w:val="nil"/>
              <w:right w:val="nil"/>
            </w:tcBorders>
          </w:tcPr>
          <w:p w14:paraId="789D6C8A" w14:textId="77777777" w:rsidR="00C01E92" w:rsidRPr="00A41349" w:rsidRDefault="00C01E92" w:rsidP="00A41349">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A41349">
              <w:rPr>
                <w:rFonts w:cstheme="minorHAnsi"/>
                <w:b/>
                <w:szCs w:val="22"/>
              </w:rPr>
              <w:t>-1.05</w:t>
            </w:r>
          </w:p>
        </w:tc>
        <w:tc>
          <w:tcPr>
            <w:tcW w:w="734" w:type="pct"/>
            <w:tcBorders>
              <w:left w:val="nil"/>
            </w:tcBorders>
          </w:tcPr>
          <w:p w14:paraId="4A59F01B" w14:textId="77777777" w:rsidR="00C01E92" w:rsidRPr="00A41349" w:rsidRDefault="00C01E92" w:rsidP="00A41349">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A41349">
              <w:rPr>
                <w:rFonts w:cstheme="minorHAnsi"/>
                <w:b/>
                <w:szCs w:val="22"/>
              </w:rPr>
              <w:t>-0.88</w:t>
            </w:r>
          </w:p>
        </w:tc>
      </w:tr>
    </w:tbl>
    <w:p w14:paraId="47C6E1FA" w14:textId="77777777" w:rsidR="00C01E92" w:rsidRPr="000107A9" w:rsidRDefault="00C01E92" w:rsidP="002806C5">
      <w:pPr>
        <w:pStyle w:val="EYHeading4"/>
        <w:numPr>
          <w:ilvl w:val="3"/>
          <w:numId w:val="80"/>
        </w:numPr>
        <w:spacing w:before="120"/>
        <w:rPr>
          <w:rFonts w:asciiTheme="minorHAnsi" w:hAnsiTheme="minorHAnsi" w:cstheme="minorHAnsi"/>
          <w:szCs w:val="22"/>
        </w:rPr>
      </w:pPr>
      <w:bookmarkStart w:id="184" w:name="_Ref24541415"/>
      <w:r w:rsidRPr="000107A9">
        <w:rPr>
          <w:rFonts w:asciiTheme="minorHAnsi" w:hAnsiTheme="minorHAnsi" w:cstheme="minorHAnsi"/>
          <w:szCs w:val="22"/>
        </w:rPr>
        <w:t>Safety, health and wellbeing of children</w:t>
      </w:r>
      <w:bookmarkEnd w:id="184"/>
    </w:p>
    <w:p w14:paraId="33D81F0B"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Act includes a general obligation on providers to protect children in their care from harm and hazards. The safety, health and wellbeing requirements under Option D.1. Status Quo and Option D.2. Alignment outline specific requirements in relation to children’s safety, health and wellbeing, but do not specifically support this obligation under the Act. Therefore, quantifying the cost of the two options in relation to the base case is challenging because it is difficult to estimate the degree to which services would prepare emergency procedures, ensure children have access to fresh drinking water, have a first-aid kit on hand, etc., to comply with the Act, even without any specific requirement to do so.</w:t>
      </w:r>
    </w:p>
    <w:p w14:paraId="052BC011"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lastRenderedPageBreak/>
        <w:t>Generally, both regulatory options would likely impose greater immediate costs than the base case because they require specific steps to be taken (services have less autonomy in choosing how they protect children in their care); and several impose administrative as well as substantive requirements, for example, as well as food being appropriate and nutritious, a weekly menu must be displayed (services may not consider it necessary to comply with the broader obligations under the Act).</w:t>
      </w:r>
    </w:p>
    <w:p w14:paraId="7A740232"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On the other hand, these requirements may act to avoid or considerably reduce the likelihood of other, more substantial costs to business, such as civil litigation arising from failing to properly protect children from harm.</w:t>
      </w:r>
    </w:p>
    <w:p w14:paraId="4F8536F1"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following requirements are not costed in this section as they are covered elsewhere in this RIS as noted:</w:t>
      </w:r>
    </w:p>
    <w:p w14:paraId="4499A247" w14:textId="67063D8E" w:rsidR="00C01E92" w:rsidRPr="000107A9" w:rsidRDefault="00C01E92" w:rsidP="002806C5">
      <w:pPr>
        <w:pStyle w:val="EYBulletnoparaspace"/>
        <w:numPr>
          <w:ilvl w:val="0"/>
          <w:numId w:val="66"/>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 xml:space="preserve">Develop emergency procedures and anaphylaxis management plans – included in the ‘initial establishment of policies and procedures’ costed in the registers and record-keeping section </w:t>
      </w: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_Ref25662406 \r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Pr>
          <w:rFonts w:asciiTheme="minorHAnsi" w:hAnsiTheme="minorHAnsi" w:cstheme="minorHAnsi"/>
          <w:sz w:val="22"/>
          <w:szCs w:val="22"/>
        </w:rPr>
        <w:t>6.2.1.7</w:t>
      </w:r>
      <w:r w:rsidRPr="000107A9">
        <w:rPr>
          <w:rFonts w:asciiTheme="minorHAnsi" w:hAnsiTheme="minorHAnsi" w:cstheme="minorHAnsi"/>
          <w:sz w:val="22"/>
          <w:szCs w:val="22"/>
        </w:rPr>
        <w:fldChar w:fldCharType="end"/>
      </w:r>
    </w:p>
    <w:p w14:paraId="54F358C1" w14:textId="0AB0F9C1" w:rsidR="00C01E92" w:rsidRPr="000107A9" w:rsidRDefault="00C01E92" w:rsidP="002806C5">
      <w:pPr>
        <w:pStyle w:val="EYBulletnoparaspace"/>
        <w:numPr>
          <w:ilvl w:val="0"/>
          <w:numId w:val="66"/>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 xml:space="preserve">Staff familiarisation with risk and medication plans part of training new staff – included in staffing costs outlined in section </w:t>
      </w: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_Ref23933964 \r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Pr>
          <w:rFonts w:asciiTheme="minorHAnsi" w:hAnsiTheme="minorHAnsi" w:cstheme="minorHAnsi"/>
          <w:sz w:val="22"/>
          <w:szCs w:val="22"/>
        </w:rPr>
        <w:t>6.2.2.3</w:t>
      </w:r>
      <w:r w:rsidRPr="000107A9">
        <w:rPr>
          <w:rFonts w:asciiTheme="minorHAnsi" w:hAnsiTheme="minorHAnsi" w:cstheme="minorHAnsi"/>
          <w:sz w:val="22"/>
          <w:szCs w:val="22"/>
        </w:rPr>
        <w:fldChar w:fldCharType="end"/>
      </w:r>
    </w:p>
    <w:p w14:paraId="16A0D196"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Two requirements are considered unlikely to impose any additional costs in comparison to the base case, for reasons noted:</w:t>
      </w:r>
    </w:p>
    <w:p w14:paraId="3295296E" w14:textId="77777777" w:rsidR="00C01E92" w:rsidRPr="000107A9" w:rsidRDefault="00C01E92" w:rsidP="002806C5">
      <w:pPr>
        <w:pStyle w:val="EYBulletnoparaspace"/>
        <w:numPr>
          <w:ilvl w:val="0"/>
          <w:numId w:val="66"/>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Children be cared for in a smoke-free environment – other legislation imposes this requirement</w:t>
      </w:r>
      <w:r w:rsidRPr="00D677D5">
        <w:rPr>
          <w:rStyle w:val="FootnoteReference"/>
          <w:rFonts w:asciiTheme="minorHAnsi" w:hAnsiTheme="minorHAnsi" w:cstheme="minorHAnsi"/>
          <w:color w:val="auto"/>
          <w:sz w:val="22"/>
          <w:szCs w:val="22"/>
        </w:rPr>
        <w:footnoteReference w:id="49"/>
      </w:r>
    </w:p>
    <w:p w14:paraId="1F6334CF" w14:textId="77777777" w:rsidR="00C01E92" w:rsidRPr="000107A9" w:rsidRDefault="00C01E92" w:rsidP="002806C5">
      <w:pPr>
        <w:pStyle w:val="EYBulletnoparaspace"/>
        <w:numPr>
          <w:ilvl w:val="0"/>
          <w:numId w:val="66"/>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Staff have access to a telephone – given the prevalence of mobile phone ownership, it is highly unlikely that staff members at a service would not have access to a phone.</w:t>
      </w:r>
    </w:p>
    <w:p w14:paraId="3BEDA67E"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Most of the remaining safety, health and wellbeing requirements under the Status Quo and Alignment options impose costs that are difficult to quantify because of variabilities in service environments and circumstances across this highly diverse sector. These requirements include:</w:t>
      </w:r>
    </w:p>
    <w:p w14:paraId="2718F994" w14:textId="77777777" w:rsidR="00C01E92" w:rsidRPr="000107A9" w:rsidRDefault="00C01E92" w:rsidP="002806C5">
      <w:pPr>
        <w:pStyle w:val="EYBulletnoparaspace"/>
        <w:numPr>
          <w:ilvl w:val="0"/>
          <w:numId w:val="66"/>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Ensuring parents can access services and exchange information about their children</w:t>
      </w:r>
    </w:p>
    <w:p w14:paraId="042B7963" w14:textId="7B3A2FCD" w:rsidR="00C01E92" w:rsidRPr="000107A9" w:rsidRDefault="00C01E92" w:rsidP="002806C5">
      <w:pPr>
        <w:pStyle w:val="EYBulletnoparaspace"/>
        <w:numPr>
          <w:ilvl w:val="0"/>
          <w:numId w:val="66"/>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 xml:space="preserve">Ensuring that children do not leave the service in the care of someone other than their parent or other authorised person (this may also be covered in the costs of keeping enrolment and attendance records, costed in section </w:t>
      </w: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_Ref25662406 \r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Pr>
          <w:rFonts w:asciiTheme="minorHAnsi" w:hAnsiTheme="minorHAnsi" w:cstheme="minorHAnsi"/>
          <w:sz w:val="22"/>
          <w:szCs w:val="22"/>
        </w:rPr>
        <w:t>6.2.1.7</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w:t>
      </w:r>
    </w:p>
    <w:p w14:paraId="12DC7D8B" w14:textId="77777777" w:rsidR="00C01E92" w:rsidRPr="000107A9" w:rsidRDefault="00C01E92" w:rsidP="002806C5">
      <w:pPr>
        <w:pStyle w:val="EYBulletnoparaspace"/>
        <w:numPr>
          <w:ilvl w:val="0"/>
          <w:numId w:val="66"/>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Children’s personal hygiene needs being met</w:t>
      </w:r>
    </w:p>
    <w:p w14:paraId="2FC90847" w14:textId="77777777" w:rsidR="00C01E92" w:rsidRPr="000107A9" w:rsidRDefault="00C01E92" w:rsidP="002806C5">
      <w:pPr>
        <w:pStyle w:val="EYBulletnoparaspace"/>
        <w:numPr>
          <w:ilvl w:val="0"/>
          <w:numId w:val="66"/>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Suitable food and beverages being provided</w:t>
      </w:r>
    </w:p>
    <w:p w14:paraId="4E4F49E8" w14:textId="77777777" w:rsidR="00C01E92" w:rsidRPr="000107A9" w:rsidRDefault="00C01E92" w:rsidP="002806C5">
      <w:pPr>
        <w:pStyle w:val="EYBulletnoparaspace"/>
        <w:numPr>
          <w:ilvl w:val="0"/>
          <w:numId w:val="66"/>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Food being nutritious and varied with a weekly menu displayed</w:t>
      </w:r>
    </w:p>
    <w:p w14:paraId="52D33960" w14:textId="77777777" w:rsidR="00C01E92" w:rsidRPr="000107A9" w:rsidRDefault="00C01E92" w:rsidP="002806C5">
      <w:pPr>
        <w:pStyle w:val="EYBulletnoparaspace"/>
        <w:numPr>
          <w:ilvl w:val="0"/>
          <w:numId w:val="66"/>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Ensuring access to fresh drinking water (it is also highly unlikely that any premises approved to operate a children’s service would not comply with this requirement)</w:t>
      </w:r>
    </w:p>
    <w:p w14:paraId="0C4CE787" w14:textId="6D55B262"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Option D.1. Status Quo and Option D.2. Alignment impose the same requirements on providers, such as excursions and first aid training. This analysis is contained in </w:t>
      </w: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_Ref24548483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 xml:space="preserve">Table </w:t>
      </w:r>
      <w:r w:rsidR="00493211" w:rsidRPr="00493211">
        <w:rPr>
          <w:rFonts w:asciiTheme="minorHAnsi" w:hAnsiTheme="minorHAnsi" w:cstheme="minorHAnsi"/>
          <w:noProof/>
          <w:sz w:val="22"/>
          <w:szCs w:val="22"/>
        </w:rPr>
        <w:t>22</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and </w:t>
      </w: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_Ref24548539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Table 23</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The figures in these tables should not be considered as absolute costs, as services may well comply with these requirements even in the base case scenario. However, for new providers to the sector, they do provide an indication of some costs.</w:t>
      </w:r>
    </w:p>
    <w:p w14:paraId="7D5ADCBD" w14:textId="7510F8B9"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lastRenderedPageBreak/>
        <w:fldChar w:fldCharType="begin"/>
      </w:r>
      <w:r w:rsidRPr="000107A9">
        <w:rPr>
          <w:rFonts w:asciiTheme="minorHAnsi" w:hAnsiTheme="minorHAnsi" w:cstheme="minorHAnsi"/>
          <w:sz w:val="22"/>
          <w:szCs w:val="22"/>
        </w:rPr>
        <w:instrText xml:space="preserve"> REF _Ref24548483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 xml:space="preserve">Table </w:t>
      </w:r>
      <w:r w:rsidR="00493211" w:rsidRPr="00493211">
        <w:rPr>
          <w:rFonts w:asciiTheme="minorHAnsi" w:hAnsiTheme="minorHAnsi" w:cstheme="minorHAnsi"/>
          <w:noProof/>
          <w:sz w:val="22"/>
          <w:szCs w:val="22"/>
        </w:rPr>
        <w:t>22</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sets out the excursion requirements which are the same in Status Quo and Alignment options. The cost to industry reflects the projected costs over the next 10 years. A Certificate III-employee is assumed to complete these tasks.</w:t>
      </w:r>
    </w:p>
    <w:p w14:paraId="21D32F6E" w14:textId="395E00D4" w:rsidR="00C01E92" w:rsidRPr="000107A9" w:rsidRDefault="00C01E92" w:rsidP="00F7569F">
      <w:pPr>
        <w:pStyle w:val="Caption"/>
      </w:pPr>
      <w:bookmarkStart w:id="185" w:name="_Ref24548483"/>
      <w:bookmarkStart w:id="186" w:name="_Toc32592805"/>
      <w:r w:rsidRPr="000107A9">
        <w:t xml:space="preserve">Table </w:t>
      </w:r>
      <w:r w:rsidRPr="000107A9">
        <w:fldChar w:fldCharType="begin"/>
      </w:r>
      <w:r w:rsidRPr="000107A9">
        <w:instrText xml:space="preserve"> SEQ Table \* ARABIC </w:instrText>
      </w:r>
      <w:r w:rsidRPr="000107A9">
        <w:fldChar w:fldCharType="separate"/>
      </w:r>
      <w:r w:rsidR="00493211">
        <w:rPr>
          <w:noProof/>
        </w:rPr>
        <w:t>22</w:t>
      </w:r>
      <w:r w:rsidRPr="000107A9">
        <w:fldChar w:fldCharType="end"/>
      </w:r>
      <w:bookmarkEnd w:id="185"/>
      <w:r w:rsidRPr="000107A9">
        <w:t xml:space="preserve"> </w:t>
      </w:r>
      <w:r w:rsidR="00AF17D0">
        <w:t>Safety, health and wellbeing for children -</w:t>
      </w:r>
      <w:r w:rsidRPr="000107A9">
        <w:t xml:space="preserve"> costs to industry</w:t>
      </w:r>
      <w:bookmarkEnd w:id="186"/>
    </w:p>
    <w:tbl>
      <w:tblPr>
        <w:tblStyle w:val="TableGrid"/>
        <w:tblW w:w="0" w:type="auto"/>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2708"/>
        <w:gridCol w:w="874"/>
        <w:gridCol w:w="875"/>
        <w:gridCol w:w="875"/>
        <w:gridCol w:w="875"/>
        <w:gridCol w:w="1406"/>
        <w:gridCol w:w="1406"/>
      </w:tblGrid>
      <w:tr w:rsidR="00C01E92" w:rsidRPr="00A41349" w14:paraId="6C148E50" w14:textId="77777777" w:rsidTr="00A41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8" w:type="dxa"/>
            <w:vMerge w:val="restart"/>
            <w:tcBorders>
              <w:right w:val="none" w:sz="0" w:space="0" w:color="auto"/>
            </w:tcBorders>
          </w:tcPr>
          <w:p w14:paraId="3DCF50AC" w14:textId="77777777" w:rsidR="00C01E92" w:rsidRPr="00A41349" w:rsidRDefault="00C01E92" w:rsidP="00A41349">
            <w:pPr>
              <w:spacing w:after="60"/>
              <w:rPr>
                <w:rFonts w:cstheme="minorHAnsi"/>
                <w:szCs w:val="22"/>
              </w:rPr>
            </w:pPr>
          </w:p>
        </w:tc>
        <w:tc>
          <w:tcPr>
            <w:tcW w:w="3499" w:type="dxa"/>
            <w:gridSpan w:val="4"/>
            <w:tcBorders>
              <w:left w:val="none" w:sz="0" w:space="0" w:color="auto"/>
              <w:right w:val="none" w:sz="0" w:space="0" w:color="auto"/>
            </w:tcBorders>
          </w:tcPr>
          <w:p w14:paraId="5556BBC9" w14:textId="77777777" w:rsidR="00C01E92" w:rsidRPr="00A41349" w:rsidRDefault="00C01E92" w:rsidP="00A41349">
            <w:pPr>
              <w:spacing w:after="60"/>
              <w:cnfStyle w:val="100000000000" w:firstRow="1" w:lastRow="0" w:firstColumn="0" w:lastColumn="0" w:oddVBand="0" w:evenVBand="0" w:oddHBand="0" w:evenHBand="0" w:firstRowFirstColumn="0" w:firstRowLastColumn="0" w:lastRowFirstColumn="0" w:lastRowLastColumn="0"/>
              <w:rPr>
                <w:rFonts w:cstheme="minorHAnsi"/>
                <w:szCs w:val="22"/>
              </w:rPr>
            </w:pPr>
            <w:r w:rsidRPr="00A41349">
              <w:rPr>
                <w:rFonts w:cstheme="minorHAnsi"/>
                <w:color w:val="FFFFFF"/>
                <w:szCs w:val="22"/>
              </w:rPr>
              <w:t>Cost per provider</w:t>
            </w:r>
          </w:p>
        </w:tc>
        <w:tc>
          <w:tcPr>
            <w:tcW w:w="2812" w:type="dxa"/>
            <w:gridSpan w:val="2"/>
            <w:tcBorders>
              <w:left w:val="none" w:sz="0" w:space="0" w:color="auto"/>
            </w:tcBorders>
          </w:tcPr>
          <w:p w14:paraId="7B6EFE09" w14:textId="77777777" w:rsidR="00C01E92" w:rsidRPr="00A41349" w:rsidRDefault="00C01E92" w:rsidP="00A41349">
            <w:pPr>
              <w:spacing w:after="60"/>
              <w:cnfStyle w:val="100000000000" w:firstRow="1"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Cost to industry</w:t>
            </w:r>
          </w:p>
        </w:tc>
      </w:tr>
      <w:tr w:rsidR="00C01E92" w:rsidRPr="00A41349" w14:paraId="426FB513" w14:textId="77777777" w:rsidTr="00A41349">
        <w:tc>
          <w:tcPr>
            <w:cnfStyle w:val="001000000000" w:firstRow="0" w:lastRow="0" w:firstColumn="1" w:lastColumn="0" w:oddVBand="0" w:evenVBand="0" w:oddHBand="0" w:evenHBand="0" w:firstRowFirstColumn="0" w:firstRowLastColumn="0" w:lastRowFirstColumn="0" w:lastRowLastColumn="0"/>
            <w:tcW w:w="2708" w:type="dxa"/>
            <w:vMerge/>
          </w:tcPr>
          <w:p w14:paraId="6BA47464" w14:textId="77777777" w:rsidR="00C01E92" w:rsidRPr="00A41349" w:rsidRDefault="00C01E92" w:rsidP="00A41349">
            <w:pPr>
              <w:spacing w:after="60"/>
              <w:rPr>
                <w:rFonts w:cstheme="minorHAnsi"/>
                <w:b/>
                <w:szCs w:val="22"/>
              </w:rPr>
            </w:pPr>
          </w:p>
        </w:tc>
        <w:tc>
          <w:tcPr>
            <w:tcW w:w="1749" w:type="dxa"/>
            <w:gridSpan w:val="2"/>
          </w:tcPr>
          <w:p w14:paraId="1F121EBC"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A41349">
              <w:rPr>
                <w:rFonts w:cstheme="minorHAnsi"/>
                <w:b/>
                <w:szCs w:val="22"/>
              </w:rPr>
              <w:t>Small</w:t>
            </w:r>
          </w:p>
        </w:tc>
        <w:tc>
          <w:tcPr>
            <w:tcW w:w="1750" w:type="dxa"/>
            <w:gridSpan w:val="2"/>
          </w:tcPr>
          <w:p w14:paraId="1531D643"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A41349">
              <w:rPr>
                <w:rFonts w:cstheme="minorHAnsi"/>
                <w:b/>
                <w:szCs w:val="22"/>
              </w:rPr>
              <w:t>Medium</w:t>
            </w:r>
          </w:p>
        </w:tc>
        <w:tc>
          <w:tcPr>
            <w:tcW w:w="1406" w:type="dxa"/>
          </w:tcPr>
          <w:p w14:paraId="33F57227"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A41349">
              <w:rPr>
                <w:rFonts w:cstheme="minorHAnsi"/>
                <w:b/>
                <w:szCs w:val="22"/>
              </w:rPr>
              <w:t>Per year</w:t>
            </w:r>
          </w:p>
        </w:tc>
        <w:tc>
          <w:tcPr>
            <w:tcW w:w="1406" w:type="dxa"/>
          </w:tcPr>
          <w:p w14:paraId="6A290347" w14:textId="77777777" w:rsidR="00C01E92" w:rsidRPr="00A41349"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A41349">
              <w:rPr>
                <w:rFonts w:cstheme="minorHAnsi"/>
                <w:b/>
                <w:szCs w:val="22"/>
              </w:rPr>
              <w:t>Over 10 years</w:t>
            </w:r>
          </w:p>
        </w:tc>
      </w:tr>
      <w:tr w:rsidR="00C01E92" w:rsidRPr="00937695" w14:paraId="64FFC456" w14:textId="77777777" w:rsidTr="00A41349">
        <w:tc>
          <w:tcPr>
            <w:cnfStyle w:val="001000000000" w:firstRow="0" w:lastRow="0" w:firstColumn="1" w:lastColumn="0" w:oddVBand="0" w:evenVBand="0" w:oddHBand="0" w:evenHBand="0" w:firstRowFirstColumn="0" w:firstRowLastColumn="0" w:lastRowFirstColumn="0" w:lastRowLastColumn="0"/>
            <w:tcW w:w="2708" w:type="dxa"/>
          </w:tcPr>
          <w:p w14:paraId="52828486" w14:textId="77777777" w:rsidR="00C01E92" w:rsidRPr="00937695" w:rsidRDefault="00C01E92" w:rsidP="00A41349">
            <w:pPr>
              <w:spacing w:after="60"/>
              <w:rPr>
                <w:rFonts w:cstheme="minorHAnsi"/>
                <w:szCs w:val="22"/>
              </w:rPr>
            </w:pPr>
            <w:r w:rsidRPr="00937695">
              <w:rPr>
                <w:rFonts w:cstheme="minorHAnsi"/>
                <w:szCs w:val="22"/>
              </w:rPr>
              <w:t>Obtaining authorisation for excursions</w:t>
            </w:r>
            <w:r w:rsidRPr="00A710FC">
              <w:rPr>
                <w:rFonts w:cstheme="minorHAnsi"/>
                <w:b/>
                <w:szCs w:val="22"/>
              </w:rPr>
              <w:t>*</w:t>
            </w:r>
          </w:p>
        </w:tc>
        <w:tc>
          <w:tcPr>
            <w:tcW w:w="874" w:type="dxa"/>
          </w:tcPr>
          <w:p w14:paraId="7422F4B9" w14:textId="77777777" w:rsidR="00C01E92" w:rsidRPr="00937695"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937695">
              <w:rPr>
                <w:rFonts w:cstheme="minorHAnsi"/>
                <w:szCs w:val="22"/>
              </w:rPr>
              <w:t>1.3hrs</w:t>
            </w:r>
          </w:p>
        </w:tc>
        <w:tc>
          <w:tcPr>
            <w:tcW w:w="875" w:type="dxa"/>
          </w:tcPr>
          <w:p w14:paraId="7C135A8F" w14:textId="77777777" w:rsidR="00C01E92" w:rsidRPr="00937695"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937695">
              <w:rPr>
                <w:rFonts w:cstheme="minorHAnsi"/>
                <w:szCs w:val="22"/>
              </w:rPr>
              <w:t>$35.41</w:t>
            </w:r>
          </w:p>
        </w:tc>
        <w:tc>
          <w:tcPr>
            <w:tcW w:w="875" w:type="dxa"/>
          </w:tcPr>
          <w:p w14:paraId="0D861BCF" w14:textId="77777777" w:rsidR="00C01E92" w:rsidRPr="00937695"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937695">
              <w:rPr>
                <w:rFonts w:cstheme="minorHAnsi"/>
                <w:szCs w:val="22"/>
              </w:rPr>
              <w:t>1hr</w:t>
            </w:r>
          </w:p>
        </w:tc>
        <w:tc>
          <w:tcPr>
            <w:tcW w:w="875" w:type="dxa"/>
          </w:tcPr>
          <w:p w14:paraId="6CE5916A" w14:textId="77777777" w:rsidR="00C01E92" w:rsidRPr="00937695"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937695">
              <w:rPr>
                <w:rFonts w:cstheme="minorHAnsi"/>
                <w:szCs w:val="22"/>
              </w:rPr>
              <w:t>$27.24</w:t>
            </w:r>
          </w:p>
        </w:tc>
        <w:tc>
          <w:tcPr>
            <w:tcW w:w="1406" w:type="dxa"/>
          </w:tcPr>
          <w:p w14:paraId="3E0878B5" w14:textId="77777777" w:rsidR="00C01E92" w:rsidRPr="00937695"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937695">
              <w:rPr>
                <w:rFonts w:cstheme="minorHAnsi"/>
                <w:szCs w:val="22"/>
              </w:rPr>
              <w:t>$10,253.14</w:t>
            </w:r>
          </w:p>
        </w:tc>
        <w:tc>
          <w:tcPr>
            <w:tcW w:w="1406" w:type="dxa"/>
          </w:tcPr>
          <w:p w14:paraId="660B927D" w14:textId="77777777" w:rsidR="00C01E92" w:rsidRPr="00937695"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937695">
              <w:rPr>
                <w:rFonts w:cstheme="minorHAnsi"/>
                <w:szCs w:val="22"/>
              </w:rPr>
              <w:t>$131,189.19</w:t>
            </w:r>
          </w:p>
        </w:tc>
      </w:tr>
      <w:tr w:rsidR="00C01E92" w:rsidRPr="00937695" w14:paraId="5A0C41AC" w14:textId="77777777" w:rsidTr="00A41349">
        <w:tc>
          <w:tcPr>
            <w:cnfStyle w:val="001000000000" w:firstRow="0" w:lastRow="0" w:firstColumn="1" w:lastColumn="0" w:oddVBand="0" w:evenVBand="0" w:oddHBand="0" w:evenHBand="0" w:firstRowFirstColumn="0" w:firstRowLastColumn="0" w:lastRowFirstColumn="0" w:lastRowLastColumn="0"/>
            <w:tcW w:w="2708" w:type="dxa"/>
          </w:tcPr>
          <w:p w14:paraId="431C0BE8" w14:textId="77777777" w:rsidR="00C01E92" w:rsidRPr="00937695" w:rsidRDefault="00C01E92" w:rsidP="00A41349">
            <w:pPr>
              <w:spacing w:after="60"/>
              <w:rPr>
                <w:rFonts w:cstheme="minorHAnsi"/>
                <w:szCs w:val="22"/>
              </w:rPr>
            </w:pPr>
            <w:r w:rsidRPr="00937695">
              <w:rPr>
                <w:rFonts w:cstheme="minorHAnsi"/>
                <w:szCs w:val="22"/>
              </w:rPr>
              <w:t>Excursion risk assessment</w:t>
            </w:r>
            <w:r w:rsidRPr="00A710FC">
              <w:rPr>
                <w:rFonts w:cstheme="minorHAnsi"/>
                <w:b/>
                <w:szCs w:val="22"/>
              </w:rPr>
              <w:t>*</w:t>
            </w:r>
          </w:p>
        </w:tc>
        <w:tc>
          <w:tcPr>
            <w:tcW w:w="874" w:type="dxa"/>
          </w:tcPr>
          <w:p w14:paraId="26019601" w14:textId="77777777" w:rsidR="00C01E92" w:rsidRPr="00937695"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937695">
              <w:rPr>
                <w:rFonts w:cstheme="minorHAnsi"/>
                <w:szCs w:val="22"/>
              </w:rPr>
              <w:t>0.7hrs</w:t>
            </w:r>
          </w:p>
        </w:tc>
        <w:tc>
          <w:tcPr>
            <w:tcW w:w="875" w:type="dxa"/>
          </w:tcPr>
          <w:p w14:paraId="25E46C39" w14:textId="77777777" w:rsidR="00C01E92" w:rsidRPr="00937695"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937695">
              <w:rPr>
                <w:rFonts w:cstheme="minorHAnsi"/>
                <w:szCs w:val="22"/>
              </w:rPr>
              <w:t>$19.07</w:t>
            </w:r>
          </w:p>
        </w:tc>
        <w:tc>
          <w:tcPr>
            <w:tcW w:w="875" w:type="dxa"/>
          </w:tcPr>
          <w:p w14:paraId="4718819A" w14:textId="77777777" w:rsidR="00C01E92" w:rsidRPr="00937695"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937695">
              <w:rPr>
                <w:rFonts w:cstheme="minorHAnsi"/>
                <w:szCs w:val="22"/>
              </w:rPr>
              <w:t>0.7hrs</w:t>
            </w:r>
          </w:p>
        </w:tc>
        <w:tc>
          <w:tcPr>
            <w:tcW w:w="875" w:type="dxa"/>
          </w:tcPr>
          <w:p w14:paraId="1230C1F2" w14:textId="77777777" w:rsidR="00C01E92" w:rsidRPr="00937695"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937695">
              <w:rPr>
                <w:rFonts w:cstheme="minorHAnsi"/>
                <w:szCs w:val="22"/>
              </w:rPr>
              <w:t>$19.07</w:t>
            </w:r>
          </w:p>
        </w:tc>
        <w:tc>
          <w:tcPr>
            <w:tcW w:w="1406" w:type="dxa"/>
          </w:tcPr>
          <w:p w14:paraId="738D21F3" w14:textId="77777777" w:rsidR="00C01E92" w:rsidRPr="00937695"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937695">
              <w:rPr>
                <w:rFonts w:cstheme="minorHAnsi"/>
                <w:szCs w:val="22"/>
              </w:rPr>
              <w:t>$5,121.12</w:t>
            </w:r>
          </w:p>
        </w:tc>
        <w:tc>
          <w:tcPr>
            <w:tcW w:w="1406" w:type="dxa"/>
          </w:tcPr>
          <w:p w14:paraId="085C5A99" w14:textId="77777777" w:rsidR="00C01E92" w:rsidRPr="00937695" w:rsidRDefault="00C01E92" w:rsidP="00A4134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937695">
              <w:rPr>
                <w:rFonts w:cstheme="minorHAnsi"/>
                <w:szCs w:val="22"/>
              </w:rPr>
              <w:t>$68,265.81</w:t>
            </w:r>
          </w:p>
        </w:tc>
      </w:tr>
    </w:tbl>
    <w:p w14:paraId="23405620" w14:textId="77777777" w:rsidR="00C01E92" w:rsidRPr="00A710FC" w:rsidRDefault="00C01E92" w:rsidP="00C01E92">
      <w:pPr>
        <w:pStyle w:val="EYBodytextwithparaspace"/>
        <w:spacing w:before="120" w:after="120"/>
        <w:rPr>
          <w:rFonts w:ascii="Arial Narrow" w:hAnsi="Arial Narrow" w:cstheme="minorHAnsi"/>
          <w:i/>
          <w:sz w:val="22"/>
          <w:szCs w:val="22"/>
        </w:rPr>
      </w:pPr>
      <w:r w:rsidRPr="00A710FC">
        <w:rPr>
          <w:rFonts w:ascii="Arial Narrow" w:hAnsi="Arial Narrow" w:cstheme="minorHAnsi"/>
          <w:b/>
          <w:i/>
          <w:sz w:val="22"/>
          <w:szCs w:val="22"/>
        </w:rPr>
        <w:t>*</w:t>
      </w:r>
      <w:r w:rsidRPr="00A710FC">
        <w:rPr>
          <w:rFonts w:ascii="Arial Narrow" w:hAnsi="Arial Narrow" w:cstheme="minorHAnsi"/>
          <w:i/>
          <w:sz w:val="22"/>
          <w:szCs w:val="22"/>
        </w:rPr>
        <w:t>The authorisation must be obtained annually for each child and covers routine outings. Parental or guardian authorisations and risk assessments are also required for any additional excursions, which would vary widely from provider to provider and from year to year, so the administrative costs of these additional outings are not included in the costings.</w:t>
      </w:r>
    </w:p>
    <w:p w14:paraId="7634E004" w14:textId="5D054CA0"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_Ref24548539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Table 23</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provides the estimated costs of the Status Quo and Alignment option requirements for staff to have first aid, anaphylaxis management and asthma training and for each service to have a first-aid kit. </w:t>
      </w:r>
    </w:p>
    <w:p w14:paraId="6582E3D9"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Under Option D.1. Status Quo, all staff members must hold this training, whereas under Option D.2. Alignment, only one educator on duty needs to hold current training. In theory, this difference results in a cost saving to providers, but given that most services in this sector employ a small pool of casual or part-time staff (and all are currently required to be first aid trained) it is hard to say how extensively this cost saving would be realised in practice.</w:t>
      </w:r>
    </w:p>
    <w:p w14:paraId="696BF956" w14:textId="17BB6ACA"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costings represent the one-off costs of buying a first-aid kit and paying for first-aid training for the required number of staff, noting that first aid certification and most products contained in a first-aid kit, lasts 3 </w:t>
      </w:r>
      <w:r w:rsidRPr="009B7AF9">
        <w:rPr>
          <w:rFonts w:asciiTheme="minorHAnsi" w:hAnsiTheme="minorHAnsi" w:cstheme="minorHAnsi"/>
          <w:sz w:val="22"/>
          <w:szCs w:val="22"/>
        </w:rPr>
        <w:t>year.</w:t>
      </w:r>
      <w:r w:rsidRPr="009B7AF9">
        <w:rPr>
          <w:rStyle w:val="FootnoteReference"/>
          <w:rFonts w:asciiTheme="minorHAnsi" w:hAnsiTheme="minorHAnsi" w:cstheme="minorHAnsi"/>
          <w:color w:val="auto"/>
          <w:sz w:val="22"/>
          <w:szCs w:val="22"/>
        </w:rPr>
        <w:footnoteReference w:id="50"/>
      </w:r>
      <w:r w:rsidRPr="009B7AF9">
        <w:rPr>
          <w:rFonts w:asciiTheme="minorHAnsi" w:hAnsiTheme="minorHAnsi" w:cstheme="minorHAnsi"/>
          <w:sz w:val="22"/>
          <w:szCs w:val="22"/>
        </w:rPr>
        <w:t xml:space="preserve"> The costings </w:t>
      </w:r>
      <w:r w:rsidRPr="000107A9">
        <w:rPr>
          <w:rFonts w:asciiTheme="minorHAnsi" w:hAnsiTheme="minorHAnsi" w:cstheme="minorHAnsi"/>
          <w:sz w:val="22"/>
          <w:szCs w:val="22"/>
        </w:rPr>
        <w:t xml:space="preserve">draw on the example services discussed in section </w:t>
      </w: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_Ref23442668 \r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Pr>
          <w:rFonts w:asciiTheme="minorHAnsi" w:hAnsiTheme="minorHAnsi" w:cstheme="minorHAnsi"/>
          <w:sz w:val="22"/>
          <w:szCs w:val="22"/>
        </w:rPr>
        <w:t>6.2.1.3</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w:t>
      </w:r>
    </w:p>
    <w:p w14:paraId="6E493B98" w14:textId="49ECDAF4" w:rsidR="00C01E92" w:rsidRPr="000107A9" w:rsidRDefault="00C01E92" w:rsidP="00F7569F">
      <w:pPr>
        <w:pStyle w:val="Caption"/>
      </w:pPr>
      <w:bookmarkStart w:id="187" w:name="_Ref24548539"/>
      <w:bookmarkStart w:id="188" w:name="_Toc32592806"/>
      <w:r w:rsidRPr="000107A9">
        <w:t xml:space="preserve">Table </w:t>
      </w:r>
      <w:r w:rsidRPr="000107A9">
        <w:fldChar w:fldCharType="begin"/>
      </w:r>
      <w:r w:rsidRPr="000107A9">
        <w:instrText xml:space="preserve"> SEQ Table \* ARABIC </w:instrText>
      </w:r>
      <w:r w:rsidRPr="000107A9">
        <w:fldChar w:fldCharType="separate"/>
      </w:r>
      <w:r w:rsidR="00493211">
        <w:rPr>
          <w:noProof/>
        </w:rPr>
        <w:t>23</w:t>
      </w:r>
      <w:r w:rsidRPr="000107A9">
        <w:fldChar w:fldCharType="end"/>
      </w:r>
      <w:bookmarkEnd w:id="187"/>
      <w:r w:rsidRPr="000107A9">
        <w:t xml:space="preserve"> First-aid training </w:t>
      </w:r>
      <w:r w:rsidR="00AF17D0">
        <w:t xml:space="preserve">- </w:t>
      </w:r>
      <w:r w:rsidRPr="000107A9">
        <w:t>costs to industry</w:t>
      </w:r>
      <w:bookmarkEnd w:id="188"/>
    </w:p>
    <w:tbl>
      <w:tblPr>
        <w:tblStyle w:val="TableGrid"/>
        <w:tblW w:w="9351" w:type="dxa"/>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ayout w:type="fixed"/>
        <w:tblLook w:val="04A0" w:firstRow="1" w:lastRow="0" w:firstColumn="1" w:lastColumn="0" w:noHBand="0" w:noVBand="1"/>
      </w:tblPr>
      <w:tblGrid>
        <w:gridCol w:w="1838"/>
        <w:gridCol w:w="1134"/>
        <w:gridCol w:w="1134"/>
        <w:gridCol w:w="1559"/>
        <w:gridCol w:w="993"/>
        <w:gridCol w:w="1134"/>
        <w:gridCol w:w="1559"/>
      </w:tblGrid>
      <w:tr w:rsidR="0001719C" w:rsidRPr="00A41349" w14:paraId="1A6DE699" w14:textId="77777777" w:rsidTr="00247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Borders>
              <w:right w:val="single" w:sz="4" w:space="0" w:color="004EA8" w:themeColor="accent1"/>
            </w:tcBorders>
            <w:vAlign w:val="bottom"/>
          </w:tcPr>
          <w:p w14:paraId="0A8030E1" w14:textId="73A17B9E" w:rsidR="0001719C" w:rsidRPr="00A41349" w:rsidRDefault="0001719C" w:rsidP="00477829">
            <w:pPr>
              <w:spacing w:after="60"/>
              <w:rPr>
                <w:rFonts w:cstheme="minorHAnsi"/>
                <w:szCs w:val="22"/>
              </w:rPr>
            </w:pPr>
            <w:r w:rsidRPr="0001719C">
              <w:rPr>
                <w:rFonts w:cstheme="minorHAnsi"/>
                <w:szCs w:val="22"/>
              </w:rPr>
              <w:t>First-aid training</w:t>
            </w:r>
          </w:p>
        </w:tc>
        <w:tc>
          <w:tcPr>
            <w:tcW w:w="3827" w:type="dxa"/>
            <w:gridSpan w:val="3"/>
            <w:tcBorders>
              <w:left w:val="single" w:sz="4" w:space="0" w:color="004EA8" w:themeColor="accent1"/>
              <w:right w:val="single" w:sz="4" w:space="0" w:color="004EA8" w:themeColor="accent1"/>
            </w:tcBorders>
          </w:tcPr>
          <w:p w14:paraId="72DFE88C" w14:textId="77777777" w:rsidR="0001719C" w:rsidRPr="00A41349" w:rsidRDefault="0001719C" w:rsidP="001C06F3">
            <w:pPr>
              <w:spacing w:after="60"/>
              <w:cnfStyle w:val="100000000000" w:firstRow="1" w:lastRow="0" w:firstColumn="0" w:lastColumn="0" w:oddVBand="0" w:evenVBand="0" w:oddHBand="0" w:evenHBand="0" w:firstRowFirstColumn="0" w:firstRowLastColumn="0" w:lastRowFirstColumn="0" w:lastRowLastColumn="0"/>
              <w:rPr>
                <w:rFonts w:cstheme="minorHAnsi"/>
                <w:szCs w:val="22"/>
              </w:rPr>
            </w:pPr>
            <w:r w:rsidRPr="00A41349">
              <w:rPr>
                <w:rFonts w:cstheme="minorHAnsi"/>
                <w:color w:val="FFFFFF"/>
                <w:szCs w:val="22"/>
              </w:rPr>
              <w:t>Option D.1. Status Quo</w:t>
            </w:r>
          </w:p>
        </w:tc>
        <w:tc>
          <w:tcPr>
            <w:tcW w:w="3686" w:type="dxa"/>
            <w:gridSpan w:val="3"/>
            <w:tcBorders>
              <w:left w:val="single" w:sz="4" w:space="0" w:color="004EA8" w:themeColor="accent1"/>
            </w:tcBorders>
          </w:tcPr>
          <w:p w14:paraId="12E947A3" w14:textId="77777777" w:rsidR="0001719C" w:rsidRPr="00A41349" w:rsidRDefault="0001719C" w:rsidP="001C06F3">
            <w:pPr>
              <w:spacing w:after="60"/>
              <w:cnfStyle w:val="100000000000" w:firstRow="1" w:lastRow="0" w:firstColumn="0" w:lastColumn="0" w:oddVBand="0" w:evenVBand="0" w:oddHBand="0" w:evenHBand="0" w:firstRowFirstColumn="0" w:firstRowLastColumn="0" w:lastRowFirstColumn="0" w:lastRowLastColumn="0"/>
              <w:rPr>
                <w:rFonts w:cstheme="minorHAnsi"/>
                <w:szCs w:val="22"/>
              </w:rPr>
            </w:pPr>
            <w:r w:rsidRPr="00A41349">
              <w:rPr>
                <w:rFonts w:cstheme="minorHAnsi"/>
                <w:szCs w:val="22"/>
              </w:rPr>
              <w:t>Option D.2. Alignment</w:t>
            </w:r>
          </w:p>
        </w:tc>
      </w:tr>
      <w:tr w:rsidR="0001719C" w:rsidRPr="00A41349" w14:paraId="32E82C5C" w14:textId="77777777" w:rsidTr="0001719C">
        <w:trPr>
          <w:trHeight w:val="794"/>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004EA8" w:themeFill="accent1"/>
          </w:tcPr>
          <w:p w14:paraId="05343FC5" w14:textId="1915C7DF" w:rsidR="0001719C" w:rsidRPr="0001719C" w:rsidRDefault="0001719C" w:rsidP="00477829">
            <w:pPr>
              <w:spacing w:after="60"/>
              <w:rPr>
                <w:rFonts w:cstheme="minorHAnsi"/>
                <w:b/>
                <w:color w:val="FFFFFF" w:themeColor="background1"/>
                <w:szCs w:val="22"/>
              </w:rPr>
            </w:pPr>
          </w:p>
        </w:tc>
        <w:tc>
          <w:tcPr>
            <w:tcW w:w="1134" w:type="dxa"/>
          </w:tcPr>
          <w:p w14:paraId="407F2748" w14:textId="77777777" w:rsidR="0001719C" w:rsidRPr="00A41349" w:rsidRDefault="0001719C" w:rsidP="0047782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A41349">
              <w:rPr>
                <w:rFonts w:cstheme="minorHAnsi"/>
                <w:b/>
                <w:szCs w:val="22"/>
              </w:rPr>
              <w:t>Per service</w:t>
            </w:r>
          </w:p>
        </w:tc>
        <w:tc>
          <w:tcPr>
            <w:tcW w:w="1134" w:type="dxa"/>
          </w:tcPr>
          <w:p w14:paraId="6912D044" w14:textId="77777777" w:rsidR="0001719C" w:rsidRPr="00A41349" w:rsidRDefault="0001719C" w:rsidP="0047782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A41349">
              <w:rPr>
                <w:rFonts w:cstheme="minorHAnsi"/>
                <w:b/>
                <w:szCs w:val="22"/>
              </w:rPr>
              <w:t># of services</w:t>
            </w:r>
          </w:p>
        </w:tc>
        <w:tc>
          <w:tcPr>
            <w:tcW w:w="1559" w:type="dxa"/>
          </w:tcPr>
          <w:p w14:paraId="11CCBC1D" w14:textId="77777777" w:rsidR="0001719C" w:rsidRPr="00A41349" w:rsidRDefault="0001719C" w:rsidP="0047782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A41349">
              <w:rPr>
                <w:rFonts w:cstheme="minorHAnsi"/>
                <w:b/>
                <w:szCs w:val="22"/>
              </w:rPr>
              <w:t>All services</w:t>
            </w:r>
          </w:p>
        </w:tc>
        <w:tc>
          <w:tcPr>
            <w:tcW w:w="993" w:type="dxa"/>
          </w:tcPr>
          <w:p w14:paraId="76595E3A" w14:textId="77777777" w:rsidR="0001719C" w:rsidRPr="00A41349" w:rsidRDefault="0001719C" w:rsidP="0047782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A41349">
              <w:rPr>
                <w:rFonts w:cstheme="minorHAnsi"/>
                <w:b/>
                <w:szCs w:val="22"/>
              </w:rPr>
              <w:t>Per service</w:t>
            </w:r>
          </w:p>
        </w:tc>
        <w:tc>
          <w:tcPr>
            <w:tcW w:w="1134" w:type="dxa"/>
          </w:tcPr>
          <w:p w14:paraId="5D80D207" w14:textId="77777777" w:rsidR="0001719C" w:rsidRPr="00A41349" w:rsidRDefault="0001719C" w:rsidP="0047782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A41349">
              <w:rPr>
                <w:rFonts w:cstheme="minorHAnsi"/>
                <w:b/>
                <w:szCs w:val="22"/>
              </w:rPr>
              <w:t># of services</w:t>
            </w:r>
          </w:p>
        </w:tc>
        <w:tc>
          <w:tcPr>
            <w:tcW w:w="1559" w:type="dxa"/>
          </w:tcPr>
          <w:p w14:paraId="3206333B" w14:textId="77777777" w:rsidR="0001719C" w:rsidRPr="00A41349" w:rsidRDefault="0001719C" w:rsidP="0047782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A41349">
              <w:rPr>
                <w:rFonts w:cstheme="minorHAnsi"/>
                <w:b/>
                <w:szCs w:val="22"/>
              </w:rPr>
              <w:t>All services</w:t>
            </w:r>
          </w:p>
        </w:tc>
      </w:tr>
      <w:tr w:rsidR="00C01E92" w:rsidRPr="00A41349" w14:paraId="45F88992" w14:textId="77777777" w:rsidTr="00A41349">
        <w:tc>
          <w:tcPr>
            <w:cnfStyle w:val="001000000000" w:firstRow="0" w:lastRow="0" w:firstColumn="1" w:lastColumn="0" w:oddVBand="0" w:evenVBand="0" w:oddHBand="0" w:evenHBand="0" w:firstRowFirstColumn="0" w:firstRowLastColumn="0" w:lastRowFirstColumn="0" w:lastRowLastColumn="0"/>
            <w:tcW w:w="1838" w:type="dxa"/>
          </w:tcPr>
          <w:p w14:paraId="5DF934BA" w14:textId="77777777" w:rsidR="00C01E92" w:rsidRPr="00A41349" w:rsidRDefault="00C01E92" w:rsidP="0099713C">
            <w:pPr>
              <w:spacing w:after="60"/>
              <w:rPr>
                <w:rFonts w:cstheme="minorHAnsi"/>
                <w:szCs w:val="22"/>
              </w:rPr>
            </w:pPr>
            <w:r w:rsidRPr="00A41349">
              <w:rPr>
                <w:rFonts w:cstheme="minorHAnsi"/>
                <w:szCs w:val="22"/>
              </w:rPr>
              <w:t>Service A – LH2</w:t>
            </w:r>
          </w:p>
        </w:tc>
        <w:tc>
          <w:tcPr>
            <w:tcW w:w="1134" w:type="dxa"/>
          </w:tcPr>
          <w:p w14:paraId="3C68A62D" w14:textId="77777777" w:rsidR="00C01E92" w:rsidRPr="00A41349" w:rsidRDefault="00C01E92" w:rsidP="001C06F3">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A41349">
              <w:rPr>
                <w:rFonts w:ascii="Arial Narrow" w:hAnsi="Arial Narrow" w:cstheme="minorHAnsi"/>
                <w:sz w:val="22"/>
                <w:szCs w:val="22"/>
                <w:lang w:val="en-US"/>
              </w:rPr>
              <w:t>$432</w:t>
            </w:r>
          </w:p>
        </w:tc>
        <w:tc>
          <w:tcPr>
            <w:tcW w:w="1134" w:type="dxa"/>
          </w:tcPr>
          <w:p w14:paraId="15BBE7B0" w14:textId="77777777" w:rsidR="00C01E92" w:rsidRPr="00A41349" w:rsidRDefault="00C01E92" w:rsidP="001C06F3">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A41349">
              <w:rPr>
                <w:rFonts w:ascii="Arial Narrow" w:hAnsi="Arial Narrow" w:cstheme="minorHAnsi"/>
                <w:sz w:val="22"/>
                <w:szCs w:val="22"/>
                <w:lang w:val="en-US"/>
              </w:rPr>
              <w:t>247</w:t>
            </w:r>
          </w:p>
        </w:tc>
        <w:tc>
          <w:tcPr>
            <w:tcW w:w="1559" w:type="dxa"/>
          </w:tcPr>
          <w:p w14:paraId="64B40E85" w14:textId="77777777" w:rsidR="00C01E92" w:rsidRPr="00A41349" w:rsidRDefault="00C01E92" w:rsidP="001C06F3">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A41349">
              <w:rPr>
                <w:rFonts w:ascii="Arial Narrow" w:hAnsi="Arial Narrow" w:cstheme="minorHAnsi"/>
                <w:sz w:val="22"/>
                <w:szCs w:val="22"/>
                <w:lang w:val="en-US"/>
              </w:rPr>
              <w:t>$106,704</w:t>
            </w:r>
          </w:p>
        </w:tc>
        <w:tc>
          <w:tcPr>
            <w:tcW w:w="993" w:type="dxa"/>
          </w:tcPr>
          <w:p w14:paraId="6A9DFE5F" w14:textId="77777777" w:rsidR="00C01E92" w:rsidRPr="00A41349" w:rsidRDefault="00C01E92" w:rsidP="0047782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A41349">
              <w:rPr>
                <w:rFonts w:ascii="Arial Narrow" w:hAnsi="Arial Narrow" w:cstheme="minorHAnsi"/>
                <w:sz w:val="22"/>
                <w:szCs w:val="22"/>
                <w:lang w:val="en-US"/>
              </w:rPr>
              <w:t>$144</w:t>
            </w:r>
          </w:p>
        </w:tc>
        <w:tc>
          <w:tcPr>
            <w:tcW w:w="1134" w:type="dxa"/>
          </w:tcPr>
          <w:p w14:paraId="4A347E98" w14:textId="77777777" w:rsidR="00C01E92" w:rsidRPr="00A41349" w:rsidRDefault="00C01E92" w:rsidP="0047782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A41349">
              <w:rPr>
                <w:rFonts w:ascii="Arial Narrow" w:hAnsi="Arial Narrow" w:cstheme="minorHAnsi"/>
                <w:sz w:val="22"/>
                <w:szCs w:val="22"/>
                <w:lang w:val="en-US"/>
              </w:rPr>
              <w:t>247</w:t>
            </w:r>
          </w:p>
        </w:tc>
        <w:tc>
          <w:tcPr>
            <w:tcW w:w="1559" w:type="dxa"/>
          </w:tcPr>
          <w:p w14:paraId="5AE95F44" w14:textId="77777777" w:rsidR="00C01E92" w:rsidRPr="00A41349" w:rsidRDefault="00C01E92" w:rsidP="0047782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A41349">
              <w:rPr>
                <w:rFonts w:ascii="Arial Narrow" w:hAnsi="Arial Narrow" w:cstheme="minorHAnsi"/>
                <w:sz w:val="22"/>
                <w:szCs w:val="22"/>
                <w:lang w:val="en-US"/>
              </w:rPr>
              <w:t>$35,568</w:t>
            </w:r>
          </w:p>
        </w:tc>
      </w:tr>
      <w:tr w:rsidR="00C01E92" w:rsidRPr="00A41349" w14:paraId="25E07D8F" w14:textId="77777777" w:rsidTr="00A41349">
        <w:tc>
          <w:tcPr>
            <w:cnfStyle w:val="001000000000" w:firstRow="0" w:lastRow="0" w:firstColumn="1" w:lastColumn="0" w:oddVBand="0" w:evenVBand="0" w:oddHBand="0" w:evenHBand="0" w:firstRowFirstColumn="0" w:firstRowLastColumn="0" w:lastRowFirstColumn="0" w:lastRowLastColumn="0"/>
            <w:tcW w:w="1838" w:type="dxa"/>
          </w:tcPr>
          <w:p w14:paraId="6AC28605" w14:textId="77777777" w:rsidR="00C01E92" w:rsidRPr="00A41349" w:rsidRDefault="00C01E92" w:rsidP="0099713C">
            <w:pPr>
              <w:spacing w:after="60"/>
              <w:rPr>
                <w:rFonts w:cstheme="minorHAnsi"/>
                <w:szCs w:val="22"/>
              </w:rPr>
            </w:pPr>
            <w:r w:rsidRPr="00A41349">
              <w:rPr>
                <w:rFonts w:cstheme="minorHAnsi"/>
                <w:szCs w:val="22"/>
              </w:rPr>
              <w:t>Service B – LH1</w:t>
            </w:r>
          </w:p>
        </w:tc>
        <w:tc>
          <w:tcPr>
            <w:tcW w:w="1134" w:type="dxa"/>
          </w:tcPr>
          <w:p w14:paraId="439C61CE" w14:textId="77777777" w:rsidR="00C01E92" w:rsidRPr="00A41349" w:rsidRDefault="00C01E92" w:rsidP="001C06F3">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A41349">
              <w:rPr>
                <w:rFonts w:ascii="Arial Narrow" w:hAnsi="Arial Narrow" w:cstheme="minorHAnsi"/>
                <w:sz w:val="22"/>
                <w:szCs w:val="22"/>
                <w:lang w:val="en-US"/>
              </w:rPr>
              <w:t>$432</w:t>
            </w:r>
          </w:p>
        </w:tc>
        <w:tc>
          <w:tcPr>
            <w:tcW w:w="1134" w:type="dxa"/>
          </w:tcPr>
          <w:p w14:paraId="6160FC91" w14:textId="77777777" w:rsidR="00C01E92" w:rsidRPr="00A41349" w:rsidRDefault="00C01E92" w:rsidP="001C06F3">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A41349">
              <w:rPr>
                <w:rFonts w:ascii="Arial Narrow" w:hAnsi="Arial Narrow" w:cstheme="minorHAnsi"/>
                <w:sz w:val="22"/>
                <w:szCs w:val="22"/>
                <w:lang w:val="en-US"/>
              </w:rPr>
              <w:t>46</w:t>
            </w:r>
          </w:p>
        </w:tc>
        <w:tc>
          <w:tcPr>
            <w:tcW w:w="1559" w:type="dxa"/>
          </w:tcPr>
          <w:p w14:paraId="60C6339F" w14:textId="77777777" w:rsidR="00C01E92" w:rsidRPr="00A41349" w:rsidRDefault="00C01E92" w:rsidP="001C06F3">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A41349">
              <w:rPr>
                <w:rFonts w:ascii="Arial Narrow" w:hAnsi="Arial Narrow" w:cstheme="minorHAnsi"/>
                <w:sz w:val="22"/>
                <w:szCs w:val="22"/>
                <w:lang w:val="en-US"/>
              </w:rPr>
              <w:t>$19,872</w:t>
            </w:r>
          </w:p>
        </w:tc>
        <w:tc>
          <w:tcPr>
            <w:tcW w:w="993" w:type="dxa"/>
          </w:tcPr>
          <w:p w14:paraId="2EB738A6" w14:textId="77777777" w:rsidR="00C01E92" w:rsidRPr="00A41349" w:rsidRDefault="00C01E92" w:rsidP="0047782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A41349">
              <w:rPr>
                <w:rFonts w:ascii="Arial Narrow" w:hAnsi="Arial Narrow" w:cstheme="minorHAnsi"/>
                <w:sz w:val="22"/>
                <w:szCs w:val="22"/>
                <w:lang w:val="en-US"/>
              </w:rPr>
              <w:t>$144</w:t>
            </w:r>
          </w:p>
        </w:tc>
        <w:tc>
          <w:tcPr>
            <w:tcW w:w="1134" w:type="dxa"/>
          </w:tcPr>
          <w:p w14:paraId="460502A2" w14:textId="77777777" w:rsidR="00C01E92" w:rsidRPr="00A41349" w:rsidRDefault="00C01E92" w:rsidP="0047782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A41349">
              <w:rPr>
                <w:rFonts w:ascii="Arial Narrow" w:hAnsi="Arial Narrow" w:cstheme="minorHAnsi"/>
                <w:sz w:val="22"/>
                <w:szCs w:val="22"/>
                <w:lang w:val="en-US"/>
              </w:rPr>
              <w:t>46</w:t>
            </w:r>
          </w:p>
        </w:tc>
        <w:tc>
          <w:tcPr>
            <w:tcW w:w="1559" w:type="dxa"/>
          </w:tcPr>
          <w:p w14:paraId="4942E1E2" w14:textId="77777777" w:rsidR="00C01E92" w:rsidRPr="00A41349" w:rsidRDefault="00C01E92" w:rsidP="0047782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A41349">
              <w:rPr>
                <w:rFonts w:ascii="Arial Narrow" w:hAnsi="Arial Narrow" w:cstheme="minorHAnsi"/>
                <w:sz w:val="22"/>
                <w:szCs w:val="22"/>
                <w:lang w:val="en-US"/>
              </w:rPr>
              <w:t>$6,624</w:t>
            </w:r>
          </w:p>
        </w:tc>
      </w:tr>
      <w:tr w:rsidR="00C01E92" w:rsidRPr="00A41349" w14:paraId="6B63E2BD" w14:textId="77777777" w:rsidTr="00A41349">
        <w:tc>
          <w:tcPr>
            <w:cnfStyle w:val="001000000000" w:firstRow="0" w:lastRow="0" w:firstColumn="1" w:lastColumn="0" w:oddVBand="0" w:evenVBand="0" w:oddHBand="0" w:evenHBand="0" w:firstRowFirstColumn="0" w:firstRowLastColumn="0" w:lastRowFirstColumn="0" w:lastRowLastColumn="0"/>
            <w:tcW w:w="1838" w:type="dxa"/>
          </w:tcPr>
          <w:p w14:paraId="303DA45A" w14:textId="77777777" w:rsidR="00C01E92" w:rsidRPr="00A41349" w:rsidRDefault="00C01E92" w:rsidP="0099713C">
            <w:pPr>
              <w:spacing w:after="60"/>
              <w:rPr>
                <w:rFonts w:cstheme="minorHAnsi"/>
                <w:szCs w:val="22"/>
              </w:rPr>
            </w:pPr>
            <w:r w:rsidRPr="00A41349">
              <w:rPr>
                <w:rFonts w:cstheme="minorHAnsi"/>
                <w:szCs w:val="22"/>
              </w:rPr>
              <w:t>Service C – SL</w:t>
            </w:r>
          </w:p>
        </w:tc>
        <w:tc>
          <w:tcPr>
            <w:tcW w:w="1134" w:type="dxa"/>
          </w:tcPr>
          <w:p w14:paraId="47D6DC86" w14:textId="77777777" w:rsidR="00C01E92" w:rsidRPr="00A41349" w:rsidRDefault="00C01E92" w:rsidP="001C06F3">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A41349">
              <w:rPr>
                <w:rFonts w:ascii="Arial Narrow" w:hAnsi="Arial Narrow" w:cstheme="minorHAnsi"/>
                <w:sz w:val="22"/>
                <w:szCs w:val="22"/>
                <w:lang w:val="en-US"/>
              </w:rPr>
              <w:t>$432</w:t>
            </w:r>
          </w:p>
        </w:tc>
        <w:tc>
          <w:tcPr>
            <w:tcW w:w="1134" w:type="dxa"/>
          </w:tcPr>
          <w:p w14:paraId="18D6D3A1" w14:textId="77777777" w:rsidR="00C01E92" w:rsidRPr="00A41349" w:rsidRDefault="00C01E92" w:rsidP="001C06F3">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A41349">
              <w:rPr>
                <w:rFonts w:ascii="Arial Narrow" w:hAnsi="Arial Narrow" w:cstheme="minorHAnsi"/>
                <w:sz w:val="22"/>
                <w:szCs w:val="22"/>
                <w:lang w:val="en-US"/>
              </w:rPr>
              <w:t>29</w:t>
            </w:r>
          </w:p>
        </w:tc>
        <w:tc>
          <w:tcPr>
            <w:tcW w:w="1559" w:type="dxa"/>
          </w:tcPr>
          <w:p w14:paraId="04817DE4" w14:textId="77777777" w:rsidR="00C01E92" w:rsidRPr="00A41349" w:rsidRDefault="00C01E92" w:rsidP="001C06F3">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A41349">
              <w:rPr>
                <w:rFonts w:ascii="Arial Narrow" w:hAnsi="Arial Narrow" w:cstheme="minorHAnsi"/>
                <w:sz w:val="22"/>
                <w:szCs w:val="22"/>
                <w:lang w:val="en-US"/>
              </w:rPr>
              <w:t>$8,352</w:t>
            </w:r>
          </w:p>
        </w:tc>
        <w:tc>
          <w:tcPr>
            <w:tcW w:w="993" w:type="dxa"/>
          </w:tcPr>
          <w:p w14:paraId="76C7425B" w14:textId="77777777" w:rsidR="00C01E92" w:rsidRPr="00A41349" w:rsidRDefault="00C01E92" w:rsidP="0047782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A41349">
              <w:rPr>
                <w:rFonts w:ascii="Arial Narrow" w:hAnsi="Arial Narrow" w:cstheme="minorHAnsi"/>
                <w:sz w:val="22"/>
                <w:szCs w:val="22"/>
                <w:lang w:val="en-US"/>
              </w:rPr>
              <w:t>$144</w:t>
            </w:r>
          </w:p>
        </w:tc>
        <w:tc>
          <w:tcPr>
            <w:tcW w:w="1134" w:type="dxa"/>
          </w:tcPr>
          <w:p w14:paraId="5549958B" w14:textId="77777777" w:rsidR="00C01E92" w:rsidRPr="00A41349" w:rsidRDefault="00C01E92" w:rsidP="0047782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A41349">
              <w:rPr>
                <w:rFonts w:ascii="Arial Narrow" w:hAnsi="Arial Narrow" w:cstheme="minorHAnsi"/>
                <w:sz w:val="22"/>
                <w:szCs w:val="22"/>
                <w:lang w:val="en-US"/>
              </w:rPr>
              <w:t>29</w:t>
            </w:r>
          </w:p>
        </w:tc>
        <w:tc>
          <w:tcPr>
            <w:tcW w:w="1559" w:type="dxa"/>
          </w:tcPr>
          <w:p w14:paraId="02FAD256" w14:textId="77777777" w:rsidR="00C01E92" w:rsidRPr="00A41349" w:rsidRDefault="00C01E92" w:rsidP="0047782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A41349">
              <w:rPr>
                <w:rFonts w:ascii="Arial Narrow" w:hAnsi="Arial Narrow" w:cstheme="minorHAnsi"/>
                <w:sz w:val="22"/>
                <w:szCs w:val="22"/>
                <w:lang w:val="en-US"/>
              </w:rPr>
              <w:t>$4,176</w:t>
            </w:r>
          </w:p>
        </w:tc>
      </w:tr>
      <w:tr w:rsidR="00C769E7" w:rsidRPr="00A41349" w14:paraId="46DD1765" w14:textId="77777777" w:rsidTr="00C769E7">
        <w:tc>
          <w:tcPr>
            <w:cnfStyle w:val="001000000000" w:firstRow="0" w:lastRow="0" w:firstColumn="1" w:lastColumn="0" w:oddVBand="0" w:evenVBand="0" w:oddHBand="0" w:evenHBand="0" w:firstRowFirstColumn="0" w:firstRowLastColumn="0" w:lastRowFirstColumn="0" w:lastRowLastColumn="0"/>
            <w:tcW w:w="1838" w:type="dxa"/>
            <w:shd w:val="clear" w:color="auto" w:fill="004EA8" w:themeFill="accent1"/>
          </w:tcPr>
          <w:p w14:paraId="6064D5A4" w14:textId="77777777" w:rsidR="00C769E7" w:rsidRPr="00C769E7" w:rsidRDefault="00C769E7" w:rsidP="0099713C">
            <w:pPr>
              <w:spacing w:after="60"/>
              <w:rPr>
                <w:rFonts w:cstheme="minorHAnsi"/>
                <w:b/>
                <w:color w:val="FFFFFF" w:themeColor="background1"/>
                <w:szCs w:val="22"/>
              </w:rPr>
            </w:pPr>
            <w:r w:rsidRPr="00C769E7">
              <w:rPr>
                <w:rFonts w:cstheme="minorHAnsi"/>
                <w:b/>
                <w:color w:val="FFFFFF" w:themeColor="background1"/>
                <w:szCs w:val="22"/>
              </w:rPr>
              <w:t>First-aid kit</w:t>
            </w:r>
          </w:p>
        </w:tc>
        <w:tc>
          <w:tcPr>
            <w:tcW w:w="7513" w:type="dxa"/>
            <w:gridSpan w:val="6"/>
          </w:tcPr>
          <w:p w14:paraId="71FE6106" w14:textId="1FE2F1D9" w:rsidR="00C769E7" w:rsidRPr="00A41349" w:rsidRDefault="00C769E7" w:rsidP="0099713C">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r>
      <w:tr w:rsidR="00C01E92" w:rsidRPr="00A41349" w14:paraId="510AC254" w14:textId="77777777" w:rsidTr="009B7AF9">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4EA8" w:themeColor="accent1"/>
            </w:tcBorders>
          </w:tcPr>
          <w:p w14:paraId="2AD74D0B" w14:textId="77777777" w:rsidR="00C01E92" w:rsidRPr="00A41349" w:rsidRDefault="00C01E92" w:rsidP="0099713C">
            <w:pPr>
              <w:spacing w:after="60"/>
              <w:rPr>
                <w:rFonts w:cstheme="minorHAnsi"/>
                <w:szCs w:val="22"/>
              </w:rPr>
            </w:pPr>
            <w:r w:rsidRPr="00A41349">
              <w:rPr>
                <w:rFonts w:cstheme="minorHAnsi"/>
                <w:szCs w:val="22"/>
              </w:rPr>
              <w:t>All services</w:t>
            </w:r>
          </w:p>
        </w:tc>
        <w:tc>
          <w:tcPr>
            <w:tcW w:w="1134" w:type="dxa"/>
            <w:tcBorders>
              <w:bottom w:val="single" w:sz="4" w:space="0" w:color="004EA8" w:themeColor="accent1"/>
            </w:tcBorders>
          </w:tcPr>
          <w:p w14:paraId="20B36030" w14:textId="77777777" w:rsidR="00C01E92" w:rsidRPr="00A41349" w:rsidRDefault="00C01E92" w:rsidP="001C06F3">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A41349">
              <w:rPr>
                <w:rFonts w:ascii="Arial Narrow" w:hAnsi="Arial Narrow" w:cstheme="minorHAnsi"/>
                <w:sz w:val="22"/>
                <w:szCs w:val="22"/>
                <w:lang w:val="en-US"/>
              </w:rPr>
              <w:t>$124.96</w:t>
            </w:r>
          </w:p>
        </w:tc>
        <w:tc>
          <w:tcPr>
            <w:tcW w:w="1134" w:type="dxa"/>
            <w:tcBorders>
              <w:bottom w:val="single" w:sz="4" w:space="0" w:color="004EA8" w:themeColor="accent1"/>
            </w:tcBorders>
          </w:tcPr>
          <w:p w14:paraId="1C7DC5F7" w14:textId="77777777" w:rsidR="00C01E92" w:rsidRPr="00A41349" w:rsidRDefault="00C01E92" w:rsidP="001C06F3">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A41349">
              <w:rPr>
                <w:rFonts w:ascii="Arial Narrow" w:hAnsi="Arial Narrow" w:cstheme="minorHAnsi"/>
                <w:sz w:val="22"/>
                <w:szCs w:val="22"/>
                <w:lang w:val="en-US"/>
              </w:rPr>
              <w:t>322</w:t>
            </w:r>
          </w:p>
        </w:tc>
        <w:tc>
          <w:tcPr>
            <w:tcW w:w="1559" w:type="dxa"/>
            <w:tcBorders>
              <w:bottom w:val="single" w:sz="4" w:space="0" w:color="004EA8" w:themeColor="accent1"/>
            </w:tcBorders>
          </w:tcPr>
          <w:p w14:paraId="202054DF" w14:textId="77777777" w:rsidR="00C01E92" w:rsidRPr="00A41349" w:rsidRDefault="00C01E92" w:rsidP="001C06F3">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A41349">
              <w:rPr>
                <w:rFonts w:ascii="Arial Narrow" w:hAnsi="Arial Narrow" w:cstheme="minorHAnsi"/>
                <w:sz w:val="22"/>
                <w:szCs w:val="22"/>
                <w:lang w:val="en-US"/>
              </w:rPr>
              <w:t>$40,237.12</w:t>
            </w:r>
          </w:p>
        </w:tc>
        <w:tc>
          <w:tcPr>
            <w:tcW w:w="993" w:type="dxa"/>
            <w:tcBorders>
              <w:bottom w:val="single" w:sz="4" w:space="0" w:color="004EA8" w:themeColor="accent1"/>
            </w:tcBorders>
          </w:tcPr>
          <w:p w14:paraId="1364B513" w14:textId="77777777" w:rsidR="00C01E92" w:rsidRPr="00A41349" w:rsidRDefault="00C01E92" w:rsidP="0047782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A41349">
              <w:rPr>
                <w:rFonts w:ascii="Arial Narrow" w:hAnsi="Arial Narrow" w:cstheme="minorHAnsi"/>
                <w:sz w:val="22"/>
                <w:szCs w:val="22"/>
                <w:lang w:val="en-US"/>
              </w:rPr>
              <w:t>$124.96</w:t>
            </w:r>
          </w:p>
        </w:tc>
        <w:tc>
          <w:tcPr>
            <w:tcW w:w="1134" w:type="dxa"/>
            <w:tcBorders>
              <w:bottom w:val="single" w:sz="4" w:space="0" w:color="004EA8" w:themeColor="accent1"/>
            </w:tcBorders>
          </w:tcPr>
          <w:p w14:paraId="19834703" w14:textId="77777777" w:rsidR="00C01E92" w:rsidRPr="00A41349" w:rsidRDefault="00C01E92" w:rsidP="0047782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A41349">
              <w:rPr>
                <w:rFonts w:ascii="Arial Narrow" w:hAnsi="Arial Narrow" w:cstheme="minorHAnsi"/>
                <w:sz w:val="22"/>
                <w:szCs w:val="22"/>
                <w:lang w:val="en-US"/>
              </w:rPr>
              <w:t>322</w:t>
            </w:r>
          </w:p>
        </w:tc>
        <w:tc>
          <w:tcPr>
            <w:tcW w:w="1559" w:type="dxa"/>
            <w:tcBorders>
              <w:bottom w:val="single" w:sz="4" w:space="0" w:color="004EA8" w:themeColor="accent1"/>
            </w:tcBorders>
          </w:tcPr>
          <w:p w14:paraId="5C47FEE7" w14:textId="77777777" w:rsidR="00C01E92" w:rsidRPr="00A41349" w:rsidRDefault="00C01E92" w:rsidP="0047782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lang w:val="en-US"/>
              </w:rPr>
            </w:pPr>
            <w:r w:rsidRPr="00A41349">
              <w:rPr>
                <w:rFonts w:ascii="Arial Narrow" w:hAnsi="Arial Narrow" w:cstheme="minorHAnsi"/>
                <w:sz w:val="22"/>
                <w:szCs w:val="22"/>
                <w:lang w:val="en-US"/>
              </w:rPr>
              <w:t>$40,237.12</w:t>
            </w:r>
          </w:p>
        </w:tc>
      </w:tr>
      <w:tr w:rsidR="00C01E92" w:rsidRPr="00A41349" w14:paraId="28C2F6FE" w14:textId="77777777" w:rsidTr="009B7AF9">
        <w:tc>
          <w:tcPr>
            <w:cnfStyle w:val="001000000000" w:firstRow="0" w:lastRow="0" w:firstColumn="1" w:lastColumn="0" w:oddVBand="0" w:evenVBand="0" w:oddHBand="0" w:evenHBand="0" w:firstRowFirstColumn="0" w:firstRowLastColumn="0" w:lastRowFirstColumn="0" w:lastRowLastColumn="0"/>
            <w:tcW w:w="1838" w:type="dxa"/>
            <w:tcBorders>
              <w:right w:val="nil"/>
            </w:tcBorders>
          </w:tcPr>
          <w:p w14:paraId="24CDE543" w14:textId="77777777" w:rsidR="00C01E92" w:rsidRPr="00A41349" w:rsidRDefault="00C01E92" w:rsidP="0099713C">
            <w:pPr>
              <w:spacing w:after="60"/>
              <w:rPr>
                <w:rFonts w:cstheme="minorHAnsi"/>
                <w:b/>
                <w:szCs w:val="22"/>
              </w:rPr>
            </w:pPr>
            <w:r w:rsidRPr="00A41349">
              <w:rPr>
                <w:rFonts w:cstheme="minorHAnsi"/>
                <w:b/>
                <w:szCs w:val="22"/>
              </w:rPr>
              <w:t>TOTAL</w:t>
            </w:r>
          </w:p>
        </w:tc>
        <w:tc>
          <w:tcPr>
            <w:tcW w:w="1134" w:type="dxa"/>
            <w:tcBorders>
              <w:left w:val="nil"/>
              <w:right w:val="nil"/>
            </w:tcBorders>
          </w:tcPr>
          <w:p w14:paraId="09E0FF87" w14:textId="77777777" w:rsidR="00C01E92" w:rsidRPr="00A41349" w:rsidRDefault="00C01E92" w:rsidP="001C06F3">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lang w:val="en-US"/>
              </w:rPr>
            </w:pPr>
          </w:p>
        </w:tc>
        <w:tc>
          <w:tcPr>
            <w:tcW w:w="1134" w:type="dxa"/>
            <w:tcBorders>
              <w:left w:val="nil"/>
              <w:right w:val="nil"/>
            </w:tcBorders>
          </w:tcPr>
          <w:p w14:paraId="17B79CC3" w14:textId="77777777" w:rsidR="00C01E92" w:rsidRPr="00A41349" w:rsidRDefault="00C01E92" w:rsidP="001C06F3">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lang w:val="en-US"/>
              </w:rPr>
            </w:pPr>
          </w:p>
        </w:tc>
        <w:tc>
          <w:tcPr>
            <w:tcW w:w="1559" w:type="dxa"/>
            <w:tcBorders>
              <w:left w:val="nil"/>
              <w:right w:val="nil"/>
            </w:tcBorders>
          </w:tcPr>
          <w:p w14:paraId="7A059996" w14:textId="77777777" w:rsidR="00C01E92" w:rsidRPr="00A41349" w:rsidRDefault="00C01E92" w:rsidP="001C06F3">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lang w:val="en-US"/>
              </w:rPr>
            </w:pPr>
            <w:r w:rsidRPr="00A41349">
              <w:rPr>
                <w:rFonts w:ascii="Arial Narrow" w:hAnsi="Arial Narrow" w:cstheme="minorHAnsi"/>
                <w:b/>
                <w:sz w:val="22"/>
                <w:szCs w:val="22"/>
                <w:lang w:val="en-US"/>
              </w:rPr>
              <w:t>$168,541.12</w:t>
            </w:r>
          </w:p>
        </w:tc>
        <w:tc>
          <w:tcPr>
            <w:tcW w:w="993" w:type="dxa"/>
            <w:tcBorders>
              <w:left w:val="nil"/>
              <w:right w:val="nil"/>
            </w:tcBorders>
          </w:tcPr>
          <w:p w14:paraId="43E20AE6" w14:textId="77777777" w:rsidR="00C01E92" w:rsidRPr="00A41349" w:rsidRDefault="00C01E92" w:rsidP="0047782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lang w:val="en-US"/>
              </w:rPr>
            </w:pPr>
          </w:p>
        </w:tc>
        <w:tc>
          <w:tcPr>
            <w:tcW w:w="1134" w:type="dxa"/>
            <w:tcBorders>
              <w:left w:val="nil"/>
              <w:right w:val="nil"/>
            </w:tcBorders>
          </w:tcPr>
          <w:p w14:paraId="51C8F9B0" w14:textId="77777777" w:rsidR="00C01E92" w:rsidRPr="00A41349" w:rsidRDefault="00C01E92" w:rsidP="0047782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lang w:val="en-US"/>
              </w:rPr>
            </w:pPr>
          </w:p>
        </w:tc>
        <w:tc>
          <w:tcPr>
            <w:tcW w:w="1559" w:type="dxa"/>
            <w:tcBorders>
              <w:left w:val="nil"/>
            </w:tcBorders>
          </w:tcPr>
          <w:p w14:paraId="261FB080" w14:textId="77777777" w:rsidR="00C01E92" w:rsidRPr="00A41349" w:rsidRDefault="00C01E92" w:rsidP="0047782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lang w:val="en-US"/>
              </w:rPr>
            </w:pPr>
            <w:r w:rsidRPr="00A41349">
              <w:rPr>
                <w:rFonts w:ascii="Arial Narrow" w:hAnsi="Arial Narrow" w:cstheme="minorHAnsi"/>
                <w:b/>
                <w:sz w:val="22"/>
                <w:szCs w:val="22"/>
                <w:lang w:val="en-US"/>
              </w:rPr>
              <w:t>$86,605.12</w:t>
            </w:r>
          </w:p>
        </w:tc>
      </w:tr>
    </w:tbl>
    <w:p w14:paraId="5A8A359B" w14:textId="46EA9371"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lastRenderedPageBreak/>
        <w:fldChar w:fldCharType="begin"/>
      </w:r>
      <w:r w:rsidRPr="000107A9">
        <w:rPr>
          <w:rFonts w:asciiTheme="minorHAnsi" w:hAnsiTheme="minorHAnsi" w:cstheme="minorHAnsi"/>
          <w:sz w:val="22"/>
          <w:szCs w:val="22"/>
        </w:rPr>
        <w:instrText xml:space="preserve"> REF _Ref24548594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 xml:space="preserve">Table </w:t>
      </w:r>
      <w:r w:rsidR="00493211" w:rsidRPr="00493211">
        <w:rPr>
          <w:rFonts w:asciiTheme="minorHAnsi" w:hAnsiTheme="minorHAnsi" w:cstheme="minorHAnsi"/>
          <w:noProof/>
          <w:sz w:val="22"/>
          <w:szCs w:val="22"/>
        </w:rPr>
        <w:t>24</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provides the score given to Options D.1. Status Quo and Option D.2. Alignment against the cost to industry. Both options would impose higher immediate costs on providers and the sector as a whole than would be incurred in the base case. On the other hand, the regulatory requirements may mitigate risks to providers that could otherwise result in significant costs, and many services may meet these standards even without being required to do so. For this reason, both options have been scored as mildly negative relative to the base case.</w:t>
      </w:r>
    </w:p>
    <w:p w14:paraId="03375228" w14:textId="75BDDA3F" w:rsidR="00C01E92" w:rsidRPr="000107A9" w:rsidRDefault="00C01E92" w:rsidP="00F7569F">
      <w:pPr>
        <w:pStyle w:val="Caption"/>
      </w:pPr>
      <w:bookmarkStart w:id="189" w:name="_Ref24548594"/>
      <w:bookmarkStart w:id="190" w:name="_Toc32592807"/>
      <w:r w:rsidRPr="000107A9">
        <w:t xml:space="preserve">Table </w:t>
      </w:r>
      <w:r w:rsidRPr="000107A9">
        <w:fldChar w:fldCharType="begin"/>
      </w:r>
      <w:r w:rsidRPr="000107A9">
        <w:instrText xml:space="preserve"> SEQ Table \* ARABIC </w:instrText>
      </w:r>
      <w:r w:rsidRPr="000107A9">
        <w:fldChar w:fldCharType="separate"/>
      </w:r>
      <w:r w:rsidR="00493211">
        <w:rPr>
          <w:noProof/>
        </w:rPr>
        <w:t>24</w:t>
      </w:r>
      <w:r w:rsidRPr="000107A9">
        <w:fldChar w:fldCharType="end"/>
      </w:r>
      <w:bookmarkEnd w:id="189"/>
      <w:r w:rsidRPr="000107A9">
        <w:t xml:space="preserve"> Staffing - costs to industry</w:t>
      </w:r>
      <w:bookmarkEnd w:id="190"/>
      <w:r w:rsidRPr="000107A9">
        <w:t xml:space="preserve"> </w:t>
      </w:r>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695"/>
        <w:gridCol w:w="3402"/>
        <w:gridCol w:w="1509"/>
        <w:gridCol w:w="1509"/>
        <w:gridCol w:w="1507"/>
      </w:tblGrid>
      <w:tr w:rsidR="00C01E92" w:rsidRPr="00691A5E" w14:paraId="2F6D6107" w14:textId="77777777" w:rsidTr="003A4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Borders>
              <w:right w:val="none" w:sz="0" w:space="0" w:color="auto"/>
            </w:tcBorders>
          </w:tcPr>
          <w:p w14:paraId="7C5769A5" w14:textId="77777777" w:rsidR="00C01E92" w:rsidRPr="00691A5E" w:rsidRDefault="00C01E92" w:rsidP="009B7AF9">
            <w:pPr>
              <w:spacing w:after="60"/>
              <w:rPr>
                <w:rFonts w:cstheme="minorHAnsi"/>
                <w:bCs/>
                <w:color w:val="FFFFFF"/>
                <w:szCs w:val="22"/>
              </w:rPr>
            </w:pPr>
            <w:r w:rsidRPr="00691A5E">
              <w:rPr>
                <w:rFonts w:cstheme="minorHAnsi"/>
                <w:bCs/>
                <w:color w:val="FFFFFF"/>
                <w:szCs w:val="22"/>
              </w:rPr>
              <w:t>Criterion</w:t>
            </w:r>
          </w:p>
        </w:tc>
        <w:tc>
          <w:tcPr>
            <w:tcW w:w="1768" w:type="pct"/>
            <w:tcBorders>
              <w:left w:val="none" w:sz="0" w:space="0" w:color="auto"/>
              <w:right w:val="none" w:sz="0" w:space="0" w:color="auto"/>
            </w:tcBorders>
          </w:tcPr>
          <w:p w14:paraId="407CEA16" w14:textId="77777777" w:rsidR="00C01E92" w:rsidRPr="00691A5E" w:rsidRDefault="00C01E92" w:rsidP="009B7AF9">
            <w:pPr>
              <w:spacing w:after="60"/>
              <w:cnfStyle w:val="100000000000" w:firstRow="1" w:lastRow="0" w:firstColumn="0" w:lastColumn="0" w:oddVBand="0" w:evenVBand="0" w:oddHBand="0" w:evenHBand="0" w:firstRowFirstColumn="0" w:firstRowLastColumn="0" w:lastRowFirstColumn="0" w:lastRowLastColumn="0"/>
              <w:rPr>
                <w:rFonts w:cstheme="minorHAnsi"/>
                <w:bCs/>
                <w:color w:val="FFFFFF"/>
                <w:szCs w:val="22"/>
              </w:rPr>
            </w:pPr>
            <w:r w:rsidRPr="00691A5E">
              <w:rPr>
                <w:rFonts w:cstheme="minorHAnsi"/>
                <w:bCs/>
                <w:color w:val="FFFFFF"/>
                <w:szCs w:val="22"/>
              </w:rPr>
              <w:t>Description</w:t>
            </w:r>
          </w:p>
        </w:tc>
        <w:tc>
          <w:tcPr>
            <w:tcW w:w="784" w:type="pct"/>
            <w:tcBorders>
              <w:left w:val="none" w:sz="0" w:space="0" w:color="auto"/>
              <w:right w:val="none" w:sz="0" w:space="0" w:color="auto"/>
            </w:tcBorders>
          </w:tcPr>
          <w:p w14:paraId="132D243D" w14:textId="77777777" w:rsidR="00C01E92" w:rsidRPr="00691A5E" w:rsidRDefault="00C01E92" w:rsidP="009B7AF9">
            <w:pPr>
              <w:spacing w:after="60"/>
              <w:jc w:val="center"/>
              <w:cnfStyle w:val="100000000000" w:firstRow="1" w:lastRow="0" w:firstColumn="0" w:lastColumn="0" w:oddVBand="0" w:evenVBand="0" w:oddHBand="0" w:evenHBand="0" w:firstRowFirstColumn="0" w:firstRowLastColumn="0" w:lastRowFirstColumn="0" w:lastRowLastColumn="0"/>
              <w:rPr>
                <w:rFonts w:cstheme="minorHAnsi"/>
                <w:bCs/>
                <w:color w:val="FFFFFF"/>
                <w:szCs w:val="22"/>
              </w:rPr>
            </w:pPr>
            <w:r w:rsidRPr="00691A5E">
              <w:rPr>
                <w:rFonts w:cstheme="minorHAnsi"/>
                <w:bCs/>
                <w:color w:val="FFFFFF"/>
                <w:szCs w:val="22"/>
              </w:rPr>
              <w:t>Weighting</w:t>
            </w:r>
          </w:p>
        </w:tc>
        <w:tc>
          <w:tcPr>
            <w:tcW w:w="784" w:type="pct"/>
            <w:tcBorders>
              <w:left w:val="none" w:sz="0" w:space="0" w:color="auto"/>
              <w:right w:val="none" w:sz="0" w:space="0" w:color="auto"/>
            </w:tcBorders>
          </w:tcPr>
          <w:p w14:paraId="45D3EE42" w14:textId="77777777" w:rsidR="00C01E92" w:rsidRPr="00691A5E" w:rsidRDefault="00C01E92" w:rsidP="009B7AF9">
            <w:pPr>
              <w:spacing w:after="60"/>
              <w:jc w:val="center"/>
              <w:cnfStyle w:val="100000000000" w:firstRow="1" w:lastRow="0" w:firstColumn="0" w:lastColumn="0" w:oddVBand="0" w:evenVBand="0" w:oddHBand="0" w:evenHBand="0" w:firstRowFirstColumn="0" w:firstRowLastColumn="0" w:lastRowFirstColumn="0" w:lastRowLastColumn="0"/>
              <w:rPr>
                <w:rFonts w:cstheme="minorHAnsi"/>
                <w:bCs/>
                <w:color w:val="FFFFFF"/>
                <w:szCs w:val="22"/>
              </w:rPr>
            </w:pPr>
            <w:r w:rsidRPr="00691A5E">
              <w:rPr>
                <w:rFonts w:cstheme="minorHAnsi"/>
                <w:bCs/>
                <w:color w:val="FFFFFF"/>
                <w:szCs w:val="22"/>
              </w:rPr>
              <w:t>Option D.1.</w:t>
            </w:r>
          </w:p>
        </w:tc>
        <w:tc>
          <w:tcPr>
            <w:tcW w:w="784" w:type="pct"/>
            <w:tcBorders>
              <w:left w:val="none" w:sz="0" w:space="0" w:color="auto"/>
            </w:tcBorders>
          </w:tcPr>
          <w:p w14:paraId="6E68395C" w14:textId="77777777" w:rsidR="00C01E92" w:rsidRPr="00691A5E" w:rsidRDefault="00C01E92" w:rsidP="009B7AF9">
            <w:pPr>
              <w:spacing w:after="60"/>
              <w:jc w:val="center"/>
              <w:cnfStyle w:val="100000000000" w:firstRow="1" w:lastRow="0" w:firstColumn="0" w:lastColumn="0" w:oddVBand="0" w:evenVBand="0" w:oddHBand="0" w:evenHBand="0" w:firstRowFirstColumn="0" w:firstRowLastColumn="0" w:lastRowFirstColumn="0" w:lastRowLastColumn="0"/>
              <w:rPr>
                <w:rFonts w:cstheme="minorHAnsi"/>
                <w:bCs/>
                <w:color w:val="FFFFFF"/>
                <w:szCs w:val="22"/>
              </w:rPr>
            </w:pPr>
            <w:r w:rsidRPr="00691A5E">
              <w:rPr>
                <w:rFonts w:cstheme="minorHAnsi"/>
                <w:bCs/>
                <w:color w:val="FFFFFF"/>
                <w:szCs w:val="22"/>
              </w:rPr>
              <w:t xml:space="preserve">Option D.2 </w:t>
            </w:r>
          </w:p>
        </w:tc>
      </w:tr>
      <w:tr w:rsidR="00C01E92" w:rsidRPr="00691A5E" w14:paraId="2481E8DD" w14:textId="77777777" w:rsidTr="003A4214">
        <w:trPr>
          <w:trHeight w:val="358"/>
        </w:trPr>
        <w:tc>
          <w:tcPr>
            <w:cnfStyle w:val="001000000000" w:firstRow="0" w:lastRow="0" w:firstColumn="1" w:lastColumn="0" w:oddVBand="0" w:evenVBand="0" w:oddHBand="0" w:evenHBand="0" w:firstRowFirstColumn="0" w:firstRowLastColumn="0" w:lastRowFirstColumn="0" w:lastRowLastColumn="0"/>
            <w:tcW w:w="881" w:type="pct"/>
            <w:tcBorders>
              <w:bottom w:val="single" w:sz="4" w:space="0" w:color="004EA8" w:themeColor="accent1"/>
            </w:tcBorders>
          </w:tcPr>
          <w:p w14:paraId="123024E2" w14:textId="77777777" w:rsidR="00C01E92" w:rsidRPr="00691A5E" w:rsidRDefault="00C01E92" w:rsidP="009B7AF9">
            <w:pPr>
              <w:spacing w:after="60"/>
              <w:rPr>
                <w:rFonts w:cstheme="minorHAnsi"/>
                <w:szCs w:val="22"/>
              </w:rPr>
            </w:pPr>
            <w:r w:rsidRPr="00691A5E">
              <w:rPr>
                <w:rFonts w:cstheme="minorHAnsi"/>
                <w:szCs w:val="22"/>
              </w:rPr>
              <w:t>Cost to industry</w:t>
            </w:r>
          </w:p>
        </w:tc>
        <w:tc>
          <w:tcPr>
            <w:tcW w:w="1768" w:type="pct"/>
            <w:tcBorders>
              <w:bottom w:val="single" w:sz="4" w:space="0" w:color="004EA8" w:themeColor="accent1"/>
            </w:tcBorders>
          </w:tcPr>
          <w:p w14:paraId="5C03B5AF" w14:textId="77777777" w:rsidR="00C01E92" w:rsidRPr="00691A5E" w:rsidRDefault="00C01E92" w:rsidP="009B7AF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691A5E">
              <w:rPr>
                <w:rFonts w:cstheme="minorHAnsi"/>
                <w:szCs w:val="22"/>
              </w:rPr>
              <w:t>Costs to industry imposed by health and welfare regulations.</w:t>
            </w:r>
          </w:p>
        </w:tc>
        <w:tc>
          <w:tcPr>
            <w:tcW w:w="784" w:type="pct"/>
            <w:tcBorders>
              <w:bottom w:val="single" w:sz="4" w:space="0" w:color="004EA8" w:themeColor="accent1"/>
            </w:tcBorders>
          </w:tcPr>
          <w:p w14:paraId="155DF4A3" w14:textId="77777777" w:rsidR="00C01E92" w:rsidRPr="00691A5E" w:rsidRDefault="00C01E92" w:rsidP="009B7AF9">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691A5E">
              <w:rPr>
                <w:rFonts w:cstheme="minorHAnsi"/>
                <w:szCs w:val="22"/>
              </w:rPr>
              <w:t>35%</w:t>
            </w:r>
          </w:p>
        </w:tc>
        <w:tc>
          <w:tcPr>
            <w:tcW w:w="784" w:type="pct"/>
            <w:tcBorders>
              <w:bottom w:val="single" w:sz="4" w:space="0" w:color="004EA8" w:themeColor="accent1"/>
            </w:tcBorders>
          </w:tcPr>
          <w:p w14:paraId="507EC092" w14:textId="77777777" w:rsidR="00C01E92" w:rsidRPr="00691A5E" w:rsidRDefault="00C01E92" w:rsidP="009B7AF9">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691A5E">
              <w:rPr>
                <w:rFonts w:cstheme="minorHAnsi"/>
                <w:szCs w:val="22"/>
              </w:rPr>
              <w:t>-6</w:t>
            </w:r>
          </w:p>
        </w:tc>
        <w:tc>
          <w:tcPr>
            <w:tcW w:w="784" w:type="pct"/>
            <w:tcBorders>
              <w:bottom w:val="single" w:sz="4" w:space="0" w:color="004EA8" w:themeColor="accent1"/>
            </w:tcBorders>
          </w:tcPr>
          <w:p w14:paraId="29AE7316" w14:textId="77777777" w:rsidR="00C01E92" w:rsidRPr="00691A5E" w:rsidRDefault="00C01E92" w:rsidP="009B7AF9">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691A5E">
              <w:rPr>
                <w:rFonts w:cstheme="minorHAnsi"/>
                <w:szCs w:val="22"/>
              </w:rPr>
              <w:t>-4</w:t>
            </w:r>
          </w:p>
        </w:tc>
      </w:tr>
      <w:tr w:rsidR="00C01E92" w:rsidRPr="00691A5E" w14:paraId="0693DAC1" w14:textId="77777777" w:rsidTr="003A4214">
        <w:trPr>
          <w:trHeight w:val="358"/>
        </w:trPr>
        <w:tc>
          <w:tcPr>
            <w:cnfStyle w:val="001000000000" w:firstRow="0" w:lastRow="0" w:firstColumn="1" w:lastColumn="0" w:oddVBand="0" w:evenVBand="0" w:oddHBand="0" w:evenHBand="0" w:firstRowFirstColumn="0" w:firstRowLastColumn="0" w:lastRowFirstColumn="0" w:lastRowLastColumn="0"/>
            <w:tcW w:w="881" w:type="pct"/>
            <w:tcBorders>
              <w:right w:val="nil"/>
            </w:tcBorders>
          </w:tcPr>
          <w:p w14:paraId="26CF1FE8" w14:textId="77777777" w:rsidR="00C01E92" w:rsidRPr="00691A5E" w:rsidRDefault="00C01E92" w:rsidP="009B7AF9">
            <w:pPr>
              <w:spacing w:after="60"/>
              <w:rPr>
                <w:rFonts w:cstheme="minorHAnsi"/>
                <w:b/>
                <w:szCs w:val="22"/>
              </w:rPr>
            </w:pPr>
            <w:r w:rsidRPr="00691A5E">
              <w:rPr>
                <w:rFonts w:cstheme="minorHAnsi"/>
                <w:b/>
                <w:szCs w:val="22"/>
              </w:rPr>
              <w:t>Total</w:t>
            </w:r>
          </w:p>
        </w:tc>
        <w:tc>
          <w:tcPr>
            <w:tcW w:w="1768" w:type="pct"/>
            <w:tcBorders>
              <w:left w:val="nil"/>
              <w:right w:val="nil"/>
            </w:tcBorders>
          </w:tcPr>
          <w:p w14:paraId="7307D4E7" w14:textId="77777777" w:rsidR="00C01E92" w:rsidRPr="00691A5E" w:rsidRDefault="00C01E92" w:rsidP="009B7AF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784" w:type="pct"/>
            <w:tcBorders>
              <w:left w:val="nil"/>
              <w:right w:val="nil"/>
            </w:tcBorders>
          </w:tcPr>
          <w:p w14:paraId="0E7FA904" w14:textId="77777777" w:rsidR="00C01E92" w:rsidRPr="00691A5E" w:rsidRDefault="00C01E92" w:rsidP="009B7AF9">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784" w:type="pct"/>
            <w:tcBorders>
              <w:left w:val="nil"/>
              <w:right w:val="nil"/>
            </w:tcBorders>
          </w:tcPr>
          <w:p w14:paraId="5283C51C" w14:textId="77777777" w:rsidR="00C01E92" w:rsidRPr="00691A5E" w:rsidRDefault="00C01E92" w:rsidP="009B7AF9">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691A5E">
              <w:rPr>
                <w:rFonts w:cstheme="minorHAnsi"/>
                <w:b/>
                <w:szCs w:val="22"/>
              </w:rPr>
              <w:t>-2.1</w:t>
            </w:r>
          </w:p>
        </w:tc>
        <w:tc>
          <w:tcPr>
            <w:tcW w:w="784" w:type="pct"/>
            <w:tcBorders>
              <w:left w:val="nil"/>
            </w:tcBorders>
          </w:tcPr>
          <w:p w14:paraId="242DA807" w14:textId="77777777" w:rsidR="00C01E92" w:rsidRPr="00691A5E" w:rsidRDefault="00C01E92" w:rsidP="009B7AF9">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691A5E">
              <w:rPr>
                <w:rFonts w:cstheme="minorHAnsi"/>
                <w:b/>
                <w:szCs w:val="22"/>
              </w:rPr>
              <w:t>-1.4</w:t>
            </w:r>
          </w:p>
        </w:tc>
      </w:tr>
    </w:tbl>
    <w:p w14:paraId="713BD927" w14:textId="77777777" w:rsidR="00C01E92" w:rsidRPr="000107A9" w:rsidRDefault="00C01E92" w:rsidP="002806C5">
      <w:pPr>
        <w:pStyle w:val="EYHeading4"/>
        <w:numPr>
          <w:ilvl w:val="3"/>
          <w:numId w:val="80"/>
        </w:numPr>
        <w:spacing w:before="120"/>
        <w:rPr>
          <w:rFonts w:asciiTheme="minorHAnsi" w:hAnsiTheme="minorHAnsi" w:cstheme="minorHAnsi"/>
          <w:szCs w:val="22"/>
        </w:rPr>
      </w:pPr>
      <w:r w:rsidRPr="000107A9">
        <w:rPr>
          <w:rFonts w:asciiTheme="minorHAnsi" w:hAnsiTheme="minorHAnsi" w:cstheme="minorHAnsi"/>
          <w:szCs w:val="22"/>
        </w:rPr>
        <w:t>Equipment and facilities</w:t>
      </w:r>
    </w:p>
    <w:p w14:paraId="2006B278"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Act does not impose requirements in relation to the equipment and facilities services need to provide. Theoretically, this means that Option E.1. Status Quo and Option E.2. Alignment impose costs that would not be incurred under the base case.</w:t>
      </w:r>
    </w:p>
    <w:p w14:paraId="3BF95E77"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However, given that service premises must be approved under the Act in order for services to legally operate, and that the Department inspects premises before granting approvals, many of the costs would likely be incurred in the base case. Additionally, the base case scenario would not necessarily result in cost savings because existing services already providing these facilities would not realistically remove, for example, a fridge or administration room just because providing one was no longer a legal requirement.</w:t>
      </w:r>
    </w:p>
    <w:p w14:paraId="68A9CFE6"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Option E.1. Status Quo and Option E.2. Alignment impose largely identical requirements regarding facilities and equipment, with the only changes under Option E.2. Alignment relating to the outdoor space to be provided per child, laundry facilities and the removal of the need for a children’s room for under 3 year olds.</w:t>
      </w:r>
    </w:p>
    <w:p w14:paraId="55998E22" w14:textId="001DABE3"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Both options require the provision of the same equipment or facilities, which can be costed. Although the average cost of each item to be installed can be estimated, figures provided in </w:t>
      </w:r>
      <w:r w:rsidR="0001719C">
        <w:rPr>
          <w:rFonts w:asciiTheme="minorHAnsi" w:hAnsiTheme="minorHAnsi" w:cstheme="minorHAnsi"/>
          <w:sz w:val="22"/>
          <w:szCs w:val="22"/>
        </w:rPr>
        <w:t>Table 25</w:t>
      </w:r>
      <w:r w:rsidRPr="000107A9">
        <w:rPr>
          <w:rFonts w:asciiTheme="minorHAnsi" w:hAnsiTheme="minorHAnsi" w:cstheme="minorHAnsi"/>
          <w:sz w:val="22"/>
          <w:szCs w:val="22"/>
        </w:rPr>
        <w:t xml:space="preserve"> should not be viewed as absolute costs to all services in the sector as some items would not be required by certain services (e.g., school holidays care services would not need toddler cots), some services could choose to meet the requirements in other ways (i.e., have children sleep on mats on the floor rather than bedframes), and because many premises from which children’s services are operated (e.g., Neighbourhood Houses or gyms) likely already have equipment like fridges and microwaves.</w:t>
      </w:r>
    </w:p>
    <w:p w14:paraId="7EEE978C" w14:textId="2C72C679" w:rsidR="00135EF5"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All children’s services can provide education and care to toddlers and babies. The average service is approved to provide care to 26 children and it is assumed that services would have sufficient equipment to cater to the full number of places a service is approved for.</w:t>
      </w:r>
    </w:p>
    <w:p w14:paraId="54FB14BD" w14:textId="77777777" w:rsidR="00C769E7" w:rsidRDefault="00C769E7">
      <w:pPr>
        <w:spacing w:after="0"/>
        <w:rPr>
          <w:rFonts w:ascii="Arial Narrow" w:eastAsia="Times New Roman" w:hAnsi="Arial Narrow" w:cs="Times New Roman"/>
          <w:bCs/>
          <w:color w:val="000000" w:themeColor="text1"/>
          <w:szCs w:val="18"/>
          <w:lang w:val="en-AU"/>
        </w:rPr>
      </w:pPr>
      <w:bookmarkStart w:id="191" w:name="_Ref23235662"/>
      <w:r>
        <w:br w:type="page"/>
      </w:r>
    </w:p>
    <w:p w14:paraId="2238D6F7" w14:textId="22F1D3FF" w:rsidR="00C01E92" w:rsidRPr="000107A9" w:rsidRDefault="00C01E92" w:rsidP="00F7569F">
      <w:pPr>
        <w:pStyle w:val="Caption"/>
      </w:pPr>
      <w:bookmarkStart w:id="192" w:name="_Toc32592808"/>
      <w:r w:rsidRPr="000107A9">
        <w:lastRenderedPageBreak/>
        <w:t xml:space="preserve">Table </w:t>
      </w:r>
      <w:r w:rsidRPr="000107A9">
        <w:fldChar w:fldCharType="begin"/>
      </w:r>
      <w:r w:rsidRPr="000107A9">
        <w:instrText xml:space="preserve"> SEQ Table \* ARABIC </w:instrText>
      </w:r>
      <w:r w:rsidRPr="000107A9">
        <w:fldChar w:fldCharType="separate"/>
      </w:r>
      <w:r w:rsidR="00493211">
        <w:rPr>
          <w:noProof/>
        </w:rPr>
        <w:t>25</w:t>
      </w:r>
      <w:r w:rsidRPr="000107A9">
        <w:fldChar w:fldCharType="end"/>
      </w:r>
      <w:bookmarkEnd w:id="191"/>
      <w:r w:rsidRPr="000107A9">
        <w:t xml:space="preserve"> Equipment and facilities costs</w:t>
      </w:r>
      <w:r w:rsidRPr="0099713C">
        <w:rPr>
          <w:vertAlign w:val="superscript"/>
        </w:rPr>
        <w:footnoteReference w:id="51"/>
      </w:r>
      <w:bookmarkEnd w:id="192"/>
    </w:p>
    <w:tbl>
      <w:tblPr>
        <w:tblStyle w:val="TableGrid"/>
        <w:tblW w:w="0" w:type="auto"/>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2972"/>
        <w:gridCol w:w="1839"/>
        <w:gridCol w:w="2981"/>
        <w:gridCol w:w="1830"/>
      </w:tblGrid>
      <w:tr w:rsidR="00C769E7" w:rsidRPr="009B7AF9" w14:paraId="2D901663" w14:textId="4CC1C54E" w:rsidTr="00C76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bottom w:val="single" w:sz="4" w:space="0" w:color="004EA8" w:themeColor="accent1"/>
            </w:tcBorders>
          </w:tcPr>
          <w:p w14:paraId="799B7401" w14:textId="0B9CD98C" w:rsidR="00C769E7" w:rsidRPr="009B7AF9" w:rsidRDefault="00C769E7" w:rsidP="009B7AF9">
            <w:pPr>
              <w:pStyle w:val="EYBodytextwithparaspace"/>
              <w:spacing w:after="60"/>
              <w:rPr>
                <w:rFonts w:ascii="Arial Narrow" w:hAnsi="Arial Narrow" w:cstheme="minorHAnsi"/>
                <w:sz w:val="22"/>
                <w:szCs w:val="22"/>
              </w:rPr>
            </w:pPr>
            <w:r w:rsidRPr="009B7AF9">
              <w:rPr>
                <w:rFonts w:ascii="Arial Narrow" w:hAnsi="Arial Narrow" w:cstheme="minorHAnsi"/>
                <w:sz w:val="22"/>
                <w:szCs w:val="22"/>
              </w:rPr>
              <w:t>Equipment and facilities</w:t>
            </w:r>
          </w:p>
        </w:tc>
        <w:tc>
          <w:tcPr>
            <w:tcW w:w="1839" w:type="dxa"/>
            <w:tcBorders>
              <w:bottom w:val="single" w:sz="4" w:space="0" w:color="004EA8" w:themeColor="accent1"/>
            </w:tcBorders>
          </w:tcPr>
          <w:p w14:paraId="5BBE45FE" w14:textId="50FEF7B5" w:rsidR="00C769E7" w:rsidRPr="009B7AF9" w:rsidRDefault="00C769E7" w:rsidP="00C769E7">
            <w:pPr>
              <w:pStyle w:val="EYBodytextwithparaspace"/>
              <w:spacing w:after="60"/>
              <w:cnfStyle w:val="100000000000" w:firstRow="1"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 xml:space="preserve">Cost per </w:t>
            </w:r>
            <w:r>
              <w:rPr>
                <w:rFonts w:ascii="Arial Narrow" w:hAnsi="Arial Narrow" w:cstheme="minorHAnsi"/>
                <w:sz w:val="22"/>
                <w:szCs w:val="22"/>
              </w:rPr>
              <w:t>service</w:t>
            </w:r>
          </w:p>
        </w:tc>
        <w:tc>
          <w:tcPr>
            <w:tcW w:w="2981" w:type="dxa"/>
            <w:tcBorders>
              <w:bottom w:val="single" w:sz="4" w:space="0" w:color="004EA8" w:themeColor="accent1"/>
            </w:tcBorders>
          </w:tcPr>
          <w:p w14:paraId="143CEA33" w14:textId="56051D43" w:rsidR="00C769E7" w:rsidRPr="009B7AF9" w:rsidRDefault="00C769E7" w:rsidP="009B7AF9">
            <w:pPr>
              <w:pStyle w:val="EYBodytextwithparaspace"/>
              <w:spacing w:after="60"/>
              <w:cnfStyle w:val="100000000000" w:firstRow="1"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Equipment and facilities</w:t>
            </w:r>
          </w:p>
        </w:tc>
        <w:tc>
          <w:tcPr>
            <w:tcW w:w="1830" w:type="dxa"/>
            <w:tcBorders>
              <w:bottom w:val="single" w:sz="4" w:space="0" w:color="004EA8" w:themeColor="accent1"/>
            </w:tcBorders>
          </w:tcPr>
          <w:p w14:paraId="40BB2C42" w14:textId="2FA5D545" w:rsidR="00C769E7" w:rsidRPr="009B7AF9" w:rsidRDefault="00C769E7" w:rsidP="00C769E7">
            <w:pPr>
              <w:pStyle w:val="EYBodytextwithparaspace"/>
              <w:spacing w:after="60"/>
              <w:cnfStyle w:val="100000000000" w:firstRow="1"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 xml:space="preserve">Cost per </w:t>
            </w:r>
            <w:r>
              <w:rPr>
                <w:rFonts w:ascii="Arial Narrow" w:hAnsi="Arial Narrow" w:cstheme="minorHAnsi"/>
                <w:sz w:val="22"/>
                <w:szCs w:val="22"/>
              </w:rPr>
              <w:t>service</w:t>
            </w:r>
          </w:p>
        </w:tc>
      </w:tr>
      <w:tr w:rsidR="00C769E7" w:rsidRPr="009B7AF9" w14:paraId="7C0AE6F5" w14:textId="679DC188" w:rsidTr="00C769E7">
        <w:tc>
          <w:tcPr>
            <w:cnfStyle w:val="001000000000" w:firstRow="0" w:lastRow="0" w:firstColumn="1" w:lastColumn="0" w:oddVBand="0" w:evenVBand="0" w:oddHBand="0" w:evenHBand="0" w:firstRowFirstColumn="0" w:firstRowLastColumn="0" w:lastRowFirstColumn="0" w:lastRowLastColumn="0"/>
            <w:tcW w:w="2972" w:type="dxa"/>
          </w:tcPr>
          <w:p w14:paraId="730799CB" w14:textId="38072BB9" w:rsidR="00C769E7" w:rsidRPr="009B7AF9" w:rsidRDefault="00C769E7" w:rsidP="00C769E7">
            <w:pPr>
              <w:pStyle w:val="EYBodytextwithparaspace"/>
              <w:spacing w:after="60"/>
              <w:rPr>
                <w:rFonts w:ascii="Arial Narrow" w:hAnsi="Arial Narrow" w:cstheme="minorHAnsi"/>
                <w:sz w:val="22"/>
                <w:szCs w:val="22"/>
              </w:rPr>
            </w:pPr>
            <w:r w:rsidRPr="009B7AF9">
              <w:rPr>
                <w:rFonts w:ascii="Arial Narrow" w:hAnsi="Arial Narrow" w:cstheme="minorHAnsi"/>
                <w:sz w:val="22"/>
                <w:szCs w:val="22"/>
              </w:rPr>
              <w:t>Fridge</w:t>
            </w:r>
          </w:p>
        </w:tc>
        <w:tc>
          <w:tcPr>
            <w:tcW w:w="1839" w:type="dxa"/>
          </w:tcPr>
          <w:p w14:paraId="05A3E813" w14:textId="77777777" w:rsidR="00C769E7" w:rsidRPr="009B7AF9" w:rsidRDefault="00C769E7" w:rsidP="00C769E7">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$749.99</w:t>
            </w:r>
          </w:p>
        </w:tc>
        <w:tc>
          <w:tcPr>
            <w:tcW w:w="2981" w:type="dxa"/>
          </w:tcPr>
          <w:p w14:paraId="6A589B8C" w14:textId="6A0F6C89" w:rsidR="00C769E7" w:rsidRPr="00C769E7" w:rsidRDefault="00C769E7" w:rsidP="00C769E7">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004EA8" w:themeColor="accent1"/>
                <w:sz w:val="22"/>
                <w:szCs w:val="22"/>
              </w:rPr>
            </w:pPr>
            <w:r w:rsidRPr="00C769E7">
              <w:rPr>
                <w:rFonts w:ascii="Arial Narrow" w:hAnsi="Arial Narrow" w:cstheme="minorHAnsi"/>
                <w:color w:val="004EA8" w:themeColor="accent1"/>
                <w:sz w:val="22"/>
                <w:szCs w:val="22"/>
              </w:rPr>
              <w:t>Microwave</w:t>
            </w:r>
          </w:p>
        </w:tc>
        <w:tc>
          <w:tcPr>
            <w:tcW w:w="1830" w:type="dxa"/>
          </w:tcPr>
          <w:p w14:paraId="2A166B47" w14:textId="20F3A05D" w:rsidR="00C769E7" w:rsidRPr="009B7AF9" w:rsidRDefault="00C769E7" w:rsidP="00C769E7">
            <w:pPr>
              <w:pStyle w:val="EYBodytextwithout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$169.00</w:t>
            </w:r>
          </w:p>
        </w:tc>
      </w:tr>
      <w:tr w:rsidR="00C769E7" w:rsidRPr="009B7AF9" w14:paraId="013181C5" w14:textId="1332C056" w:rsidTr="00C769E7">
        <w:tc>
          <w:tcPr>
            <w:cnfStyle w:val="001000000000" w:firstRow="0" w:lastRow="0" w:firstColumn="1" w:lastColumn="0" w:oddVBand="0" w:evenVBand="0" w:oddHBand="0" w:evenHBand="0" w:firstRowFirstColumn="0" w:firstRowLastColumn="0" w:lastRowFirstColumn="0" w:lastRowLastColumn="0"/>
            <w:tcW w:w="2972" w:type="dxa"/>
          </w:tcPr>
          <w:p w14:paraId="5D9C302E" w14:textId="3BDEF7C0" w:rsidR="00C769E7" w:rsidRPr="009B7AF9" w:rsidRDefault="00C769E7" w:rsidP="00C769E7">
            <w:pPr>
              <w:pStyle w:val="EYBodytextwithparaspace"/>
              <w:spacing w:after="60"/>
              <w:rPr>
                <w:rFonts w:ascii="Arial Narrow" w:hAnsi="Arial Narrow" w:cstheme="minorHAnsi"/>
                <w:sz w:val="22"/>
                <w:szCs w:val="22"/>
              </w:rPr>
            </w:pPr>
            <w:r w:rsidRPr="009B7AF9">
              <w:rPr>
                <w:rFonts w:ascii="Arial Narrow" w:hAnsi="Arial Narrow" w:cstheme="minorHAnsi"/>
                <w:sz w:val="22"/>
                <w:szCs w:val="22"/>
              </w:rPr>
              <w:t>Sink</w:t>
            </w:r>
          </w:p>
        </w:tc>
        <w:tc>
          <w:tcPr>
            <w:tcW w:w="1839" w:type="dxa"/>
          </w:tcPr>
          <w:p w14:paraId="4BF14003" w14:textId="77777777" w:rsidR="00C769E7" w:rsidRPr="009B7AF9" w:rsidRDefault="00C769E7" w:rsidP="00C769E7">
            <w:pPr>
              <w:pStyle w:val="EYBodytextwithout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$239.00</w:t>
            </w:r>
          </w:p>
        </w:tc>
        <w:tc>
          <w:tcPr>
            <w:tcW w:w="2981" w:type="dxa"/>
          </w:tcPr>
          <w:p w14:paraId="2EE8E9DC" w14:textId="461FAFD4" w:rsidR="00C769E7" w:rsidRPr="00C769E7" w:rsidRDefault="00C769E7" w:rsidP="00C769E7">
            <w:pPr>
              <w:pStyle w:val="EYBodytextwithout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004EA8" w:themeColor="accent1"/>
                <w:sz w:val="22"/>
                <w:szCs w:val="22"/>
              </w:rPr>
            </w:pPr>
            <w:r w:rsidRPr="00C769E7">
              <w:rPr>
                <w:rFonts w:ascii="Arial Narrow" w:hAnsi="Arial Narrow" w:cstheme="minorHAnsi"/>
                <w:color w:val="004EA8" w:themeColor="accent1"/>
                <w:sz w:val="22"/>
                <w:szCs w:val="22"/>
              </w:rPr>
              <w:t>Stretcher bedframe</w:t>
            </w:r>
          </w:p>
        </w:tc>
        <w:tc>
          <w:tcPr>
            <w:tcW w:w="1830" w:type="dxa"/>
          </w:tcPr>
          <w:p w14:paraId="1D0962DC" w14:textId="573929B9" w:rsidR="00C769E7" w:rsidRPr="009B7AF9" w:rsidRDefault="00C769E7" w:rsidP="00C769E7">
            <w:pPr>
              <w:pStyle w:val="EYBodytextwithout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$2,276.30</w:t>
            </w:r>
          </w:p>
        </w:tc>
      </w:tr>
      <w:tr w:rsidR="00C769E7" w:rsidRPr="009B7AF9" w14:paraId="2C37E65E" w14:textId="0C224D91" w:rsidTr="00C769E7">
        <w:tc>
          <w:tcPr>
            <w:cnfStyle w:val="001000000000" w:firstRow="0" w:lastRow="0" w:firstColumn="1" w:lastColumn="0" w:oddVBand="0" w:evenVBand="0" w:oddHBand="0" w:evenHBand="0" w:firstRowFirstColumn="0" w:firstRowLastColumn="0" w:lastRowFirstColumn="0" w:lastRowLastColumn="0"/>
            <w:tcW w:w="2972" w:type="dxa"/>
          </w:tcPr>
          <w:p w14:paraId="26082FAD" w14:textId="77777777" w:rsidR="00C769E7" w:rsidRPr="009B7AF9" w:rsidRDefault="00C769E7" w:rsidP="00C769E7">
            <w:pPr>
              <w:pStyle w:val="EYBodytextwithparaspace"/>
              <w:spacing w:after="60"/>
              <w:rPr>
                <w:rFonts w:ascii="Arial Narrow" w:hAnsi="Arial Narrow" w:cstheme="minorHAnsi"/>
                <w:sz w:val="22"/>
                <w:szCs w:val="22"/>
              </w:rPr>
            </w:pPr>
            <w:r w:rsidRPr="009B7AF9">
              <w:rPr>
                <w:rFonts w:ascii="Arial Narrow" w:hAnsi="Arial Narrow" w:cstheme="minorHAnsi"/>
                <w:sz w:val="22"/>
                <w:szCs w:val="22"/>
              </w:rPr>
              <w:t>Baby bath</w:t>
            </w:r>
          </w:p>
        </w:tc>
        <w:tc>
          <w:tcPr>
            <w:tcW w:w="1839" w:type="dxa"/>
          </w:tcPr>
          <w:p w14:paraId="2319B4C0" w14:textId="77777777" w:rsidR="00C769E7" w:rsidRPr="009B7AF9" w:rsidRDefault="00C769E7" w:rsidP="00C769E7">
            <w:pPr>
              <w:pStyle w:val="EYBodytextwithout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$79.95</w:t>
            </w:r>
          </w:p>
        </w:tc>
        <w:tc>
          <w:tcPr>
            <w:tcW w:w="2981" w:type="dxa"/>
          </w:tcPr>
          <w:p w14:paraId="64AB0BB0" w14:textId="7F48E42E" w:rsidR="00C769E7" w:rsidRPr="00C769E7" w:rsidRDefault="00C769E7" w:rsidP="00C769E7">
            <w:pPr>
              <w:pStyle w:val="EYBodytextwithout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004EA8" w:themeColor="accent1"/>
                <w:sz w:val="22"/>
                <w:szCs w:val="22"/>
              </w:rPr>
            </w:pPr>
            <w:r w:rsidRPr="00C769E7">
              <w:rPr>
                <w:rFonts w:ascii="Arial Narrow" w:hAnsi="Arial Narrow" w:cstheme="minorHAnsi"/>
                <w:color w:val="004EA8" w:themeColor="accent1"/>
                <w:sz w:val="22"/>
                <w:szCs w:val="22"/>
              </w:rPr>
              <w:t>Mattress</w:t>
            </w:r>
          </w:p>
        </w:tc>
        <w:tc>
          <w:tcPr>
            <w:tcW w:w="1830" w:type="dxa"/>
          </w:tcPr>
          <w:p w14:paraId="1B067DA2" w14:textId="0FE5BFF5" w:rsidR="00C769E7" w:rsidRPr="009B7AF9" w:rsidRDefault="00C769E7" w:rsidP="00C769E7">
            <w:pPr>
              <w:pStyle w:val="EYBodytextwithout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$1,903.20</w:t>
            </w:r>
          </w:p>
        </w:tc>
      </w:tr>
      <w:tr w:rsidR="00C769E7" w:rsidRPr="009B7AF9" w14:paraId="76FE497F" w14:textId="630E6E0A" w:rsidTr="00C769E7">
        <w:tc>
          <w:tcPr>
            <w:cnfStyle w:val="001000000000" w:firstRow="0" w:lastRow="0" w:firstColumn="1" w:lastColumn="0" w:oddVBand="0" w:evenVBand="0" w:oddHBand="0" w:evenHBand="0" w:firstRowFirstColumn="0" w:firstRowLastColumn="0" w:lastRowFirstColumn="0" w:lastRowLastColumn="0"/>
            <w:tcW w:w="2972" w:type="dxa"/>
          </w:tcPr>
          <w:p w14:paraId="634C0B67" w14:textId="77777777" w:rsidR="00C769E7" w:rsidRPr="009B7AF9" w:rsidRDefault="00C769E7" w:rsidP="00C769E7">
            <w:pPr>
              <w:pStyle w:val="EYBodytextwithparaspace"/>
              <w:spacing w:after="60"/>
              <w:rPr>
                <w:rFonts w:ascii="Arial Narrow" w:hAnsi="Arial Narrow" w:cstheme="minorHAnsi"/>
                <w:sz w:val="22"/>
                <w:szCs w:val="22"/>
              </w:rPr>
            </w:pPr>
            <w:r w:rsidRPr="009B7AF9">
              <w:rPr>
                <w:rFonts w:ascii="Arial Narrow" w:hAnsi="Arial Narrow" w:cstheme="minorHAnsi"/>
                <w:sz w:val="22"/>
                <w:szCs w:val="22"/>
              </w:rPr>
              <w:t>Toddler cots</w:t>
            </w:r>
          </w:p>
        </w:tc>
        <w:tc>
          <w:tcPr>
            <w:tcW w:w="1839" w:type="dxa"/>
          </w:tcPr>
          <w:p w14:paraId="775E4808" w14:textId="77777777" w:rsidR="00C769E7" w:rsidRPr="009B7AF9" w:rsidRDefault="00C769E7" w:rsidP="00C769E7">
            <w:pPr>
              <w:pStyle w:val="EYBodytextwithout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$3,354.00</w:t>
            </w:r>
          </w:p>
        </w:tc>
        <w:tc>
          <w:tcPr>
            <w:tcW w:w="2981" w:type="dxa"/>
          </w:tcPr>
          <w:p w14:paraId="527BAE41" w14:textId="65B5321D" w:rsidR="00C769E7" w:rsidRPr="00C769E7" w:rsidRDefault="00C769E7" w:rsidP="00C769E7">
            <w:pPr>
              <w:pStyle w:val="EYBodytextwithout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color w:val="004EA8" w:themeColor="accent1"/>
                <w:sz w:val="22"/>
                <w:szCs w:val="22"/>
              </w:rPr>
            </w:pPr>
            <w:r w:rsidRPr="00C769E7">
              <w:rPr>
                <w:rFonts w:ascii="Arial Narrow" w:hAnsi="Arial Narrow" w:cstheme="minorHAnsi"/>
                <w:color w:val="004EA8" w:themeColor="accent1"/>
                <w:sz w:val="22"/>
                <w:szCs w:val="22"/>
              </w:rPr>
              <w:t>Bedsheets</w:t>
            </w:r>
          </w:p>
        </w:tc>
        <w:tc>
          <w:tcPr>
            <w:tcW w:w="1830" w:type="dxa"/>
          </w:tcPr>
          <w:p w14:paraId="3BA06CB2" w14:textId="08242D2C" w:rsidR="00C769E7" w:rsidRPr="009B7AF9" w:rsidRDefault="00C769E7" w:rsidP="00C769E7">
            <w:pPr>
              <w:pStyle w:val="EYBodytextwithout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$923.00</w:t>
            </w:r>
          </w:p>
        </w:tc>
      </w:tr>
    </w:tbl>
    <w:p w14:paraId="133EB951"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obligation in both regulatory options to provide facilities for children to participate in the service educational and care programs is not costed for two reasons:</w:t>
      </w:r>
    </w:p>
    <w:p w14:paraId="6858236D" w14:textId="77777777" w:rsidR="00C01E92" w:rsidRPr="000107A9" w:rsidRDefault="00C01E92" w:rsidP="002806C5">
      <w:pPr>
        <w:pStyle w:val="EYBulletnoparaspace"/>
        <w:numPr>
          <w:ilvl w:val="0"/>
          <w:numId w:val="67"/>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 xml:space="preserve">the cost would vary too widely considering the broad range of programs and care offered by services, and </w:t>
      </w:r>
    </w:p>
    <w:p w14:paraId="185405FC" w14:textId="77777777" w:rsidR="00C01E92" w:rsidRPr="000107A9" w:rsidRDefault="00C01E92" w:rsidP="002806C5">
      <w:pPr>
        <w:pStyle w:val="EYBulletnoparaspace"/>
        <w:numPr>
          <w:ilvl w:val="0"/>
          <w:numId w:val="67"/>
        </w:numPr>
        <w:spacing w:before="120" w:after="120"/>
        <w:contextualSpacing w:val="0"/>
        <w:rPr>
          <w:rFonts w:asciiTheme="minorHAnsi" w:hAnsiTheme="minorHAnsi" w:cstheme="minorHAnsi"/>
          <w:sz w:val="22"/>
          <w:szCs w:val="22"/>
        </w:rPr>
      </w:pPr>
      <w:proofErr w:type="gramStart"/>
      <w:r w:rsidRPr="000107A9">
        <w:rPr>
          <w:rFonts w:asciiTheme="minorHAnsi" w:hAnsiTheme="minorHAnsi" w:cstheme="minorHAnsi"/>
          <w:sz w:val="22"/>
          <w:szCs w:val="22"/>
        </w:rPr>
        <w:t>services</w:t>
      </w:r>
      <w:proofErr w:type="gramEnd"/>
      <w:r w:rsidRPr="000107A9">
        <w:rPr>
          <w:rFonts w:asciiTheme="minorHAnsi" w:hAnsiTheme="minorHAnsi" w:cstheme="minorHAnsi"/>
          <w:sz w:val="22"/>
          <w:szCs w:val="22"/>
        </w:rPr>
        <w:t xml:space="preserve"> would by necessity comply with this requirement through fulfilling their obligation under the Act to provide appropriate educational or recreational programs to children. </w:t>
      </w:r>
    </w:p>
    <w:p w14:paraId="6A7651E9"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Both Option E.1. Status Quo and Option E.2. Alignment require children’s hygiene needs to be met, and that children’s toilets and hand basins are appropriate for hygienic and safe use by children. The Building Code of Australia requires buildings used for the provision of early childhood education and care (including children’s services regulated under the Act) to include child-appropriate bathroom facilities</w:t>
      </w:r>
      <w:r w:rsidRPr="00474E1C">
        <w:rPr>
          <w:rFonts w:asciiTheme="minorHAnsi" w:hAnsiTheme="minorHAnsi" w:cstheme="minorHAnsi"/>
          <w:sz w:val="22"/>
          <w:szCs w:val="22"/>
        </w:rPr>
        <w:t>.</w:t>
      </w:r>
      <w:r w:rsidRPr="00474E1C">
        <w:rPr>
          <w:rStyle w:val="FootnoteReference"/>
          <w:rFonts w:asciiTheme="minorHAnsi" w:hAnsiTheme="minorHAnsi" w:cstheme="minorHAnsi"/>
          <w:color w:val="auto"/>
          <w:sz w:val="22"/>
          <w:szCs w:val="22"/>
        </w:rPr>
        <w:footnoteReference w:id="52"/>
      </w:r>
      <w:r w:rsidRPr="00474E1C">
        <w:rPr>
          <w:rFonts w:asciiTheme="minorHAnsi" w:hAnsiTheme="minorHAnsi" w:cstheme="minorHAnsi"/>
          <w:sz w:val="22"/>
          <w:szCs w:val="22"/>
        </w:rPr>
        <w:t xml:space="preserve"> T</w:t>
      </w:r>
      <w:r w:rsidRPr="000107A9">
        <w:rPr>
          <w:rFonts w:asciiTheme="minorHAnsi" w:hAnsiTheme="minorHAnsi" w:cstheme="minorHAnsi"/>
          <w:sz w:val="22"/>
          <w:szCs w:val="22"/>
        </w:rPr>
        <w:t xml:space="preserve">his means that these facilities would be required in the base case, and this aspect of both regulatory options is not considered to pose any additional costs. Both options also impose minimum required indoor and outdoor space allowances for each child attending a service as well as an administration room for staff. </w:t>
      </w:r>
    </w:p>
    <w:p w14:paraId="58314EC8"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While services generally operate out of premises primarily built for early childhood education and care, many that offer limited hours use existing community facilities (e.g. Neighbourhood Houses) that may also be used for another purpose. Similarly, many organisations that offer children’s services, do so not as a profit-making venture; rather as an adjunct offering to support their primary business (e.g. Fitness centres or gyms). It is extremely unlikely that a new premises would be constructed for the sole purpose of offering a children’s service, and in the event of a new fitness centre being constructed (for example), given the primary motivation for the construction is the fitness facility, any costs associated with children’s service offered, would be secondary. It is assumed, that this approach will continue over the next 10 years for the children’s service sector and costs associated with providing indoor and outdoor space for children, and room for staff, would either incur no cost or some incremental cost, should a service undertake minor renovations to enlarge space or to repurpose existing space.</w:t>
      </w:r>
    </w:p>
    <w:p w14:paraId="76A82126"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Option E.2. Alignment imposes a slightly higher outdoor space requirement for some service approvals, resulting in additional costs when compared with Option E.1. Status Quo and the base case.</w:t>
      </w:r>
    </w:p>
    <w:p w14:paraId="2B0CAE7C"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Under the Status Quo option, only services operating under a Standard licence are required to provide outdoor space on the premises. As at December 2019, there are 29 Standard licences operating in Victoria, comprising 9% of the sector. Under the alignment option, the outdoor space requirement extends to services currently operating under the Limited Hours type 2 and School </w:t>
      </w:r>
      <w:r w:rsidRPr="000107A9">
        <w:rPr>
          <w:rFonts w:asciiTheme="minorHAnsi" w:hAnsiTheme="minorHAnsi" w:cstheme="minorHAnsi"/>
          <w:sz w:val="22"/>
          <w:szCs w:val="22"/>
        </w:rPr>
        <w:lastRenderedPageBreak/>
        <w:t>Holidays Care licences.</w:t>
      </w:r>
      <w:r w:rsidRPr="00474E1C">
        <w:rPr>
          <w:rStyle w:val="FootnoteReference"/>
          <w:rFonts w:asciiTheme="minorHAnsi" w:hAnsiTheme="minorHAnsi" w:cstheme="minorHAnsi"/>
          <w:color w:val="auto"/>
          <w:sz w:val="22"/>
          <w:szCs w:val="22"/>
        </w:rPr>
        <w:footnoteReference w:id="53"/>
      </w:r>
      <w:r w:rsidRPr="00474E1C">
        <w:rPr>
          <w:rFonts w:asciiTheme="minorHAnsi" w:hAnsiTheme="minorHAnsi" w:cstheme="minorHAnsi"/>
          <w:sz w:val="22"/>
          <w:szCs w:val="22"/>
        </w:rPr>
        <w:t xml:space="preserve"> </w:t>
      </w:r>
      <w:r w:rsidRPr="000107A9">
        <w:rPr>
          <w:rFonts w:asciiTheme="minorHAnsi" w:hAnsiTheme="minorHAnsi" w:cstheme="minorHAnsi"/>
          <w:sz w:val="22"/>
          <w:szCs w:val="22"/>
        </w:rPr>
        <w:t>Together, there are 291 of these services, representing 90% of the sector. This means that the alignment option could impose extra costs on the industry as a whole. However, existing services affected by this change would be permitted to rely on access to a nearby community space or have conditions imposed on their service approval restricting the duration of time they may care for children. In effect, these measures would grandfather the Status Quo requirements for these services. New services entering the market could experience some additional costs in comparison to current services should they renovate existing space or construct a new to meet the increased requirement under the E.2. Alignment option, but as stated, this is assumed unlikely or too infrequent an occurrence. In contrast, the removal of the need for a separate children’s room for under 3-year-olds may reduce costs through reducing the amount of space required to operate all children’s services, both existing and future.</w:t>
      </w:r>
    </w:p>
    <w:p w14:paraId="208E924E"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proposed Regulations also require services to have access to laundry facilities or make other arrangements for dealing with soiled clothing and linen. This requirement is not specified in the current Regulations but given that services are currently required to ensure that children’s hygiene needs are met, it is assumed that services would already have such laundry facilities or arrangements in place and that this aspect of Option E.2. Alignment does not pose any additional costs relative to Option E.1. Status Quo. Hygienic laundry facilities would also be necessary to comply with services’ obligations to keep children safe from harm and hazards under the Act, meaning that these costs would also be incurred in the base case.</w:t>
      </w:r>
    </w:p>
    <w:p w14:paraId="188F8A36" w14:textId="224AFCF6"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score given to both regulatory options are provided in </w:t>
      </w: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_Ref23447612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 xml:space="preserve">Table </w:t>
      </w:r>
      <w:r w:rsidR="00493211" w:rsidRPr="00493211">
        <w:rPr>
          <w:rFonts w:asciiTheme="minorHAnsi" w:hAnsiTheme="minorHAnsi" w:cstheme="minorHAnsi"/>
          <w:noProof/>
          <w:sz w:val="22"/>
          <w:szCs w:val="22"/>
        </w:rPr>
        <w:t>26</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These scores reflect the minimal actual costs imposed on businesses through the minimum space requirements alongside the more significant costs incurred through meeting the equipment standards, considering that many services will already provide these or equivalent facilities.</w:t>
      </w:r>
    </w:p>
    <w:p w14:paraId="55B60538" w14:textId="6B768CA6" w:rsidR="00C01E92" w:rsidRPr="00D55F3A" w:rsidRDefault="00C01E92" w:rsidP="00D55F3A">
      <w:pPr>
        <w:pStyle w:val="Caption"/>
      </w:pPr>
      <w:bookmarkStart w:id="193" w:name="_Ref23447612"/>
      <w:bookmarkStart w:id="194" w:name="_Toc32592809"/>
      <w:r w:rsidRPr="00D55F3A">
        <w:t xml:space="preserve">Table </w:t>
      </w:r>
      <w:r w:rsidRPr="00D55F3A">
        <w:fldChar w:fldCharType="begin"/>
      </w:r>
      <w:r w:rsidRPr="00D55F3A">
        <w:instrText xml:space="preserve"> SEQ Table \* ARABIC </w:instrText>
      </w:r>
      <w:r w:rsidRPr="00D55F3A">
        <w:fldChar w:fldCharType="separate"/>
      </w:r>
      <w:r w:rsidR="00493211">
        <w:rPr>
          <w:noProof/>
        </w:rPr>
        <w:t>26</w:t>
      </w:r>
      <w:r w:rsidRPr="00D55F3A">
        <w:fldChar w:fldCharType="end"/>
      </w:r>
      <w:bookmarkEnd w:id="193"/>
      <w:r w:rsidRPr="00D55F3A">
        <w:t xml:space="preserve"> Equipment and facilities - costs to industry</w:t>
      </w:r>
      <w:bookmarkEnd w:id="194"/>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694"/>
        <w:gridCol w:w="3545"/>
        <w:gridCol w:w="1461"/>
        <w:gridCol w:w="1461"/>
        <w:gridCol w:w="1461"/>
      </w:tblGrid>
      <w:tr w:rsidR="00C01E92" w:rsidRPr="00685BF4" w14:paraId="7C3ED99E" w14:textId="77777777" w:rsidTr="00C76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Borders>
              <w:right w:val="none" w:sz="0" w:space="0" w:color="auto"/>
            </w:tcBorders>
          </w:tcPr>
          <w:p w14:paraId="42F319BF" w14:textId="77777777" w:rsidR="00C01E92" w:rsidRPr="00685BF4" w:rsidRDefault="00C01E92" w:rsidP="009B7AF9">
            <w:pPr>
              <w:spacing w:after="60"/>
              <w:rPr>
                <w:rFonts w:cstheme="minorHAnsi"/>
                <w:bCs/>
                <w:color w:val="FFFFFF"/>
                <w:szCs w:val="22"/>
              </w:rPr>
            </w:pPr>
            <w:r w:rsidRPr="00685BF4">
              <w:rPr>
                <w:rFonts w:cstheme="minorHAnsi"/>
                <w:bCs/>
                <w:color w:val="FFFFFF"/>
                <w:szCs w:val="22"/>
              </w:rPr>
              <w:t>Criterion</w:t>
            </w:r>
          </w:p>
        </w:tc>
        <w:tc>
          <w:tcPr>
            <w:tcW w:w="1842" w:type="pct"/>
            <w:tcBorders>
              <w:left w:val="none" w:sz="0" w:space="0" w:color="auto"/>
              <w:right w:val="none" w:sz="0" w:space="0" w:color="auto"/>
            </w:tcBorders>
          </w:tcPr>
          <w:p w14:paraId="032F9D84" w14:textId="77777777" w:rsidR="00C01E92" w:rsidRPr="00685BF4" w:rsidRDefault="00C01E92" w:rsidP="009B7AF9">
            <w:pPr>
              <w:spacing w:after="60"/>
              <w:cnfStyle w:val="100000000000" w:firstRow="1" w:lastRow="0" w:firstColumn="0" w:lastColumn="0" w:oddVBand="0" w:evenVBand="0" w:oddHBand="0" w:evenHBand="0" w:firstRowFirstColumn="0" w:firstRowLastColumn="0" w:lastRowFirstColumn="0" w:lastRowLastColumn="0"/>
              <w:rPr>
                <w:rFonts w:cstheme="minorHAnsi"/>
                <w:bCs/>
                <w:color w:val="FFFFFF"/>
                <w:szCs w:val="22"/>
              </w:rPr>
            </w:pPr>
            <w:r w:rsidRPr="00685BF4">
              <w:rPr>
                <w:rFonts w:cstheme="minorHAnsi"/>
                <w:bCs/>
                <w:color w:val="FFFFFF"/>
                <w:szCs w:val="22"/>
              </w:rPr>
              <w:t>Description</w:t>
            </w:r>
          </w:p>
        </w:tc>
        <w:tc>
          <w:tcPr>
            <w:tcW w:w="759" w:type="pct"/>
            <w:tcBorders>
              <w:left w:val="none" w:sz="0" w:space="0" w:color="auto"/>
              <w:right w:val="none" w:sz="0" w:space="0" w:color="auto"/>
            </w:tcBorders>
          </w:tcPr>
          <w:p w14:paraId="54BA7E5C" w14:textId="77777777" w:rsidR="00C01E92" w:rsidRPr="00685BF4" w:rsidRDefault="00C01E92" w:rsidP="009B7AF9">
            <w:pPr>
              <w:spacing w:after="60"/>
              <w:jc w:val="center"/>
              <w:cnfStyle w:val="100000000000" w:firstRow="1" w:lastRow="0" w:firstColumn="0" w:lastColumn="0" w:oddVBand="0" w:evenVBand="0" w:oddHBand="0" w:evenHBand="0" w:firstRowFirstColumn="0" w:firstRowLastColumn="0" w:lastRowFirstColumn="0" w:lastRowLastColumn="0"/>
              <w:rPr>
                <w:rFonts w:cstheme="minorHAnsi"/>
                <w:bCs/>
                <w:color w:val="FFFFFF"/>
                <w:szCs w:val="22"/>
              </w:rPr>
            </w:pPr>
            <w:r w:rsidRPr="00685BF4">
              <w:rPr>
                <w:rFonts w:cstheme="minorHAnsi"/>
                <w:bCs/>
                <w:color w:val="FFFFFF"/>
                <w:szCs w:val="22"/>
              </w:rPr>
              <w:t>Weighting</w:t>
            </w:r>
          </w:p>
        </w:tc>
        <w:tc>
          <w:tcPr>
            <w:tcW w:w="759" w:type="pct"/>
            <w:tcBorders>
              <w:left w:val="none" w:sz="0" w:space="0" w:color="auto"/>
              <w:right w:val="none" w:sz="0" w:space="0" w:color="auto"/>
            </w:tcBorders>
          </w:tcPr>
          <w:p w14:paraId="118E6C1D" w14:textId="77777777" w:rsidR="00C01E92" w:rsidRPr="00685BF4" w:rsidRDefault="00C01E92" w:rsidP="009B7AF9">
            <w:pPr>
              <w:spacing w:after="60"/>
              <w:jc w:val="center"/>
              <w:cnfStyle w:val="100000000000" w:firstRow="1" w:lastRow="0" w:firstColumn="0" w:lastColumn="0" w:oddVBand="0" w:evenVBand="0" w:oddHBand="0" w:evenHBand="0" w:firstRowFirstColumn="0" w:firstRowLastColumn="0" w:lastRowFirstColumn="0" w:lastRowLastColumn="0"/>
              <w:rPr>
                <w:rFonts w:cstheme="minorHAnsi"/>
                <w:bCs/>
                <w:color w:val="FFFFFF"/>
                <w:szCs w:val="22"/>
              </w:rPr>
            </w:pPr>
            <w:r w:rsidRPr="00685BF4">
              <w:rPr>
                <w:rFonts w:cstheme="minorHAnsi"/>
                <w:bCs/>
                <w:color w:val="FFFFFF"/>
                <w:szCs w:val="22"/>
              </w:rPr>
              <w:t>Option E.1</w:t>
            </w:r>
          </w:p>
        </w:tc>
        <w:tc>
          <w:tcPr>
            <w:tcW w:w="759" w:type="pct"/>
            <w:tcBorders>
              <w:left w:val="none" w:sz="0" w:space="0" w:color="auto"/>
            </w:tcBorders>
          </w:tcPr>
          <w:p w14:paraId="1FD6531A" w14:textId="77777777" w:rsidR="00C01E92" w:rsidRPr="00685BF4" w:rsidRDefault="00C01E92" w:rsidP="009B7AF9">
            <w:pPr>
              <w:spacing w:after="60"/>
              <w:jc w:val="center"/>
              <w:cnfStyle w:val="100000000000" w:firstRow="1" w:lastRow="0" w:firstColumn="0" w:lastColumn="0" w:oddVBand="0" w:evenVBand="0" w:oddHBand="0" w:evenHBand="0" w:firstRowFirstColumn="0" w:firstRowLastColumn="0" w:lastRowFirstColumn="0" w:lastRowLastColumn="0"/>
              <w:rPr>
                <w:rFonts w:cstheme="minorHAnsi"/>
                <w:bCs/>
                <w:color w:val="FFFFFF"/>
                <w:szCs w:val="22"/>
              </w:rPr>
            </w:pPr>
            <w:r w:rsidRPr="00685BF4">
              <w:rPr>
                <w:rFonts w:cstheme="minorHAnsi"/>
                <w:bCs/>
                <w:color w:val="FFFFFF"/>
                <w:szCs w:val="22"/>
              </w:rPr>
              <w:t>Option E.2</w:t>
            </w:r>
          </w:p>
        </w:tc>
      </w:tr>
      <w:tr w:rsidR="00C01E92" w:rsidRPr="00685BF4" w14:paraId="7EF0B282" w14:textId="77777777" w:rsidTr="00C769E7">
        <w:trPr>
          <w:trHeight w:val="358"/>
        </w:trPr>
        <w:tc>
          <w:tcPr>
            <w:cnfStyle w:val="001000000000" w:firstRow="0" w:lastRow="0" w:firstColumn="1" w:lastColumn="0" w:oddVBand="0" w:evenVBand="0" w:oddHBand="0" w:evenHBand="0" w:firstRowFirstColumn="0" w:firstRowLastColumn="0" w:lastRowFirstColumn="0" w:lastRowLastColumn="0"/>
            <w:tcW w:w="881" w:type="pct"/>
            <w:tcBorders>
              <w:bottom w:val="single" w:sz="4" w:space="0" w:color="004EA8" w:themeColor="accent1"/>
            </w:tcBorders>
          </w:tcPr>
          <w:p w14:paraId="122F860D" w14:textId="77777777" w:rsidR="00C01E92" w:rsidRPr="00685BF4" w:rsidRDefault="00C01E92" w:rsidP="009B7AF9">
            <w:pPr>
              <w:spacing w:after="60"/>
              <w:rPr>
                <w:rFonts w:cstheme="minorHAnsi"/>
                <w:color w:val="004EA8"/>
                <w:szCs w:val="22"/>
              </w:rPr>
            </w:pPr>
            <w:r w:rsidRPr="00685BF4">
              <w:rPr>
                <w:rFonts w:cstheme="minorHAnsi"/>
                <w:color w:val="004EA8"/>
                <w:szCs w:val="22"/>
              </w:rPr>
              <w:t>Cost to industry</w:t>
            </w:r>
          </w:p>
        </w:tc>
        <w:tc>
          <w:tcPr>
            <w:tcW w:w="1842" w:type="pct"/>
            <w:tcBorders>
              <w:bottom w:val="single" w:sz="4" w:space="0" w:color="004EA8" w:themeColor="accent1"/>
            </w:tcBorders>
          </w:tcPr>
          <w:p w14:paraId="443659BE" w14:textId="77777777" w:rsidR="00C01E92" w:rsidRPr="00685BF4" w:rsidRDefault="00C01E92" w:rsidP="009B7AF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685BF4">
              <w:rPr>
                <w:rFonts w:cstheme="minorHAnsi"/>
                <w:szCs w:val="22"/>
              </w:rPr>
              <w:t xml:space="preserve">Costs to industry imposed by Regulations relating to equipment and facilities. </w:t>
            </w:r>
          </w:p>
        </w:tc>
        <w:tc>
          <w:tcPr>
            <w:tcW w:w="759" w:type="pct"/>
            <w:tcBorders>
              <w:bottom w:val="single" w:sz="4" w:space="0" w:color="004EA8" w:themeColor="accent1"/>
            </w:tcBorders>
          </w:tcPr>
          <w:p w14:paraId="741DB0A0" w14:textId="77777777" w:rsidR="00C01E92" w:rsidRPr="00685BF4" w:rsidRDefault="00C01E92" w:rsidP="009B7AF9">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685BF4">
              <w:rPr>
                <w:rFonts w:cstheme="minorHAnsi"/>
                <w:szCs w:val="22"/>
              </w:rPr>
              <w:t>35%</w:t>
            </w:r>
          </w:p>
        </w:tc>
        <w:tc>
          <w:tcPr>
            <w:tcW w:w="759" w:type="pct"/>
            <w:tcBorders>
              <w:bottom w:val="single" w:sz="4" w:space="0" w:color="004EA8" w:themeColor="accent1"/>
            </w:tcBorders>
          </w:tcPr>
          <w:p w14:paraId="320DEBD4" w14:textId="77777777" w:rsidR="00C01E92" w:rsidRPr="00685BF4" w:rsidRDefault="00C01E92" w:rsidP="009B7AF9">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685BF4">
              <w:rPr>
                <w:rFonts w:cstheme="minorHAnsi"/>
                <w:szCs w:val="22"/>
              </w:rPr>
              <w:t>-4</w:t>
            </w:r>
          </w:p>
        </w:tc>
        <w:tc>
          <w:tcPr>
            <w:tcW w:w="759" w:type="pct"/>
            <w:tcBorders>
              <w:bottom w:val="single" w:sz="4" w:space="0" w:color="004EA8" w:themeColor="accent1"/>
            </w:tcBorders>
          </w:tcPr>
          <w:p w14:paraId="5B1CE7AD" w14:textId="77777777" w:rsidR="00C01E92" w:rsidRPr="00685BF4" w:rsidRDefault="00C01E92" w:rsidP="009B7AF9">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685BF4">
              <w:rPr>
                <w:rFonts w:cstheme="minorHAnsi"/>
                <w:szCs w:val="22"/>
              </w:rPr>
              <w:t>-5</w:t>
            </w:r>
          </w:p>
        </w:tc>
      </w:tr>
      <w:tr w:rsidR="00C01E92" w:rsidRPr="00685BF4" w14:paraId="743B3597" w14:textId="77777777" w:rsidTr="00C769E7">
        <w:trPr>
          <w:trHeight w:val="358"/>
        </w:trPr>
        <w:tc>
          <w:tcPr>
            <w:cnfStyle w:val="001000000000" w:firstRow="0" w:lastRow="0" w:firstColumn="1" w:lastColumn="0" w:oddVBand="0" w:evenVBand="0" w:oddHBand="0" w:evenHBand="0" w:firstRowFirstColumn="0" w:firstRowLastColumn="0" w:lastRowFirstColumn="0" w:lastRowLastColumn="0"/>
            <w:tcW w:w="881" w:type="pct"/>
            <w:tcBorders>
              <w:right w:val="nil"/>
            </w:tcBorders>
          </w:tcPr>
          <w:p w14:paraId="72FD1D2F" w14:textId="77777777" w:rsidR="00C01E92" w:rsidRPr="00685BF4" w:rsidRDefault="00C01E92" w:rsidP="009B7AF9">
            <w:pPr>
              <w:spacing w:after="60"/>
              <w:rPr>
                <w:rFonts w:cstheme="minorHAnsi"/>
                <w:b/>
                <w:color w:val="004EA8"/>
                <w:szCs w:val="22"/>
              </w:rPr>
            </w:pPr>
            <w:r w:rsidRPr="00685BF4">
              <w:rPr>
                <w:rFonts w:cstheme="minorHAnsi"/>
                <w:b/>
                <w:color w:val="004EA8"/>
                <w:szCs w:val="22"/>
              </w:rPr>
              <w:t>Total</w:t>
            </w:r>
          </w:p>
        </w:tc>
        <w:tc>
          <w:tcPr>
            <w:tcW w:w="1842" w:type="pct"/>
            <w:tcBorders>
              <w:left w:val="nil"/>
              <w:right w:val="nil"/>
            </w:tcBorders>
          </w:tcPr>
          <w:p w14:paraId="73558CEE" w14:textId="77777777" w:rsidR="00C01E92" w:rsidRPr="00685BF4" w:rsidRDefault="00C01E92" w:rsidP="009B7AF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759" w:type="pct"/>
            <w:tcBorders>
              <w:left w:val="nil"/>
              <w:right w:val="nil"/>
            </w:tcBorders>
          </w:tcPr>
          <w:p w14:paraId="340C8637" w14:textId="77777777" w:rsidR="00C01E92" w:rsidRPr="00685BF4" w:rsidRDefault="00C01E92" w:rsidP="009B7AF9">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759" w:type="pct"/>
            <w:tcBorders>
              <w:left w:val="nil"/>
              <w:right w:val="nil"/>
            </w:tcBorders>
          </w:tcPr>
          <w:p w14:paraId="5F85BA47" w14:textId="77777777" w:rsidR="00C01E92" w:rsidRPr="00685BF4" w:rsidRDefault="00C01E92" w:rsidP="009B7AF9">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685BF4">
              <w:rPr>
                <w:rFonts w:cstheme="minorHAnsi"/>
                <w:b/>
                <w:szCs w:val="22"/>
              </w:rPr>
              <w:t>-1.4</w:t>
            </w:r>
          </w:p>
        </w:tc>
        <w:tc>
          <w:tcPr>
            <w:tcW w:w="759" w:type="pct"/>
            <w:tcBorders>
              <w:left w:val="nil"/>
            </w:tcBorders>
          </w:tcPr>
          <w:p w14:paraId="28482EE1" w14:textId="77777777" w:rsidR="00C01E92" w:rsidRPr="00685BF4" w:rsidRDefault="00C01E92" w:rsidP="009B7AF9">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685BF4">
              <w:rPr>
                <w:rFonts w:cstheme="minorHAnsi"/>
                <w:b/>
                <w:szCs w:val="22"/>
              </w:rPr>
              <w:t>-1.75</w:t>
            </w:r>
          </w:p>
        </w:tc>
      </w:tr>
    </w:tbl>
    <w:p w14:paraId="1E83E97A" w14:textId="5DDBEE50" w:rsidR="00C01E92" w:rsidRPr="000107A9" w:rsidRDefault="005A6B33" w:rsidP="002806C5">
      <w:pPr>
        <w:pStyle w:val="EYHeading4"/>
        <w:numPr>
          <w:ilvl w:val="3"/>
          <w:numId w:val="80"/>
        </w:numPr>
        <w:spacing w:before="120"/>
        <w:rPr>
          <w:rFonts w:asciiTheme="minorHAnsi" w:hAnsiTheme="minorHAnsi" w:cstheme="minorHAnsi"/>
          <w:szCs w:val="22"/>
        </w:rPr>
      </w:pPr>
      <w:r>
        <w:rPr>
          <w:rFonts w:asciiTheme="minorHAnsi" w:hAnsiTheme="minorHAnsi" w:cstheme="minorHAnsi"/>
          <w:szCs w:val="22"/>
        </w:rPr>
        <w:t>Complaints and serious incidents</w:t>
      </w:r>
    </w:p>
    <w:p w14:paraId="45A0BE78"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Act requires providers to notify the Secretary of complaints in relation to any serious incidents, contraventions of the Act or other prescribed matters.</w:t>
      </w:r>
    </w:p>
    <w:p w14:paraId="42B7D091" w14:textId="72772C2F"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_Ref24109170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 xml:space="preserve">Table </w:t>
      </w:r>
      <w:r w:rsidR="00493211" w:rsidRPr="00493211">
        <w:rPr>
          <w:rFonts w:asciiTheme="minorHAnsi" w:hAnsiTheme="minorHAnsi" w:cstheme="minorHAnsi"/>
          <w:noProof/>
          <w:sz w:val="22"/>
          <w:szCs w:val="22"/>
        </w:rPr>
        <w:t>27</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and </w:t>
      </w: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_Ref24109172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 xml:space="preserve">Table </w:t>
      </w:r>
      <w:r w:rsidR="00493211" w:rsidRPr="00493211">
        <w:rPr>
          <w:rFonts w:asciiTheme="minorHAnsi" w:hAnsiTheme="minorHAnsi" w:cstheme="minorHAnsi"/>
          <w:noProof/>
          <w:sz w:val="22"/>
          <w:szCs w:val="22"/>
        </w:rPr>
        <w:t>28</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provide the number and type of complaints and incidents notified in children’s services in recent years.</w:t>
      </w:r>
    </w:p>
    <w:p w14:paraId="20C935C0" w14:textId="268C8094" w:rsidR="00C01E92" w:rsidRPr="000107A9" w:rsidRDefault="00C01E92" w:rsidP="00F7569F">
      <w:pPr>
        <w:pStyle w:val="Caption"/>
      </w:pPr>
      <w:bookmarkStart w:id="195" w:name="_Ref24109170"/>
      <w:bookmarkStart w:id="196" w:name="_Toc32592810"/>
      <w:r w:rsidRPr="000107A9">
        <w:t xml:space="preserve">Table </w:t>
      </w:r>
      <w:r w:rsidRPr="000107A9">
        <w:fldChar w:fldCharType="begin"/>
      </w:r>
      <w:r w:rsidRPr="000107A9">
        <w:instrText xml:space="preserve"> SEQ Table \* ARABIC </w:instrText>
      </w:r>
      <w:r w:rsidRPr="000107A9">
        <w:fldChar w:fldCharType="separate"/>
      </w:r>
      <w:r w:rsidR="00493211">
        <w:rPr>
          <w:noProof/>
        </w:rPr>
        <w:t>27</w:t>
      </w:r>
      <w:r w:rsidRPr="000107A9">
        <w:fldChar w:fldCharType="end"/>
      </w:r>
      <w:bookmarkEnd w:id="195"/>
      <w:r w:rsidRPr="000107A9">
        <w:t xml:space="preserve"> Number and type of complaints received by the Department</w:t>
      </w:r>
      <w:bookmarkEnd w:id="196"/>
    </w:p>
    <w:tbl>
      <w:tblPr>
        <w:tblStyle w:val="TableGrid"/>
        <w:tblW w:w="0" w:type="auto"/>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ayout w:type="fixed"/>
        <w:tblLook w:val="04A0" w:firstRow="1" w:lastRow="0" w:firstColumn="1" w:lastColumn="0" w:noHBand="0" w:noVBand="1"/>
      </w:tblPr>
      <w:tblGrid>
        <w:gridCol w:w="2552"/>
        <w:gridCol w:w="1292"/>
        <w:gridCol w:w="1293"/>
        <w:gridCol w:w="1293"/>
        <w:gridCol w:w="1293"/>
        <w:gridCol w:w="1293"/>
      </w:tblGrid>
      <w:tr w:rsidR="00C01E92" w:rsidRPr="009B7AF9" w14:paraId="7968A4B1" w14:textId="77777777" w:rsidTr="009B7AF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Borders>
              <w:right w:val="none" w:sz="0" w:space="0" w:color="auto"/>
            </w:tcBorders>
            <w:noWrap/>
            <w:hideMark/>
          </w:tcPr>
          <w:p w14:paraId="621FCFE1" w14:textId="77777777" w:rsidR="00C01E92" w:rsidRPr="009B7AF9" w:rsidRDefault="00C01E92" w:rsidP="009B7AF9">
            <w:pPr>
              <w:pStyle w:val="EYBodytextwithparaspace"/>
              <w:autoSpaceDE/>
              <w:autoSpaceDN/>
              <w:adjustRightInd/>
              <w:spacing w:after="60"/>
              <w:rPr>
                <w:rFonts w:ascii="Arial Narrow" w:hAnsi="Arial Narrow" w:cstheme="minorHAnsi"/>
                <w:bCs/>
                <w:sz w:val="22"/>
                <w:szCs w:val="22"/>
              </w:rPr>
            </w:pPr>
            <w:r w:rsidRPr="009B7AF9">
              <w:rPr>
                <w:rFonts w:ascii="Arial Narrow" w:hAnsi="Arial Narrow" w:cstheme="minorHAnsi"/>
                <w:bCs/>
                <w:sz w:val="22"/>
                <w:szCs w:val="22"/>
              </w:rPr>
              <w:t>Complaint type</w:t>
            </w:r>
          </w:p>
        </w:tc>
        <w:tc>
          <w:tcPr>
            <w:tcW w:w="1292" w:type="dxa"/>
            <w:tcBorders>
              <w:left w:val="none" w:sz="0" w:space="0" w:color="auto"/>
              <w:right w:val="none" w:sz="0" w:space="0" w:color="auto"/>
            </w:tcBorders>
            <w:noWrap/>
            <w:hideMark/>
          </w:tcPr>
          <w:p w14:paraId="7976CF5D" w14:textId="77777777" w:rsidR="00C01E92" w:rsidRPr="009B7AF9" w:rsidRDefault="00C01E92" w:rsidP="008B3077">
            <w:pPr>
              <w:pStyle w:val="EYBodytextwithparaspace"/>
              <w:autoSpaceDE/>
              <w:autoSpaceDN/>
              <w:adjustRightInd/>
              <w:spacing w:after="60"/>
              <w:jc w:val="center"/>
              <w:cnfStyle w:val="100000000000" w:firstRow="1" w:lastRow="0" w:firstColumn="0" w:lastColumn="0" w:oddVBand="0" w:evenVBand="0" w:oddHBand="0" w:evenHBand="0" w:firstRowFirstColumn="0" w:firstRowLastColumn="0" w:lastRowFirstColumn="0" w:lastRowLastColumn="0"/>
              <w:rPr>
                <w:rFonts w:ascii="Arial Narrow" w:hAnsi="Arial Narrow" w:cstheme="minorHAnsi"/>
                <w:bCs/>
                <w:sz w:val="22"/>
                <w:szCs w:val="22"/>
              </w:rPr>
            </w:pPr>
            <w:r w:rsidRPr="009B7AF9">
              <w:rPr>
                <w:rFonts w:ascii="Arial Narrow" w:hAnsi="Arial Narrow" w:cstheme="minorHAnsi"/>
                <w:bCs/>
                <w:sz w:val="22"/>
                <w:szCs w:val="22"/>
              </w:rPr>
              <w:t>2014-15</w:t>
            </w:r>
          </w:p>
        </w:tc>
        <w:tc>
          <w:tcPr>
            <w:tcW w:w="1293" w:type="dxa"/>
            <w:tcBorders>
              <w:left w:val="none" w:sz="0" w:space="0" w:color="auto"/>
              <w:right w:val="none" w:sz="0" w:space="0" w:color="auto"/>
            </w:tcBorders>
            <w:noWrap/>
            <w:hideMark/>
          </w:tcPr>
          <w:p w14:paraId="5DFE20D0" w14:textId="77777777" w:rsidR="00C01E92" w:rsidRPr="009B7AF9" w:rsidRDefault="00C01E92" w:rsidP="008B3077">
            <w:pPr>
              <w:pStyle w:val="EYBodytextwithparaspace"/>
              <w:autoSpaceDE/>
              <w:autoSpaceDN/>
              <w:adjustRightInd/>
              <w:spacing w:after="60"/>
              <w:jc w:val="center"/>
              <w:cnfStyle w:val="100000000000" w:firstRow="1" w:lastRow="0" w:firstColumn="0" w:lastColumn="0" w:oddVBand="0" w:evenVBand="0" w:oddHBand="0" w:evenHBand="0" w:firstRowFirstColumn="0" w:firstRowLastColumn="0" w:lastRowFirstColumn="0" w:lastRowLastColumn="0"/>
              <w:rPr>
                <w:rFonts w:ascii="Arial Narrow" w:hAnsi="Arial Narrow" w:cstheme="minorHAnsi"/>
                <w:bCs/>
                <w:sz w:val="22"/>
                <w:szCs w:val="22"/>
              </w:rPr>
            </w:pPr>
            <w:r w:rsidRPr="009B7AF9">
              <w:rPr>
                <w:rFonts w:ascii="Arial Narrow" w:hAnsi="Arial Narrow" w:cstheme="minorHAnsi"/>
                <w:bCs/>
                <w:sz w:val="22"/>
                <w:szCs w:val="22"/>
              </w:rPr>
              <w:t>2015-16</w:t>
            </w:r>
          </w:p>
        </w:tc>
        <w:tc>
          <w:tcPr>
            <w:tcW w:w="1293" w:type="dxa"/>
            <w:tcBorders>
              <w:left w:val="none" w:sz="0" w:space="0" w:color="auto"/>
              <w:right w:val="none" w:sz="0" w:space="0" w:color="auto"/>
            </w:tcBorders>
            <w:noWrap/>
            <w:hideMark/>
          </w:tcPr>
          <w:p w14:paraId="793DB97B" w14:textId="77777777" w:rsidR="00C01E92" w:rsidRPr="009B7AF9" w:rsidRDefault="00C01E92" w:rsidP="008B3077">
            <w:pPr>
              <w:pStyle w:val="EYBodytextwithparaspace"/>
              <w:autoSpaceDE/>
              <w:autoSpaceDN/>
              <w:adjustRightInd/>
              <w:spacing w:after="60"/>
              <w:jc w:val="center"/>
              <w:cnfStyle w:val="100000000000" w:firstRow="1" w:lastRow="0" w:firstColumn="0" w:lastColumn="0" w:oddVBand="0" w:evenVBand="0" w:oddHBand="0" w:evenHBand="0" w:firstRowFirstColumn="0" w:firstRowLastColumn="0" w:lastRowFirstColumn="0" w:lastRowLastColumn="0"/>
              <w:rPr>
                <w:rFonts w:ascii="Arial Narrow" w:hAnsi="Arial Narrow" w:cstheme="minorHAnsi"/>
                <w:bCs/>
                <w:sz w:val="22"/>
                <w:szCs w:val="22"/>
              </w:rPr>
            </w:pPr>
            <w:r w:rsidRPr="009B7AF9">
              <w:rPr>
                <w:rFonts w:ascii="Arial Narrow" w:hAnsi="Arial Narrow" w:cstheme="minorHAnsi"/>
                <w:bCs/>
                <w:sz w:val="22"/>
                <w:szCs w:val="22"/>
              </w:rPr>
              <w:t>2016-17</w:t>
            </w:r>
          </w:p>
        </w:tc>
        <w:tc>
          <w:tcPr>
            <w:tcW w:w="1293" w:type="dxa"/>
            <w:tcBorders>
              <w:left w:val="none" w:sz="0" w:space="0" w:color="auto"/>
              <w:right w:val="none" w:sz="0" w:space="0" w:color="auto"/>
            </w:tcBorders>
            <w:noWrap/>
            <w:hideMark/>
          </w:tcPr>
          <w:p w14:paraId="50018F6E" w14:textId="77777777" w:rsidR="00C01E92" w:rsidRPr="009B7AF9" w:rsidRDefault="00C01E92" w:rsidP="008B3077">
            <w:pPr>
              <w:pStyle w:val="EYBodytextwithparaspace"/>
              <w:autoSpaceDE/>
              <w:autoSpaceDN/>
              <w:adjustRightInd/>
              <w:spacing w:after="60"/>
              <w:jc w:val="center"/>
              <w:cnfStyle w:val="100000000000" w:firstRow="1" w:lastRow="0" w:firstColumn="0" w:lastColumn="0" w:oddVBand="0" w:evenVBand="0" w:oddHBand="0" w:evenHBand="0" w:firstRowFirstColumn="0" w:firstRowLastColumn="0" w:lastRowFirstColumn="0" w:lastRowLastColumn="0"/>
              <w:rPr>
                <w:rFonts w:ascii="Arial Narrow" w:hAnsi="Arial Narrow" w:cstheme="minorHAnsi"/>
                <w:bCs/>
                <w:sz w:val="22"/>
                <w:szCs w:val="22"/>
              </w:rPr>
            </w:pPr>
            <w:r w:rsidRPr="009B7AF9">
              <w:rPr>
                <w:rFonts w:ascii="Arial Narrow" w:hAnsi="Arial Narrow" w:cstheme="minorHAnsi"/>
                <w:bCs/>
                <w:sz w:val="22"/>
                <w:szCs w:val="22"/>
              </w:rPr>
              <w:t>2017-18</w:t>
            </w:r>
          </w:p>
        </w:tc>
        <w:tc>
          <w:tcPr>
            <w:tcW w:w="1293" w:type="dxa"/>
            <w:tcBorders>
              <w:left w:val="none" w:sz="0" w:space="0" w:color="auto"/>
            </w:tcBorders>
            <w:noWrap/>
            <w:hideMark/>
          </w:tcPr>
          <w:p w14:paraId="66E85097" w14:textId="77777777" w:rsidR="00C01E92" w:rsidRPr="009B7AF9" w:rsidRDefault="00C01E92" w:rsidP="008B3077">
            <w:pPr>
              <w:pStyle w:val="EYBodytextwithparaspace"/>
              <w:autoSpaceDE/>
              <w:autoSpaceDN/>
              <w:adjustRightInd/>
              <w:spacing w:after="60"/>
              <w:jc w:val="center"/>
              <w:cnfStyle w:val="100000000000" w:firstRow="1" w:lastRow="0" w:firstColumn="0" w:lastColumn="0" w:oddVBand="0" w:evenVBand="0" w:oddHBand="0" w:evenHBand="0" w:firstRowFirstColumn="0" w:firstRowLastColumn="0" w:lastRowFirstColumn="0" w:lastRowLastColumn="0"/>
              <w:rPr>
                <w:rFonts w:ascii="Arial Narrow" w:hAnsi="Arial Narrow" w:cstheme="minorHAnsi"/>
                <w:bCs/>
                <w:sz w:val="22"/>
                <w:szCs w:val="22"/>
              </w:rPr>
            </w:pPr>
            <w:r w:rsidRPr="009B7AF9">
              <w:rPr>
                <w:rFonts w:ascii="Arial Narrow" w:hAnsi="Arial Narrow" w:cstheme="minorHAnsi"/>
                <w:bCs/>
                <w:sz w:val="22"/>
                <w:szCs w:val="22"/>
              </w:rPr>
              <w:t>2018-19</w:t>
            </w:r>
          </w:p>
        </w:tc>
      </w:tr>
      <w:tr w:rsidR="00C01E92" w:rsidRPr="009B7AF9" w14:paraId="77689B86" w14:textId="77777777" w:rsidTr="009B7AF9">
        <w:trPr>
          <w:trHeight w:val="300"/>
        </w:trPr>
        <w:tc>
          <w:tcPr>
            <w:cnfStyle w:val="001000000000" w:firstRow="0" w:lastRow="0" w:firstColumn="1" w:lastColumn="0" w:oddVBand="0" w:evenVBand="0" w:oddHBand="0" w:evenHBand="0" w:firstRowFirstColumn="0" w:firstRowLastColumn="0" w:lastRowFirstColumn="0" w:lastRowLastColumn="0"/>
            <w:tcW w:w="2552" w:type="dxa"/>
            <w:noWrap/>
            <w:hideMark/>
          </w:tcPr>
          <w:p w14:paraId="3E831376" w14:textId="77777777" w:rsidR="00C01E92" w:rsidRPr="009B7AF9" w:rsidRDefault="00C01E92" w:rsidP="009B7AF9">
            <w:pPr>
              <w:pStyle w:val="EYBodytextwithparaspace"/>
              <w:autoSpaceDE/>
              <w:autoSpaceDN/>
              <w:adjustRightInd/>
              <w:spacing w:after="60"/>
              <w:rPr>
                <w:rFonts w:ascii="Arial Narrow" w:hAnsi="Arial Narrow" w:cstheme="minorHAnsi"/>
                <w:color w:val="004EA8"/>
                <w:sz w:val="22"/>
                <w:szCs w:val="22"/>
              </w:rPr>
            </w:pPr>
            <w:r w:rsidRPr="009B7AF9">
              <w:rPr>
                <w:rFonts w:ascii="Arial Narrow" w:hAnsi="Arial Narrow" w:cstheme="minorHAnsi"/>
                <w:color w:val="004EA8"/>
                <w:sz w:val="22"/>
                <w:szCs w:val="22"/>
              </w:rPr>
              <w:t>Direct complaint</w:t>
            </w:r>
          </w:p>
        </w:tc>
        <w:tc>
          <w:tcPr>
            <w:tcW w:w="1292" w:type="dxa"/>
            <w:noWrap/>
            <w:hideMark/>
          </w:tcPr>
          <w:p w14:paraId="458E64C4" w14:textId="77777777" w:rsidR="00C01E92" w:rsidRPr="009B7AF9" w:rsidRDefault="00C01E92" w:rsidP="008B3077">
            <w:pPr>
              <w:pStyle w:val="EYBodytextwithparaspace"/>
              <w:autoSpaceDE/>
              <w:autoSpaceDN/>
              <w:adjustRightInd/>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8</w:t>
            </w:r>
          </w:p>
        </w:tc>
        <w:tc>
          <w:tcPr>
            <w:tcW w:w="1293" w:type="dxa"/>
            <w:noWrap/>
            <w:hideMark/>
          </w:tcPr>
          <w:p w14:paraId="02BC9750" w14:textId="77777777" w:rsidR="00C01E92" w:rsidRPr="009B7AF9" w:rsidRDefault="00C01E92" w:rsidP="008B3077">
            <w:pPr>
              <w:pStyle w:val="EYBodytextwithparaspace"/>
              <w:autoSpaceDE/>
              <w:autoSpaceDN/>
              <w:adjustRightInd/>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12</w:t>
            </w:r>
          </w:p>
        </w:tc>
        <w:tc>
          <w:tcPr>
            <w:tcW w:w="1293" w:type="dxa"/>
            <w:noWrap/>
            <w:hideMark/>
          </w:tcPr>
          <w:p w14:paraId="18057EF4" w14:textId="77777777" w:rsidR="00C01E92" w:rsidRPr="009B7AF9" w:rsidRDefault="00C01E92" w:rsidP="008B3077">
            <w:pPr>
              <w:pStyle w:val="EYBodytextwithparaspace"/>
              <w:autoSpaceDE/>
              <w:autoSpaceDN/>
              <w:adjustRightInd/>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15</w:t>
            </w:r>
          </w:p>
        </w:tc>
        <w:tc>
          <w:tcPr>
            <w:tcW w:w="1293" w:type="dxa"/>
            <w:noWrap/>
            <w:hideMark/>
          </w:tcPr>
          <w:p w14:paraId="25E41489" w14:textId="77777777" w:rsidR="00C01E92" w:rsidRPr="009B7AF9" w:rsidRDefault="00C01E92" w:rsidP="008B3077">
            <w:pPr>
              <w:pStyle w:val="EYBodytextwithparaspace"/>
              <w:autoSpaceDE/>
              <w:autoSpaceDN/>
              <w:adjustRightInd/>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14</w:t>
            </w:r>
          </w:p>
        </w:tc>
        <w:tc>
          <w:tcPr>
            <w:tcW w:w="1293" w:type="dxa"/>
            <w:noWrap/>
            <w:hideMark/>
          </w:tcPr>
          <w:p w14:paraId="39F49799" w14:textId="77777777" w:rsidR="00C01E92" w:rsidRPr="009B7AF9" w:rsidRDefault="00C01E92" w:rsidP="008B3077">
            <w:pPr>
              <w:pStyle w:val="EYBodytextwithparaspace"/>
              <w:autoSpaceDE/>
              <w:autoSpaceDN/>
              <w:adjustRightInd/>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9</w:t>
            </w:r>
          </w:p>
        </w:tc>
      </w:tr>
      <w:tr w:rsidR="00C01E92" w:rsidRPr="009B7AF9" w14:paraId="76CFD91B" w14:textId="77777777" w:rsidTr="009B7AF9">
        <w:trPr>
          <w:trHeight w:val="30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004EA8" w:themeColor="accent1"/>
            </w:tcBorders>
            <w:noWrap/>
            <w:hideMark/>
          </w:tcPr>
          <w:p w14:paraId="032366CF" w14:textId="77777777" w:rsidR="00C01E92" w:rsidRPr="009B7AF9" w:rsidRDefault="00C01E92" w:rsidP="009B7AF9">
            <w:pPr>
              <w:pStyle w:val="EYBodytextwithparaspace"/>
              <w:autoSpaceDE/>
              <w:autoSpaceDN/>
              <w:adjustRightInd/>
              <w:spacing w:after="60"/>
              <w:rPr>
                <w:rFonts w:ascii="Arial Narrow" w:hAnsi="Arial Narrow" w:cstheme="minorHAnsi"/>
                <w:color w:val="004EA8"/>
                <w:sz w:val="22"/>
                <w:szCs w:val="22"/>
              </w:rPr>
            </w:pPr>
            <w:r w:rsidRPr="009B7AF9">
              <w:rPr>
                <w:rFonts w:ascii="Arial Narrow" w:hAnsi="Arial Narrow" w:cstheme="minorHAnsi"/>
                <w:color w:val="004EA8"/>
                <w:sz w:val="22"/>
                <w:szCs w:val="22"/>
              </w:rPr>
              <w:t>Notification of complaint</w:t>
            </w:r>
          </w:p>
        </w:tc>
        <w:tc>
          <w:tcPr>
            <w:tcW w:w="1292" w:type="dxa"/>
            <w:tcBorders>
              <w:bottom w:val="single" w:sz="4" w:space="0" w:color="004EA8" w:themeColor="accent1"/>
            </w:tcBorders>
            <w:noWrap/>
            <w:hideMark/>
          </w:tcPr>
          <w:p w14:paraId="002BC1E2" w14:textId="77777777" w:rsidR="00C01E92" w:rsidRPr="009B7AF9" w:rsidRDefault="00C01E92" w:rsidP="008B3077">
            <w:pPr>
              <w:pStyle w:val="EYBodytextwithparaspace"/>
              <w:autoSpaceDE/>
              <w:autoSpaceDN/>
              <w:adjustRightInd/>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1</w:t>
            </w:r>
          </w:p>
        </w:tc>
        <w:tc>
          <w:tcPr>
            <w:tcW w:w="1293" w:type="dxa"/>
            <w:tcBorders>
              <w:bottom w:val="single" w:sz="4" w:space="0" w:color="004EA8" w:themeColor="accent1"/>
            </w:tcBorders>
            <w:noWrap/>
            <w:hideMark/>
          </w:tcPr>
          <w:p w14:paraId="29B9B4CD" w14:textId="77777777" w:rsidR="00C01E92" w:rsidRPr="009B7AF9" w:rsidRDefault="00C01E92" w:rsidP="008B3077">
            <w:pPr>
              <w:pStyle w:val="EYBodytextwithparaspace"/>
              <w:autoSpaceDE/>
              <w:autoSpaceDN/>
              <w:adjustRightInd/>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w:t>
            </w:r>
          </w:p>
        </w:tc>
        <w:tc>
          <w:tcPr>
            <w:tcW w:w="1293" w:type="dxa"/>
            <w:tcBorders>
              <w:bottom w:val="single" w:sz="4" w:space="0" w:color="004EA8" w:themeColor="accent1"/>
            </w:tcBorders>
            <w:noWrap/>
            <w:hideMark/>
          </w:tcPr>
          <w:p w14:paraId="5459E1B3" w14:textId="77777777" w:rsidR="00C01E92" w:rsidRPr="009B7AF9" w:rsidRDefault="00C01E92" w:rsidP="008B3077">
            <w:pPr>
              <w:pStyle w:val="EYBodytextwithparaspace"/>
              <w:autoSpaceDE/>
              <w:autoSpaceDN/>
              <w:adjustRightInd/>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3</w:t>
            </w:r>
          </w:p>
        </w:tc>
        <w:tc>
          <w:tcPr>
            <w:tcW w:w="1293" w:type="dxa"/>
            <w:tcBorders>
              <w:bottom w:val="single" w:sz="4" w:space="0" w:color="004EA8" w:themeColor="accent1"/>
            </w:tcBorders>
            <w:noWrap/>
            <w:hideMark/>
          </w:tcPr>
          <w:p w14:paraId="173479AE" w14:textId="77777777" w:rsidR="00C01E92" w:rsidRPr="009B7AF9" w:rsidRDefault="00C01E92" w:rsidP="008B3077">
            <w:pPr>
              <w:pStyle w:val="EYBodytextwithparaspace"/>
              <w:autoSpaceDE/>
              <w:autoSpaceDN/>
              <w:adjustRightInd/>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2</w:t>
            </w:r>
          </w:p>
        </w:tc>
        <w:tc>
          <w:tcPr>
            <w:tcW w:w="1293" w:type="dxa"/>
            <w:tcBorders>
              <w:bottom w:val="single" w:sz="4" w:space="0" w:color="004EA8" w:themeColor="accent1"/>
            </w:tcBorders>
            <w:noWrap/>
            <w:hideMark/>
          </w:tcPr>
          <w:p w14:paraId="532CC008" w14:textId="77777777" w:rsidR="00C01E92" w:rsidRPr="009B7AF9" w:rsidRDefault="00C01E92" w:rsidP="008B3077">
            <w:pPr>
              <w:pStyle w:val="EYBodytextwithparaspace"/>
              <w:autoSpaceDE/>
              <w:autoSpaceDN/>
              <w:adjustRightInd/>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w:t>
            </w:r>
          </w:p>
        </w:tc>
      </w:tr>
      <w:tr w:rsidR="00C01E92" w:rsidRPr="009B7AF9" w14:paraId="592BA14B" w14:textId="77777777" w:rsidTr="009B7AF9">
        <w:trPr>
          <w:trHeight w:val="300"/>
        </w:trPr>
        <w:tc>
          <w:tcPr>
            <w:cnfStyle w:val="001000000000" w:firstRow="0" w:lastRow="0" w:firstColumn="1" w:lastColumn="0" w:oddVBand="0" w:evenVBand="0" w:oddHBand="0" w:evenHBand="0" w:firstRowFirstColumn="0" w:firstRowLastColumn="0" w:lastRowFirstColumn="0" w:lastRowLastColumn="0"/>
            <w:tcW w:w="2552" w:type="dxa"/>
            <w:tcBorders>
              <w:right w:val="nil"/>
            </w:tcBorders>
            <w:noWrap/>
            <w:hideMark/>
          </w:tcPr>
          <w:p w14:paraId="1EC8D7B9" w14:textId="77777777" w:rsidR="00C01E92" w:rsidRPr="009B7AF9" w:rsidRDefault="00C01E92" w:rsidP="009B7AF9">
            <w:pPr>
              <w:pStyle w:val="EYBodytextwithparaspace"/>
              <w:autoSpaceDE/>
              <w:autoSpaceDN/>
              <w:adjustRightInd/>
              <w:spacing w:after="60"/>
              <w:rPr>
                <w:rFonts w:ascii="Arial Narrow" w:hAnsi="Arial Narrow" w:cstheme="minorHAnsi"/>
                <w:b/>
                <w:bCs/>
                <w:color w:val="004EA8"/>
                <w:sz w:val="22"/>
                <w:szCs w:val="22"/>
              </w:rPr>
            </w:pPr>
            <w:r w:rsidRPr="009B7AF9">
              <w:rPr>
                <w:rFonts w:ascii="Arial Narrow" w:hAnsi="Arial Narrow" w:cstheme="minorHAnsi"/>
                <w:b/>
                <w:bCs/>
                <w:color w:val="004EA8"/>
                <w:sz w:val="22"/>
                <w:szCs w:val="22"/>
              </w:rPr>
              <w:t>Total</w:t>
            </w:r>
          </w:p>
        </w:tc>
        <w:tc>
          <w:tcPr>
            <w:tcW w:w="1292" w:type="dxa"/>
            <w:tcBorders>
              <w:left w:val="nil"/>
              <w:right w:val="nil"/>
            </w:tcBorders>
            <w:noWrap/>
            <w:hideMark/>
          </w:tcPr>
          <w:p w14:paraId="1A0891E0" w14:textId="77777777" w:rsidR="00C01E92" w:rsidRPr="009B7AF9" w:rsidRDefault="00C01E92" w:rsidP="008B3077">
            <w:pPr>
              <w:pStyle w:val="EYBodytextwithparaspace"/>
              <w:autoSpaceDE/>
              <w:autoSpaceDN/>
              <w:adjustRightInd/>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9B7AF9">
              <w:rPr>
                <w:rFonts w:ascii="Arial Narrow" w:hAnsi="Arial Narrow" w:cstheme="minorHAnsi"/>
                <w:b/>
                <w:sz w:val="22"/>
                <w:szCs w:val="22"/>
              </w:rPr>
              <w:t>9</w:t>
            </w:r>
          </w:p>
        </w:tc>
        <w:tc>
          <w:tcPr>
            <w:tcW w:w="1293" w:type="dxa"/>
            <w:tcBorders>
              <w:left w:val="nil"/>
              <w:right w:val="nil"/>
            </w:tcBorders>
            <w:noWrap/>
            <w:hideMark/>
          </w:tcPr>
          <w:p w14:paraId="55D104A8" w14:textId="77777777" w:rsidR="00C01E92" w:rsidRPr="009B7AF9" w:rsidRDefault="00C01E92" w:rsidP="008B3077">
            <w:pPr>
              <w:pStyle w:val="EYBodytextwithparaspace"/>
              <w:autoSpaceDE/>
              <w:autoSpaceDN/>
              <w:adjustRightInd/>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9B7AF9">
              <w:rPr>
                <w:rFonts w:ascii="Arial Narrow" w:hAnsi="Arial Narrow" w:cstheme="minorHAnsi"/>
                <w:b/>
                <w:sz w:val="22"/>
                <w:szCs w:val="22"/>
              </w:rPr>
              <w:t>12</w:t>
            </w:r>
          </w:p>
        </w:tc>
        <w:tc>
          <w:tcPr>
            <w:tcW w:w="1293" w:type="dxa"/>
            <w:tcBorders>
              <w:left w:val="nil"/>
              <w:right w:val="nil"/>
            </w:tcBorders>
            <w:noWrap/>
            <w:hideMark/>
          </w:tcPr>
          <w:p w14:paraId="4EAC8968" w14:textId="77777777" w:rsidR="00C01E92" w:rsidRPr="009B7AF9" w:rsidRDefault="00C01E92" w:rsidP="008B3077">
            <w:pPr>
              <w:pStyle w:val="EYBodytextwithparaspace"/>
              <w:autoSpaceDE/>
              <w:autoSpaceDN/>
              <w:adjustRightInd/>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9B7AF9">
              <w:rPr>
                <w:rFonts w:ascii="Arial Narrow" w:hAnsi="Arial Narrow" w:cstheme="minorHAnsi"/>
                <w:b/>
                <w:sz w:val="22"/>
                <w:szCs w:val="22"/>
              </w:rPr>
              <w:t>18</w:t>
            </w:r>
          </w:p>
        </w:tc>
        <w:tc>
          <w:tcPr>
            <w:tcW w:w="1293" w:type="dxa"/>
            <w:tcBorders>
              <w:left w:val="nil"/>
              <w:right w:val="nil"/>
            </w:tcBorders>
            <w:noWrap/>
            <w:hideMark/>
          </w:tcPr>
          <w:p w14:paraId="4C203598" w14:textId="77777777" w:rsidR="00C01E92" w:rsidRPr="009B7AF9" w:rsidRDefault="00C01E92" w:rsidP="008B3077">
            <w:pPr>
              <w:pStyle w:val="EYBodytextwithparaspace"/>
              <w:autoSpaceDE/>
              <w:autoSpaceDN/>
              <w:adjustRightInd/>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9B7AF9">
              <w:rPr>
                <w:rFonts w:ascii="Arial Narrow" w:hAnsi="Arial Narrow" w:cstheme="minorHAnsi"/>
                <w:b/>
                <w:sz w:val="22"/>
                <w:szCs w:val="22"/>
              </w:rPr>
              <w:t>16</w:t>
            </w:r>
          </w:p>
        </w:tc>
        <w:tc>
          <w:tcPr>
            <w:tcW w:w="1293" w:type="dxa"/>
            <w:tcBorders>
              <w:left w:val="nil"/>
            </w:tcBorders>
            <w:noWrap/>
            <w:hideMark/>
          </w:tcPr>
          <w:p w14:paraId="0AB4E7C2" w14:textId="77777777" w:rsidR="00C01E92" w:rsidRPr="009B7AF9" w:rsidRDefault="00C01E92" w:rsidP="008B3077">
            <w:pPr>
              <w:pStyle w:val="EYBodytextwithparaspace"/>
              <w:autoSpaceDE/>
              <w:autoSpaceDN/>
              <w:adjustRightInd/>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9B7AF9">
              <w:rPr>
                <w:rFonts w:ascii="Arial Narrow" w:hAnsi="Arial Narrow" w:cstheme="minorHAnsi"/>
                <w:b/>
                <w:sz w:val="22"/>
                <w:szCs w:val="22"/>
              </w:rPr>
              <w:t>9</w:t>
            </w:r>
          </w:p>
        </w:tc>
      </w:tr>
    </w:tbl>
    <w:p w14:paraId="79D78D57" w14:textId="003AA7BC" w:rsidR="00C01E92" w:rsidRPr="000107A9" w:rsidRDefault="00C01E92" w:rsidP="00F7569F">
      <w:pPr>
        <w:pStyle w:val="Caption"/>
      </w:pPr>
      <w:bookmarkStart w:id="197" w:name="_Ref24109172"/>
      <w:bookmarkStart w:id="198" w:name="_Toc32592811"/>
      <w:r w:rsidRPr="000107A9">
        <w:lastRenderedPageBreak/>
        <w:t xml:space="preserve">Table </w:t>
      </w:r>
      <w:r w:rsidRPr="000107A9">
        <w:fldChar w:fldCharType="begin"/>
      </w:r>
      <w:r w:rsidRPr="000107A9">
        <w:instrText xml:space="preserve"> SEQ Table \* ARABIC </w:instrText>
      </w:r>
      <w:r w:rsidRPr="000107A9">
        <w:fldChar w:fldCharType="separate"/>
      </w:r>
      <w:r w:rsidR="00493211">
        <w:rPr>
          <w:noProof/>
        </w:rPr>
        <w:t>28</w:t>
      </w:r>
      <w:r w:rsidRPr="000107A9">
        <w:fldChar w:fldCharType="end"/>
      </w:r>
      <w:bookmarkEnd w:id="197"/>
      <w:r w:rsidRPr="000107A9">
        <w:t xml:space="preserve"> Number and type of incidents occurring at children's services</w:t>
      </w:r>
      <w:bookmarkEnd w:id="198"/>
    </w:p>
    <w:tbl>
      <w:tblPr>
        <w:tblStyle w:val="TableGrid"/>
        <w:tblW w:w="0" w:type="auto"/>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ayout w:type="fixed"/>
        <w:tblLook w:val="04A0" w:firstRow="1" w:lastRow="0" w:firstColumn="1" w:lastColumn="0" w:noHBand="0" w:noVBand="1"/>
      </w:tblPr>
      <w:tblGrid>
        <w:gridCol w:w="2552"/>
        <w:gridCol w:w="1292"/>
        <w:gridCol w:w="1293"/>
        <w:gridCol w:w="1293"/>
        <w:gridCol w:w="1293"/>
        <w:gridCol w:w="1293"/>
      </w:tblGrid>
      <w:tr w:rsidR="00C01E92" w:rsidRPr="009B7AF9" w14:paraId="0CCF5222" w14:textId="77777777" w:rsidTr="009B7AF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Borders>
              <w:right w:val="none" w:sz="0" w:space="0" w:color="auto"/>
            </w:tcBorders>
            <w:noWrap/>
            <w:hideMark/>
          </w:tcPr>
          <w:p w14:paraId="5D562D4D" w14:textId="77777777" w:rsidR="00C01E92" w:rsidRPr="009B7AF9" w:rsidRDefault="00C01E92" w:rsidP="009B7AF9">
            <w:pPr>
              <w:pStyle w:val="EYBodytextwithparaspace"/>
              <w:autoSpaceDE/>
              <w:autoSpaceDN/>
              <w:adjustRightInd/>
              <w:spacing w:after="60"/>
              <w:rPr>
                <w:rFonts w:ascii="Arial Narrow" w:hAnsi="Arial Narrow" w:cstheme="minorHAnsi"/>
                <w:bCs/>
                <w:sz w:val="22"/>
                <w:szCs w:val="22"/>
              </w:rPr>
            </w:pPr>
            <w:r w:rsidRPr="009B7AF9">
              <w:rPr>
                <w:rFonts w:ascii="Arial Narrow" w:hAnsi="Arial Narrow" w:cstheme="minorHAnsi"/>
                <w:bCs/>
                <w:sz w:val="22"/>
                <w:szCs w:val="22"/>
              </w:rPr>
              <w:t>Incident category</w:t>
            </w:r>
          </w:p>
        </w:tc>
        <w:tc>
          <w:tcPr>
            <w:tcW w:w="1292" w:type="dxa"/>
            <w:tcBorders>
              <w:left w:val="none" w:sz="0" w:space="0" w:color="auto"/>
              <w:right w:val="none" w:sz="0" w:space="0" w:color="auto"/>
            </w:tcBorders>
            <w:noWrap/>
            <w:hideMark/>
          </w:tcPr>
          <w:p w14:paraId="4E14D5FD" w14:textId="77777777" w:rsidR="00C01E92" w:rsidRPr="009B7AF9" w:rsidRDefault="00C01E92" w:rsidP="008B3077">
            <w:pPr>
              <w:pStyle w:val="EYBodytextwithparaspace"/>
              <w:autoSpaceDE/>
              <w:autoSpaceDN/>
              <w:adjustRightInd/>
              <w:spacing w:after="60"/>
              <w:jc w:val="center"/>
              <w:cnfStyle w:val="100000000000" w:firstRow="1" w:lastRow="0" w:firstColumn="0" w:lastColumn="0" w:oddVBand="0" w:evenVBand="0" w:oddHBand="0" w:evenHBand="0" w:firstRowFirstColumn="0" w:firstRowLastColumn="0" w:lastRowFirstColumn="0" w:lastRowLastColumn="0"/>
              <w:rPr>
                <w:rFonts w:ascii="Arial Narrow" w:hAnsi="Arial Narrow" w:cstheme="minorHAnsi"/>
                <w:bCs/>
                <w:sz w:val="22"/>
                <w:szCs w:val="22"/>
              </w:rPr>
            </w:pPr>
            <w:r w:rsidRPr="009B7AF9">
              <w:rPr>
                <w:rFonts w:ascii="Arial Narrow" w:hAnsi="Arial Narrow" w:cstheme="minorHAnsi"/>
                <w:bCs/>
                <w:sz w:val="22"/>
                <w:szCs w:val="22"/>
              </w:rPr>
              <w:t>2014-15</w:t>
            </w:r>
          </w:p>
        </w:tc>
        <w:tc>
          <w:tcPr>
            <w:tcW w:w="1293" w:type="dxa"/>
            <w:tcBorders>
              <w:left w:val="none" w:sz="0" w:space="0" w:color="auto"/>
              <w:right w:val="none" w:sz="0" w:space="0" w:color="auto"/>
            </w:tcBorders>
            <w:noWrap/>
            <w:hideMark/>
          </w:tcPr>
          <w:p w14:paraId="10621DC9" w14:textId="77777777" w:rsidR="00C01E92" w:rsidRPr="009B7AF9" w:rsidRDefault="00C01E92" w:rsidP="008B3077">
            <w:pPr>
              <w:pStyle w:val="EYBodytextwithparaspace"/>
              <w:autoSpaceDE/>
              <w:autoSpaceDN/>
              <w:adjustRightInd/>
              <w:spacing w:after="60"/>
              <w:jc w:val="center"/>
              <w:cnfStyle w:val="100000000000" w:firstRow="1" w:lastRow="0" w:firstColumn="0" w:lastColumn="0" w:oddVBand="0" w:evenVBand="0" w:oddHBand="0" w:evenHBand="0" w:firstRowFirstColumn="0" w:firstRowLastColumn="0" w:lastRowFirstColumn="0" w:lastRowLastColumn="0"/>
              <w:rPr>
                <w:rFonts w:ascii="Arial Narrow" w:hAnsi="Arial Narrow" w:cstheme="minorHAnsi"/>
                <w:bCs/>
                <w:sz w:val="22"/>
                <w:szCs w:val="22"/>
              </w:rPr>
            </w:pPr>
            <w:r w:rsidRPr="009B7AF9">
              <w:rPr>
                <w:rFonts w:ascii="Arial Narrow" w:hAnsi="Arial Narrow" w:cstheme="minorHAnsi"/>
                <w:bCs/>
                <w:sz w:val="22"/>
                <w:szCs w:val="22"/>
              </w:rPr>
              <w:t>2015-16</w:t>
            </w:r>
          </w:p>
        </w:tc>
        <w:tc>
          <w:tcPr>
            <w:tcW w:w="1293" w:type="dxa"/>
            <w:tcBorders>
              <w:left w:val="none" w:sz="0" w:space="0" w:color="auto"/>
              <w:right w:val="none" w:sz="0" w:space="0" w:color="auto"/>
            </w:tcBorders>
            <w:noWrap/>
            <w:hideMark/>
          </w:tcPr>
          <w:p w14:paraId="1F1D5774" w14:textId="77777777" w:rsidR="00C01E92" w:rsidRPr="009B7AF9" w:rsidRDefault="00C01E92" w:rsidP="008B3077">
            <w:pPr>
              <w:pStyle w:val="EYBodytextwithparaspace"/>
              <w:autoSpaceDE/>
              <w:autoSpaceDN/>
              <w:adjustRightInd/>
              <w:spacing w:after="60"/>
              <w:jc w:val="center"/>
              <w:cnfStyle w:val="100000000000" w:firstRow="1" w:lastRow="0" w:firstColumn="0" w:lastColumn="0" w:oddVBand="0" w:evenVBand="0" w:oddHBand="0" w:evenHBand="0" w:firstRowFirstColumn="0" w:firstRowLastColumn="0" w:lastRowFirstColumn="0" w:lastRowLastColumn="0"/>
              <w:rPr>
                <w:rFonts w:ascii="Arial Narrow" w:hAnsi="Arial Narrow" w:cstheme="minorHAnsi"/>
                <w:bCs/>
                <w:sz w:val="22"/>
                <w:szCs w:val="22"/>
              </w:rPr>
            </w:pPr>
            <w:r w:rsidRPr="009B7AF9">
              <w:rPr>
                <w:rFonts w:ascii="Arial Narrow" w:hAnsi="Arial Narrow" w:cstheme="minorHAnsi"/>
                <w:bCs/>
                <w:sz w:val="22"/>
                <w:szCs w:val="22"/>
              </w:rPr>
              <w:t>2016-17</w:t>
            </w:r>
          </w:p>
        </w:tc>
        <w:tc>
          <w:tcPr>
            <w:tcW w:w="1293" w:type="dxa"/>
            <w:tcBorders>
              <w:left w:val="none" w:sz="0" w:space="0" w:color="auto"/>
              <w:right w:val="none" w:sz="0" w:space="0" w:color="auto"/>
            </w:tcBorders>
            <w:noWrap/>
            <w:hideMark/>
          </w:tcPr>
          <w:p w14:paraId="43B0AFCB" w14:textId="77777777" w:rsidR="00C01E92" w:rsidRPr="009B7AF9" w:rsidRDefault="00C01E92" w:rsidP="008B3077">
            <w:pPr>
              <w:pStyle w:val="EYBodytextwithparaspace"/>
              <w:autoSpaceDE/>
              <w:autoSpaceDN/>
              <w:adjustRightInd/>
              <w:spacing w:after="60"/>
              <w:jc w:val="center"/>
              <w:cnfStyle w:val="100000000000" w:firstRow="1" w:lastRow="0" w:firstColumn="0" w:lastColumn="0" w:oddVBand="0" w:evenVBand="0" w:oddHBand="0" w:evenHBand="0" w:firstRowFirstColumn="0" w:firstRowLastColumn="0" w:lastRowFirstColumn="0" w:lastRowLastColumn="0"/>
              <w:rPr>
                <w:rFonts w:ascii="Arial Narrow" w:hAnsi="Arial Narrow" w:cstheme="minorHAnsi"/>
                <w:bCs/>
                <w:sz w:val="22"/>
                <w:szCs w:val="22"/>
              </w:rPr>
            </w:pPr>
            <w:r w:rsidRPr="009B7AF9">
              <w:rPr>
                <w:rFonts w:ascii="Arial Narrow" w:hAnsi="Arial Narrow" w:cstheme="minorHAnsi"/>
                <w:bCs/>
                <w:sz w:val="22"/>
                <w:szCs w:val="22"/>
              </w:rPr>
              <w:t>2017-18</w:t>
            </w:r>
          </w:p>
        </w:tc>
        <w:tc>
          <w:tcPr>
            <w:tcW w:w="1293" w:type="dxa"/>
            <w:tcBorders>
              <w:left w:val="none" w:sz="0" w:space="0" w:color="auto"/>
            </w:tcBorders>
            <w:noWrap/>
            <w:hideMark/>
          </w:tcPr>
          <w:p w14:paraId="6C54D07E" w14:textId="77777777" w:rsidR="00C01E92" w:rsidRPr="009B7AF9" w:rsidRDefault="00C01E92" w:rsidP="008B3077">
            <w:pPr>
              <w:pStyle w:val="EYBodytextwithparaspace"/>
              <w:autoSpaceDE/>
              <w:autoSpaceDN/>
              <w:adjustRightInd/>
              <w:spacing w:after="60"/>
              <w:jc w:val="center"/>
              <w:cnfStyle w:val="100000000000" w:firstRow="1" w:lastRow="0" w:firstColumn="0" w:lastColumn="0" w:oddVBand="0" w:evenVBand="0" w:oddHBand="0" w:evenHBand="0" w:firstRowFirstColumn="0" w:firstRowLastColumn="0" w:lastRowFirstColumn="0" w:lastRowLastColumn="0"/>
              <w:rPr>
                <w:rFonts w:ascii="Arial Narrow" w:hAnsi="Arial Narrow" w:cstheme="minorHAnsi"/>
                <w:bCs/>
                <w:sz w:val="22"/>
                <w:szCs w:val="22"/>
              </w:rPr>
            </w:pPr>
            <w:r w:rsidRPr="009B7AF9">
              <w:rPr>
                <w:rFonts w:ascii="Arial Narrow" w:hAnsi="Arial Narrow" w:cstheme="minorHAnsi"/>
                <w:bCs/>
                <w:sz w:val="22"/>
                <w:szCs w:val="22"/>
              </w:rPr>
              <w:t>2018-19</w:t>
            </w:r>
          </w:p>
        </w:tc>
      </w:tr>
      <w:tr w:rsidR="00C01E92" w:rsidRPr="009B7AF9" w14:paraId="4B4418E7" w14:textId="77777777" w:rsidTr="009B7AF9">
        <w:trPr>
          <w:trHeight w:val="300"/>
        </w:trPr>
        <w:tc>
          <w:tcPr>
            <w:cnfStyle w:val="001000000000" w:firstRow="0" w:lastRow="0" w:firstColumn="1" w:lastColumn="0" w:oddVBand="0" w:evenVBand="0" w:oddHBand="0" w:evenHBand="0" w:firstRowFirstColumn="0" w:firstRowLastColumn="0" w:lastRowFirstColumn="0" w:lastRowLastColumn="0"/>
            <w:tcW w:w="2552" w:type="dxa"/>
            <w:noWrap/>
            <w:hideMark/>
          </w:tcPr>
          <w:p w14:paraId="088EAC9C" w14:textId="77777777" w:rsidR="00C01E92" w:rsidRPr="009B7AF9" w:rsidRDefault="00C01E92" w:rsidP="009B7AF9">
            <w:pPr>
              <w:pStyle w:val="EYBodytextwithparaspace"/>
              <w:autoSpaceDE/>
              <w:autoSpaceDN/>
              <w:adjustRightInd/>
              <w:spacing w:after="60"/>
              <w:rPr>
                <w:rFonts w:ascii="Arial Narrow" w:hAnsi="Arial Narrow" w:cstheme="minorHAnsi"/>
                <w:sz w:val="22"/>
                <w:szCs w:val="22"/>
              </w:rPr>
            </w:pPr>
            <w:r w:rsidRPr="009B7AF9">
              <w:rPr>
                <w:rFonts w:ascii="Arial Narrow" w:hAnsi="Arial Narrow" w:cstheme="minorHAnsi"/>
                <w:sz w:val="22"/>
                <w:szCs w:val="22"/>
              </w:rPr>
              <w:t>General incident</w:t>
            </w:r>
          </w:p>
        </w:tc>
        <w:tc>
          <w:tcPr>
            <w:tcW w:w="1292" w:type="dxa"/>
          </w:tcPr>
          <w:p w14:paraId="6480905F" w14:textId="77777777" w:rsidR="00C01E92" w:rsidRPr="009B7AF9" w:rsidRDefault="00C01E92" w:rsidP="008B3077">
            <w:pPr>
              <w:pStyle w:val="EYBodytextwithparaspace"/>
              <w:autoSpaceDE/>
              <w:autoSpaceDN/>
              <w:adjustRightInd/>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6</w:t>
            </w:r>
          </w:p>
        </w:tc>
        <w:tc>
          <w:tcPr>
            <w:tcW w:w="1293" w:type="dxa"/>
            <w:noWrap/>
            <w:hideMark/>
          </w:tcPr>
          <w:p w14:paraId="332F7317" w14:textId="77777777" w:rsidR="00C01E92" w:rsidRPr="009B7AF9" w:rsidRDefault="00C01E92" w:rsidP="008B3077">
            <w:pPr>
              <w:pStyle w:val="EYBodytextwithparaspace"/>
              <w:autoSpaceDE/>
              <w:autoSpaceDN/>
              <w:adjustRightInd/>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7</w:t>
            </w:r>
          </w:p>
        </w:tc>
        <w:tc>
          <w:tcPr>
            <w:tcW w:w="1293" w:type="dxa"/>
            <w:noWrap/>
            <w:hideMark/>
          </w:tcPr>
          <w:p w14:paraId="3E5F0662" w14:textId="77777777" w:rsidR="00C01E92" w:rsidRPr="009B7AF9" w:rsidRDefault="00C01E92" w:rsidP="008B3077">
            <w:pPr>
              <w:pStyle w:val="EYBodytextwithparaspace"/>
              <w:autoSpaceDE/>
              <w:autoSpaceDN/>
              <w:adjustRightInd/>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7</w:t>
            </w:r>
          </w:p>
        </w:tc>
        <w:tc>
          <w:tcPr>
            <w:tcW w:w="1293" w:type="dxa"/>
            <w:noWrap/>
            <w:hideMark/>
          </w:tcPr>
          <w:p w14:paraId="5E84ACF3" w14:textId="77777777" w:rsidR="00C01E92" w:rsidRPr="009B7AF9" w:rsidRDefault="00C01E92" w:rsidP="008B3077">
            <w:pPr>
              <w:pStyle w:val="EYBodytextwithparaspace"/>
              <w:autoSpaceDE/>
              <w:autoSpaceDN/>
              <w:adjustRightInd/>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4</w:t>
            </w:r>
          </w:p>
        </w:tc>
        <w:tc>
          <w:tcPr>
            <w:tcW w:w="1293" w:type="dxa"/>
            <w:noWrap/>
            <w:hideMark/>
          </w:tcPr>
          <w:p w14:paraId="22EBCDD5" w14:textId="77777777" w:rsidR="00C01E92" w:rsidRPr="009B7AF9" w:rsidRDefault="00C01E92" w:rsidP="008B3077">
            <w:pPr>
              <w:pStyle w:val="EYBodytextwithparaspace"/>
              <w:autoSpaceDE/>
              <w:autoSpaceDN/>
              <w:adjustRightInd/>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7</w:t>
            </w:r>
          </w:p>
        </w:tc>
      </w:tr>
      <w:tr w:rsidR="00C01E92" w:rsidRPr="009B7AF9" w14:paraId="253E2C4C" w14:textId="77777777" w:rsidTr="009B7AF9">
        <w:trPr>
          <w:trHeight w:val="30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004EA8" w:themeColor="accent1"/>
            </w:tcBorders>
            <w:noWrap/>
            <w:hideMark/>
          </w:tcPr>
          <w:p w14:paraId="0E7C3C6C" w14:textId="77777777" w:rsidR="00C01E92" w:rsidRPr="009B7AF9" w:rsidRDefault="00C01E92" w:rsidP="009B7AF9">
            <w:pPr>
              <w:pStyle w:val="EYBodytextwithparaspace"/>
              <w:autoSpaceDE/>
              <w:autoSpaceDN/>
              <w:adjustRightInd/>
              <w:spacing w:after="60"/>
              <w:rPr>
                <w:rFonts w:ascii="Arial Narrow" w:hAnsi="Arial Narrow" w:cstheme="minorHAnsi"/>
                <w:sz w:val="22"/>
                <w:szCs w:val="22"/>
              </w:rPr>
            </w:pPr>
            <w:r w:rsidRPr="009B7AF9">
              <w:rPr>
                <w:rFonts w:ascii="Arial Narrow" w:hAnsi="Arial Narrow" w:cstheme="minorHAnsi"/>
                <w:sz w:val="22"/>
                <w:szCs w:val="22"/>
              </w:rPr>
              <w:t>Serious Incident</w:t>
            </w:r>
          </w:p>
        </w:tc>
        <w:tc>
          <w:tcPr>
            <w:tcW w:w="1292" w:type="dxa"/>
            <w:tcBorders>
              <w:bottom w:val="single" w:sz="4" w:space="0" w:color="004EA8" w:themeColor="accent1"/>
            </w:tcBorders>
            <w:noWrap/>
            <w:hideMark/>
          </w:tcPr>
          <w:p w14:paraId="4F26C14B" w14:textId="77777777" w:rsidR="00C01E92" w:rsidRPr="009B7AF9" w:rsidRDefault="00C01E92" w:rsidP="008B3077">
            <w:pPr>
              <w:pStyle w:val="EYBodytextwithparaspace"/>
              <w:autoSpaceDE/>
              <w:autoSpaceDN/>
              <w:adjustRightInd/>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4</w:t>
            </w:r>
          </w:p>
        </w:tc>
        <w:tc>
          <w:tcPr>
            <w:tcW w:w="1293" w:type="dxa"/>
            <w:tcBorders>
              <w:bottom w:val="single" w:sz="4" w:space="0" w:color="004EA8" w:themeColor="accent1"/>
            </w:tcBorders>
            <w:noWrap/>
            <w:hideMark/>
          </w:tcPr>
          <w:p w14:paraId="1CD22DB8" w14:textId="77777777" w:rsidR="00C01E92" w:rsidRPr="009B7AF9" w:rsidRDefault="00C01E92" w:rsidP="008B3077">
            <w:pPr>
              <w:pStyle w:val="EYBodytextwithparaspace"/>
              <w:autoSpaceDE/>
              <w:autoSpaceDN/>
              <w:adjustRightInd/>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27</w:t>
            </w:r>
          </w:p>
        </w:tc>
        <w:tc>
          <w:tcPr>
            <w:tcW w:w="1293" w:type="dxa"/>
            <w:tcBorders>
              <w:bottom w:val="single" w:sz="4" w:space="0" w:color="004EA8" w:themeColor="accent1"/>
            </w:tcBorders>
            <w:noWrap/>
            <w:hideMark/>
          </w:tcPr>
          <w:p w14:paraId="4630ACA8" w14:textId="77777777" w:rsidR="00C01E92" w:rsidRPr="009B7AF9" w:rsidRDefault="00C01E92" w:rsidP="008B3077">
            <w:pPr>
              <w:pStyle w:val="EYBodytextwithparaspace"/>
              <w:autoSpaceDE/>
              <w:autoSpaceDN/>
              <w:adjustRightInd/>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17</w:t>
            </w:r>
          </w:p>
        </w:tc>
        <w:tc>
          <w:tcPr>
            <w:tcW w:w="1293" w:type="dxa"/>
            <w:tcBorders>
              <w:bottom w:val="single" w:sz="4" w:space="0" w:color="004EA8" w:themeColor="accent1"/>
            </w:tcBorders>
            <w:noWrap/>
            <w:hideMark/>
          </w:tcPr>
          <w:p w14:paraId="545C8771" w14:textId="77777777" w:rsidR="00C01E92" w:rsidRPr="009B7AF9" w:rsidRDefault="00C01E92" w:rsidP="008B3077">
            <w:pPr>
              <w:pStyle w:val="EYBodytextwithparaspace"/>
              <w:autoSpaceDE/>
              <w:autoSpaceDN/>
              <w:adjustRightInd/>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14</w:t>
            </w:r>
          </w:p>
        </w:tc>
        <w:tc>
          <w:tcPr>
            <w:tcW w:w="1293" w:type="dxa"/>
            <w:tcBorders>
              <w:bottom w:val="single" w:sz="4" w:space="0" w:color="004EA8" w:themeColor="accent1"/>
            </w:tcBorders>
            <w:noWrap/>
            <w:hideMark/>
          </w:tcPr>
          <w:p w14:paraId="7CC4CECB" w14:textId="77777777" w:rsidR="00C01E92" w:rsidRPr="009B7AF9" w:rsidRDefault="00C01E92" w:rsidP="008B3077">
            <w:pPr>
              <w:pStyle w:val="EYBodytextwithparaspace"/>
              <w:autoSpaceDE/>
              <w:autoSpaceDN/>
              <w:adjustRightInd/>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B7AF9">
              <w:rPr>
                <w:rFonts w:ascii="Arial Narrow" w:hAnsi="Arial Narrow" w:cstheme="minorHAnsi"/>
                <w:sz w:val="22"/>
                <w:szCs w:val="22"/>
              </w:rPr>
              <w:t>14</w:t>
            </w:r>
          </w:p>
        </w:tc>
      </w:tr>
      <w:tr w:rsidR="00C01E92" w:rsidRPr="009B7AF9" w14:paraId="559B655F" w14:textId="77777777" w:rsidTr="009B7AF9">
        <w:trPr>
          <w:trHeight w:val="300"/>
        </w:trPr>
        <w:tc>
          <w:tcPr>
            <w:cnfStyle w:val="001000000000" w:firstRow="0" w:lastRow="0" w:firstColumn="1" w:lastColumn="0" w:oddVBand="0" w:evenVBand="0" w:oddHBand="0" w:evenHBand="0" w:firstRowFirstColumn="0" w:firstRowLastColumn="0" w:lastRowFirstColumn="0" w:lastRowLastColumn="0"/>
            <w:tcW w:w="2552" w:type="dxa"/>
            <w:tcBorders>
              <w:right w:val="nil"/>
            </w:tcBorders>
            <w:noWrap/>
            <w:hideMark/>
          </w:tcPr>
          <w:p w14:paraId="5D361E79" w14:textId="77777777" w:rsidR="00C01E92" w:rsidRPr="009B7AF9" w:rsidRDefault="00C01E92" w:rsidP="009B7AF9">
            <w:pPr>
              <w:pStyle w:val="EYBodytextwithparaspace"/>
              <w:autoSpaceDE/>
              <w:autoSpaceDN/>
              <w:adjustRightInd/>
              <w:spacing w:after="60"/>
              <w:rPr>
                <w:rFonts w:ascii="Arial Narrow" w:hAnsi="Arial Narrow" w:cstheme="minorHAnsi"/>
                <w:b/>
                <w:bCs/>
                <w:sz w:val="22"/>
                <w:szCs w:val="22"/>
              </w:rPr>
            </w:pPr>
            <w:r w:rsidRPr="009B7AF9">
              <w:rPr>
                <w:rFonts w:ascii="Arial Narrow" w:hAnsi="Arial Narrow" w:cstheme="minorHAnsi"/>
                <w:b/>
                <w:bCs/>
                <w:sz w:val="22"/>
                <w:szCs w:val="22"/>
              </w:rPr>
              <w:t>Total</w:t>
            </w:r>
          </w:p>
        </w:tc>
        <w:tc>
          <w:tcPr>
            <w:tcW w:w="1292" w:type="dxa"/>
            <w:tcBorders>
              <w:left w:val="nil"/>
              <w:right w:val="nil"/>
            </w:tcBorders>
            <w:noWrap/>
            <w:hideMark/>
          </w:tcPr>
          <w:p w14:paraId="003BF103" w14:textId="77777777" w:rsidR="00C01E92" w:rsidRPr="009B7AF9" w:rsidRDefault="00C01E92" w:rsidP="008B3077">
            <w:pPr>
              <w:pStyle w:val="EYBodytextwithparaspace"/>
              <w:autoSpaceDE/>
              <w:autoSpaceDN/>
              <w:adjustRightInd/>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9B7AF9">
              <w:rPr>
                <w:rFonts w:ascii="Arial Narrow" w:hAnsi="Arial Narrow" w:cstheme="minorHAnsi"/>
                <w:b/>
                <w:sz w:val="22"/>
                <w:szCs w:val="22"/>
              </w:rPr>
              <w:t>10</w:t>
            </w:r>
          </w:p>
        </w:tc>
        <w:tc>
          <w:tcPr>
            <w:tcW w:w="1293" w:type="dxa"/>
            <w:tcBorders>
              <w:left w:val="nil"/>
              <w:right w:val="nil"/>
            </w:tcBorders>
            <w:noWrap/>
            <w:hideMark/>
          </w:tcPr>
          <w:p w14:paraId="1699A688" w14:textId="77777777" w:rsidR="00C01E92" w:rsidRPr="009B7AF9" w:rsidRDefault="00C01E92" w:rsidP="008B3077">
            <w:pPr>
              <w:pStyle w:val="EYBodytextwithparaspace"/>
              <w:autoSpaceDE/>
              <w:autoSpaceDN/>
              <w:adjustRightInd/>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9B7AF9">
              <w:rPr>
                <w:rFonts w:ascii="Arial Narrow" w:hAnsi="Arial Narrow" w:cstheme="minorHAnsi"/>
                <w:b/>
                <w:sz w:val="22"/>
                <w:szCs w:val="22"/>
              </w:rPr>
              <w:t>34</w:t>
            </w:r>
          </w:p>
        </w:tc>
        <w:tc>
          <w:tcPr>
            <w:tcW w:w="1293" w:type="dxa"/>
            <w:tcBorders>
              <w:left w:val="nil"/>
              <w:right w:val="nil"/>
            </w:tcBorders>
            <w:noWrap/>
            <w:hideMark/>
          </w:tcPr>
          <w:p w14:paraId="1F9669DB" w14:textId="77777777" w:rsidR="00C01E92" w:rsidRPr="009B7AF9" w:rsidRDefault="00C01E92" w:rsidP="008B3077">
            <w:pPr>
              <w:pStyle w:val="EYBodytextwithparaspace"/>
              <w:autoSpaceDE/>
              <w:autoSpaceDN/>
              <w:adjustRightInd/>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9B7AF9">
              <w:rPr>
                <w:rFonts w:ascii="Arial Narrow" w:hAnsi="Arial Narrow" w:cstheme="minorHAnsi"/>
                <w:b/>
                <w:sz w:val="22"/>
                <w:szCs w:val="22"/>
              </w:rPr>
              <w:t>24</w:t>
            </w:r>
          </w:p>
        </w:tc>
        <w:tc>
          <w:tcPr>
            <w:tcW w:w="1293" w:type="dxa"/>
            <w:tcBorders>
              <w:left w:val="nil"/>
              <w:right w:val="nil"/>
            </w:tcBorders>
            <w:noWrap/>
            <w:hideMark/>
          </w:tcPr>
          <w:p w14:paraId="6867AC1D" w14:textId="77777777" w:rsidR="00C01E92" w:rsidRPr="009B7AF9" w:rsidRDefault="00C01E92" w:rsidP="008B3077">
            <w:pPr>
              <w:pStyle w:val="EYBodytextwithparaspace"/>
              <w:autoSpaceDE/>
              <w:autoSpaceDN/>
              <w:adjustRightInd/>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9B7AF9">
              <w:rPr>
                <w:rFonts w:ascii="Arial Narrow" w:hAnsi="Arial Narrow" w:cstheme="minorHAnsi"/>
                <w:b/>
                <w:sz w:val="22"/>
                <w:szCs w:val="22"/>
              </w:rPr>
              <w:t>18</w:t>
            </w:r>
          </w:p>
        </w:tc>
        <w:tc>
          <w:tcPr>
            <w:tcW w:w="1293" w:type="dxa"/>
            <w:tcBorders>
              <w:left w:val="nil"/>
            </w:tcBorders>
            <w:noWrap/>
            <w:hideMark/>
          </w:tcPr>
          <w:p w14:paraId="6C42B15E" w14:textId="77777777" w:rsidR="00C01E92" w:rsidRPr="009B7AF9" w:rsidRDefault="00C01E92" w:rsidP="008B3077">
            <w:pPr>
              <w:pStyle w:val="EYBodytextwithparaspace"/>
              <w:autoSpaceDE/>
              <w:autoSpaceDN/>
              <w:adjustRightInd/>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9B7AF9">
              <w:rPr>
                <w:rFonts w:ascii="Arial Narrow" w:hAnsi="Arial Narrow" w:cstheme="minorHAnsi"/>
                <w:b/>
                <w:sz w:val="22"/>
                <w:szCs w:val="22"/>
              </w:rPr>
              <w:t>21</w:t>
            </w:r>
          </w:p>
        </w:tc>
      </w:tr>
    </w:tbl>
    <w:p w14:paraId="458CE206"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Under Option F.1. Status Quo, services must notify the Secretary of complaints by telephone within 48 hours and in writing as soon as practicable. Under Option F.2. Alignment, services must notify the Secretary of complaints within 24 hours.</w:t>
      </w:r>
    </w:p>
    <w:p w14:paraId="48C7EB54"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Both options do not impose additional requirements in comparison to the base case, but do impose timeframes in which the notification obligation under the Act has to be completed. The cost of notifying the Secretary of complaints relates to the time taken for a staff member to notify the Department, which does not change depending on when the action is taken. Accordingly, neither option imposes additional costs compared to the base case.</w:t>
      </w:r>
    </w:p>
    <w:p w14:paraId="389BC59D" w14:textId="33FEBBCD" w:rsidR="00C01E92"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_Ref23452019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bCs/>
          <w:sz w:val="22"/>
          <w:szCs w:val="22"/>
        </w:rPr>
        <w:t xml:space="preserve">Table </w:t>
      </w:r>
      <w:r w:rsidR="00493211" w:rsidRPr="00493211">
        <w:rPr>
          <w:rFonts w:asciiTheme="minorHAnsi" w:hAnsiTheme="minorHAnsi" w:cstheme="minorHAnsi"/>
          <w:bCs/>
          <w:noProof/>
          <w:sz w:val="22"/>
          <w:szCs w:val="22"/>
        </w:rPr>
        <w:t>29</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provides the scores given to Options F.1. Status Quo and Option F.2. Alignment. </w:t>
      </w:r>
    </w:p>
    <w:p w14:paraId="4AF8F88B" w14:textId="517DDD92" w:rsidR="00C01E92" w:rsidRPr="00D55F3A" w:rsidRDefault="00C01E92" w:rsidP="00D55F3A">
      <w:pPr>
        <w:pStyle w:val="Caption"/>
      </w:pPr>
      <w:bookmarkStart w:id="199" w:name="_Ref23452019"/>
      <w:bookmarkStart w:id="200" w:name="_Toc32592812"/>
      <w:r w:rsidRPr="00D55F3A">
        <w:t xml:space="preserve">Table </w:t>
      </w:r>
      <w:r w:rsidRPr="00D55F3A">
        <w:fldChar w:fldCharType="begin"/>
      </w:r>
      <w:r w:rsidRPr="00D55F3A">
        <w:instrText xml:space="preserve"> SEQ Table \* ARABIC </w:instrText>
      </w:r>
      <w:r w:rsidRPr="00D55F3A">
        <w:fldChar w:fldCharType="separate"/>
      </w:r>
      <w:r w:rsidR="00493211">
        <w:rPr>
          <w:noProof/>
        </w:rPr>
        <w:t>29</w:t>
      </w:r>
      <w:r w:rsidRPr="00D55F3A">
        <w:fldChar w:fldCharType="end"/>
      </w:r>
      <w:bookmarkEnd w:id="199"/>
      <w:r w:rsidRPr="00D55F3A">
        <w:t xml:space="preserve"> </w:t>
      </w:r>
      <w:r w:rsidR="005A6B33">
        <w:t>Complaints and serious incidents</w:t>
      </w:r>
      <w:r w:rsidRPr="00D55F3A">
        <w:t xml:space="preserve"> - costs to industry</w:t>
      </w:r>
      <w:bookmarkEnd w:id="200"/>
    </w:p>
    <w:tbl>
      <w:tblPr>
        <w:tblStyle w:val="TableGrid"/>
        <w:tblW w:w="4933"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695"/>
        <w:gridCol w:w="3402"/>
        <w:gridCol w:w="1464"/>
        <w:gridCol w:w="1466"/>
        <w:gridCol w:w="1466"/>
      </w:tblGrid>
      <w:tr w:rsidR="00C01E92" w:rsidRPr="009B7AF9" w14:paraId="363F74F1" w14:textId="77777777" w:rsidTr="008B3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pct"/>
            <w:tcBorders>
              <w:right w:val="none" w:sz="0" w:space="0" w:color="auto"/>
            </w:tcBorders>
          </w:tcPr>
          <w:p w14:paraId="4C63C489" w14:textId="77777777" w:rsidR="00C01E92" w:rsidRPr="009B7AF9" w:rsidRDefault="00C01E92" w:rsidP="009B7AF9">
            <w:pPr>
              <w:spacing w:after="60"/>
              <w:rPr>
                <w:rFonts w:cstheme="minorHAnsi"/>
                <w:bCs/>
                <w:color w:val="FFFFFF"/>
                <w:szCs w:val="22"/>
              </w:rPr>
            </w:pPr>
            <w:r w:rsidRPr="009B7AF9">
              <w:rPr>
                <w:rFonts w:cstheme="minorHAnsi"/>
                <w:bCs/>
                <w:color w:val="FFFFFF"/>
                <w:szCs w:val="22"/>
              </w:rPr>
              <w:t>Criterion</w:t>
            </w:r>
          </w:p>
        </w:tc>
        <w:tc>
          <w:tcPr>
            <w:tcW w:w="1792" w:type="pct"/>
            <w:tcBorders>
              <w:left w:val="none" w:sz="0" w:space="0" w:color="auto"/>
              <w:right w:val="none" w:sz="0" w:space="0" w:color="auto"/>
            </w:tcBorders>
          </w:tcPr>
          <w:p w14:paraId="2A77A605" w14:textId="77777777" w:rsidR="00C01E92" w:rsidRPr="009B7AF9" w:rsidRDefault="00C01E92" w:rsidP="009B7AF9">
            <w:pPr>
              <w:spacing w:after="60"/>
              <w:cnfStyle w:val="100000000000" w:firstRow="1" w:lastRow="0" w:firstColumn="0" w:lastColumn="0" w:oddVBand="0" w:evenVBand="0" w:oddHBand="0" w:evenHBand="0" w:firstRowFirstColumn="0" w:firstRowLastColumn="0" w:lastRowFirstColumn="0" w:lastRowLastColumn="0"/>
              <w:rPr>
                <w:rFonts w:cstheme="minorHAnsi"/>
                <w:bCs/>
                <w:color w:val="FFFFFF"/>
                <w:szCs w:val="22"/>
              </w:rPr>
            </w:pPr>
            <w:r w:rsidRPr="009B7AF9">
              <w:rPr>
                <w:rFonts w:cstheme="minorHAnsi"/>
                <w:bCs/>
                <w:color w:val="FFFFFF"/>
                <w:szCs w:val="22"/>
              </w:rPr>
              <w:t>Description</w:t>
            </w:r>
          </w:p>
        </w:tc>
        <w:tc>
          <w:tcPr>
            <w:tcW w:w="771" w:type="pct"/>
            <w:tcBorders>
              <w:left w:val="none" w:sz="0" w:space="0" w:color="auto"/>
              <w:right w:val="none" w:sz="0" w:space="0" w:color="auto"/>
            </w:tcBorders>
          </w:tcPr>
          <w:p w14:paraId="4B28D705" w14:textId="77777777" w:rsidR="00C01E92" w:rsidRPr="009B7AF9" w:rsidRDefault="00C01E92" w:rsidP="009B7AF9">
            <w:pPr>
              <w:spacing w:after="60"/>
              <w:jc w:val="center"/>
              <w:cnfStyle w:val="100000000000" w:firstRow="1" w:lastRow="0" w:firstColumn="0" w:lastColumn="0" w:oddVBand="0" w:evenVBand="0" w:oddHBand="0" w:evenHBand="0" w:firstRowFirstColumn="0" w:firstRowLastColumn="0" w:lastRowFirstColumn="0" w:lastRowLastColumn="0"/>
              <w:rPr>
                <w:rFonts w:cstheme="minorHAnsi"/>
                <w:bCs/>
                <w:color w:val="FFFFFF"/>
                <w:szCs w:val="22"/>
              </w:rPr>
            </w:pPr>
            <w:r w:rsidRPr="009B7AF9">
              <w:rPr>
                <w:rFonts w:cstheme="minorHAnsi"/>
                <w:bCs/>
                <w:color w:val="FFFFFF"/>
                <w:szCs w:val="22"/>
              </w:rPr>
              <w:t>Weighting</w:t>
            </w:r>
          </w:p>
        </w:tc>
        <w:tc>
          <w:tcPr>
            <w:tcW w:w="772" w:type="pct"/>
            <w:tcBorders>
              <w:left w:val="none" w:sz="0" w:space="0" w:color="auto"/>
              <w:right w:val="none" w:sz="0" w:space="0" w:color="auto"/>
            </w:tcBorders>
          </w:tcPr>
          <w:p w14:paraId="78CDC669" w14:textId="1B2F6CB3" w:rsidR="00C01E92" w:rsidRPr="009B7AF9" w:rsidRDefault="008B3077" w:rsidP="008B3077">
            <w:pPr>
              <w:spacing w:after="60"/>
              <w:jc w:val="center"/>
              <w:cnfStyle w:val="100000000000" w:firstRow="1" w:lastRow="0" w:firstColumn="0" w:lastColumn="0" w:oddVBand="0" w:evenVBand="0" w:oddHBand="0" w:evenHBand="0" w:firstRowFirstColumn="0" w:firstRowLastColumn="0" w:lastRowFirstColumn="0" w:lastRowLastColumn="0"/>
              <w:rPr>
                <w:rFonts w:cstheme="minorHAnsi"/>
                <w:bCs/>
                <w:color w:val="FFFFFF"/>
                <w:szCs w:val="22"/>
              </w:rPr>
            </w:pPr>
            <w:r>
              <w:rPr>
                <w:rFonts w:cstheme="minorHAnsi"/>
                <w:bCs/>
                <w:color w:val="FFFFFF"/>
                <w:szCs w:val="22"/>
              </w:rPr>
              <w:t>Option F.1</w:t>
            </w:r>
          </w:p>
        </w:tc>
        <w:tc>
          <w:tcPr>
            <w:tcW w:w="772" w:type="pct"/>
            <w:tcBorders>
              <w:left w:val="none" w:sz="0" w:space="0" w:color="auto"/>
            </w:tcBorders>
          </w:tcPr>
          <w:p w14:paraId="0941A40E" w14:textId="6E2E8279" w:rsidR="00C01E92" w:rsidRPr="009B7AF9" w:rsidRDefault="00C01E92" w:rsidP="008B3077">
            <w:pPr>
              <w:spacing w:after="60"/>
              <w:jc w:val="center"/>
              <w:cnfStyle w:val="100000000000" w:firstRow="1" w:lastRow="0" w:firstColumn="0" w:lastColumn="0" w:oddVBand="0" w:evenVBand="0" w:oddHBand="0" w:evenHBand="0" w:firstRowFirstColumn="0" w:firstRowLastColumn="0" w:lastRowFirstColumn="0" w:lastRowLastColumn="0"/>
              <w:rPr>
                <w:rFonts w:cstheme="minorHAnsi"/>
                <w:bCs/>
                <w:color w:val="FFFFFF"/>
                <w:szCs w:val="22"/>
              </w:rPr>
            </w:pPr>
            <w:r w:rsidRPr="009B7AF9">
              <w:rPr>
                <w:rFonts w:cstheme="minorHAnsi"/>
                <w:bCs/>
                <w:color w:val="FFFFFF"/>
                <w:szCs w:val="22"/>
              </w:rPr>
              <w:t xml:space="preserve">Option F.2 </w:t>
            </w:r>
          </w:p>
        </w:tc>
      </w:tr>
      <w:tr w:rsidR="00C01E92" w:rsidRPr="009B7AF9" w14:paraId="2754A052" w14:textId="77777777" w:rsidTr="008B3077">
        <w:trPr>
          <w:trHeight w:val="358"/>
        </w:trPr>
        <w:tc>
          <w:tcPr>
            <w:cnfStyle w:val="001000000000" w:firstRow="0" w:lastRow="0" w:firstColumn="1" w:lastColumn="0" w:oddVBand="0" w:evenVBand="0" w:oddHBand="0" w:evenHBand="0" w:firstRowFirstColumn="0" w:firstRowLastColumn="0" w:lastRowFirstColumn="0" w:lastRowLastColumn="0"/>
            <w:tcW w:w="893" w:type="pct"/>
            <w:tcBorders>
              <w:bottom w:val="single" w:sz="4" w:space="0" w:color="004EA8" w:themeColor="accent1"/>
            </w:tcBorders>
          </w:tcPr>
          <w:p w14:paraId="3B7622CF" w14:textId="77777777" w:rsidR="00C01E92" w:rsidRPr="009B7AF9" w:rsidRDefault="00C01E92" w:rsidP="009B7AF9">
            <w:pPr>
              <w:spacing w:after="60"/>
              <w:rPr>
                <w:rFonts w:cstheme="minorHAnsi"/>
                <w:szCs w:val="22"/>
              </w:rPr>
            </w:pPr>
            <w:r w:rsidRPr="009B7AF9">
              <w:rPr>
                <w:rFonts w:cstheme="minorHAnsi"/>
                <w:szCs w:val="22"/>
              </w:rPr>
              <w:t>Cost to industry</w:t>
            </w:r>
          </w:p>
        </w:tc>
        <w:tc>
          <w:tcPr>
            <w:tcW w:w="1792" w:type="pct"/>
            <w:tcBorders>
              <w:bottom w:val="single" w:sz="4" w:space="0" w:color="004EA8" w:themeColor="accent1"/>
            </w:tcBorders>
          </w:tcPr>
          <w:p w14:paraId="3E223032" w14:textId="737CE764" w:rsidR="00C01E92" w:rsidRPr="009B7AF9" w:rsidRDefault="00C01E92" w:rsidP="009B7AF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9B7AF9">
              <w:rPr>
                <w:rFonts w:cstheme="minorHAnsi"/>
                <w:szCs w:val="22"/>
              </w:rPr>
              <w:t xml:space="preserve">Costs to industry imposed by Regulations relating to </w:t>
            </w:r>
            <w:r w:rsidR="005A6B33">
              <w:rPr>
                <w:rFonts w:cstheme="minorHAnsi"/>
                <w:szCs w:val="22"/>
              </w:rPr>
              <w:t>Complaints and serious incidents</w:t>
            </w:r>
            <w:r w:rsidRPr="009B7AF9">
              <w:rPr>
                <w:rFonts w:cstheme="minorHAnsi"/>
                <w:szCs w:val="22"/>
              </w:rPr>
              <w:t>.</w:t>
            </w:r>
          </w:p>
        </w:tc>
        <w:tc>
          <w:tcPr>
            <w:tcW w:w="771" w:type="pct"/>
            <w:tcBorders>
              <w:bottom w:val="single" w:sz="4" w:space="0" w:color="004EA8" w:themeColor="accent1"/>
            </w:tcBorders>
          </w:tcPr>
          <w:p w14:paraId="409FD591" w14:textId="77777777" w:rsidR="00C01E92" w:rsidRPr="009B7AF9" w:rsidRDefault="00C01E92" w:rsidP="009B7AF9">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9B7AF9">
              <w:rPr>
                <w:rFonts w:cstheme="minorHAnsi"/>
                <w:szCs w:val="22"/>
              </w:rPr>
              <w:t>35%</w:t>
            </w:r>
          </w:p>
        </w:tc>
        <w:tc>
          <w:tcPr>
            <w:tcW w:w="772" w:type="pct"/>
            <w:tcBorders>
              <w:bottom w:val="single" w:sz="4" w:space="0" w:color="004EA8" w:themeColor="accent1"/>
            </w:tcBorders>
          </w:tcPr>
          <w:p w14:paraId="4ED0E8A0" w14:textId="77777777" w:rsidR="00C01E92" w:rsidRPr="009B7AF9" w:rsidRDefault="00C01E92" w:rsidP="009B7AF9">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9B7AF9">
              <w:rPr>
                <w:rFonts w:cstheme="minorHAnsi"/>
                <w:szCs w:val="22"/>
              </w:rPr>
              <w:t>0</w:t>
            </w:r>
          </w:p>
        </w:tc>
        <w:tc>
          <w:tcPr>
            <w:tcW w:w="772" w:type="pct"/>
            <w:tcBorders>
              <w:bottom w:val="single" w:sz="4" w:space="0" w:color="004EA8" w:themeColor="accent1"/>
            </w:tcBorders>
          </w:tcPr>
          <w:p w14:paraId="3F7930DF" w14:textId="77777777" w:rsidR="00C01E92" w:rsidRPr="009B7AF9" w:rsidRDefault="00C01E92" w:rsidP="009B7AF9">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9B7AF9">
              <w:rPr>
                <w:rFonts w:cstheme="minorHAnsi"/>
                <w:szCs w:val="22"/>
              </w:rPr>
              <w:t>0</w:t>
            </w:r>
          </w:p>
        </w:tc>
      </w:tr>
      <w:tr w:rsidR="00C01E92" w:rsidRPr="009B7AF9" w14:paraId="4A62776A" w14:textId="77777777" w:rsidTr="008B3077">
        <w:trPr>
          <w:trHeight w:val="358"/>
        </w:trPr>
        <w:tc>
          <w:tcPr>
            <w:cnfStyle w:val="001000000000" w:firstRow="0" w:lastRow="0" w:firstColumn="1" w:lastColumn="0" w:oddVBand="0" w:evenVBand="0" w:oddHBand="0" w:evenHBand="0" w:firstRowFirstColumn="0" w:firstRowLastColumn="0" w:lastRowFirstColumn="0" w:lastRowLastColumn="0"/>
            <w:tcW w:w="893" w:type="pct"/>
            <w:tcBorders>
              <w:right w:val="nil"/>
            </w:tcBorders>
          </w:tcPr>
          <w:p w14:paraId="7497444D" w14:textId="77777777" w:rsidR="00C01E92" w:rsidRPr="009B7AF9" w:rsidRDefault="00C01E92" w:rsidP="009B7AF9">
            <w:pPr>
              <w:spacing w:after="60"/>
              <w:rPr>
                <w:rFonts w:cstheme="minorHAnsi"/>
                <w:b/>
                <w:szCs w:val="22"/>
              </w:rPr>
            </w:pPr>
            <w:r w:rsidRPr="009B7AF9">
              <w:rPr>
                <w:rFonts w:cstheme="minorHAnsi"/>
                <w:b/>
                <w:szCs w:val="22"/>
              </w:rPr>
              <w:t>Total</w:t>
            </w:r>
          </w:p>
        </w:tc>
        <w:tc>
          <w:tcPr>
            <w:tcW w:w="1792" w:type="pct"/>
            <w:tcBorders>
              <w:left w:val="nil"/>
              <w:right w:val="nil"/>
            </w:tcBorders>
          </w:tcPr>
          <w:p w14:paraId="6A2427FE" w14:textId="77777777" w:rsidR="00C01E92" w:rsidRPr="009B7AF9" w:rsidRDefault="00C01E92" w:rsidP="009B7AF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771" w:type="pct"/>
            <w:tcBorders>
              <w:left w:val="nil"/>
              <w:right w:val="nil"/>
            </w:tcBorders>
          </w:tcPr>
          <w:p w14:paraId="081F3C61" w14:textId="77777777" w:rsidR="00C01E92" w:rsidRPr="009B7AF9" w:rsidRDefault="00C01E92" w:rsidP="009B7AF9">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772" w:type="pct"/>
            <w:tcBorders>
              <w:left w:val="nil"/>
              <w:right w:val="nil"/>
            </w:tcBorders>
          </w:tcPr>
          <w:p w14:paraId="315C0771" w14:textId="77777777" w:rsidR="00C01E92" w:rsidRPr="009B7AF9" w:rsidRDefault="00C01E92" w:rsidP="009B7AF9">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9B7AF9">
              <w:rPr>
                <w:rFonts w:cstheme="minorHAnsi"/>
                <w:b/>
                <w:szCs w:val="22"/>
              </w:rPr>
              <w:t>0</w:t>
            </w:r>
          </w:p>
        </w:tc>
        <w:tc>
          <w:tcPr>
            <w:tcW w:w="772" w:type="pct"/>
            <w:tcBorders>
              <w:left w:val="nil"/>
            </w:tcBorders>
          </w:tcPr>
          <w:p w14:paraId="3296485A" w14:textId="77777777" w:rsidR="00C01E92" w:rsidRPr="009B7AF9" w:rsidRDefault="00C01E92" w:rsidP="009B7AF9">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9B7AF9">
              <w:rPr>
                <w:rFonts w:cstheme="minorHAnsi"/>
                <w:b/>
                <w:szCs w:val="22"/>
              </w:rPr>
              <w:t>0</w:t>
            </w:r>
          </w:p>
        </w:tc>
      </w:tr>
    </w:tbl>
    <w:p w14:paraId="3E8C0BBA" w14:textId="77777777" w:rsidR="00C01E92" w:rsidRPr="000107A9" w:rsidRDefault="00C01E92" w:rsidP="002806C5">
      <w:pPr>
        <w:pStyle w:val="EYHeading4"/>
        <w:numPr>
          <w:ilvl w:val="3"/>
          <w:numId w:val="80"/>
        </w:numPr>
        <w:spacing w:before="120"/>
        <w:rPr>
          <w:rFonts w:asciiTheme="minorHAnsi" w:hAnsiTheme="minorHAnsi" w:cstheme="minorHAnsi"/>
          <w:szCs w:val="22"/>
        </w:rPr>
      </w:pPr>
      <w:bookmarkStart w:id="201" w:name="_Ref25662406"/>
      <w:r w:rsidRPr="000107A9">
        <w:rPr>
          <w:rFonts w:asciiTheme="minorHAnsi" w:hAnsiTheme="minorHAnsi" w:cstheme="minorHAnsi"/>
          <w:szCs w:val="22"/>
        </w:rPr>
        <w:t>Record-keeping and display of information</w:t>
      </w:r>
      <w:bookmarkEnd w:id="201"/>
    </w:p>
    <w:p w14:paraId="1DAABFD4"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Act requires providers to </w:t>
      </w:r>
      <w:r w:rsidRPr="000107A9">
        <w:rPr>
          <w:rFonts w:asciiTheme="minorHAnsi" w:hAnsiTheme="minorHAnsi" w:cstheme="minorHAnsi"/>
          <w:b/>
          <w:sz w:val="22"/>
          <w:szCs w:val="22"/>
        </w:rPr>
        <w:t>display</w:t>
      </w:r>
      <w:r w:rsidRPr="000107A9">
        <w:rPr>
          <w:rFonts w:asciiTheme="minorHAnsi" w:hAnsiTheme="minorHAnsi" w:cstheme="minorHAnsi"/>
          <w:sz w:val="22"/>
          <w:szCs w:val="22"/>
        </w:rPr>
        <w:t xml:space="preserve"> the prescribed information and </w:t>
      </w:r>
      <w:r w:rsidRPr="000107A9">
        <w:rPr>
          <w:rFonts w:asciiTheme="minorHAnsi" w:hAnsiTheme="minorHAnsi" w:cstheme="minorHAnsi"/>
          <w:b/>
          <w:sz w:val="22"/>
          <w:szCs w:val="22"/>
        </w:rPr>
        <w:t>keep</w:t>
      </w:r>
      <w:r w:rsidRPr="000107A9">
        <w:rPr>
          <w:rFonts w:asciiTheme="minorHAnsi" w:hAnsiTheme="minorHAnsi" w:cstheme="minorHAnsi"/>
          <w:sz w:val="22"/>
          <w:szCs w:val="22"/>
        </w:rPr>
        <w:t xml:space="preserve"> the prescribed records for inspection by Departmental officers.</w:t>
      </w:r>
    </w:p>
    <w:p w14:paraId="3A8DF904"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In the base case, there would be no Regulations to provide details as to the exact records and information envisaged by the Act. This may result in additional costs incurred through providers needing to contact the Department for guidance.</w:t>
      </w:r>
    </w:p>
    <w:p w14:paraId="7396CF7D"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Option G.1. Status Quo and Option G.2. Alignment prescribe broadly the same information and documents (including policies and procedures) to support these provisions and are expected to impose similar costs to providers and the industry as a whole.</w:t>
      </w:r>
    </w:p>
    <w:p w14:paraId="7BA2E1B9"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costs presented here are </w:t>
      </w:r>
      <w:r w:rsidRPr="000107A9">
        <w:rPr>
          <w:rFonts w:asciiTheme="minorHAnsi" w:hAnsiTheme="minorHAnsi" w:cstheme="minorHAnsi"/>
          <w:b/>
          <w:sz w:val="22"/>
          <w:szCs w:val="22"/>
        </w:rPr>
        <w:t>opportunity costs,</w:t>
      </w:r>
      <w:r w:rsidRPr="000107A9">
        <w:rPr>
          <w:rFonts w:asciiTheme="minorHAnsi" w:hAnsiTheme="minorHAnsi" w:cstheme="minorHAnsi"/>
          <w:sz w:val="22"/>
          <w:szCs w:val="22"/>
        </w:rPr>
        <w:t xml:space="preserve"> representing the time that staff could spend on other tasks, noting that the time taken to comply with this requirement will vary according to the complexity of policies and procedures at each service.</w:t>
      </w:r>
    </w:p>
    <w:p w14:paraId="32BA6507" w14:textId="77777777" w:rsidR="00C01E92" w:rsidRPr="000107A9" w:rsidRDefault="00C01E92" w:rsidP="00C01E92">
      <w:pPr>
        <w:pStyle w:val="EYBodytextwithparaspace"/>
        <w:spacing w:before="120" w:after="120"/>
        <w:rPr>
          <w:rFonts w:asciiTheme="minorHAnsi" w:hAnsiTheme="minorHAnsi" w:cstheme="minorHAnsi"/>
          <w:i/>
          <w:sz w:val="22"/>
          <w:szCs w:val="22"/>
        </w:rPr>
      </w:pPr>
      <w:r w:rsidRPr="000107A9">
        <w:rPr>
          <w:rFonts w:asciiTheme="minorHAnsi" w:hAnsiTheme="minorHAnsi" w:cstheme="minorHAnsi"/>
          <w:i/>
          <w:sz w:val="22"/>
          <w:szCs w:val="22"/>
        </w:rPr>
        <w:t>Policies and procedures</w:t>
      </w:r>
    </w:p>
    <w:p w14:paraId="33C289E5" w14:textId="4639515C"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_Ref23752814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 xml:space="preserve">Table </w:t>
      </w:r>
      <w:r w:rsidR="00493211" w:rsidRPr="00493211">
        <w:rPr>
          <w:rFonts w:asciiTheme="minorHAnsi" w:hAnsiTheme="minorHAnsi" w:cstheme="minorHAnsi"/>
          <w:noProof/>
          <w:sz w:val="22"/>
          <w:szCs w:val="22"/>
        </w:rPr>
        <w:t>30</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provides indicative costs for the initial </w:t>
      </w:r>
      <w:r w:rsidRPr="000107A9">
        <w:rPr>
          <w:rFonts w:asciiTheme="minorHAnsi" w:hAnsiTheme="minorHAnsi" w:cstheme="minorHAnsi"/>
          <w:b/>
          <w:sz w:val="22"/>
          <w:szCs w:val="22"/>
        </w:rPr>
        <w:t>establishment</w:t>
      </w:r>
      <w:r w:rsidRPr="000107A9">
        <w:rPr>
          <w:rFonts w:asciiTheme="minorHAnsi" w:hAnsiTheme="minorHAnsi" w:cstheme="minorHAnsi"/>
          <w:sz w:val="22"/>
          <w:szCs w:val="22"/>
        </w:rPr>
        <w:t xml:space="preserve"> of the policies and procedures required under both options. It is assumed that a Diploma-level employee would prepare the </w:t>
      </w:r>
      <w:r w:rsidRPr="000107A9">
        <w:rPr>
          <w:rFonts w:asciiTheme="minorHAnsi" w:hAnsiTheme="minorHAnsi" w:cstheme="minorHAnsi"/>
          <w:sz w:val="22"/>
          <w:szCs w:val="22"/>
        </w:rPr>
        <w:lastRenderedPageBreak/>
        <w:t>policies</w:t>
      </w:r>
      <w:r w:rsidRPr="00474E1C">
        <w:rPr>
          <w:rStyle w:val="FootnoteReference"/>
          <w:rFonts w:asciiTheme="minorHAnsi" w:hAnsiTheme="minorHAnsi" w:cstheme="minorHAnsi"/>
          <w:color w:val="auto"/>
          <w:sz w:val="22"/>
          <w:szCs w:val="22"/>
        </w:rPr>
        <w:footnoteReference w:id="54"/>
      </w:r>
      <w:r w:rsidRPr="00474E1C">
        <w:rPr>
          <w:rFonts w:asciiTheme="minorHAnsi" w:hAnsiTheme="minorHAnsi" w:cstheme="minorHAnsi"/>
          <w:sz w:val="22"/>
          <w:szCs w:val="22"/>
        </w:rPr>
        <w:t xml:space="preserve"> </w:t>
      </w:r>
      <w:r w:rsidRPr="000107A9">
        <w:rPr>
          <w:rFonts w:asciiTheme="minorHAnsi" w:hAnsiTheme="minorHAnsi" w:cstheme="minorHAnsi"/>
          <w:sz w:val="22"/>
          <w:szCs w:val="22"/>
        </w:rPr>
        <w:t>and time estimates have been drawn from the NQF Regulatory Burden report. Available trend data assumes approximately 20 new children’s services per year.</w:t>
      </w:r>
    </w:p>
    <w:p w14:paraId="4930F38D" w14:textId="332AB92F" w:rsidR="00C01E92" w:rsidRPr="000107A9" w:rsidRDefault="00C01E92" w:rsidP="00F7569F">
      <w:pPr>
        <w:pStyle w:val="Caption"/>
      </w:pPr>
      <w:bookmarkStart w:id="202" w:name="_Ref23752814"/>
      <w:bookmarkStart w:id="203" w:name="_Toc32592813"/>
      <w:r w:rsidRPr="000107A9">
        <w:t xml:space="preserve">Table </w:t>
      </w:r>
      <w:r w:rsidRPr="000107A9">
        <w:fldChar w:fldCharType="begin"/>
      </w:r>
      <w:r w:rsidRPr="000107A9">
        <w:instrText xml:space="preserve"> SEQ Table \* ARABIC </w:instrText>
      </w:r>
      <w:r w:rsidRPr="000107A9">
        <w:fldChar w:fldCharType="separate"/>
      </w:r>
      <w:r w:rsidR="00493211">
        <w:rPr>
          <w:noProof/>
        </w:rPr>
        <w:t>30</w:t>
      </w:r>
      <w:r w:rsidRPr="000107A9">
        <w:fldChar w:fldCharType="end"/>
      </w:r>
      <w:bookmarkEnd w:id="202"/>
      <w:r w:rsidRPr="000107A9">
        <w:t xml:space="preserve"> Initial establishment of policies </w:t>
      </w:r>
      <w:r w:rsidR="009F2454">
        <w:t>and</w:t>
      </w:r>
      <w:r w:rsidRPr="000107A9">
        <w:t xml:space="preserve"> procedures costs</w:t>
      </w:r>
      <w:bookmarkEnd w:id="203"/>
    </w:p>
    <w:tbl>
      <w:tblPr>
        <w:tblStyle w:val="TableGrid"/>
        <w:tblW w:w="0" w:type="auto"/>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980"/>
        <w:gridCol w:w="1559"/>
        <w:gridCol w:w="1559"/>
        <w:gridCol w:w="2055"/>
        <w:gridCol w:w="2056"/>
      </w:tblGrid>
      <w:tr w:rsidR="00C01E92" w:rsidRPr="00685BF4" w14:paraId="2FDEAA2E" w14:textId="77777777" w:rsidTr="00C76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right w:val="none" w:sz="0" w:space="0" w:color="auto"/>
            </w:tcBorders>
          </w:tcPr>
          <w:p w14:paraId="75FC4E7F" w14:textId="77777777" w:rsidR="00C01E92" w:rsidRPr="00685BF4" w:rsidRDefault="00C01E92" w:rsidP="009B7AF9">
            <w:pPr>
              <w:pStyle w:val="EYBodytextwithparaspace"/>
              <w:autoSpaceDE/>
              <w:autoSpaceDN/>
              <w:adjustRightInd/>
              <w:spacing w:after="60"/>
              <w:rPr>
                <w:rFonts w:ascii="Arial Narrow" w:hAnsi="Arial Narrow" w:cstheme="minorHAnsi"/>
                <w:b w:val="0"/>
                <w:sz w:val="22"/>
                <w:szCs w:val="22"/>
              </w:rPr>
            </w:pPr>
          </w:p>
        </w:tc>
        <w:tc>
          <w:tcPr>
            <w:tcW w:w="1559" w:type="dxa"/>
            <w:tcBorders>
              <w:left w:val="none" w:sz="0" w:space="0" w:color="auto"/>
              <w:right w:val="none" w:sz="0" w:space="0" w:color="auto"/>
            </w:tcBorders>
          </w:tcPr>
          <w:p w14:paraId="6B5C5C04" w14:textId="77777777" w:rsidR="00C01E92" w:rsidRPr="00685BF4" w:rsidRDefault="00C01E92" w:rsidP="009B7AF9">
            <w:pPr>
              <w:pStyle w:val="EYBodytextwithparaspace"/>
              <w:autoSpaceDE/>
              <w:autoSpaceDN/>
              <w:adjustRightInd/>
              <w:spacing w:after="60"/>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sz w:val="22"/>
                <w:szCs w:val="22"/>
              </w:rPr>
            </w:pPr>
            <w:r w:rsidRPr="00685BF4">
              <w:rPr>
                <w:rFonts w:ascii="Arial Narrow" w:hAnsi="Arial Narrow" w:cstheme="minorHAnsi"/>
                <w:sz w:val="22"/>
                <w:szCs w:val="22"/>
              </w:rPr>
              <w:t>Hours per service</w:t>
            </w:r>
          </w:p>
        </w:tc>
        <w:tc>
          <w:tcPr>
            <w:tcW w:w="1559" w:type="dxa"/>
            <w:tcBorders>
              <w:left w:val="none" w:sz="0" w:space="0" w:color="auto"/>
              <w:right w:val="none" w:sz="0" w:space="0" w:color="auto"/>
            </w:tcBorders>
          </w:tcPr>
          <w:p w14:paraId="5142E549" w14:textId="77777777" w:rsidR="00C01E92" w:rsidRPr="00685BF4" w:rsidRDefault="00C01E92" w:rsidP="009B7AF9">
            <w:pPr>
              <w:pStyle w:val="EYBodytextwithparaspace"/>
              <w:autoSpaceDE/>
              <w:autoSpaceDN/>
              <w:adjustRightInd/>
              <w:spacing w:after="60"/>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sz w:val="22"/>
                <w:szCs w:val="22"/>
              </w:rPr>
            </w:pPr>
            <w:r w:rsidRPr="00685BF4">
              <w:rPr>
                <w:rFonts w:ascii="Arial Narrow" w:hAnsi="Arial Narrow" w:cstheme="minorHAnsi"/>
                <w:sz w:val="22"/>
                <w:szCs w:val="22"/>
              </w:rPr>
              <w:t>Cost per service</w:t>
            </w:r>
          </w:p>
        </w:tc>
        <w:tc>
          <w:tcPr>
            <w:tcW w:w="2055" w:type="dxa"/>
            <w:tcBorders>
              <w:left w:val="none" w:sz="0" w:space="0" w:color="auto"/>
              <w:right w:val="none" w:sz="0" w:space="0" w:color="auto"/>
            </w:tcBorders>
          </w:tcPr>
          <w:p w14:paraId="0E6307A6" w14:textId="1EBA6A03" w:rsidR="00C01E92" w:rsidRPr="00685BF4" w:rsidRDefault="00C01E92" w:rsidP="00991C2A">
            <w:pPr>
              <w:pStyle w:val="EYBodytextwithparaspace"/>
              <w:autoSpaceDE/>
              <w:autoSpaceDN/>
              <w:adjustRightInd/>
              <w:spacing w:after="60"/>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sz w:val="22"/>
                <w:szCs w:val="22"/>
              </w:rPr>
            </w:pPr>
            <w:r w:rsidRPr="00685BF4">
              <w:rPr>
                <w:rFonts w:ascii="Arial Narrow" w:hAnsi="Arial Narrow" w:cstheme="minorHAnsi"/>
                <w:sz w:val="22"/>
                <w:szCs w:val="22"/>
              </w:rPr>
              <w:t>Annual cost – all services</w:t>
            </w:r>
            <w:r w:rsidR="00991C2A">
              <w:rPr>
                <w:rFonts w:ascii="Arial Narrow" w:hAnsi="Arial Narrow" w:cstheme="minorHAnsi"/>
                <w:sz w:val="22"/>
                <w:szCs w:val="22"/>
              </w:rPr>
              <w:t xml:space="preserve"> (</w:t>
            </w:r>
            <w:r w:rsidR="00991C2A" w:rsidRPr="00685BF4">
              <w:rPr>
                <w:rFonts w:ascii="Arial Narrow" w:hAnsi="Arial Narrow" w:cstheme="minorHAnsi"/>
                <w:sz w:val="22"/>
                <w:szCs w:val="22"/>
              </w:rPr>
              <w:t>new</w:t>
            </w:r>
            <w:r w:rsidR="00991C2A">
              <w:rPr>
                <w:rFonts w:ascii="Arial Narrow" w:hAnsi="Arial Narrow" w:cstheme="minorHAnsi"/>
                <w:sz w:val="22"/>
                <w:szCs w:val="22"/>
              </w:rPr>
              <w:t>)</w:t>
            </w:r>
          </w:p>
        </w:tc>
        <w:tc>
          <w:tcPr>
            <w:tcW w:w="2056" w:type="dxa"/>
            <w:tcBorders>
              <w:left w:val="none" w:sz="0" w:space="0" w:color="auto"/>
            </w:tcBorders>
          </w:tcPr>
          <w:p w14:paraId="082934E3" w14:textId="56858526" w:rsidR="00C01E92" w:rsidRPr="00685BF4" w:rsidRDefault="00C01E92" w:rsidP="00991C2A">
            <w:pPr>
              <w:pStyle w:val="EYBodytextwithparaspace"/>
              <w:autoSpaceDE/>
              <w:autoSpaceDN/>
              <w:adjustRightInd/>
              <w:spacing w:after="60"/>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sz w:val="22"/>
                <w:szCs w:val="22"/>
              </w:rPr>
            </w:pPr>
            <w:r w:rsidRPr="00685BF4">
              <w:rPr>
                <w:rFonts w:ascii="Arial Narrow" w:hAnsi="Arial Narrow" w:cstheme="minorHAnsi"/>
                <w:sz w:val="22"/>
                <w:szCs w:val="22"/>
              </w:rPr>
              <w:t>Cost over 10 years – all services</w:t>
            </w:r>
            <w:r w:rsidR="00991C2A" w:rsidRPr="00685BF4">
              <w:rPr>
                <w:rFonts w:ascii="Arial Narrow" w:hAnsi="Arial Narrow" w:cstheme="minorHAnsi"/>
                <w:sz w:val="22"/>
                <w:szCs w:val="22"/>
              </w:rPr>
              <w:t xml:space="preserve"> </w:t>
            </w:r>
            <w:r w:rsidR="00991C2A">
              <w:rPr>
                <w:rFonts w:ascii="Arial Narrow" w:hAnsi="Arial Narrow" w:cstheme="minorHAnsi"/>
                <w:sz w:val="22"/>
                <w:szCs w:val="22"/>
              </w:rPr>
              <w:t>(</w:t>
            </w:r>
            <w:r w:rsidR="00991C2A" w:rsidRPr="00685BF4">
              <w:rPr>
                <w:rFonts w:ascii="Arial Narrow" w:hAnsi="Arial Narrow" w:cstheme="minorHAnsi"/>
                <w:sz w:val="22"/>
                <w:szCs w:val="22"/>
              </w:rPr>
              <w:t>new</w:t>
            </w:r>
            <w:r w:rsidR="00991C2A">
              <w:rPr>
                <w:rFonts w:ascii="Arial Narrow" w:hAnsi="Arial Narrow" w:cstheme="minorHAnsi"/>
                <w:sz w:val="22"/>
                <w:szCs w:val="22"/>
              </w:rPr>
              <w:t>)</w:t>
            </w:r>
          </w:p>
        </w:tc>
      </w:tr>
      <w:tr w:rsidR="00C01E92" w:rsidRPr="00685BF4" w14:paraId="20E29000" w14:textId="77777777" w:rsidTr="00C769E7">
        <w:tc>
          <w:tcPr>
            <w:cnfStyle w:val="001000000000" w:firstRow="0" w:lastRow="0" w:firstColumn="1" w:lastColumn="0" w:oddVBand="0" w:evenVBand="0" w:oddHBand="0" w:evenHBand="0" w:firstRowFirstColumn="0" w:firstRowLastColumn="0" w:lastRowFirstColumn="0" w:lastRowLastColumn="0"/>
            <w:tcW w:w="1980" w:type="dxa"/>
          </w:tcPr>
          <w:p w14:paraId="0C3365A7" w14:textId="77777777" w:rsidR="00C01E92" w:rsidRPr="00685BF4" w:rsidRDefault="00C01E92" w:rsidP="009B7AF9">
            <w:pPr>
              <w:pStyle w:val="EYBodytextwithparaspace"/>
              <w:autoSpaceDE/>
              <w:autoSpaceDN/>
              <w:adjustRightInd/>
              <w:spacing w:after="60"/>
              <w:rPr>
                <w:rFonts w:ascii="Arial Narrow" w:hAnsi="Arial Narrow" w:cstheme="minorHAnsi"/>
                <w:sz w:val="22"/>
                <w:szCs w:val="22"/>
              </w:rPr>
            </w:pPr>
            <w:r w:rsidRPr="00685BF4">
              <w:rPr>
                <w:rFonts w:ascii="Arial Narrow" w:hAnsi="Arial Narrow" w:cstheme="minorHAnsi"/>
                <w:sz w:val="22"/>
                <w:szCs w:val="22"/>
              </w:rPr>
              <w:t>Small providers</w:t>
            </w:r>
          </w:p>
        </w:tc>
        <w:tc>
          <w:tcPr>
            <w:tcW w:w="1559" w:type="dxa"/>
          </w:tcPr>
          <w:p w14:paraId="2ACF8153"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189.30</w:t>
            </w:r>
          </w:p>
        </w:tc>
        <w:tc>
          <w:tcPr>
            <w:tcW w:w="1559" w:type="dxa"/>
          </w:tcPr>
          <w:p w14:paraId="75A115D4"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$6,074.64</w:t>
            </w:r>
          </w:p>
        </w:tc>
        <w:tc>
          <w:tcPr>
            <w:tcW w:w="2055" w:type="dxa"/>
          </w:tcPr>
          <w:p w14:paraId="3FCF6D90"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$70,933.65</w:t>
            </w:r>
          </w:p>
        </w:tc>
        <w:tc>
          <w:tcPr>
            <w:tcW w:w="2056" w:type="dxa"/>
          </w:tcPr>
          <w:p w14:paraId="13AAF76B"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$780,270.14</w:t>
            </w:r>
          </w:p>
        </w:tc>
      </w:tr>
      <w:tr w:rsidR="00C01E92" w:rsidRPr="00685BF4" w14:paraId="7DD0F2C0" w14:textId="77777777" w:rsidTr="00C769E7">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4EA8" w:themeColor="accent1"/>
            </w:tcBorders>
          </w:tcPr>
          <w:p w14:paraId="2EBB1875" w14:textId="77777777" w:rsidR="00C01E92" w:rsidRPr="00685BF4" w:rsidRDefault="00C01E92" w:rsidP="009B7AF9">
            <w:pPr>
              <w:pStyle w:val="EYBodytextwithparaspace"/>
              <w:autoSpaceDE/>
              <w:autoSpaceDN/>
              <w:adjustRightInd/>
              <w:spacing w:after="60"/>
              <w:rPr>
                <w:rFonts w:ascii="Arial Narrow" w:hAnsi="Arial Narrow" w:cstheme="minorHAnsi"/>
                <w:sz w:val="22"/>
                <w:szCs w:val="22"/>
              </w:rPr>
            </w:pPr>
            <w:r w:rsidRPr="00685BF4">
              <w:rPr>
                <w:rFonts w:ascii="Arial Narrow" w:hAnsi="Arial Narrow" w:cstheme="minorHAnsi"/>
                <w:sz w:val="22"/>
                <w:szCs w:val="22"/>
              </w:rPr>
              <w:t>Medium providers</w:t>
            </w:r>
          </w:p>
        </w:tc>
        <w:tc>
          <w:tcPr>
            <w:tcW w:w="1559" w:type="dxa"/>
            <w:tcBorders>
              <w:bottom w:val="single" w:sz="4" w:space="0" w:color="004EA8" w:themeColor="accent1"/>
            </w:tcBorders>
          </w:tcPr>
          <w:p w14:paraId="5AA60CC8"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130.60</w:t>
            </w:r>
          </w:p>
        </w:tc>
        <w:tc>
          <w:tcPr>
            <w:tcW w:w="1559" w:type="dxa"/>
            <w:tcBorders>
              <w:bottom w:val="single" w:sz="4" w:space="0" w:color="004EA8" w:themeColor="accent1"/>
            </w:tcBorders>
          </w:tcPr>
          <w:p w14:paraId="2F452B0D"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$4,190.95</w:t>
            </w:r>
          </w:p>
        </w:tc>
        <w:tc>
          <w:tcPr>
            <w:tcW w:w="2055" w:type="dxa"/>
            <w:tcBorders>
              <w:bottom w:val="single" w:sz="4" w:space="0" w:color="004EA8" w:themeColor="accent1"/>
            </w:tcBorders>
          </w:tcPr>
          <w:p w14:paraId="0B9155C3"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$34,360.62</w:t>
            </w:r>
          </w:p>
        </w:tc>
        <w:tc>
          <w:tcPr>
            <w:tcW w:w="2056" w:type="dxa"/>
            <w:tcBorders>
              <w:bottom w:val="single" w:sz="4" w:space="0" w:color="004EA8" w:themeColor="accent1"/>
            </w:tcBorders>
          </w:tcPr>
          <w:p w14:paraId="6193CA9E"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$377,966.78</w:t>
            </w:r>
          </w:p>
        </w:tc>
      </w:tr>
      <w:tr w:rsidR="00C01E92" w:rsidRPr="00685BF4" w14:paraId="11588A31" w14:textId="77777777" w:rsidTr="00C769E7">
        <w:tc>
          <w:tcPr>
            <w:cnfStyle w:val="001000000000" w:firstRow="0" w:lastRow="0" w:firstColumn="1" w:lastColumn="0" w:oddVBand="0" w:evenVBand="0" w:oddHBand="0" w:evenHBand="0" w:firstRowFirstColumn="0" w:firstRowLastColumn="0" w:lastRowFirstColumn="0" w:lastRowLastColumn="0"/>
            <w:tcW w:w="1980" w:type="dxa"/>
            <w:tcBorders>
              <w:right w:val="nil"/>
            </w:tcBorders>
          </w:tcPr>
          <w:p w14:paraId="53FDAA68" w14:textId="77777777" w:rsidR="00C01E92" w:rsidRPr="00685BF4" w:rsidRDefault="00C01E92" w:rsidP="009B7AF9">
            <w:pPr>
              <w:pStyle w:val="EYBodytextwithparaspace"/>
              <w:autoSpaceDE/>
              <w:autoSpaceDN/>
              <w:adjustRightInd/>
              <w:spacing w:after="60"/>
              <w:rPr>
                <w:rFonts w:ascii="Arial Narrow" w:hAnsi="Arial Narrow" w:cstheme="minorHAnsi"/>
                <w:b/>
                <w:sz w:val="22"/>
                <w:szCs w:val="22"/>
              </w:rPr>
            </w:pPr>
            <w:r w:rsidRPr="00685BF4">
              <w:rPr>
                <w:rFonts w:ascii="Arial Narrow" w:hAnsi="Arial Narrow" w:cstheme="minorHAnsi"/>
                <w:b/>
                <w:sz w:val="22"/>
                <w:szCs w:val="22"/>
              </w:rPr>
              <w:t>TOTAL</w:t>
            </w:r>
          </w:p>
        </w:tc>
        <w:tc>
          <w:tcPr>
            <w:tcW w:w="1559" w:type="dxa"/>
            <w:tcBorders>
              <w:left w:val="nil"/>
              <w:right w:val="nil"/>
            </w:tcBorders>
          </w:tcPr>
          <w:p w14:paraId="457F3EF5"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p>
        </w:tc>
        <w:tc>
          <w:tcPr>
            <w:tcW w:w="1559" w:type="dxa"/>
            <w:tcBorders>
              <w:left w:val="nil"/>
              <w:right w:val="nil"/>
            </w:tcBorders>
          </w:tcPr>
          <w:p w14:paraId="3D9F1B6A"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p>
        </w:tc>
        <w:tc>
          <w:tcPr>
            <w:tcW w:w="2055" w:type="dxa"/>
            <w:tcBorders>
              <w:left w:val="nil"/>
              <w:right w:val="nil"/>
            </w:tcBorders>
          </w:tcPr>
          <w:p w14:paraId="1BEB8641"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p>
        </w:tc>
        <w:tc>
          <w:tcPr>
            <w:tcW w:w="2056" w:type="dxa"/>
            <w:tcBorders>
              <w:left w:val="nil"/>
            </w:tcBorders>
          </w:tcPr>
          <w:p w14:paraId="358A2FCD"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685BF4">
              <w:rPr>
                <w:rFonts w:ascii="Arial Narrow" w:hAnsi="Arial Narrow" w:cstheme="minorHAnsi"/>
                <w:b/>
                <w:sz w:val="22"/>
                <w:szCs w:val="22"/>
              </w:rPr>
              <w:t>$1,158,236.93</w:t>
            </w:r>
          </w:p>
        </w:tc>
      </w:tr>
    </w:tbl>
    <w:p w14:paraId="0CBA2E8E"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sidDel="00B20891">
        <w:rPr>
          <w:rFonts w:asciiTheme="minorHAnsi" w:hAnsiTheme="minorHAnsi" w:cstheme="minorHAnsi"/>
          <w:sz w:val="22"/>
          <w:szCs w:val="22"/>
        </w:rPr>
        <w:t xml:space="preserve">Both options also require the </w:t>
      </w:r>
      <w:r w:rsidRPr="000107A9" w:rsidDel="00B20891">
        <w:rPr>
          <w:rFonts w:asciiTheme="minorHAnsi" w:hAnsiTheme="minorHAnsi" w:cstheme="minorHAnsi"/>
          <w:b/>
          <w:sz w:val="22"/>
          <w:szCs w:val="22"/>
        </w:rPr>
        <w:t>display</w:t>
      </w:r>
      <w:r w:rsidRPr="000107A9" w:rsidDel="00B20891">
        <w:rPr>
          <w:rFonts w:asciiTheme="minorHAnsi" w:hAnsiTheme="minorHAnsi" w:cstheme="minorHAnsi"/>
          <w:sz w:val="22"/>
          <w:szCs w:val="22"/>
        </w:rPr>
        <w:t xml:space="preserve"> of certain policies and procedures, along with the service contact details, hours of operation and fees. Costs incurred in complying with these requirements are considered to be included in the cost of establishi</w:t>
      </w:r>
      <w:r w:rsidRPr="000107A9">
        <w:rPr>
          <w:rFonts w:asciiTheme="minorHAnsi" w:hAnsiTheme="minorHAnsi" w:cstheme="minorHAnsi"/>
          <w:sz w:val="22"/>
          <w:szCs w:val="22"/>
        </w:rPr>
        <w:t>ng the policies and procedures.</w:t>
      </w:r>
    </w:p>
    <w:p w14:paraId="5D98AC44"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Option G.2. Alignment requires services to </w:t>
      </w:r>
      <w:r w:rsidRPr="000107A9">
        <w:rPr>
          <w:rFonts w:asciiTheme="minorHAnsi" w:hAnsiTheme="minorHAnsi" w:cstheme="minorHAnsi"/>
          <w:b/>
          <w:sz w:val="22"/>
          <w:szCs w:val="22"/>
        </w:rPr>
        <w:t>review</w:t>
      </w:r>
      <w:r w:rsidRPr="000107A9">
        <w:rPr>
          <w:rFonts w:asciiTheme="minorHAnsi" w:hAnsiTheme="minorHAnsi" w:cstheme="minorHAnsi"/>
          <w:sz w:val="22"/>
          <w:szCs w:val="22"/>
        </w:rPr>
        <w:t xml:space="preserve"> policies annually and update if necessary. There is no equivalent provision under Option G.1. Status Quo, meaning that this aspect of the alignment option imposes additional costs on services (noting that these are opportunity costs not financial costs).</w:t>
      </w:r>
    </w:p>
    <w:p w14:paraId="45158CC3" w14:textId="7D91C646" w:rsidR="00C01E92"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_Ref25663382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 xml:space="preserve">Table </w:t>
      </w:r>
      <w:r w:rsidR="00493211" w:rsidRPr="00493211">
        <w:rPr>
          <w:rFonts w:asciiTheme="minorHAnsi" w:hAnsiTheme="minorHAnsi" w:cstheme="minorHAnsi"/>
          <w:noProof/>
          <w:sz w:val="22"/>
          <w:szCs w:val="22"/>
        </w:rPr>
        <w:t>31</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provides the average time and cost associated with this task, drawing on time assumptions taken from the NQF Regulatory Burden report. It is assumed that a Certificate III level staff member would complete this task. This requirement will apply to all existing services as well as new services entering the sector each year. The costing over 10 years draws on available trend data that indicates approximately 20 new children’s services will enter the market per year.</w:t>
      </w:r>
    </w:p>
    <w:p w14:paraId="66C5E96F" w14:textId="7682AE95" w:rsidR="00C01E92" w:rsidRPr="000107A9" w:rsidRDefault="00C01E92" w:rsidP="00F7569F">
      <w:pPr>
        <w:pStyle w:val="Caption"/>
      </w:pPr>
      <w:bookmarkStart w:id="204" w:name="_Ref25663382"/>
      <w:bookmarkStart w:id="205" w:name="_Toc32592814"/>
      <w:r w:rsidRPr="000107A9">
        <w:t xml:space="preserve">Table </w:t>
      </w:r>
      <w:r w:rsidRPr="000107A9">
        <w:fldChar w:fldCharType="begin"/>
      </w:r>
      <w:r w:rsidRPr="000107A9">
        <w:instrText xml:space="preserve"> SEQ Table \* ARABIC </w:instrText>
      </w:r>
      <w:r w:rsidRPr="000107A9">
        <w:fldChar w:fldCharType="separate"/>
      </w:r>
      <w:r w:rsidR="00493211">
        <w:rPr>
          <w:noProof/>
        </w:rPr>
        <w:t>31</w:t>
      </w:r>
      <w:r w:rsidRPr="000107A9">
        <w:fldChar w:fldCharType="end"/>
      </w:r>
      <w:bookmarkEnd w:id="204"/>
      <w:r w:rsidRPr="000107A9">
        <w:t xml:space="preserve"> </w:t>
      </w:r>
      <w:r w:rsidR="00AF17D0">
        <w:t>A</w:t>
      </w:r>
      <w:r w:rsidRPr="000107A9">
        <w:t>nnual review and update of policies</w:t>
      </w:r>
      <w:r w:rsidR="009F2454">
        <w:t xml:space="preserve"> and</w:t>
      </w:r>
      <w:r w:rsidRPr="000107A9">
        <w:t xml:space="preserve"> procedures</w:t>
      </w:r>
      <w:r w:rsidR="00AF17D0">
        <w:t xml:space="preserve"> – Alignment</w:t>
      </w:r>
      <w:bookmarkEnd w:id="205"/>
    </w:p>
    <w:tbl>
      <w:tblPr>
        <w:tblStyle w:val="TableGrid"/>
        <w:tblW w:w="0" w:type="auto"/>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980"/>
        <w:gridCol w:w="1559"/>
        <w:gridCol w:w="1559"/>
        <w:gridCol w:w="2055"/>
        <w:gridCol w:w="2056"/>
      </w:tblGrid>
      <w:tr w:rsidR="00C01E92" w:rsidRPr="00685BF4" w14:paraId="645DE013" w14:textId="77777777" w:rsidTr="00C76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right w:val="none" w:sz="0" w:space="0" w:color="auto"/>
            </w:tcBorders>
          </w:tcPr>
          <w:p w14:paraId="519923EF" w14:textId="77777777" w:rsidR="00C01E92" w:rsidRPr="00685BF4" w:rsidRDefault="00C01E92" w:rsidP="009B7AF9">
            <w:pPr>
              <w:pStyle w:val="EYBodytextwithparaspace"/>
              <w:autoSpaceDE/>
              <w:autoSpaceDN/>
              <w:adjustRightInd/>
              <w:spacing w:after="60"/>
              <w:rPr>
                <w:rFonts w:ascii="Arial Narrow" w:hAnsi="Arial Narrow" w:cstheme="minorHAnsi"/>
                <w:b w:val="0"/>
                <w:sz w:val="22"/>
                <w:szCs w:val="22"/>
              </w:rPr>
            </w:pPr>
          </w:p>
        </w:tc>
        <w:tc>
          <w:tcPr>
            <w:tcW w:w="1559" w:type="dxa"/>
            <w:tcBorders>
              <w:left w:val="none" w:sz="0" w:space="0" w:color="auto"/>
              <w:right w:val="none" w:sz="0" w:space="0" w:color="auto"/>
            </w:tcBorders>
          </w:tcPr>
          <w:p w14:paraId="7B047524" w14:textId="77777777" w:rsidR="00C01E92" w:rsidRPr="00685BF4" w:rsidRDefault="00C01E92" w:rsidP="009B7AF9">
            <w:pPr>
              <w:pStyle w:val="EYBodytextwithparaspace"/>
              <w:autoSpaceDE/>
              <w:autoSpaceDN/>
              <w:adjustRightInd/>
              <w:spacing w:after="60"/>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sz w:val="22"/>
                <w:szCs w:val="22"/>
              </w:rPr>
            </w:pPr>
            <w:r w:rsidRPr="00685BF4">
              <w:rPr>
                <w:rFonts w:ascii="Arial Narrow" w:hAnsi="Arial Narrow" w:cstheme="minorHAnsi"/>
                <w:sz w:val="22"/>
                <w:szCs w:val="22"/>
              </w:rPr>
              <w:t>Hours per service</w:t>
            </w:r>
          </w:p>
        </w:tc>
        <w:tc>
          <w:tcPr>
            <w:tcW w:w="1559" w:type="dxa"/>
            <w:tcBorders>
              <w:left w:val="none" w:sz="0" w:space="0" w:color="auto"/>
              <w:right w:val="none" w:sz="0" w:space="0" w:color="auto"/>
            </w:tcBorders>
          </w:tcPr>
          <w:p w14:paraId="750EE6CD" w14:textId="77777777" w:rsidR="00C01E92" w:rsidRPr="00685BF4" w:rsidRDefault="00C01E92" w:rsidP="009B7AF9">
            <w:pPr>
              <w:pStyle w:val="EYBodytextwithparaspace"/>
              <w:autoSpaceDE/>
              <w:autoSpaceDN/>
              <w:adjustRightInd/>
              <w:spacing w:after="60"/>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sz w:val="22"/>
                <w:szCs w:val="22"/>
              </w:rPr>
            </w:pPr>
            <w:r w:rsidRPr="00685BF4">
              <w:rPr>
                <w:rFonts w:ascii="Arial Narrow" w:hAnsi="Arial Narrow" w:cstheme="minorHAnsi"/>
                <w:sz w:val="22"/>
                <w:szCs w:val="22"/>
              </w:rPr>
              <w:t>Cost per service</w:t>
            </w:r>
          </w:p>
        </w:tc>
        <w:tc>
          <w:tcPr>
            <w:tcW w:w="2055" w:type="dxa"/>
            <w:tcBorders>
              <w:left w:val="none" w:sz="0" w:space="0" w:color="auto"/>
              <w:right w:val="none" w:sz="0" w:space="0" w:color="auto"/>
            </w:tcBorders>
          </w:tcPr>
          <w:p w14:paraId="57B94912" w14:textId="15A366E0" w:rsidR="00C01E92" w:rsidRPr="00685BF4" w:rsidRDefault="00C01E92" w:rsidP="009B7AF9">
            <w:pPr>
              <w:pStyle w:val="EYBodytextwithparaspace"/>
              <w:autoSpaceDE/>
              <w:autoSpaceDN/>
              <w:adjustRightInd/>
              <w:spacing w:after="60"/>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sz w:val="22"/>
                <w:szCs w:val="22"/>
              </w:rPr>
            </w:pPr>
            <w:r w:rsidRPr="00685BF4">
              <w:rPr>
                <w:rFonts w:ascii="Arial Narrow" w:hAnsi="Arial Narrow" w:cstheme="minorHAnsi"/>
                <w:sz w:val="22"/>
                <w:szCs w:val="22"/>
              </w:rPr>
              <w:t xml:space="preserve">Annual cost – </w:t>
            </w:r>
            <w:r w:rsidRPr="00685BF4">
              <w:rPr>
                <w:rFonts w:ascii="Arial Narrow" w:hAnsi="Arial Narrow" w:cstheme="minorHAnsi"/>
                <w:sz w:val="22"/>
                <w:szCs w:val="22"/>
              </w:rPr>
              <w:br/>
              <w:t xml:space="preserve">all services </w:t>
            </w:r>
            <w:r w:rsidR="00C769E7">
              <w:rPr>
                <w:rFonts w:ascii="Arial Narrow" w:hAnsi="Arial Narrow" w:cstheme="minorHAnsi"/>
                <w:sz w:val="22"/>
                <w:szCs w:val="22"/>
              </w:rPr>
              <w:br/>
            </w:r>
            <w:r w:rsidRPr="00685BF4">
              <w:rPr>
                <w:rFonts w:ascii="Arial Narrow" w:hAnsi="Arial Narrow" w:cstheme="minorHAnsi"/>
                <w:sz w:val="22"/>
                <w:szCs w:val="22"/>
              </w:rPr>
              <w:t>(new and existing)</w:t>
            </w:r>
          </w:p>
        </w:tc>
        <w:tc>
          <w:tcPr>
            <w:tcW w:w="2056" w:type="dxa"/>
            <w:tcBorders>
              <w:left w:val="none" w:sz="0" w:space="0" w:color="auto"/>
            </w:tcBorders>
          </w:tcPr>
          <w:p w14:paraId="7A352874" w14:textId="78729EA4" w:rsidR="00C01E92" w:rsidRPr="00685BF4" w:rsidRDefault="00C01E92" w:rsidP="009B7AF9">
            <w:pPr>
              <w:pStyle w:val="EYBodytextwithparaspace"/>
              <w:autoSpaceDE/>
              <w:autoSpaceDN/>
              <w:adjustRightInd/>
              <w:spacing w:after="60"/>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sz w:val="22"/>
                <w:szCs w:val="22"/>
              </w:rPr>
            </w:pPr>
            <w:r w:rsidRPr="00685BF4">
              <w:rPr>
                <w:rFonts w:ascii="Arial Narrow" w:hAnsi="Arial Narrow" w:cstheme="minorHAnsi"/>
                <w:sz w:val="22"/>
                <w:szCs w:val="22"/>
              </w:rPr>
              <w:t xml:space="preserve">Cost over 10 years – all services </w:t>
            </w:r>
            <w:r w:rsidR="00C769E7">
              <w:rPr>
                <w:rFonts w:ascii="Arial Narrow" w:hAnsi="Arial Narrow" w:cstheme="minorHAnsi"/>
                <w:sz w:val="22"/>
                <w:szCs w:val="22"/>
              </w:rPr>
              <w:br/>
            </w:r>
            <w:r w:rsidRPr="00685BF4">
              <w:rPr>
                <w:rFonts w:ascii="Arial Narrow" w:hAnsi="Arial Narrow" w:cstheme="minorHAnsi"/>
                <w:sz w:val="22"/>
                <w:szCs w:val="22"/>
              </w:rPr>
              <w:t>(new and existing)</w:t>
            </w:r>
          </w:p>
        </w:tc>
      </w:tr>
      <w:tr w:rsidR="00C01E92" w:rsidRPr="00685BF4" w14:paraId="72246114" w14:textId="77777777" w:rsidTr="00C769E7">
        <w:tc>
          <w:tcPr>
            <w:cnfStyle w:val="001000000000" w:firstRow="0" w:lastRow="0" w:firstColumn="1" w:lastColumn="0" w:oddVBand="0" w:evenVBand="0" w:oddHBand="0" w:evenHBand="0" w:firstRowFirstColumn="0" w:firstRowLastColumn="0" w:lastRowFirstColumn="0" w:lastRowLastColumn="0"/>
            <w:tcW w:w="1980" w:type="dxa"/>
          </w:tcPr>
          <w:p w14:paraId="006A3583" w14:textId="77777777" w:rsidR="00C01E92" w:rsidRPr="00685BF4" w:rsidRDefault="00C01E92" w:rsidP="009B7AF9">
            <w:pPr>
              <w:pStyle w:val="EYBodytextwithparaspace"/>
              <w:autoSpaceDE/>
              <w:autoSpaceDN/>
              <w:adjustRightInd/>
              <w:spacing w:after="60"/>
              <w:rPr>
                <w:rFonts w:ascii="Arial Narrow" w:hAnsi="Arial Narrow" w:cstheme="minorHAnsi"/>
                <w:sz w:val="22"/>
                <w:szCs w:val="22"/>
              </w:rPr>
            </w:pPr>
            <w:r w:rsidRPr="00685BF4">
              <w:rPr>
                <w:rFonts w:ascii="Arial Narrow" w:hAnsi="Arial Narrow" w:cstheme="minorHAnsi"/>
                <w:sz w:val="22"/>
                <w:szCs w:val="22"/>
              </w:rPr>
              <w:t>Small providers</w:t>
            </w:r>
          </w:p>
        </w:tc>
        <w:tc>
          <w:tcPr>
            <w:tcW w:w="1559" w:type="dxa"/>
          </w:tcPr>
          <w:p w14:paraId="059398B1"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75.9</w:t>
            </w:r>
          </w:p>
        </w:tc>
        <w:tc>
          <w:tcPr>
            <w:tcW w:w="1559" w:type="dxa"/>
          </w:tcPr>
          <w:p w14:paraId="0A557753"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$2,067.52</w:t>
            </w:r>
          </w:p>
        </w:tc>
        <w:tc>
          <w:tcPr>
            <w:tcW w:w="2055" w:type="dxa"/>
          </w:tcPr>
          <w:p w14:paraId="0BCF72E5"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$388,693.01</w:t>
            </w:r>
          </w:p>
        </w:tc>
        <w:tc>
          <w:tcPr>
            <w:tcW w:w="2056" w:type="dxa"/>
          </w:tcPr>
          <w:p w14:paraId="30777731"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$4,973,339.11</w:t>
            </w:r>
          </w:p>
        </w:tc>
      </w:tr>
      <w:tr w:rsidR="00C01E92" w:rsidRPr="00685BF4" w14:paraId="3DA0D4BC" w14:textId="77777777" w:rsidTr="00C769E7">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4EA8" w:themeColor="accent1"/>
            </w:tcBorders>
          </w:tcPr>
          <w:p w14:paraId="78AD3D37" w14:textId="77777777" w:rsidR="00C01E92" w:rsidRPr="00685BF4" w:rsidRDefault="00C01E92" w:rsidP="009B7AF9">
            <w:pPr>
              <w:pStyle w:val="EYBodytextwithparaspace"/>
              <w:autoSpaceDE/>
              <w:autoSpaceDN/>
              <w:adjustRightInd/>
              <w:spacing w:after="60"/>
              <w:rPr>
                <w:rFonts w:ascii="Arial Narrow" w:hAnsi="Arial Narrow" w:cstheme="minorHAnsi"/>
                <w:sz w:val="22"/>
                <w:szCs w:val="22"/>
              </w:rPr>
            </w:pPr>
            <w:r w:rsidRPr="00685BF4">
              <w:rPr>
                <w:rFonts w:ascii="Arial Narrow" w:hAnsi="Arial Narrow" w:cstheme="minorHAnsi"/>
                <w:sz w:val="22"/>
                <w:szCs w:val="22"/>
              </w:rPr>
              <w:t>Medium providers</w:t>
            </w:r>
          </w:p>
        </w:tc>
        <w:tc>
          <w:tcPr>
            <w:tcW w:w="1559" w:type="dxa"/>
            <w:tcBorders>
              <w:bottom w:val="single" w:sz="4" w:space="0" w:color="004EA8" w:themeColor="accent1"/>
            </w:tcBorders>
          </w:tcPr>
          <w:p w14:paraId="2912580D"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51.4</w:t>
            </w:r>
          </w:p>
        </w:tc>
        <w:tc>
          <w:tcPr>
            <w:tcW w:w="1559" w:type="dxa"/>
            <w:tcBorders>
              <w:bottom w:val="single" w:sz="4" w:space="0" w:color="004EA8" w:themeColor="accent1"/>
            </w:tcBorders>
          </w:tcPr>
          <w:p w14:paraId="3FC8A1F2"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$1,400.14</w:t>
            </w:r>
          </w:p>
        </w:tc>
        <w:tc>
          <w:tcPr>
            <w:tcW w:w="2055" w:type="dxa"/>
            <w:tcBorders>
              <w:bottom w:val="single" w:sz="4" w:space="0" w:color="004EA8" w:themeColor="accent1"/>
            </w:tcBorders>
          </w:tcPr>
          <w:p w14:paraId="0EF995BC"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$184,817.95</w:t>
            </w:r>
          </w:p>
        </w:tc>
        <w:tc>
          <w:tcPr>
            <w:tcW w:w="2056" w:type="dxa"/>
            <w:tcBorders>
              <w:bottom w:val="single" w:sz="4" w:space="0" w:color="004EA8" w:themeColor="accent1"/>
            </w:tcBorders>
          </w:tcPr>
          <w:p w14:paraId="17F21874"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$2,364,751.44</w:t>
            </w:r>
          </w:p>
        </w:tc>
      </w:tr>
      <w:tr w:rsidR="00C01E92" w:rsidRPr="00685BF4" w14:paraId="3F60CB6D" w14:textId="77777777" w:rsidTr="00C769E7">
        <w:tc>
          <w:tcPr>
            <w:cnfStyle w:val="001000000000" w:firstRow="0" w:lastRow="0" w:firstColumn="1" w:lastColumn="0" w:oddVBand="0" w:evenVBand="0" w:oddHBand="0" w:evenHBand="0" w:firstRowFirstColumn="0" w:firstRowLastColumn="0" w:lastRowFirstColumn="0" w:lastRowLastColumn="0"/>
            <w:tcW w:w="1980" w:type="dxa"/>
            <w:tcBorders>
              <w:right w:val="nil"/>
            </w:tcBorders>
          </w:tcPr>
          <w:p w14:paraId="5E0E0BC8" w14:textId="77777777" w:rsidR="00C01E92" w:rsidRPr="00685BF4" w:rsidRDefault="00C01E92" w:rsidP="009B7AF9">
            <w:pPr>
              <w:pStyle w:val="EYBodytextwithparaspace"/>
              <w:autoSpaceDE/>
              <w:autoSpaceDN/>
              <w:adjustRightInd/>
              <w:spacing w:after="60"/>
              <w:rPr>
                <w:rFonts w:ascii="Arial Narrow" w:hAnsi="Arial Narrow" w:cstheme="minorHAnsi"/>
                <w:b/>
                <w:sz w:val="22"/>
                <w:szCs w:val="22"/>
              </w:rPr>
            </w:pPr>
            <w:r w:rsidRPr="00685BF4">
              <w:rPr>
                <w:rFonts w:ascii="Arial Narrow" w:hAnsi="Arial Narrow" w:cstheme="minorHAnsi"/>
                <w:b/>
                <w:sz w:val="22"/>
                <w:szCs w:val="22"/>
              </w:rPr>
              <w:t>TOTAL</w:t>
            </w:r>
          </w:p>
        </w:tc>
        <w:tc>
          <w:tcPr>
            <w:tcW w:w="1559" w:type="dxa"/>
            <w:tcBorders>
              <w:left w:val="nil"/>
              <w:right w:val="nil"/>
            </w:tcBorders>
          </w:tcPr>
          <w:p w14:paraId="5BE6EF8A"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p>
        </w:tc>
        <w:tc>
          <w:tcPr>
            <w:tcW w:w="1559" w:type="dxa"/>
            <w:tcBorders>
              <w:left w:val="nil"/>
              <w:right w:val="nil"/>
            </w:tcBorders>
          </w:tcPr>
          <w:p w14:paraId="458072F3"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p>
        </w:tc>
        <w:tc>
          <w:tcPr>
            <w:tcW w:w="2055" w:type="dxa"/>
            <w:tcBorders>
              <w:left w:val="nil"/>
              <w:right w:val="nil"/>
            </w:tcBorders>
          </w:tcPr>
          <w:p w14:paraId="6BC6AABE"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p>
        </w:tc>
        <w:tc>
          <w:tcPr>
            <w:tcW w:w="2056" w:type="dxa"/>
            <w:tcBorders>
              <w:left w:val="nil"/>
            </w:tcBorders>
          </w:tcPr>
          <w:p w14:paraId="3F912C64"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685BF4">
              <w:rPr>
                <w:rFonts w:ascii="Arial Narrow" w:hAnsi="Arial Narrow" w:cstheme="minorHAnsi"/>
                <w:b/>
                <w:sz w:val="22"/>
                <w:szCs w:val="22"/>
              </w:rPr>
              <w:t>$7,338,090.54</w:t>
            </w:r>
          </w:p>
        </w:tc>
      </w:tr>
    </w:tbl>
    <w:p w14:paraId="7F68D8EE" w14:textId="5D37CC22"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Option G.1 Status Quo and Option G.2 Alignment also require services to </w:t>
      </w:r>
      <w:r w:rsidRPr="000107A9">
        <w:rPr>
          <w:rFonts w:asciiTheme="minorHAnsi" w:hAnsiTheme="minorHAnsi" w:cstheme="minorHAnsi"/>
          <w:b/>
          <w:sz w:val="22"/>
          <w:szCs w:val="22"/>
        </w:rPr>
        <w:t>notify</w:t>
      </w:r>
      <w:r w:rsidRPr="000107A9">
        <w:rPr>
          <w:rFonts w:asciiTheme="minorHAnsi" w:hAnsiTheme="minorHAnsi" w:cstheme="minorHAnsi"/>
          <w:sz w:val="22"/>
          <w:szCs w:val="22"/>
        </w:rPr>
        <w:t xml:space="preserve"> parents of any changes to policies. There is no available data on how frequently services alter their policies, rendering it highly difficult to quantify the associated costs in Option G.1 Status Quo. It is assumed that under the Status Quo option, services would amend their policies less frequently than once per year, meaning that Option G.2 would impose greater costs than Option G.1. </w:t>
      </w:r>
    </w:p>
    <w:p w14:paraId="74571579" w14:textId="77777777" w:rsidR="00C01E92" w:rsidRPr="000107A9" w:rsidRDefault="00C01E92" w:rsidP="00C01E92">
      <w:pPr>
        <w:pStyle w:val="EYBodytextwithparaspace"/>
        <w:spacing w:before="120" w:after="120"/>
        <w:rPr>
          <w:rFonts w:asciiTheme="minorHAnsi" w:hAnsiTheme="minorHAnsi" w:cstheme="minorHAnsi"/>
          <w:i/>
          <w:sz w:val="22"/>
          <w:szCs w:val="22"/>
        </w:rPr>
      </w:pPr>
      <w:r w:rsidRPr="000107A9">
        <w:rPr>
          <w:rFonts w:asciiTheme="minorHAnsi" w:hAnsiTheme="minorHAnsi" w:cstheme="minorHAnsi"/>
          <w:i/>
          <w:sz w:val="22"/>
          <w:szCs w:val="22"/>
        </w:rPr>
        <w:t>Records</w:t>
      </w:r>
    </w:p>
    <w:p w14:paraId="4BDFBC44" w14:textId="462740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Both options require the same records to be kept by services. Option G.2 Alignment includes more detailed requirements for the outcomes of educational programs for children than are currently stipulated in the Regulations; this could increase the costs associated with keeping educational </w:t>
      </w:r>
      <w:r w:rsidRPr="000107A9">
        <w:rPr>
          <w:rFonts w:asciiTheme="minorHAnsi" w:hAnsiTheme="minorHAnsi" w:cstheme="minorHAnsi"/>
          <w:sz w:val="22"/>
          <w:szCs w:val="22"/>
        </w:rPr>
        <w:lastRenderedPageBreak/>
        <w:t>program records very slightly, but the extent of any increase is difficult to estimate and has therefore not been costed. Similarly, Option G.2 Alignment requires a record to be kept of all educators working directly with children, but it is expected that this information would already be maintained in services’ existing staff record.</w:t>
      </w:r>
    </w:p>
    <w:p w14:paraId="6146598A" w14:textId="044D323C"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_Ref25680252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 xml:space="preserve">Table </w:t>
      </w:r>
      <w:r w:rsidR="00493211" w:rsidRPr="00493211">
        <w:rPr>
          <w:rFonts w:asciiTheme="minorHAnsi" w:hAnsiTheme="minorHAnsi" w:cstheme="minorHAnsi"/>
          <w:noProof/>
          <w:sz w:val="22"/>
          <w:szCs w:val="22"/>
        </w:rPr>
        <w:t>32</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provides the estimated costs for keeping the records required under both options, based on the assumption that a Certificate-III level employee would keep these records. The costs associated with keeping the following records have been provided on a </w:t>
      </w:r>
      <w:r w:rsidRPr="000107A9">
        <w:rPr>
          <w:rFonts w:asciiTheme="minorHAnsi" w:hAnsiTheme="minorHAnsi" w:cstheme="minorHAnsi"/>
          <w:b/>
          <w:sz w:val="22"/>
          <w:szCs w:val="22"/>
        </w:rPr>
        <w:t>per-event</w:t>
      </w:r>
      <w:r w:rsidRPr="000107A9">
        <w:rPr>
          <w:rFonts w:asciiTheme="minorHAnsi" w:hAnsiTheme="minorHAnsi" w:cstheme="minorHAnsi"/>
          <w:sz w:val="22"/>
          <w:szCs w:val="22"/>
        </w:rPr>
        <w:t xml:space="preserve"> basis as there is no data available regarding how frequently services need to complete each type of record, either annually or from year to year.</w:t>
      </w:r>
    </w:p>
    <w:p w14:paraId="62E5DEFE" w14:textId="6E5ACC7E" w:rsidR="00C01E92"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time taken to complete each record is drawn from the 2013 NQF Regulatory Burden Report. </w:t>
      </w:r>
      <w:r w:rsidRPr="00FB1FAE">
        <w:rPr>
          <w:rFonts w:asciiTheme="minorHAnsi" w:hAnsiTheme="minorHAnsi" w:cstheme="minorHAnsi"/>
          <w:sz w:val="22"/>
          <w:szCs w:val="22"/>
        </w:rPr>
        <w:t xml:space="preserve">Readers are invited to comment on whether these time assumptions seem reasonable: please refer to the questions for consultation in Appendix </w:t>
      </w:r>
      <w:r w:rsidR="00FB1FAE" w:rsidRPr="00FB1FAE">
        <w:rPr>
          <w:rFonts w:asciiTheme="minorHAnsi" w:hAnsiTheme="minorHAnsi" w:cstheme="minorHAnsi"/>
          <w:sz w:val="22"/>
          <w:szCs w:val="22"/>
        </w:rPr>
        <w:t>10.2</w:t>
      </w:r>
      <w:r w:rsidRPr="00FB1FAE">
        <w:rPr>
          <w:rFonts w:asciiTheme="minorHAnsi" w:hAnsiTheme="minorHAnsi" w:cstheme="minorHAnsi"/>
          <w:sz w:val="22"/>
          <w:szCs w:val="22"/>
        </w:rPr>
        <w:t>.</w:t>
      </w:r>
    </w:p>
    <w:p w14:paraId="27A8AAA4" w14:textId="7627C746" w:rsidR="00C01E92" w:rsidRPr="000107A9" w:rsidRDefault="00C01E92" w:rsidP="00F7569F">
      <w:pPr>
        <w:pStyle w:val="Caption"/>
      </w:pPr>
      <w:bookmarkStart w:id="206" w:name="_Ref25680252"/>
      <w:bookmarkStart w:id="207" w:name="_Toc32592815"/>
      <w:r w:rsidRPr="000107A9">
        <w:t xml:space="preserve">Table </w:t>
      </w:r>
      <w:r w:rsidRPr="000107A9">
        <w:fldChar w:fldCharType="begin"/>
      </w:r>
      <w:r w:rsidRPr="000107A9">
        <w:instrText xml:space="preserve"> SEQ Table \* ARABIC </w:instrText>
      </w:r>
      <w:r w:rsidRPr="000107A9">
        <w:fldChar w:fldCharType="separate"/>
      </w:r>
      <w:r w:rsidR="00493211">
        <w:rPr>
          <w:noProof/>
        </w:rPr>
        <w:t>32</w:t>
      </w:r>
      <w:r w:rsidRPr="000107A9">
        <w:fldChar w:fldCharType="end"/>
      </w:r>
      <w:bookmarkEnd w:id="206"/>
      <w:r w:rsidRPr="000107A9">
        <w:t xml:space="preserve"> Record-keeping costs</w:t>
      </w:r>
      <w:bookmarkEnd w:id="207"/>
    </w:p>
    <w:tbl>
      <w:tblPr>
        <w:tblStyle w:val="TableGrid"/>
        <w:tblW w:w="9067" w:type="dxa"/>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3397"/>
        <w:gridCol w:w="1134"/>
        <w:gridCol w:w="1701"/>
        <w:gridCol w:w="1134"/>
        <w:gridCol w:w="1701"/>
      </w:tblGrid>
      <w:tr w:rsidR="00C01E92" w:rsidRPr="00685BF4" w14:paraId="47777226" w14:textId="77777777" w:rsidTr="009B7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Merge w:val="restart"/>
            <w:tcBorders>
              <w:right w:val="none" w:sz="0" w:space="0" w:color="auto"/>
            </w:tcBorders>
          </w:tcPr>
          <w:p w14:paraId="0CA70C6E" w14:textId="5312BA7D" w:rsidR="00C01E92" w:rsidRPr="00685BF4" w:rsidRDefault="009B7AF9" w:rsidP="009B7AF9">
            <w:pPr>
              <w:pStyle w:val="EYBodytextwithparaspace"/>
              <w:autoSpaceDE/>
              <w:autoSpaceDN/>
              <w:adjustRightInd/>
              <w:spacing w:after="60"/>
              <w:rPr>
                <w:rFonts w:ascii="Arial Narrow" w:hAnsi="Arial Narrow" w:cstheme="minorHAnsi"/>
                <w:sz w:val="22"/>
                <w:szCs w:val="22"/>
              </w:rPr>
            </w:pPr>
            <w:r>
              <w:rPr>
                <w:rFonts w:ascii="Arial Narrow" w:hAnsi="Arial Narrow" w:cstheme="minorHAnsi"/>
                <w:sz w:val="22"/>
                <w:szCs w:val="22"/>
              </w:rPr>
              <w:t>Record keeping</w:t>
            </w:r>
          </w:p>
        </w:tc>
        <w:tc>
          <w:tcPr>
            <w:tcW w:w="2835" w:type="dxa"/>
            <w:gridSpan w:val="2"/>
            <w:tcBorders>
              <w:left w:val="none" w:sz="0" w:space="0" w:color="auto"/>
              <w:right w:val="none" w:sz="0" w:space="0" w:color="auto"/>
            </w:tcBorders>
          </w:tcPr>
          <w:p w14:paraId="7F9489EF" w14:textId="77777777" w:rsidR="00C01E92" w:rsidRPr="00685BF4" w:rsidRDefault="00C01E92" w:rsidP="009B7AF9">
            <w:pPr>
              <w:pStyle w:val="EYBodytextwithparaspace"/>
              <w:autoSpaceDE/>
              <w:autoSpaceDN/>
              <w:adjustRightInd/>
              <w:spacing w:after="60"/>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sz w:val="22"/>
                <w:szCs w:val="22"/>
              </w:rPr>
            </w:pPr>
            <w:r w:rsidRPr="00685BF4">
              <w:rPr>
                <w:rFonts w:ascii="Arial Narrow" w:hAnsi="Arial Narrow" w:cstheme="minorHAnsi"/>
                <w:sz w:val="22"/>
                <w:szCs w:val="22"/>
              </w:rPr>
              <w:t>Small services</w:t>
            </w:r>
          </w:p>
        </w:tc>
        <w:tc>
          <w:tcPr>
            <w:tcW w:w="2835" w:type="dxa"/>
            <w:gridSpan w:val="2"/>
            <w:tcBorders>
              <w:left w:val="none" w:sz="0" w:space="0" w:color="auto"/>
            </w:tcBorders>
          </w:tcPr>
          <w:p w14:paraId="007C9BF3" w14:textId="77777777" w:rsidR="00C01E92" w:rsidRPr="00685BF4" w:rsidRDefault="00C01E92" w:rsidP="009B7AF9">
            <w:pPr>
              <w:pStyle w:val="EYBodytextwithparaspace"/>
              <w:autoSpaceDE/>
              <w:autoSpaceDN/>
              <w:adjustRightInd/>
              <w:spacing w:after="60"/>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sz w:val="22"/>
                <w:szCs w:val="22"/>
              </w:rPr>
            </w:pPr>
            <w:r w:rsidRPr="00685BF4">
              <w:rPr>
                <w:rFonts w:ascii="Arial Narrow" w:hAnsi="Arial Narrow" w:cstheme="minorHAnsi"/>
                <w:sz w:val="22"/>
                <w:szCs w:val="22"/>
              </w:rPr>
              <w:t>Medium services</w:t>
            </w:r>
          </w:p>
        </w:tc>
      </w:tr>
      <w:tr w:rsidR="00C01E92" w:rsidRPr="00685BF4" w14:paraId="0F1539AC" w14:textId="77777777" w:rsidTr="009B7AF9">
        <w:tc>
          <w:tcPr>
            <w:cnfStyle w:val="001000000000" w:firstRow="0" w:lastRow="0" w:firstColumn="1" w:lastColumn="0" w:oddVBand="0" w:evenVBand="0" w:oddHBand="0" w:evenHBand="0" w:firstRowFirstColumn="0" w:firstRowLastColumn="0" w:lastRowFirstColumn="0" w:lastRowLastColumn="0"/>
            <w:tcW w:w="3397" w:type="dxa"/>
            <w:vMerge/>
          </w:tcPr>
          <w:p w14:paraId="4C62F079" w14:textId="77777777" w:rsidR="00C01E92" w:rsidRPr="00685BF4" w:rsidRDefault="00C01E92" w:rsidP="009B7AF9">
            <w:pPr>
              <w:pStyle w:val="EYBodytextwithparaspace"/>
              <w:autoSpaceDE/>
              <w:autoSpaceDN/>
              <w:adjustRightInd/>
              <w:spacing w:after="60"/>
              <w:rPr>
                <w:rFonts w:ascii="Arial Narrow" w:hAnsi="Arial Narrow" w:cstheme="minorHAnsi"/>
                <w:sz w:val="22"/>
                <w:szCs w:val="22"/>
              </w:rPr>
            </w:pPr>
          </w:p>
        </w:tc>
        <w:tc>
          <w:tcPr>
            <w:tcW w:w="1134" w:type="dxa"/>
          </w:tcPr>
          <w:p w14:paraId="0AB04101" w14:textId="77777777" w:rsidR="00C01E92" w:rsidRPr="00685BF4" w:rsidRDefault="00C01E92" w:rsidP="009B7AF9">
            <w:pPr>
              <w:pStyle w:val="EYBodytextwith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685BF4">
              <w:rPr>
                <w:rFonts w:ascii="Arial Narrow" w:hAnsi="Arial Narrow" w:cstheme="minorHAnsi"/>
                <w:b/>
                <w:sz w:val="22"/>
                <w:szCs w:val="22"/>
              </w:rPr>
              <w:t>Hours</w:t>
            </w:r>
          </w:p>
        </w:tc>
        <w:tc>
          <w:tcPr>
            <w:tcW w:w="1701" w:type="dxa"/>
          </w:tcPr>
          <w:p w14:paraId="26BA7E2F" w14:textId="77777777" w:rsidR="00C01E92" w:rsidRPr="00685BF4" w:rsidRDefault="00C01E92" w:rsidP="009B7AF9">
            <w:pPr>
              <w:pStyle w:val="EYBodytextwith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685BF4">
              <w:rPr>
                <w:rFonts w:ascii="Arial Narrow" w:hAnsi="Arial Narrow" w:cstheme="minorHAnsi"/>
                <w:b/>
                <w:sz w:val="22"/>
                <w:szCs w:val="22"/>
              </w:rPr>
              <w:t>Cost per event</w:t>
            </w:r>
          </w:p>
        </w:tc>
        <w:tc>
          <w:tcPr>
            <w:tcW w:w="1134" w:type="dxa"/>
          </w:tcPr>
          <w:p w14:paraId="5B879B1A" w14:textId="77777777" w:rsidR="00C01E92" w:rsidRPr="00685BF4" w:rsidRDefault="00C01E92" w:rsidP="009B7AF9">
            <w:pPr>
              <w:pStyle w:val="EYBodytextwith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685BF4">
              <w:rPr>
                <w:rFonts w:ascii="Arial Narrow" w:hAnsi="Arial Narrow" w:cstheme="minorHAnsi"/>
                <w:b/>
                <w:sz w:val="22"/>
                <w:szCs w:val="22"/>
              </w:rPr>
              <w:t>Hours</w:t>
            </w:r>
          </w:p>
        </w:tc>
        <w:tc>
          <w:tcPr>
            <w:tcW w:w="1701" w:type="dxa"/>
          </w:tcPr>
          <w:p w14:paraId="7C561FF7" w14:textId="77777777" w:rsidR="00C01E92" w:rsidRPr="00685BF4" w:rsidRDefault="00C01E92" w:rsidP="009B7AF9">
            <w:pPr>
              <w:pStyle w:val="EYBodytextwith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685BF4">
              <w:rPr>
                <w:rFonts w:ascii="Arial Narrow" w:hAnsi="Arial Narrow" w:cstheme="minorHAnsi"/>
                <w:b/>
                <w:sz w:val="22"/>
                <w:szCs w:val="22"/>
              </w:rPr>
              <w:t>Cost per event</w:t>
            </w:r>
          </w:p>
        </w:tc>
      </w:tr>
      <w:tr w:rsidR="00C01E92" w:rsidRPr="00685BF4" w14:paraId="3427DB90" w14:textId="77777777" w:rsidTr="009B7AF9">
        <w:tc>
          <w:tcPr>
            <w:cnfStyle w:val="001000000000" w:firstRow="0" w:lastRow="0" w:firstColumn="1" w:lastColumn="0" w:oddVBand="0" w:evenVBand="0" w:oddHBand="0" w:evenHBand="0" w:firstRowFirstColumn="0" w:firstRowLastColumn="0" w:lastRowFirstColumn="0" w:lastRowLastColumn="0"/>
            <w:tcW w:w="3397" w:type="dxa"/>
          </w:tcPr>
          <w:p w14:paraId="3C52478A" w14:textId="77777777" w:rsidR="00C01E92" w:rsidRPr="00685BF4" w:rsidRDefault="00C01E92" w:rsidP="009B7AF9">
            <w:pPr>
              <w:pStyle w:val="EYBodytextwithparaspace"/>
              <w:autoSpaceDE/>
              <w:autoSpaceDN/>
              <w:adjustRightInd/>
              <w:spacing w:after="60"/>
              <w:rPr>
                <w:rFonts w:ascii="Arial Narrow" w:hAnsi="Arial Narrow" w:cstheme="minorHAnsi"/>
                <w:sz w:val="22"/>
                <w:szCs w:val="22"/>
              </w:rPr>
            </w:pPr>
            <w:r w:rsidRPr="00685BF4">
              <w:rPr>
                <w:rFonts w:ascii="Arial Narrow" w:hAnsi="Arial Narrow" w:cstheme="minorHAnsi"/>
                <w:sz w:val="22"/>
                <w:szCs w:val="22"/>
              </w:rPr>
              <w:t>Child enrolment record</w:t>
            </w:r>
          </w:p>
        </w:tc>
        <w:tc>
          <w:tcPr>
            <w:tcW w:w="1134" w:type="dxa"/>
          </w:tcPr>
          <w:p w14:paraId="3B8F3A9F"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0.7</w:t>
            </w:r>
          </w:p>
        </w:tc>
        <w:tc>
          <w:tcPr>
            <w:tcW w:w="1701" w:type="dxa"/>
          </w:tcPr>
          <w:p w14:paraId="00C8B62A"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$19.07</w:t>
            </w:r>
          </w:p>
        </w:tc>
        <w:tc>
          <w:tcPr>
            <w:tcW w:w="1134" w:type="dxa"/>
          </w:tcPr>
          <w:p w14:paraId="2F0118EA"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0.7</w:t>
            </w:r>
          </w:p>
        </w:tc>
        <w:tc>
          <w:tcPr>
            <w:tcW w:w="1701" w:type="dxa"/>
          </w:tcPr>
          <w:p w14:paraId="58259090"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$19.07</w:t>
            </w:r>
          </w:p>
        </w:tc>
      </w:tr>
      <w:tr w:rsidR="00C01E92" w:rsidRPr="00685BF4" w14:paraId="00E1156F" w14:textId="77777777" w:rsidTr="009B7AF9">
        <w:tc>
          <w:tcPr>
            <w:cnfStyle w:val="001000000000" w:firstRow="0" w:lastRow="0" w:firstColumn="1" w:lastColumn="0" w:oddVBand="0" w:evenVBand="0" w:oddHBand="0" w:evenHBand="0" w:firstRowFirstColumn="0" w:firstRowLastColumn="0" w:lastRowFirstColumn="0" w:lastRowLastColumn="0"/>
            <w:tcW w:w="3397" w:type="dxa"/>
          </w:tcPr>
          <w:p w14:paraId="781EED0A" w14:textId="77777777" w:rsidR="00C01E92" w:rsidRPr="00685BF4" w:rsidRDefault="00C01E92" w:rsidP="009B7AF9">
            <w:pPr>
              <w:pStyle w:val="EYBodytextwithparaspace"/>
              <w:autoSpaceDE/>
              <w:autoSpaceDN/>
              <w:adjustRightInd/>
              <w:spacing w:after="60"/>
              <w:rPr>
                <w:rFonts w:ascii="Arial Narrow" w:hAnsi="Arial Narrow" w:cstheme="minorHAnsi"/>
                <w:sz w:val="22"/>
                <w:szCs w:val="22"/>
              </w:rPr>
            </w:pPr>
            <w:r w:rsidRPr="00685BF4">
              <w:rPr>
                <w:rFonts w:ascii="Arial Narrow" w:hAnsi="Arial Narrow" w:cstheme="minorHAnsi"/>
                <w:sz w:val="22"/>
                <w:szCs w:val="22"/>
              </w:rPr>
              <w:t>Medication record</w:t>
            </w:r>
          </w:p>
        </w:tc>
        <w:tc>
          <w:tcPr>
            <w:tcW w:w="1134" w:type="dxa"/>
          </w:tcPr>
          <w:p w14:paraId="55788EA5"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0.1</w:t>
            </w:r>
          </w:p>
        </w:tc>
        <w:tc>
          <w:tcPr>
            <w:tcW w:w="1701" w:type="dxa"/>
          </w:tcPr>
          <w:p w14:paraId="0D052D15"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$2.73</w:t>
            </w:r>
          </w:p>
        </w:tc>
        <w:tc>
          <w:tcPr>
            <w:tcW w:w="1134" w:type="dxa"/>
          </w:tcPr>
          <w:p w14:paraId="1A9F29A4"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3</w:t>
            </w:r>
          </w:p>
        </w:tc>
        <w:tc>
          <w:tcPr>
            <w:tcW w:w="1701" w:type="dxa"/>
          </w:tcPr>
          <w:p w14:paraId="670D3618"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$81.71</w:t>
            </w:r>
          </w:p>
        </w:tc>
      </w:tr>
      <w:tr w:rsidR="00C01E92" w:rsidRPr="00685BF4" w14:paraId="666D8F45" w14:textId="77777777" w:rsidTr="009B7AF9">
        <w:tc>
          <w:tcPr>
            <w:cnfStyle w:val="001000000000" w:firstRow="0" w:lastRow="0" w:firstColumn="1" w:lastColumn="0" w:oddVBand="0" w:evenVBand="0" w:oddHBand="0" w:evenHBand="0" w:firstRowFirstColumn="0" w:firstRowLastColumn="0" w:lastRowFirstColumn="0" w:lastRowLastColumn="0"/>
            <w:tcW w:w="3397" w:type="dxa"/>
          </w:tcPr>
          <w:p w14:paraId="55FFE737" w14:textId="77777777" w:rsidR="00C01E92" w:rsidRPr="00685BF4" w:rsidRDefault="00C01E92" w:rsidP="009B7AF9">
            <w:pPr>
              <w:pStyle w:val="EYBodytextwithparaspace"/>
              <w:autoSpaceDE/>
              <w:autoSpaceDN/>
              <w:adjustRightInd/>
              <w:spacing w:after="60"/>
              <w:rPr>
                <w:rFonts w:ascii="Arial Narrow" w:hAnsi="Arial Narrow" w:cstheme="minorHAnsi"/>
                <w:sz w:val="22"/>
                <w:szCs w:val="22"/>
              </w:rPr>
            </w:pPr>
            <w:r w:rsidRPr="00685BF4">
              <w:rPr>
                <w:rFonts w:ascii="Arial Narrow" w:hAnsi="Arial Narrow" w:cstheme="minorHAnsi"/>
                <w:sz w:val="22"/>
                <w:szCs w:val="22"/>
              </w:rPr>
              <w:t>Incident record – general</w:t>
            </w:r>
          </w:p>
        </w:tc>
        <w:tc>
          <w:tcPr>
            <w:tcW w:w="1134" w:type="dxa"/>
          </w:tcPr>
          <w:p w14:paraId="5556030B"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0.2</w:t>
            </w:r>
          </w:p>
        </w:tc>
        <w:tc>
          <w:tcPr>
            <w:tcW w:w="1701" w:type="dxa"/>
          </w:tcPr>
          <w:p w14:paraId="5FBFAF09"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$5.45</w:t>
            </w:r>
          </w:p>
        </w:tc>
        <w:tc>
          <w:tcPr>
            <w:tcW w:w="1134" w:type="dxa"/>
          </w:tcPr>
          <w:p w14:paraId="57AAD7A4"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0.2</w:t>
            </w:r>
          </w:p>
        </w:tc>
        <w:tc>
          <w:tcPr>
            <w:tcW w:w="1701" w:type="dxa"/>
          </w:tcPr>
          <w:p w14:paraId="501F9395"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$5.45</w:t>
            </w:r>
          </w:p>
        </w:tc>
      </w:tr>
      <w:tr w:rsidR="00C01E92" w:rsidRPr="00685BF4" w14:paraId="303F08BA" w14:textId="77777777" w:rsidTr="009B7AF9">
        <w:tc>
          <w:tcPr>
            <w:cnfStyle w:val="001000000000" w:firstRow="0" w:lastRow="0" w:firstColumn="1" w:lastColumn="0" w:oddVBand="0" w:evenVBand="0" w:oddHBand="0" w:evenHBand="0" w:firstRowFirstColumn="0" w:firstRowLastColumn="0" w:lastRowFirstColumn="0" w:lastRowLastColumn="0"/>
            <w:tcW w:w="3397" w:type="dxa"/>
          </w:tcPr>
          <w:p w14:paraId="141E4999" w14:textId="77777777" w:rsidR="00C01E92" w:rsidRPr="00685BF4" w:rsidRDefault="00C01E92" w:rsidP="009B7AF9">
            <w:pPr>
              <w:pStyle w:val="EYBodytextwithparaspace"/>
              <w:autoSpaceDE/>
              <w:autoSpaceDN/>
              <w:adjustRightInd/>
              <w:spacing w:after="60"/>
              <w:rPr>
                <w:rFonts w:ascii="Arial Narrow" w:hAnsi="Arial Narrow" w:cstheme="minorHAnsi"/>
                <w:sz w:val="22"/>
                <w:szCs w:val="22"/>
              </w:rPr>
            </w:pPr>
            <w:r w:rsidRPr="00685BF4">
              <w:rPr>
                <w:rFonts w:ascii="Arial Narrow" w:hAnsi="Arial Narrow" w:cstheme="minorHAnsi"/>
                <w:sz w:val="22"/>
                <w:szCs w:val="22"/>
              </w:rPr>
              <w:t>Incident record – serious</w:t>
            </w:r>
          </w:p>
        </w:tc>
        <w:tc>
          <w:tcPr>
            <w:tcW w:w="1134" w:type="dxa"/>
          </w:tcPr>
          <w:p w14:paraId="68FA2BE6"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3</w:t>
            </w:r>
          </w:p>
        </w:tc>
        <w:tc>
          <w:tcPr>
            <w:tcW w:w="1701" w:type="dxa"/>
          </w:tcPr>
          <w:p w14:paraId="60731508"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$81.72</w:t>
            </w:r>
          </w:p>
        </w:tc>
        <w:tc>
          <w:tcPr>
            <w:tcW w:w="1134" w:type="dxa"/>
          </w:tcPr>
          <w:p w14:paraId="39FAC520"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1.2</w:t>
            </w:r>
          </w:p>
        </w:tc>
        <w:tc>
          <w:tcPr>
            <w:tcW w:w="1701" w:type="dxa"/>
          </w:tcPr>
          <w:p w14:paraId="646921B5"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$32.69</w:t>
            </w:r>
          </w:p>
        </w:tc>
      </w:tr>
      <w:tr w:rsidR="00C01E92" w:rsidRPr="00685BF4" w14:paraId="243C527D" w14:textId="77777777" w:rsidTr="009B7AF9">
        <w:tc>
          <w:tcPr>
            <w:cnfStyle w:val="001000000000" w:firstRow="0" w:lastRow="0" w:firstColumn="1" w:lastColumn="0" w:oddVBand="0" w:evenVBand="0" w:oddHBand="0" w:evenHBand="0" w:firstRowFirstColumn="0" w:firstRowLastColumn="0" w:lastRowFirstColumn="0" w:lastRowLastColumn="0"/>
            <w:tcW w:w="3397" w:type="dxa"/>
          </w:tcPr>
          <w:p w14:paraId="7D3E9797" w14:textId="77777777" w:rsidR="00C01E92" w:rsidRPr="00685BF4" w:rsidRDefault="00C01E92" w:rsidP="009B7AF9">
            <w:pPr>
              <w:pStyle w:val="EYBodytextwithparaspace"/>
              <w:autoSpaceDE/>
              <w:autoSpaceDN/>
              <w:adjustRightInd/>
              <w:spacing w:after="60"/>
              <w:rPr>
                <w:rFonts w:ascii="Arial Narrow" w:hAnsi="Arial Narrow" w:cstheme="minorHAnsi"/>
                <w:sz w:val="22"/>
                <w:szCs w:val="22"/>
              </w:rPr>
            </w:pPr>
            <w:r w:rsidRPr="00685BF4">
              <w:rPr>
                <w:rFonts w:ascii="Arial Narrow" w:hAnsi="Arial Narrow" w:cstheme="minorHAnsi"/>
                <w:sz w:val="22"/>
                <w:szCs w:val="22"/>
              </w:rPr>
              <w:t>Staff record (initial documentation) per staff member</w:t>
            </w:r>
          </w:p>
        </w:tc>
        <w:tc>
          <w:tcPr>
            <w:tcW w:w="1134" w:type="dxa"/>
          </w:tcPr>
          <w:p w14:paraId="654A7BC2"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1.4</w:t>
            </w:r>
          </w:p>
        </w:tc>
        <w:tc>
          <w:tcPr>
            <w:tcW w:w="1701" w:type="dxa"/>
          </w:tcPr>
          <w:p w14:paraId="757A9DB6"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$38.14</w:t>
            </w:r>
          </w:p>
        </w:tc>
        <w:tc>
          <w:tcPr>
            <w:tcW w:w="1134" w:type="dxa"/>
          </w:tcPr>
          <w:p w14:paraId="7C013FF5"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1.2</w:t>
            </w:r>
          </w:p>
        </w:tc>
        <w:tc>
          <w:tcPr>
            <w:tcW w:w="1701" w:type="dxa"/>
          </w:tcPr>
          <w:p w14:paraId="56FF891F"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$32.69</w:t>
            </w:r>
          </w:p>
        </w:tc>
      </w:tr>
      <w:tr w:rsidR="00C01E92" w:rsidRPr="00685BF4" w14:paraId="161FCC64" w14:textId="77777777" w:rsidTr="009B7AF9">
        <w:tc>
          <w:tcPr>
            <w:cnfStyle w:val="001000000000" w:firstRow="0" w:lastRow="0" w:firstColumn="1" w:lastColumn="0" w:oddVBand="0" w:evenVBand="0" w:oddHBand="0" w:evenHBand="0" w:firstRowFirstColumn="0" w:firstRowLastColumn="0" w:lastRowFirstColumn="0" w:lastRowLastColumn="0"/>
            <w:tcW w:w="3397" w:type="dxa"/>
          </w:tcPr>
          <w:p w14:paraId="3935524A" w14:textId="77777777" w:rsidR="00C01E92" w:rsidRPr="00685BF4" w:rsidRDefault="00C01E92" w:rsidP="009B7AF9">
            <w:pPr>
              <w:pStyle w:val="EYBodytextwithparaspace"/>
              <w:autoSpaceDE/>
              <w:autoSpaceDN/>
              <w:adjustRightInd/>
              <w:spacing w:after="60"/>
              <w:rPr>
                <w:rFonts w:ascii="Arial Narrow" w:hAnsi="Arial Narrow" w:cstheme="minorHAnsi"/>
                <w:sz w:val="22"/>
                <w:szCs w:val="22"/>
              </w:rPr>
            </w:pPr>
            <w:r w:rsidRPr="00685BF4">
              <w:rPr>
                <w:rFonts w:ascii="Arial Narrow" w:hAnsi="Arial Narrow" w:cstheme="minorHAnsi"/>
                <w:sz w:val="22"/>
                <w:szCs w:val="22"/>
                <w:lang w:val="en-US"/>
              </w:rPr>
              <w:t>Educational program records</w:t>
            </w:r>
          </w:p>
        </w:tc>
        <w:tc>
          <w:tcPr>
            <w:tcW w:w="1134" w:type="dxa"/>
          </w:tcPr>
          <w:p w14:paraId="4DA2A24B"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0.5</w:t>
            </w:r>
          </w:p>
        </w:tc>
        <w:tc>
          <w:tcPr>
            <w:tcW w:w="1701" w:type="dxa"/>
          </w:tcPr>
          <w:p w14:paraId="73390709"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$13.62</w:t>
            </w:r>
          </w:p>
        </w:tc>
        <w:tc>
          <w:tcPr>
            <w:tcW w:w="1134" w:type="dxa"/>
          </w:tcPr>
          <w:p w14:paraId="6DCFE4C5"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0.5</w:t>
            </w:r>
          </w:p>
        </w:tc>
        <w:tc>
          <w:tcPr>
            <w:tcW w:w="1701" w:type="dxa"/>
          </w:tcPr>
          <w:p w14:paraId="5B88472F" w14:textId="77777777" w:rsidR="00C01E92" w:rsidRPr="00685BF4" w:rsidRDefault="00C01E92" w:rsidP="009B7AF9">
            <w:pPr>
              <w:pStyle w:val="EYBodytextwithoutparaspace"/>
              <w:autoSpaceDE/>
              <w:autoSpaceDN/>
              <w:adjustRightInd/>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685BF4">
              <w:rPr>
                <w:rFonts w:ascii="Arial Narrow" w:hAnsi="Arial Narrow" w:cstheme="minorHAnsi"/>
                <w:sz w:val="22"/>
                <w:szCs w:val="22"/>
              </w:rPr>
              <w:t>$13.62</w:t>
            </w:r>
          </w:p>
        </w:tc>
      </w:tr>
    </w:tbl>
    <w:p w14:paraId="5CF0C489" w14:textId="411BD8E1"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Both Option G.1 Status Quo and G.2 Alignment require services to keep an attendance record. In practice, this is usually a hardcopy notebook or online system completed by parents or guardians when they drop off or collect children. According to information collected by the Department, this requirement is considered to impose only negligible costs on providers and it has therefore not been costed. </w:t>
      </w:r>
    </w:p>
    <w:p w14:paraId="1BB09C0E" w14:textId="0A1000CF"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_Ref24123262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 xml:space="preserve">Table </w:t>
      </w:r>
      <w:r w:rsidR="00493211" w:rsidRPr="00493211">
        <w:rPr>
          <w:rFonts w:asciiTheme="minorHAnsi" w:hAnsiTheme="minorHAnsi" w:cstheme="minorHAnsi"/>
          <w:noProof/>
          <w:sz w:val="22"/>
          <w:szCs w:val="22"/>
        </w:rPr>
        <w:t>33</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provides the score given to Option G.1 Status Quo and Option G.2 Alignment against the costs to industry criterion. </w:t>
      </w:r>
    </w:p>
    <w:p w14:paraId="615F8838" w14:textId="1FE50D1D" w:rsidR="00C01E92" w:rsidRPr="00D55F3A" w:rsidRDefault="00C01E92" w:rsidP="00D55F3A">
      <w:pPr>
        <w:pStyle w:val="Caption"/>
      </w:pPr>
      <w:bookmarkStart w:id="208" w:name="_Ref24123262"/>
      <w:bookmarkStart w:id="209" w:name="_Toc32592816"/>
      <w:r w:rsidRPr="00D55F3A">
        <w:t xml:space="preserve">Table </w:t>
      </w:r>
      <w:r w:rsidRPr="00D55F3A">
        <w:fldChar w:fldCharType="begin"/>
      </w:r>
      <w:r w:rsidRPr="00D55F3A">
        <w:instrText xml:space="preserve"> SEQ Table \* ARABIC </w:instrText>
      </w:r>
      <w:r w:rsidRPr="00D55F3A">
        <w:fldChar w:fldCharType="separate"/>
      </w:r>
      <w:r w:rsidR="00493211">
        <w:rPr>
          <w:noProof/>
        </w:rPr>
        <w:t>33</w:t>
      </w:r>
      <w:r w:rsidRPr="00D55F3A">
        <w:fldChar w:fldCharType="end"/>
      </w:r>
      <w:bookmarkEnd w:id="208"/>
      <w:r w:rsidRPr="00D55F3A">
        <w:t xml:space="preserve"> Registers and record-keeping - costs to industry</w:t>
      </w:r>
      <w:bookmarkEnd w:id="209"/>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694"/>
        <w:gridCol w:w="3545"/>
        <w:gridCol w:w="1461"/>
        <w:gridCol w:w="1461"/>
        <w:gridCol w:w="1461"/>
      </w:tblGrid>
      <w:tr w:rsidR="00C01E92" w:rsidRPr="00BA5E0C" w14:paraId="1EDBAE98" w14:textId="77777777" w:rsidTr="008B3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Borders>
              <w:right w:val="none" w:sz="0" w:space="0" w:color="auto"/>
            </w:tcBorders>
          </w:tcPr>
          <w:p w14:paraId="28F9C2F5" w14:textId="77777777" w:rsidR="00C01E92" w:rsidRPr="00BA5E0C" w:rsidRDefault="00C01E92" w:rsidP="009B7AF9">
            <w:pPr>
              <w:spacing w:after="60"/>
              <w:rPr>
                <w:rStyle w:val="Strong"/>
                <w:rFonts w:cstheme="minorHAnsi"/>
                <w:b/>
                <w:bCs w:val="0"/>
                <w:szCs w:val="22"/>
              </w:rPr>
            </w:pPr>
            <w:r w:rsidRPr="00BA5E0C">
              <w:rPr>
                <w:rStyle w:val="Strong"/>
                <w:rFonts w:cstheme="minorHAnsi"/>
                <w:b/>
                <w:szCs w:val="22"/>
              </w:rPr>
              <w:t>Criterion</w:t>
            </w:r>
          </w:p>
        </w:tc>
        <w:tc>
          <w:tcPr>
            <w:tcW w:w="1842" w:type="pct"/>
            <w:tcBorders>
              <w:left w:val="none" w:sz="0" w:space="0" w:color="auto"/>
              <w:right w:val="none" w:sz="0" w:space="0" w:color="auto"/>
            </w:tcBorders>
          </w:tcPr>
          <w:p w14:paraId="10B8F917" w14:textId="77777777" w:rsidR="00C01E92" w:rsidRPr="00BA5E0C" w:rsidRDefault="00C01E92" w:rsidP="009B7AF9">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bCs w:val="0"/>
                <w:szCs w:val="22"/>
              </w:rPr>
            </w:pPr>
            <w:r w:rsidRPr="00BA5E0C">
              <w:rPr>
                <w:rStyle w:val="Strong"/>
                <w:rFonts w:cstheme="minorHAnsi"/>
                <w:b/>
                <w:szCs w:val="22"/>
              </w:rPr>
              <w:t>Description</w:t>
            </w:r>
          </w:p>
        </w:tc>
        <w:tc>
          <w:tcPr>
            <w:tcW w:w="759" w:type="pct"/>
            <w:tcBorders>
              <w:left w:val="none" w:sz="0" w:space="0" w:color="auto"/>
              <w:right w:val="none" w:sz="0" w:space="0" w:color="auto"/>
            </w:tcBorders>
          </w:tcPr>
          <w:p w14:paraId="233890CB" w14:textId="77777777" w:rsidR="00C01E92" w:rsidRPr="00BA5E0C" w:rsidRDefault="00C01E92" w:rsidP="00BA5E0C">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bCs w:val="0"/>
                <w:szCs w:val="22"/>
              </w:rPr>
            </w:pPr>
            <w:r w:rsidRPr="00BA5E0C">
              <w:rPr>
                <w:rStyle w:val="Strong"/>
                <w:rFonts w:cstheme="minorHAnsi"/>
                <w:b/>
                <w:szCs w:val="22"/>
              </w:rPr>
              <w:t>Weighting</w:t>
            </w:r>
          </w:p>
        </w:tc>
        <w:tc>
          <w:tcPr>
            <w:tcW w:w="759" w:type="pct"/>
            <w:tcBorders>
              <w:left w:val="none" w:sz="0" w:space="0" w:color="auto"/>
              <w:right w:val="none" w:sz="0" w:space="0" w:color="auto"/>
            </w:tcBorders>
          </w:tcPr>
          <w:p w14:paraId="4C178061" w14:textId="77777777" w:rsidR="00C01E92" w:rsidRPr="00BA5E0C" w:rsidRDefault="00C01E92" w:rsidP="00BA5E0C">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bCs w:val="0"/>
                <w:szCs w:val="22"/>
              </w:rPr>
            </w:pPr>
            <w:r w:rsidRPr="00BA5E0C">
              <w:rPr>
                <w:rStyle w:val="Strong"/>
                <w:rFonts w:cstheme="minorHAnsi"/>
                <w:b/>
                <w:szCs w:val="22"/>
              </w:rPr>
              <w:t>Option F.1</w:t>
            </w:r>
          </w:p>
        </w:tc>
        <w:tc>
          <w:tcPr>
            <w:tcW w:w="759" w:type="pct"/>
            <w:tcBorders>
              <w:left w:val="none" w:sz="0" w:space="0" w:color="auto"/>
            </w:tcBorders>
          </w:tcPr>
          <w:p w14:paraId="3CA4F1C4" w14:textId="77777777" w:rsidR="00C01E92" w:rsidRPr="00BA5E0C" w:rsidRDefault="00C01E92" w:rsidP="00BA5E0C">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bCs w:val="0"/>
                <w:szCs w:val="22"/>
              </w:rPr>
            </w:pPr>
            <w:r w:rsidRPr="00BA5E0C">
              <w:rPr>
                <w:rStyle w:val="Strong"/>
                <w:rFonts w:cstheme="minorHAnsi"/>
                <w:b/>
                <w:szCs w:val="22"/>
              </w:rPr>
              <w:t>Option F.2</w:t>
            </w:r>
          </w:p>
        </w:tc>
      </w:tr>
      <w:tr w:rsidR="00C01E92" w:rsidRPr="009B7AF9" w14:paraId="59D0C904" w14:textId="77777777" w:rsidTr="008B3077">
        <w:trPr>
          <w:trHeight w:val="358"/>
        </w:trPr>
        <w:tc>
          <w:tcPr>
            <w:cnfStyle w:val="001000000000" w:firstRow="0" w:lastRow="0" w:firstColumn="1" w:lastColumn="0" w:oddVBand="0" w:evenVBand="0" w:oddHBand="0" w:evenHBand="0" w:firstRowFirstColumn="0" w:firstRowLastColumn="0" w:lastRowFirstColumn="0" w:lastRowLastColumn="0"/>
            <w:tcW w:w="881" w:type="pct"/>
            <w:tcBorders>
              <w:bottom w:val="single" w:sz="4" w:space="0" w:color="004EA8" w:themeColor="accent1"/>
            </w:tcBorders>
          </w:tcPr>
          <w:p w14:paraId="6CC5AE25" w14:textId="77777777" w:rsidR="00C01E92" w:rsidRPr="009B7AF9" w:rsidRDefault="00C01E92" w:rsidP="009B7AF9">
            <w:pPr>
              <w:spacing w:after="60"/>
              <w:rPr>
                <w:rFonts w:cstheme="minorHAnsi"/>
                <w:szCs w:val="22"/>
              </w:rPr>
            </w:pPr>
            <w:r w:rsidRPr="009B7AF9">
              <w:rPr>
                <w:rFonts w:cstheme="minorHAnsi"/>
                <w:szCs w:val="22"/>
              </w:rPr>
              <w:t>Cost to industry</w:t>
            </w:r>
          </w:p>
        </w:tc>
        <w:tc>
          <w:tcPr>
            <w:tcW w:w="1842" w:type="pct"/>
            <w:tcBorders>
              <w:bottom w:val="single" w:sz="4" w:space="0" w:color="004EA8" w:themeColor="accent1"/>
            </w:tcBorders>
          </w:tcPr>
          <w:p w14:paraId="76B6B2BB" w14:textId="25051275" w:rsidR="00C01E92" w:rsidRPr="009B7AF9" w:rsidRDefault="00C01E92" w:rsidP="005A6B33">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9B7AF9">
              <w:rPr>
                <w:rFonts w:cstheme="minorHAnsi"/>
                <w:szCs w:val="22"/>
              </w:rPr>
              <w:t xml:space="preserve">Costs to industry imposed by Regulations relating to </w:t>
            </w:r>
            <w:r w:rsidR="005A6B33">
              <w:rPr>
                <w:rFonts w:cstheme="minorHAnsi"/>
                <w:szCs w:val="22"/>
              </w:rPr>
              <w:t>registers and record keeping</w:t>
            </w:r>
            <w:r w:rsidRPr="009B7AF9">
              <w:rPr>
                <w:rFonts w:cstheme="minorHAnsi"/>
                <w:szCs w:val="22"/>
              </w:rPr>
              <w:t>.</w:t>
            </w:r>
          </w:p>
        </w:tc>
        <w:tc>
          <w:tcPr>
            <w:tcW w:w="759" w:type="pct"/>
            <w:tcBorders>
              <w:bottom w:val="single" w:sz="4" w:space="0" w:color="004EA8" w:themeColor="accent1"/>
            </w:tcBorders>
          </w:tcPr>
          <w:p w14:paraId="59F3A259" w14:textId="77777777" w:rsidR="00C01E92" w:rsidRPr="009B7AF9" w:rsidRDefault="00C01E92" w:rsidP="00BA5E0C">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9B7AF9">
              <w:rPr>
                <w:rFonts w:cstheme="minorHAnsi"/>
                <w:szCs w:val="22"/>
              </w:rPr>
              <w:t>35%</w:t>
            </w:r>
          </w:p>
        </w:tc>
        <w:tc>
          <w:tcPr>
            <w:tcW w:w="759" w:type="pct"/>
            <w:tcBorders>
              <w:bottom w:val="single" w:sz="4" w:space="0" w:color="004EA8" w:themeColor="accent1"/>
            </w:tcBorders>
          </w:tcPr>
          <w:p w14:paraId="72A81841" w14:textId="77777777" w:rsidR="00C01E92" w:rsidRPr="009B7AF9" w:rsidRDefault="00C01E92" w:rsidP="00BA5E0C">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9B7AF9">
              <w:rPr>
                <w:rFonts w:cstheme="minorHAnsi"/>
                <w:szCs w:val="22"/>
              </w:rPr>
              <w:t>1</w:t>
            </w:r>
          </w:p>
        </w:tc>
        <w:tc>
          <w:tcPr>
            <w:tcW w:w="759" w:type="pct"/>
            <w:tcBorders>
              <w:bottom w:val="single" w:sz="4" w:space="0" w:color="004EA8" w:themeColor="accent1"/>
            </w:tcBorders>
          </w:tcPr>
          <w:p w14:paraId="35B77358" w14:textId="77777777" w:rsidR="00C01E92" w:rsidRPr="009B7AF9" w:rsidRDefault="00C01E92" w:rsidP="00BA5E0C">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9B7AF9">
              <w:rPr>
                <w:rFonts w:cstheme="minorHAnsi"/>
                <w:szCs w:val="22"/>
              </w:rPr>
              <w:t>1</w:t>
            </w:r>
          </w:p>
        </w:tc>
      </w:tr>
      <w:tr w:rsidR="00C01E92" w:rsidRPr="009B7AF9" w14:paraId="09FC8C67" w14:textId="77777777" w:rsidTr="008B3077">
        <w:trPr>
          <w:trHeight w:val="358"/>
        </w:trPr>
        <w:tc>
          <w:tcPr>
            <w:cnfStyle w:val="001000000000" w:firstRow="0" w:lastRow="0" w:firstColumn="1" w:lastColumn="0" w:oddVBand="0" w:evenVBand="0" w:oddHBand="0" w:evenHBand="0" w:firstRowFirstColumn="0" w:firstRowLastColumn="0" w:lastRowFirstColumn="0" w:lastRowLastColumn="0"/>
            <w:tcW w:w="881" w:type="pct"/>
            <w:tcBorders>
              <w:right w:val="nil"/>
            </w:tcBorders>
          </w:tcPr>
          <w:p w14:paraId="39BC7452" w14:textId="77777777" w:rsidR="00C01E92" w:rsidRPr="009B7AF9" w:rsidRDefault="00C01E92" w:rsidP="009B7AF9">
            <w:pPr>
              <w:spacing w:after="60"/>
              <w:rPr>
                <w:rFonts w:cstheme="minorHAnsi"/>
                <w:b/>
                <w:szCs w:val="22"/>
              </w:rPr>
            </w:pPr>
            <w:r w:rsidRPr="009B7AF9">
              <w:rPr>
                <w:rFonts w:cstheme="minorHAnsi"/>
                <w:b/>
                <w:szCs w:val="22"/>
              </w:rPr>
              <w:t>Total</w:t>
            </w:r>
          </w:p>
        </w:tc>
        <w:tc>
          <w:tcPr>
            <w:tcW w:w="1842" w:type="pct"/>
            <w:tcBorders>
              <w:left w:val="nil"/>
              <w:right w:val="nil"/>
            </w:tcBorders>
          </w:tcPr>
          <w:p w14:paraId="0DC74DC7" w14:textId="77777777" w:rsidR="00C01E92" w:rsidRPr="009B7AF9" w:rsidRDefault="00C01E92" w:rsidP="009B7AF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759" w:type="pct"/>
            <w:tcBorders>
              <w:left w:val="nil"/>
              <w:right w:val="nil"/>
            </w:tcBorders>
          </w:tcPr>
          <w:p w14:paraId="31FF728E" w14:textId="77777777" w:rsidR="00C01E92" w:rsidRPr="009B7AF9" w:rsidRDefault="00C01E92" w:rsidP="00BA5E0C">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759" w:type="pct"/>
            <w:tcBorders>
              <w:left w:val="nil"/>
              <w:right w:val="nil"/>
            </w:tcBorders>
          </w:tcPr>
          <w:p w14:paraId="2FDA9252" w14:textId="77777777" w:rsidR="00C01E92" w:rsidRPr="009B7AF9" w:rsidRDefault="00C01E92" w:rsidP="00BA5E0C">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9B7AF9">
              <w:rPr>
                <w:rFonts w:cstheme="minorHAnsi"/>
                <w:b/>
                <w:szCs w:val="22"/>
              </w:rPr>
              <w:t>0.35</w:t>
            </w:r>
          </w:p>
        </w:tc>
        <w:tc>
          <w:tcPr>
            <w:tcW w:w="759" w:type="pct"/>
            <w:tcBorders>
              <w:left w:val="nil"/>
            </w:tcBorders>
          </w:tcPr>
          <w:p w14:paraId="6F2C1A5E" w14:textId="77777777" w:rsidR="00C01E92" w:rsidRPr="009B7AF9" w:rsidRDefault="00C01E92" w:rsidP="00BA5E0C">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9B7AF9">
              <w:rPr>
                <w:rFonts w:cstheme="minorHAnsi"/>
                <w:b/>
                <w:szCs w:val="22"/>
              </w:rPr>
              <w:t>0.35</w:t>
            </w:r>
          </w:p>
        </w:tc>
      </w:tr>
    </w:tbl>
    <w:p w14:paraId="38A2EF76" w14:textId="19EA58E1" w:rsidR="00C01E92" w:rsidRDefault="00C01E92" w:rsidP="002806C5">
      <w:pPr>
        <w:pStyle w:val="EYHeading4"/>
        <w:numPr>
          <w:ilvl w:val="3"/>
          <w:numId w:val="80"/>
        </w:numPr>
        <w:spacing w:before="120"/>
        <w:rPr>
          <w:rFonts w:asciiTheme="minorHAnsi" w:hAnsiTheme="minorHAnsi" w:cstheme="minorHAnsi"/>
          <w:szCs w:val="22"/>
        </w:rPr>
      </w:pPr>
      <w:bookmarkStart w:id="210" w:name="_Ref24629979"/>
      <w:r w:rsidRPr="000107A9">
        <w:rPr>
          <w:rFonts w:asciiTheme="minorHAnsi" w:hAnsiTheme="minorHAnsi" w:cstheme="minorHAnsi"/>
          <w:szCs w:val="22"/>
        </w:rPr>
        <w:lastRenderedPageBreak/>
        <w:t>Fees</w:t>
      </w:r>
      <w:bookmarkEnd w:id="210"/>
    </w:p>
    <w:p w14:paraId="2948D522" w14:textId="77777777" w:rsidR="00F46104" w:rsidRPr="000107A9" w:rsidRDefault="00F46104" w:rsidP="00F46104">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fees prescribed in the current and proposed Regula</w:t>
      </w:r>
      <w:r>
        <w:rPr>
          <w:rFonts w:asciiTheme="minorHAnsi" w:hAnsiTheme="minorHAnsi" w:cstheme="minorHAnsi"/>
          <w:sz w:val="22"/>
          <w:szCs w:val="22"/>
        </w:rPr>
        <w:t xml:space="preserve">tions can be categorised as </w:t>
      </w:r>
      <w:r w:rsidRPr="000107A9">
        <w:rPr>
          <w:rFonts w:asciiTheme="minorHAnsi" w:hAnsiTheme="minorHAnsi" w:cstheme="minorHAnsi"/>
          <w:sz w:val="22"/>
          <w:szCs w:val="22"/>
        </w:rPr>
        <w:t xml:space="preserve">initial set-up </w:t>
      </w:r>
      <w:r>
        <w:rPr>
          <w:rFonts w:asciiTheme="minorHAnsi" w:hAnsiTheme="minorHAnsi" w:cstheme="minorHAnsi"/>
          <w:sz w:val="22"/>
          <w:szCs w:val="22"/>
        </w:rPr>
        <w:t xml:space="preserve">fees to establish and operate a service, and fees </w:t>
      </w:r>
      <w:r w:rsidRPr="000107A9">
        <w:rPr>
          <w:rFonts w:asciiTheme="minorHAnsi" w:hAnsiTheme="minorHAnsi" w:cstheme="minorHAnsi"/>
          <w:sz w:val="22"/>
          <w:szCs w:val="22"/>
        </w:rPr>
        <w:t>attach</w:t>
      </w:r>
      <w:r>
        <w:rPr>
          <w:rFonts w:asciiTheme="minorHAnsi" w:hAnsiTheme="minorHAnsi" w:cstheme="minorHAnsi"/>
          <w:sz w:val="22"/>
          <w:szCs w:val="22"/>
        </w:rPr>
        <w:t>ed</w:t>
      </w:r>
      <w:r w:rsidRPr="000107A9">
        <w:rPr>
          <w:rFonts w:asciiTheme="minorHAnsi" w:hAnsiTheme="minorHAnsi" w:cstheme="minorHAnsi"/>
          <w:sz w:val="22"/>
          <w:szCs w:val="22"/>
        </w:rPr>
        <w:t xml:space="preserve"> to </w:t>
      </w:r>
      <w:r>
        <w:rPr>
          <w:rFonts w:asciiTheme="minorHAnsi" w:hAnsiTheme="minorHAnsi" w:cstheme="minorHAnsi"/>
          <w:sz w:val="22"/>
          <w:szCs w:val="22"/>
        </w:rPr>
        <w:t>particular</w:t>
      </w:r>
      <w:r w:rsidRPr="000107A9">
        <w:rPr>
          <w:rFonts w:asciiTheme="minorHAnsi" w:hAnsiTheme="minorHAnsi" w:cstheme="minorHAnsi"/>
          <w:sz w:val="22"/>
          <w:szCs w:val="22"/>
        </w:rPr>
        <w:t xml:space="preserve"> applications or action</w:t>
      </w:r>
      <w:r>
        <w:rPr>
          <w:rFonts w:asciiTheme="minorHAnsi" w:hAnsiTheme="minorHAnsi" w:cstheme="minorHAnsi"/>
          <w:sz w:val="22"/>
          <w:szCs w:val="22"/>
        </w:rPr>
        <w:t>s under the Act and Regulations.</w:t>
      </w:r>
    </w:p>
    <w:p w14:paraId="6A254C38" w14:textId="77777777" w:rsidR="00F46104" w:rsidRDefault="00F46104" w:rsidP="00F46104">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Given </w:t>
      </w:r>
      <w:r>
        <w:rPr>
          <w:rFonts w:asciiTheme="minorHAnsi" w:hAnsiTheme="minorHAnsi" w:cstheme="minorHAnsi"/>
          <w:sz w:val="22"/>
          <w:szCs w:val="22"/>
        </w:rPr>
        <w:t>the proposal to streamline</w:t>
      </w:r>
      <w:r w:rsidRPr="000107A9">
        <w:rPr>
          <w:rFonts w:asciiTheme="minorHAnsi" w:hAnsiTheme="minorHAnsi" w:cstheme="minorHAnsi"/>
          <w:sz w:val="22"/>
          <w:szCs w:val="22"/>
        </w:rPr>
        <w:t xml:space="preserve"> from seven licence types to two service </w:t>
      </w:r>
      <w:r>
        <w:rPr>
          <w:rFonts w:asciiTheme="minorHAnsi" w:hAnsiTheme="minorHAnsi" w:cstheme="minorHAnsi"/>
          <w:sz w:val="22"/>
          <w:szCs w:val="22"/>
        </w:rPr>
        <w:t>types</w:t>
      </w:r>
      <w:r w:rsidRPr="000107A9">
        <w:rPr>
          <w:rFonts w:asciiTheme="minorHAnsi" w:hAnsiTheme="minorHAnsi" w:cstheme="minorHAnsi"/>
          <w:sz w:val="22"/>
          <w:szCs w:val="22"/>
        </w:rPr>
        <w:t xml:space="preserve"> and </w:t>
      </w:r>
      <w:r>
        <w:rPr>
          <w:rFonts w:asciiTheme="minorHAnsi" w:hAnsiTheme="minorHAnsi" w:cstheme="minorHAnsi"/>
          <w:sz w:val="22"/>
          <w:szCs w:val="22"/>
        </w:rPr>
        <w:t xml:space="preserve">the objective of aligning </w:t>
      </w:r>
      <w:r w:rsidRPr="000107A9">
        <w:rPr>
          <w:rFonts w:asciiTheme="minorHAnsi" w:hAnsiTheme="minorHAnsi" w:cstheme="minorHAnsi"/>
          <w:sz w:val="22"/>
          <w:szCs w:val="22"/>
        </w:rPr>
        <w:t>to the NQF</w:t>
      </w:r>
      <w:r>
        <w:rPr>
          <w:rFonts w:asciiTheme="minorHAnsi" w:hAnsiTheme="minorHAnsi" w:cstheme="minorHAnsi"/>
          <w:sz w:val="22"/>
          <w:szCs w:val="22"/>
        </w:rPr>
        <w:t xml:space="preserve"> (where appropriate)</w:t>
      </w:r>
      <w:r w:rsidRPr="000107A9">
        <w:rPr>
          <w:rFonts w:asciiTheme="minorHAnsi" w:hAnsiTheme="minorHAnsi" w:cstheme="minorHAnsi"/>
          <w:sz w:val="22"/>
          <w:szCs w:val="22"/>
        </w:rPr>
        <w:t xml:space="preserve">, the fee structure for children’s services </w:t>
      </w:r>
      <w:r>
        <w:rPr>
          <w:rFonts w:asciiTheme="minorHAnsi" w:hAnsiTheme="minorHAnsi" w:cstheme="minorHAnsi"/>
          <w:sz w:val="22"/>
          <w:szCs w:val="22"/>
        </w:rPr>
        <w:t>must change</w:t>
      </w:r>
      <w:r w:rsidRPr="000107A9">
        <w:rPr>
          <w:rFonts w:asciiTheme="minorHAnsi" w:hAnsiTheme="minorHAnsi" w:cstheme="minorHAnsi"/>
          <w:sz w:val="22"/>
          <w:szCs w:val="22"/>
        </w:rPr>
        <w:t>—some fees are altered to align, others are no longer required, and some new fees are introdu</w:t>
      </w:r>
      <w:r>
        <w:rPr>
          <w:rFonts w:asciiTheme="minorHAnsi" w:hAnsiTheme="minorHAnsi" w:cstheme="minorHAnsi"/>
          <w:sz w:val="22"/>
          <w:szCs w:val="22"/>
        </w:rPr>
        <w:t>ced—therefore, the current and proposed fee structures cannot be directly compared side-by-side.</w:t>
      </w:r>
    </w:p>
    <w:p w14:paraId="33E9FC80" w14:textId="659BAE45" w:rsidR="00F46104" w:rsidRDefault="00F46104" w:rsidP="00F46104">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t>The NQF fee structure is simpler to understand and apply compared to the current Victorian fee structure and the aim of providing consistency across the two regulatory regimes compels the Department to revisit both the fee structure and the quantum of each</w:t>
      </w:r>
      <w:r w:rsidRPr="00915D0B">
        <w:rPr>
          <w:rFonts w:asciiTheme="minorHAnsi" w:hAnsiTheme="minorHAnsi" w:cstheme="minorHAnsi"/>
          <w:sz w:val="22"/>
          <w:szCs w:val="22"/>
        </w:rPr>
        <w:t xml:space="preserve"> </w:t>
      </w:r>
      <w:r>
        <w:rPr>
          <w:rFonts w:asciiTheme="minorHAnsi" w:hAnsiTheme="minorHAnsi" w:cstheme="minorHAnsi"/>
          <w:sz w:val="22"/>
          <w:szCs w:val="22"/>
        </w:rPr>
        <w:t>fee.</w:t>
      </w:r>
    </w:p>
    <w:p w14:paraId="32889384" w14:textId="77777777" w:rsidR="00F46104" w:rsidRDefault="00F46104" w:rsidP="00F46104">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t>In Victoria, f</w:t>
      </w:r>
      <w:r w:rsidRPr="000107A9">
        <w:rPr>
          <w:rFonts w:asciiTheme="minorHAnsi" w:hAnsiTheme="minorHAnsi" w:cstheme="minorHAnsi"/>
          <w:sz w:val="22"/>
          <w:szCs w:val="22"/>
        </w:rPr>
        <w:t xml:space="preserve">ees are prescribed as ‘fee units’ as defined in </w:t>
      </w:r>
      <w:r w:rsidRPr="00B454E9">
        <w:rPr>
          <w:rFonts w:asciiTheme="minorHAnsi" w:hAnsiTheme="minorHAnsi" w:cstheme="minorHAnsi"/>
          <w:sz w:val="22"/>
          <w:szCs w:val="22"/>
        </w:rPr>
        <w:t>the</w:t>
      </w:r>
      <w:r w:rsidRPr="000107A9">
        <w:rPr>
          <w:rFonts w:asciiTheme="minorHAnsi" w:hAnsiTheme="minorHAnsi" w:cstheme="minorHAnsi"/>
          <w:i/>
          <w:sz w:val="22"/>
          <w:szCs w:val="22"/>
        </w:rPr>
        <w:t xml:space="preserve"> Monetary Units Act 2004</w:t>
      </w:r>
      <w:r w:rsidRPr="000107A9">
        <w:rPr>
          <w:rFonts w:asciiTheme="minorHAnsi" w:hAnsiTheme="minorHAnsi" w:cstheme="minorHAnsi"/>
          <w:sz w:val="22"/>
          <w:szCs w:val="22"/>
        </w:rPr>
        <w:t xml:space="preserve"> (Vic).</w:t>
      </w:r>
      <w:r w:rsidRPr="00AA0D58">
        <w:rPr>
          <w:rFonts w:asciiTheme="minorHAnsi" w:hAnsiTheme="minorHAnsi" w:cstheme="minorHAnsi"/>
          <w:sz w:val="22"/>
          <w:szCs w:val="22"/>
        </w:rPr>
        <w:t xml:space="preserve"> </w:t>
      </w:r>
      <w:r w:rsidRPr="000107A9">
        <w:rPr>
          <w:rFonts w:asciiTheme="minorHAnsi" w:hAnsiTheme="minorHAnsi" w:cstheme="minorHAnsi"/>
          <w:sz w:val="22"/>
          <w:szCs w:val="22"/>
        </w:rPr>
        <w:t xml:space="preserve">The dollar </w:t>
      </w:r>
      <w:r>
        <w:rPr>
          <w:rFonts w:asciiTheme="minorHAnsi" w:hAnsiTheme="minorHAnsi" w:cstheme="minorHAnsi"/>
          <w:sz w:val="22"/>
          <w:szCs w:val="22"/>
        </w:rPr>
        <w:t>amount</w:t>
      </w:r>
      <w:r w:rsidRPr="000107A9">
        <w:rPr>
          <w:rFonts w:asciiTheme="minorHAnsi" w:hAnsiTheme="minorHAnsi" w:cstheme="minorHAnsi"/>
          <w:sz w:val="22"/>
          <w:szCs w:val="22"/>
        </w:rPr>
        <w:t xml:space="preserve"> of a fee unit is set annually</w:t>
      </w:r>
      <w:r>
        <w:rPr>
          <w:rFonts w:asciiTheme="minorHAnsi" w:hAnsiTheme="minorHAnsi" w:cstheme="minorHAnsi"/>
          <w:sz w:val="22"/>
          <w:szCs w:val="22"/>
        </w:rPr>
        <w:t>,</w:t>
      </w:r>
      <w:r w:rsidRPr="000107A9">
        <w:rPr>
          <w:rFonts w:asciiTheme="minorHAnsi" w:hAnsiTheme="minorHAnsi" w:cstheme="minorHAnsi"/>
          <w:sz w:val="22"/>
          <w:szCs w:val="22"/>
        </w:rPr>
        <w:t xml:space="preserve"> and the annual fee schedule is publis</w:t>
      </w:r>
      <w:r>
        <w:rPr>
          <w:rFonts w:asciiTheme="minorHAnsi" w:hAnsiTheme="minorHAnsi" w:cstheme="minorHAnsi"/>
          <w:sz w:val="22"/>
          <w:szCs w:val="22"/>
        </w:rPr>
        <w:t>hed on the Department’s website.</w:t>
      </w:r>
    </w:p>
    <w:p w14:paraId="3C9000B3" w14:textId="77777777" w:rsidR="00F46104" w:rsidRDefault="00F46104" w:rsidP="00F46104">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t xml:space="preserve">The </w:t>
      </w:r>
      <w:r w:rsidRPr="002B682B">
        <w:rPr>
          <w:rFonts w:asciiTheme="minorHAnsi" w:hAnsiTheme="minorHAnsi" w:cstheme="minorHAnsi"/>
          <w:sz w:val="22"/>
          <w:szCs w:val="22"/>
        </w:rPr>
        <w:t xml:space="preserve">fee unit value </w:t>
      </w:r>
      <w:r w:rsidRPr="000107A9">
        <w:rPr>
          <w:rFonts w:asciiTheme="minorHAnsi" w:hAnsiTheme="minorHAnsi" w:cstheme="minorHAnsi"/>
          <w:sz w:val="22"/>
          <w:szCs w:val="22"/>
        </w:rPr>
        <w:t>for the July 2019 to June 2020 financial year</w:t>
      </w:r>
      <w:r>
        <w:rPr>
          <w:rFonts w:asciiTheme="minorHAnsi" w:hAnsiTheme="minorHAnsi" w:cstheme="minorHAnsi"/>
          <w:sz w:val="22"/>
          <w:szCs w:val="22"/>
        </w:rPr>
        <w:t xml:space="preserve"> is</w:t>
      </w:r>
      <w:r w:rsidRPr="002B682B">
        <w:rPr>
          <w:rFonts w:asciiTheme="minorHAnsi" w:hAnsiTheme="minorHAnsi" w:cstheme="minorHAnsi"/>
          <w:sz w:val="22"/>
          <w:szCs w:val="22"/>
        </w:rPr>
        <w:t xml:space="preserve"> $14.81</w:t>
      </w:r>
      <w:r>
        <w:rPr>
          <w:rFonts w:asciiTheme="minorHAnsi" w:hAnsiTheme="minorHAnsi" w:cstheme="minorHAnsi"/>
          <w:sz w:val="22"/>
          <w:szCs w:val="22"/>
        </w:rPr>
        <w:t>.</w:t>
      </w:r>
    </w:p>
    <w:p w14:paraId="7B77B362" w14:textId="77777777" w:rsidR="00F46104" w:rsidRPr="009F5E81" w:rsidRDefault="00F46104" w:rsidP="00F46104">
      <w:pPr>
        <w:pStyle w:val="EYBodytextwithparaspace"/>
        <w:spacing w:before="120" w:after="120"/>
        <w:rPr>
          <w:rFonts w:asciiTheme="minorHAnsi" w:hAnsiTheme="minorHAnsi" w:cstheme="minorHAnsi"/>
          <w:b/>
          <w:sz w:val="22"/>
          <w:szCs w:val="22"/>
        </w:rPr>
      </w:pPr>
      <w:r w:rsidRPr="009F5E81">
        <w:rPr>
          <w:rFonts w:asciiTheme="minorHAnsi" w:hAnsiTheme="minorHAnsi" w:cstheme="minorHAnsi"/>
          <w:b/>
          <w:sz w:val="22"/>
          <w:szCs w:val="22"/>
        </w:rPr>
        <w:t>Cost recovery</w:t>
      </w:r>
    </w:p>
    <w:p w14:paraId="3A29A712" w14:textId="329173FD" w:rsidR="00F46104" w:rsidRPr="000107A9" w:rsidRDefault="00F46104" w:rsidP="00F46104">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Guidelines issued by the Department of Treasury and Finance (</w:t>
      </w:r>
      <w:r w:rsidRPr="00E36DF7">
        <w:rPr>
          <w:rFonts w:asciiTheme="minorHAnsi" w:hAnsiTheme="minorHAnsi" w:cstheme="minorHAnsi"/>
          <w:sz w:val="22"/>
          <w:szCs w:val="22"/>
        </w:rPr>
        <w:t>DTF</w:t>
      </w:r>
      <w:r w:rsidRPr="000107A9">
        <w:rPr>
          <w:rFonts w:asciiTheme="minorHAnsi" w:hAnsiTheme="minorHAnsi" w:cstheme="minorHAnsi"/>
          <w:sz w:val="22"/>
          <w:szCs w:val="22"/>
        </w:rPr>
        <w:t xml:space="preserve">) outline government policy </w:t>
      </w:r>
      <w:r w:rsidR="00B454E9">
        <w:rPr>
          <w:rFonts w:asciiTheme="minorHAnsi" w:hAnsiTheme="minorHAnsi" w:cstheme="minorHAnsi"/>
          <w:sz w:val="22"/>
          <w:szCs w:val="22"/>
        </w:rPr>
        <w:t>on the</w:t>
      </w:r>
      <w:r w:rsidRPr="000107A9">
        <w:rPr>
          <w:rFonts w:asciiTheme="minorHAnsi" w:hAnsiTheme="minorHAnsi" w:cstheme="minorHAnsi"/>
          <w:sz w:val="22"/>
          <w:szCs w:val="22"/>
        </w:rPr>
        <w:t xml:space="preserve"> fixing of fees. The guidelines stipulate that while general policy is for costs to be set to recover full cost, there are situations (explicit policy or public good reason) where it may be desirable to recover at less than full cost, or not to recover costs at all.</w:t>
      </w:r>
      <w:r w:rsidRPr="000107A9">
        <w:rPr>
          <w:rFonts w:asciiTheme="minorHAnsi" w:hAnsiTheme="minorHAnsi" w:cstheme="minorHAnsi"/>
          <w:sz w:val="22"/>
          <w:szCs w:val="22"/>
          <w:vertAlign w:val="superscript"/>
        </w:rPr>
        <w:footnoteReference w:id="55"/>
      </w:r>
      <w:r w:rsidRPr="000107A9">
        <w:rPr>
          <w:rFonts w:asciiTheme="minorHAnsi" w:hAnsiTheme="minorHAnsi" w:cstheme="minorHAnsi"/>
          <w:sz w:val="22"/>
          <w:szCs w:val="22"/>
        </w:rPr>
        <w:t xml:space="preserve"> </w:t>
      </w:r>
    </w:p>
    <w:p w14:paraId="6AFB29BD" w14:textId="5E2348C4" w:rsidR="00F46104" w:rsidRDefault="00F46104" w:rsidP="00F46104">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t xml:space="preserve">The fees in both the current and proposed structure </w:t>
      </w:r>
      <w:r w:rsidRPr="000107A9">
        <w:rPr>
          <w:rFonts w:asciiTheme="minorHAnsi" w:hAnsiTheme="minorHAnsi" w:cstheme="minorHAnsi"/>
          <w:sz w:val="22"/>
          <w:szCs w:val="22"/>
        </w:rPr>
        <w:t xml:space="preserve">do not </w:t>
      </w:r>
      <w:r w:rsidR="00B454E9">
        <w:rPr>
          <w:rFonts w:asciiTheme="minorHAnsi" w:hAnsiTheme="minorHAnsi" w:cstheme="minorHAnsi"/>
          <w:sz w:val="22"/>
          <w:szCs w:val="22"/>
        </w:rPr>
        <w:t>provide</w:t>
      </w:r>
      <w:r w:rsidRPr="000107A9">
        <w:rPr>
          <w:rFonts w:asciiTheme="minorHAnsi" w:hAnsiTheme="minorHAnsi" w:cstheme="minorHAnsi"/>
          <w:sz w:val="22"/>
          <w:szCs w:val="22"/>
        </w:rPr>
        <w:t xml:space="preserve"> c</w:t>
      </w:r>
      <w:r>
        <w:rPr>
          <w:rFonts w:asciiTheme="minorHAnsi" w:hAnsiTheme="minorHAnsi" w:cstheme="minorHAnsi"/>
          <w:sz w:val="22"/>
          <w:szCs w:val="22"/>
        </w:rPr>
        <w:t>ost recovery to the Department.</w:t>
      </w:r>
    </w:p>
    <w:p w14:paraId="407D2D73" w14:textId="77777777" w:rsidR="00F46104" w:rsidRDefault="00F46104" w:rsidP="00F46104">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children’s services sector is small, mostly community-based or not-for-profit and many operators provide children’s services as an adjunct to their main business (e.g. fitness centres) and do not provide the service with a profit-making intent.</w:t>
      </w:r>
      <w:r>
        <w:rPr>
          <w:rFonts w:asciiTheme="minorHAnsi" w:hAnsiTheme="minorHAnsi" w:cstheme="minorHAnsi"/>
          <w:sz w:val="22"/>
          <w:szCs w:val="22"/>
        </w:rPr>
        <w:t xml:space="preserve"> </w:t>
      </w:r>
      <w:r w:rsidRPr="000107A9">
        <w:rPr>
          <w:rFonts w:asciiTheme="minorHAnsi" w:hAnsiTheme="minorHAnsi" w:cstheme="minorHAnsi"/>
          <w:sz w:val="22"/>
          <w:szCs w:val="22"/>
        </w:rPr>
        <w:t xml:space="preserve">Similarly, the setting of fees is not a revenue raising exercise for the Department, </w:t>
      </w:r>
      <w:r>
        <w:rPr>
          <w:rFonts w:asciiTheme="minorHAnsi" w:hAnsiTheme="minorHAnsi" w:cstheme="minorHAnsi"/>
          <w:sz w:val="22"/>
          <w:szCs w:val="22"/>
        </w:rPr>
        <w:t>and</w:t>
      </w:r>
      <w:r w:rsidRPr="000107A9">
        <w:rPr>
          <w:rFonts w:asciiTheme="minorHAnsi" w:hAnsiTheme="minorHAnsi" w:cstheme="minorHAnsi"/>
          <w:sz w:val="22"/>
          <w:szCs w:val="22"/>
        </w:rPr>
        <w:t xml:space="preserve"> does </w:t>
      </w:r>
      <w:r>
        <w:rPr>
          <w:rFonts w:asciiTheme="minorHAnsi" w:hAnsiTheme="minorHAnsi" w:cstheme="minorHAnsi"/>
          <w:sz w:val="22"/>
          <w:szCs w:val="22"/>
        </w:rPr>
        <w:t>not result in full cost recovery.</w:t>
      </w:r>
    </w:p>
    <w:p w14:paraId="1D455CF0" w14:textId="77777777" w:rsidR="00F46104" w:rsidRDefault="00F46104" w:rsidP="00F46104">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Rather, the fees set are modest and representative of a portion of the time spent by Departmental staff in the administration of applications and monitoring complianc</w:t>
      </w:r>
      <w:r>
        <w:rPr>
          <w:rFonts w:asciiTheme="minorHAnsi" w:hAnsiTheme="minorHAnsi" w:cstheme="minorHAnsi"/>
          <w:sz w:val="22"/>
          <w:szCs w:val="22"/>
        </w:rPr>
        <w:t>e with regulatory requirements.</w:t>
      </w:r>
    </w:p>
    <w:p w14:paraId="090B1398" w14:textId="17B1F2CE" w:rsidR="00F46104" w:rsidRDefault="00F46104" w:rsidP="00F46104">
      <w:r w:rsidRPr="009F5E81">
        <w:t xml:space="preserve">Furthermore, the proposed fee structure and quantum </w:t>
      </w:r>
      <w:r w:rsidR="00B454E9">
        <w:t>are</w:t>
      </w:r>
      <w:r w:rsidRPr="009F5E81">
        <w:t xml:space="preserve"> predicated on the principle that any change to the status quo will not place too great a financial burden on smaller service providers or be a barrier to </w:t>
      </w:r>
      <w:r>
        <w:t xml:space="preserve">communities accessing childcare, particularly in regional and rural settings where the children’s service </w:t>
      </w:r>
      <w:r w:rsidR="00B454E9">
        <w:t>may be</w:t>
      </w:r>
      <w:r>
        <w:t xml:space="preserve"> the only education and care offering available.</w:t>
      </w:r>
    </w:p>
    <w:p w14:paraId="08FB6EBC" w14:textId="1319FC60" w:rsidR="00F46104" w:rsidRDefault="00B454E9" w:rsidP="00F46104">
      <w:pPr>
        <w:pStyle w:val="EYBodytextwithparaspace"/>
        <w:spacing w:before="120" w:after="120"/>
        <w:rPr>
          <w:rFonts w:asciiTheme="minorHAnsi" w:hAnsiTheme="minorHAnsi" w:cstheme="minorHAnsi"/>
          <w:sz w:val="22"/>
          <w:szCs w:val="22"/>
        </w:rPr>
      </w:pPr>
      <w:r w:rsidRPr="00B454E9">
        <w:rPr>
          <w:rFonts w:asciiTheme="minorHAnsi" w:hAnsiTheme="minorHAnsi" w:cstheme="minorHAnsi"/>
          <w:sz w:val="22"/>
          <w:szCs w:val="22"/>
        </w:rPr>
        <w:t>If</w:t>
      </w:r>
      <w:r w:rsidR="00F46104" w:rsidRPr="00B454E9">
        <w:rPr>
          <w:rFonts w:asciiTheme="minorHAnsi" w:hAnsiTheme="minorHAnsi" w:cstheme="minorHAnsi"/>
          <w:sz w:val="22"/>
          <w:szCs w:val="22"/>
        </w:rPr>
        <w:t xml:space="preserve"> a fee value </w:t>
      </w:r>
      <w:r w:rsidRPr="00B454E9">
        <w:rPr>
          <w:rFonts w:asciiTheme="minorHAnsi" w:hAnsiTheme="minorHAnsi" w:cstheme="minorHAnsi"/>
          <w:sz w:val="22"/>
          <w:szCs w:val="22"/>
        </w:rPr>
        <w:t xml:space="preserve">was set </w:t>
      </w:r>
      <w:r w:rsidR="00F46104" w:rsidRPr="00B454E9">
        <w:rPr>
          <w:rFonts w:asciiTheme="minorHAnsi" w:hAnsiTheme="minorHAnsi" w:cstheme="minorHAnsi"/>
          <w:sz w:val="22"/>
          <w:szCs w:val="22"/>
        </w:rPr>
        <w:t xml:space="preserve">to achieve full cost recovery, </w:t>
      </w:r>
      <w:r w:rsidRPr="00B454E9">
        <w:rPr>
          <w:rFonts w:asciiTheme="minorHAnsi" w:hAnsiTheme="minorHAnsi" w:cstheme="minorHAnsi"/>
          <w:sz w:val="22"/>
          <w:szCs w:val="22"/>
        </w:rPr>
        <w:t xml:space="preserve">this </w:t>
      </w:r>
      <w:r w:rsidR="00F46104" w:rsidRPr="00B454E9">
        <w:rPr>
          <w:rFonts w:asciiTheme="minorHAnsi" w:hAnsiTheme="minorHAnsi" w:cstheme="minorHAnsi"/>
          <w:sz w:val="22"/>
          <w:szCs w:val="22"/>
        </w:rPr>
        <w:t>could potentially prohibit providers from offering children’s services in places where they are most needed, or diminish the capacity for families to access children’s services if providers chose to shift increased costs to parents and families in the form of higher service fees.</w:t>
      </w:r>
    </w:p>
    <w:p w14:paraId="30D3E4D6" w14:textId="77777777" w:rsidR="00F46104" w:rsidRDefault="00F46104" w:rsidP="00F46104">
      <w:r>
        <w:t xml:space="preserve">The proposed fees are </w:t>
      </w:r>
      <w:r w:rsidRPr="00FF0F45">
        <w:rPr>
          <w:b/>
        </w:rPr>
        <w:t>proportional to the NQF fees</w:t>
      </w:r>
      <w:r>
        <w:t xml:space="preserve"> and are a fair compromise between full cost-recovery and a full government subsidy.</w:t>
      </w:r>
    </w:p>
    <w:p w14:paraId="4BFEA49B" w14:textId="77777777" w:rsidR="00F46104" w:rsidRDefault="00F46104" w:rsidP="00F46104">
      <w:r>
        <w:t xml:space="preserve">In actuality, the cost to the regulator of ensuring service compliance, </w:t>
      </w:r>
      <w:r w:rsidRPr="006F1EDD">
        <w:t>far exceeds any fee imposed</w:t>
      </w:r>
      <w:r>
        <w:t xml:space="preserve"> in the current or proposed fee structure. As at 30 June 2019, the estimated cost to the regulator to undertake regulatory activity (including ensuring compliance with fee payments) for children’s services is approximately $1,630 per annum per service.</w:t>
      </w:r>
    </w:p>
    <w:p w14:paraId="02FDB75D" w14:textId="77777777" w:rsidR="00F46104" w:rsidRDefault="00F46104" w:rsidP="00F46104">
      <w:r w:rsidRPr="00B454E9">
        <w:lastRenderedPageBreak/>
        <w:t>Furthermore, the revenue represents a minimal revenue stream for government (and nil for the regulator) as payment goes directly to consolidated revenue.</w:t>
      </w:r>
    </w:p>
    <w:p w14:paraId="5A701139" w14:textId="77777777" w:rsidR="00F46104" w:rsidRPr="00A23369" w:rsidRDefault="00F46104" w:rsidP="00F46104">
      <w:pPr>
        <w:rPr>
          <w:b/>
        </w:rPr>
      </w:pPr>
      <w:r>
        <w:rPr>
          <w:b/>
        </w:rPr>
        <w:t>Approved place brackets</w:t>
      </w:r>
    </w:p>
    <w:p w14:paraId="18519885" w14:textId="46A0A160" w:rsidR="00F46104" w:rsidRDefault="00F46104" w:rsidP="00F46104">
      <w:r w:rsidRPr="00A23369">
        <w:t xml:space="preserve">Options for the proposed </w:t>
      </w:r>
      <w:r>
        <w:t xml:space="preserve">approved places </w:t>
      </w:r>
      <w:r w:rsidR="00B454E9">
        <w:t>‘</w:t>
      </w:r>
      <w:r w:rsidRPr="00A23369">
        <w:t>bracket</w:t>
      </w:r>
      <w:r w:rsidR="00B454E9">
        <w:t>’</w:t>
      </w:r>
      <w:r w:rsidRPr="00A23369">
        <w:t xml:space="preserve"> scale </w:t>
      </w:r>
      <w:r w:rsidR="00B454E9">
        <w:t>were</w:t>
      </w:r>
      <w:r w:rsidRPr="00A23369">
        <w:t xml:space="preserve"> considered</w:t>
      </w:r>
      <w:r>
        <w:t>, with t</w:t>
      </w:r>
      <w:r w:rsidRPr="00A23369">
        <w:t>he current and National structure represent</w:t>
      </w:r>
      <w:r>
        <w:t>ing</w:t>
      </w:r>
      <w:r w:rsidRPr="00A23369">
        <w:t xml:space="preserve"> the upper and lower parameters, respectively.</w:t>
      </w:r>
    </w:p>
    <w:p w14:paraId="0D54E483" w14:textId="77777777" w:rsidR="00F46104" w:rsidRPr="00A23369" w:rsidRDefault="00F46104" w:rsidP="00F46104">
      <w:r w:rsidRPr="00A23369">
        <w:t xml:space="preserve">The current fees are prescribed under five ‘brackets’ of approved places: (1) ≤15; (2) 16-30; (3) 31-60; (4) 61-120; and (5) ≥121. In some instances, the fee is </w:t>
      </w:r>
      <w:r w:rsidRPr="00A163C9">
        <w:t>static</w:t>
      </w:r>
      <w:r w:rsidRPr="00A23369">
        <w:t xml:space="preserve"> across some or all brackets.</w:t>
      </w:r>
    </w:p>
    <w:p w14:paraId="0CCF1FEE" w14:textId="77777777" w:rsidR="00F46104" w:rsidRPr="00A23369" w:rsidRDefault="00F46104" w:rsidP="00F46104">
      <w:r w:rsidRPr="00A23369">
        <w:t>When the NQF came into effect in 2012, the following three ‘brackets’ of approved places for centre-based services</w:t>
      </w:r>
      <w:r w:rsidRPr="00A163C9">
        <w:t xml:space="preserve"> </w:t>
      </w:r>
      <w:r w:rsidRPr="00A23369">
        <w:t>were adopted: (1) small 0-24; (2) medium 25-80; and (3) large 81 and more.</w:t>
      </w:r>
    </w:p>
    <w:p w14:paraId="010892A1" w14:textId="77777777" w:rsidR="00F46104" w:rsidRPr="00A23369" w:rsidRDefault="00F46104" w:rsidP="00F46104">
      <w:r w:rsidRPr="00A23369">
        <w:t>If Victoria were to adopt the NQF centre-based brackets, the distribution of services would be skewed towards the smaller end with nearly 60% of children’s services falling into the small bracket. Maintaining the five approved place brackets is too granular considering the distribution of licensed services</w:t>
      </w:r>
      <w:r>
        <w:t xml:space="preserve"> with less than 0.5% of services approved for 121 places or more.</w:t>
      </w:r>
    </w:p>
    <w:p w14:paraId="40EDE190" w14:textId="040641E3" w:rsidR="00F46104" w:rsidRPr="00A163C9" w:rsidRDefault="00F46104" w:rsidP="00F46104">
      <w:pPr>
        <w:rPr>
          <w:rFonts w:cstheme="minorHAnsi"/>
        </w:rPr>
      </w:pPr>
      <w:r>
        <w:t xml:space="preserve">In order to preserve </w:t>
      </w:r>
      <w:r w:rsidR="00B454E9">
        <w:t>a</w:t>
      </w:r>
      <w:r>
        <w:t xml:space="preserve"> normal distribution of </w:t>
      </w:r>
      <w:r w:rsidR="00B454E9">
        <w:t>fees</w:t>
      </w:r>
      <w:r>
        <w:t xml:space="preserve">, it is recommended that </w:t>
      </w:r>
      <w:r w:rsidR="00B454E9">
        <w:t>the proposed regulations</w:t>
      </w:r>
      <w:r>
        <w:t xml:space="preserve"> retain </w:t>
      </w:r>
      <w:r w:rsidR="00B454E9">
        <w:t>the</w:t>
      </w:r>
      <w:r>
        <w:t xml:space="preserve"> current approved places </w:t>
      </w:r>
      <w:r w:rsidRPr="00A23369">
        <w:t>bracket</w:t>
      </w:r>
      <w:r>
        <w:t>s,</w:t>
      </w:r>
      <w:r w:rsidRPr="00A23369">
        <w:t xml:space="preserve"> </w:t>
      </w:r>
      <w:r>
        <w:t xml:space="preserve">but reduce the scale to </w:t>
      </w:r>
      <w:r w:rsidRPr="00A163C9">
        <w:rPr>
          <w:b/>
        </w:rPr>
        <w:t>four brackets</w:t>
      </w:r>
      <w:r>
        <w:t xml:space="preserve">: </w:t>
      </w:r>
      <w:r>
        <w:rPr>
          <w:rFonts w:cstheme="minorHAnsi"/>
        </w:rPr>
        <w:t>(1) 1-15; (2) 16-30; (3) 31-</w:t>
      </w:r>
      <w:r w:rsidRPr="00A163C9">
        <w:rPr>
          <w:rFonts w:cstheme="minorHAnsi"/>
        </w:rPr>
        <w:t>60; and (4) 61 or more approved places for Occasional Care service types; and having only the first three brackets apply to Limited Hours service types.</w:t>
      </w:r>
    </w:p>
    <w:p w14:paraId="00F31833" w14:textId="77777777" w:rsidR="00F46104" w:rsidRPr="00A163C9" w:rsidRDefault="00F46104" w:rsidP="00F46104">
      <w:pPr>
        <w:rPr>
          <w:rFonts w:cstheme="minorHAnsi"/>
          <w:b/>
        </w:rPr>
      </w:pPr>
      <w:r>
        <w:rPr>
          <w:rFonts w:cstheme="minorHAnsi"/>
          <w:b/>
        </w:rPr>
        <w:t>Fee u</w:t>
      </w:r>
      <w:r w:rsidRPr="00A163C9">
        <w:rPr>
          <w:rFonts w:cstheme="minorHAnsi"/>
          <w:b/>
        </w:rPr>
        <w:t>nits</w:t>
      </w:r>
    </w:p>
    <w:p w14:paraId="08F41507" w14:textId="0D5D16BF" w:rsidR="00F46104" w:rsidRDefault="00F46104" w:rsidP="00F46104">
      <w:r>
        <w:t>All services entering the market incur</w:t>
      </w:r>
      <w:r w:rsidR="00B454E9">
        <w:t xml:space="preserve"> initial</w:t>
      </w:r>
      <w:r>
        <w:t xml:space="preserve"> fees for </w:t>
      </w:r>
      <w:r w:rsidR="00B454E9">
        <w:t xml:space="preserve">approval of provider and approval of the service (including the service </w:t>
      </w:r>
      <w:r>
        <w:t>premises</w:t>
      </w:r>
      <w:r w:rsidR="00B454E9">
        <w:t xml:space="preserve">) </w:t>
      </w:r>
      <w:r>
        <w:t>to operate</w:t>
      </w:r>
      <w:r w:rsidR="00B454E9">
        <w:t>, followed by fees for future renewals of approvals on an ongoing basis. The 2019 amendments to the Act change the approval process and therefore also change the basis for approval (or licence) fees</w:t>
      </w:r>
      <w:r>
        <w:t xml:space="preserve">. Currently, </w:t>
      </w:r>
      <w:r w:rsidR="00B454E9">
        <w:t xml:space="preserve">following the initial grant of a licence to operate and premises approval, </w:t>
      </w:r>
      <w:r>
        <w:t>the most frequently purchased licence term is for a 3-year period. To continue to operate, a service is required to pay a licence renewal fee commensurate with the period of the licence (1, 3 or 5 years). However, services approved to provide up to 15 places for children incur a ‘Nil’ fee value to renew a licence.</w:t>
      </w:r>
    </w:p>
    <w:p w14:paraId="16D75F60" w14:textId="522239B9" w:rsidR="00F46104" w:rsidRDefault="00F46104" w:rsidP="00F46104">
      <w:r>
        <w:t>A</w:t>
      </w:r>
      <w:r w:rsidRPr="00A23369">
        <w:t>necdotal evidence suggest</w:t>
      </w:r>
      <w:r>
        <w:t>s</w:t>
      </w:r>
      <w:r w:rsidRPr="00A23369">
        <w:t xml:space="preserve"> that some services</w:t>
      </w:r>
      <w:r w:rsidR="00D803C3">
        <w:t xml:space="preserve"> currently restrict the</w:t>
      </w:r>
      <w:r w:rsidRPr="00A23369">
        <w:t xml:space="preserve"> number of approved places</w:t>
      </w:r>
      <w:r w:rsidR="00D803C3">
        <w:t xml:space="preserve"> for which they are licenced</w:t>
      </w:r>
      <w:r w:rsidRPr="00A23369">
        <w:t xml:space="preserve"> </w:t>
      </w:r>
      <w:r>
        <w:t xml:space="preserve">to less than 15, </w:t>
      </w:r>
      <w:r w:rsidRPr="00A23369">
        <w:t xml:space="preserve">in order to retain the ‘Nil’ licence renewal fee. Services restricting approved places is undesirable, particularly if this reduces the number of </w:t>
      </w:r>
      <w:r>
        <w:t>places that parents and families in rural and regional communities can access, where occasional care is the only care available.</w:t>
      </w:r>
    </w:p>
    <w:p w14:paraId="5F729CD5" w14:textId="3669F41C" w:rsidR="00F46104" w:rsidRDefault="00F46104" w:rsidP="00F46104">
      <w:r>
        <w:t>Licence renewal fees are redundant inside the proposed approval proc</w:t>
      </w:r>
      <w:r w:rsidR="008B3077">
        <w:t xml:space="preserve">ess, </w:t>
      </w:r>
      <w:r>
        <w:t>where the service approval is ‘perpetual</w:t>
      </w:r>
      <w:r w:rsidR="00D803C3">
        <w:t>’</w:t>
      </w:r>
      <w:r>
        <w:t>. Instead, an annual service fee would be instituted</w:t>
      </w:r>
      <w:r w:rsidR="00D803C3">
        <w:t>,</w:t>
      </w:r>
      <w:r>
        <w:t xml:space="preserve"> applicable across all services regardless of type or size. For smaller services where previously a </w:t>
      </w:r>
      <w:proofErr w:type="gramStart"/>
      <w:r>
        <w:t>Nil</w:t>
      </w:r>
      <w:proofErr w:type="gramEnd"/>
      <w:r>
        <w:t xml:space="preserve"> fee applied, the annual service fee would constitute a </w:t>
      </w:r>
      <w:r w:rsidR="00D803C3">
        <w:t xml:space="preserve">modest </w:t>
      </w:r>
      <w:r>
        <w:t>cost increase, however, this would be offset by the static or nil fee values that apply for other fee related activities.</w:t>
      </w:r>
    </w:p>
    <w:p w14:paraId="4AF78D5A" w14:textId="196A6A96" w:rsidR="00F46104" w:rsidRDefault="00F46104" w:rsidP="00F46104">
      <w:r>
        <w:t>As all services are required to purchase a licence to operate, and the most frequently purchased lic</w:t>
      </w:r>
      <w:r w:rsidR="00D803C3">
        <w:t>ence term is 3-years,</w:t>
      </w:r>
      <w:r>
        <w:t xml:space="preserve"> the</w:t>
      </w:r>
      <w:r w:rsidR="00D803C3">
        <w:t xml:space="preserve"> proposed</w:t>
      </w:r>
      <w:r>
        <w:t xml:space="preserve"> </w:t>
      </w:r>
      <w:r w:rsidRPr="005F3163">
        <w:rPr>
          <w:b/>
        </w:rPr>
        <w:t>annual service fee</w:t>
      </w:r>
      <w:r>
        <w:t xml:space="preserve"> is modelled on one-third of the 3-year licence application fee as the </w:t>
      </w:r>
      <w:r w:rsidRPr="005F3163">
        <w:rPr>
          <w:b/>
        </w:rPr>
        <w:t>median price point</w:t>
      </w:r>
      <w:r>
        <w:t xml:space="preserve"> between a current Standard and Limited Hours application fee and representing a</w:t>
      </w:r>
      <w:r w:rsidRPr="00BF6851">
        <w:t xml:space="preserve"> </w:t>
      </w:r>
      <w:r w:rsidRPr="00047223">
        <w:t>fair and reasonable</w:t>
      </w:r>
      <w:r>
        <w:t xml:space="preserve"> amount across the sector.</w:t>
      </w:r>
    </w:p>
    <w:p w14:paraId="31C48BB9" w14:textId="77777777" w:rsidR="00F46104" w:rsidRPr="005F3163" w:rsidRDefault="00F46104" w:rsidP="00F46104">
      <w:pPr>
        <w:rPr>
          <w:b/>
        </w:rPr>
      </w:pPr>
      <w:r>
        <w:rPr>
          <w:b/>
        </w:rPr>
        <w:t>Fee s</w:t>
      </w:r>
      <w:r w:rsidRPr="005F3163">
        <w:rPr>
          <w:b/>
        </w:rPr>
        <w:t>tructure</w:t>
      </w:r>
    </w:p>
    <w:p w14:paraId="5C310AC7" w14:textId="65A8C7F7" w:rsidR="00F46104" w:rsidRDefault="00F46104" w:rsidP="00F46104">
      <w:r w:rsidRPr="00A23369">
        <w:t xml:space="preserve">The proposed fee schedule </w:t>
      </w:r>
      <w:r w:rsidR="00D803C3">
        <w:t>is consistent with</w:t>
      </w:r>
      <w:r w:rsidRPr="00A23369">
        <w:t xml:space="preserve"> the NQF in terms of the proportion </w:t>
      </w:r>
      <w:r>
        <w:t>of unit (</w:t>
      </w:r>
      <w:r w:rsidRPr="00A23369">
        <w:t>cost</w:t>
      </w:r>
      <w:r>
        <w:t>)</w:t>
      </w:r>
      <w:r w:rsidRPr="00A23369">
        <w:t xml:space="preserve"> per transaction</w:t>
      </w:r>
      <w:r w:rsidR="00D803C3">
        <w:t>. It is proposed that</w:t>
      </w:r>
      <w:r>
        <w:t xml:space="preserve"> standard applications </w:t>
      </w:r>
      <w:r w:rsidR="00D803C3">
        <w:t>will incur a</w:t>
      </w:r>
      <w:r>
        <w:t xml:space="preserve"> static fee regardless of service </w:t>
      </w:r>
      <w:r w:rsidR="00D803C3">
        <w:t>type and size.</w:t>
      </w:r>
    </w:p>
    <w:p w14:paraId="60775493" w14:textId="6137F657" w:rsidR="00F46104" w:rsidRPr="00003A2F" w:rsidRDefault="00F46104" w:rsidP="00F46104">
      <w:r w:rsidRPr="00003A2F">
        <w:lastRenderedPageBreak/>
        <w:t xml:space="preserve">In the proposed fee structure, a provider entering the market will pay a </w:t>
      </w:r>
      <w:r w:rsidR="00D803C3">
        <w:t xml:space="preserve">fee to apply for </w:t>
      </w:r>
      <w:r w:rsidRPr="00003A2F">
        <w:t>provider approval (</w:t>
      </w:r>
      <w:r w:rsidRPr="00003A2F">
        <w:rPr>
          <w:b/>
        </w:rPr>
        <w:t>static</w:t>
      </w:r>
      <w:r w:rsidRPr="00003A2F">
        <w:t xml:space="preserve"> across all types and brackets) and </w:t>
      </w:r>
      <w:r w:rsidR="00D803C3">
        <w:t xml:space="preserve">a fee to apply for </w:t>
      </w:r>
      <w:r w:rsidRPr="00003A2F">
        <w:t>a service approval (</w:t>
      </w:r>
      <w:r w:rsidRPr="00003A2F">
        <w:rPr>
          <w:b/>
        </w:rPr>
        <w:t>proportional</w:t>
      </w:r>
      <w:r w:rsidRPr="00003A2F">
        <w:t xml:space="preserve"> to the number of approved places and service type).</w:t>
      </w:r>
    </w:p>
    <w:p w14:paraId="5CF474E6" w14:textId="7F374AA4" w:rsidR="00F46104" w:rsidRPr="00A23369" w:rsidRDefault="00F46104" w:rsidP="00F46104">
      <w:r>
        <w:t xml:space="preserve">The </w:t>
      </w:r>
      <w:r w:rsidRPr="00A23369">
        <w:t>application for provider approval</w:t>
      </w:r>
      <w:r>
        <w:t xml:space="preserve"> fee</w:t>
      </w:r>
      <w:r w:rsidRPr="00A23369">
        <w:t xml:space="preserve"> </w:t>
      </w:r>
      <w:r>
        <w:t>is static</w:t>
      </w:r>
      <w:r w:rsidRPr="00A23369">
        <w:t xml:space="preserve"> across the NQF and proposed fee schedule as the regulatory effort to </w:t>
      </w:r>
      <w:r w:rsidR="00D803C3">
        <w:t>consider the suitability of</w:t>
      </w:r>
      <w:r w:rsidRPr="00A23369">
        <w:t xml:space="preserve"> a provider is largely similar regardless of the number of approved places </w:t>
      </w:r>
      <w:r>
        <w:t xml:space="preserve">or </w:t>
      </w:r>
      <w:r w:rsidRPr="00A23369">
        <w:t>whether they have multiple services</w:t>
      </w:r>
      <w:r>
        <w:t>. T</w:t>
      </w:r>
      <w:r w:rsidRPr="00A23369">
        <w:t>he proposed fee for an application for provider approval is 15 fee units ($222.15).</w:t>
      </w:r>
    </w:p>
    <w:p w14:paraId="073543B5" w14:textId="54E02F36" w:rsidR="00F46104" w:rsidRDefault="00F46104" w:rsidP="00F46104">
      <w:r w:rsidRPr="00A23369">
        <w:t xml:space="preserve">While </w:t>
      </w:r>
      <w:r w:rsidR="00D803C3">
        <w:t>the combined total of fees for provider and service approval</w:t>
      </w:r>
      <w:r w:rsidRPr="00A23369">
        <w:t xml:space="preserve"> represents an increase to set up a service under the proposed fee schedule, there is an economy of scale associated </w:t>
      </w:r>
      <w:r>
        <w:t>for</w:t>
      </w:r>
      <w:r w:rsidRPr="00A23369">
        <w:t xml:space="preserve"> provider</w:t>
      </w:r>
      <w:r>
        <w:t>s</w:t>
      </w:r>
      <w:r w:rsidRPr="00A23369">
        <w:t xml:space="preserve"> </w:t>
      </w:r>
      <w:r>
        <w:t>seekin</w:t>
      </w:r>
      <w:r w:rsidR="005E7273">
        <w:t>g to operate multiple services—</w:t>
      </w:r>
      <w:r>
        <w:t>t</w:t>
      </w:r>
      <w:r w:rsidRPr="00A23369">
        <w:t xml:space="preserve">hey can do so without having to purchase individual provider approvals per service. Under the current law, a service requires </w:t>
      </w:r>
      <w:r w:rsidR="00D803C3">
        <w:t xml:space="preserve">both </w:t>
      </w:r>
      <w:r w:rsidRPr="00A23369">
        <w:t>a</w:t>
      </w:r>
      <w:r w:rsidR="00D803C3">
        <w:t>n approval of premises and licens</w:t>
      </w:r>
      <w:r w:rsidR="005E7273">
        <w:t xml:space="preserve">e approval per service. </w:t>
      </w:r>
      <w:r w:rsidRPr="00A23369">
        <w:t>If the proposed fee schedule had been in effect, 27 current licence holders, who offer multiple occasional care services, would have benefitted from this economy of scale.</w:t>
      </w:r>
      <w:r w:rsidR="005E7273">
        <w:t xml:space="preserve"> </w:t>
      </w:r>
    </w:p>
    <w:p w14:paraId="3F28F3C8" w14:textId="10E86AE6" w:rsidR="00F46104" w:rsidRPr="004812AF" w:rsidRDefault="00F46104" w:rsidP="00C769E7">
      <w:pPr>
        <w:spacing w:before="120"/>
      </w:pPr>
      <w:r>
        <w:t>A</w:t>
      </w:r>
      <w:r w:rsidRPr="00A23369">
        <w:t xml:space="preserve"> </w:t>
      </w:r>
      <w:r w:rsidRPr="004812AF">
        <w:rPr>
          <w:b/>
        </w:rPr>
        <w:t>late payment</w:t>
      </w:r>
      <w:r>
        <w:t xml:space="preserve"> </w:t>
      </w:r>
      <w:r w:rsidR="00FA0706" w:rsidRPr="004812AF">
        <w:rPr>
          <w:b/>
        </w:rPr>
        <w:t xml:space="preserve">fee </w:t>
      </w:r>
      <w:r>
        <w:t xml:space="preserve">will apply to the annual service fee, </w:t>
      </w:r>
      <w:r w:rsidR="00FA0706">
        <w:t>consistent with</w:t>
      </w:r>
      <w:r>
        <w:t xml:space="preserve"> the NQF:</w:t>
      </w:r>
      <w:r w:rsidR="00C769E7">
        <w:t xml:space="preserve"> </w:t>
      </w:r>
      <w:r w:rsidRPr="0007555D">
        <w:rPr>
          <w:i/>
        </w:rPr>
        <w:t>The regulatory authority may charge a late payment fee if an annual service fee is not paid by 1 July. The late fee is 15% of the relevant annual service fee per 30 days (or part thereof) that the payment is overdue. If the annual service fee is not paid, the regulatory authority may consider taking compliance action. Failure to pay the annual service fee is grounds for suspension of provider approval and service approval (sections 25 and 70). Repeated instances of non-payment may indicate poor financial management, and the regulatory authority may decide to reassess the provider’s fitness and propriety to provide an education and care service</w:t>
      </w:r>
      <w:r w:rsidRPr="004812AF">
        <w:rPr>
          <w:vertAlign w:val="superscript"/>
        </w:rPr>
        <w:footnoteReference w:id="56"/>
      </w:r>
      <w:r>
        <w:t>.</w:t>
      </w:r>
    </w:p>
    <w:p w14:paraId="211D0737" w14:textId="77777777" w:rsidR="00F46104" w:rsidRDefault="00F46104" w:rsidP="00F46104">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fee for </w:t>
      </w:r>
      <w:r w:rsidRPr="00AB4420">
        <w:rPr>
          <w:rFonts w:asciiTheme="minorHAnsi" w:hAnsiTheme="minorHAnsi" w:cstheme="minorHAnsi"/>
          <w:b/>
          <w:sz w:val="22"/>
          <w:szCs w:val="22"/>
        </w:rPr>
        <w:t>transfer of service approval</w:t>
      </w:r>
      <w:r w:rsidRPr="004F24AF">
        <w:rPr>
          <w:rFonts w:asciiTheme="minorHAnsi" w:hAnsiTheme="minorHAnsi" w:cstheme="minorHAnsi"/>
          <w:sz w:val="22"/>
          <w:szCs w:val="22"/>
        </w:rPr>
        <w:t xml:space="preserve"> to another provider is set at 7 fee units ($103.70), slightly lower than the equivalent fee under the NQF ($111.00).</w:t>
      </w:r>
    </w:p>
    <w:p w14:paraId="71AA8E5D" w14:textId="77777777" w:rsidR="00F46104" w:rsidRPr="00AB4420" w:rsidRDefault="00F46104" w:rsidP="00F46104">
      <w:pPr>
        <w:pStyle w:val="EYBodytextwithparaspace"/>
        <w:spacing w:before="120" w:after="120"/>
        <w:rPr>
          <w:rFonts w:asciiTheme="minorHAnsi" w:hAnsiTheme="minorHAnsi" w:cstheme="minorHAnsi"/>
          <w:sz w:val="22"/>
          <w:szCs w:val="22"/>
        </w:rPr>
      </w:pPr>
      <w:r w:rsidRPr="00AB4420">
        <w:rPr>
          <w:rFonts w:asciiTheme="minorHAnsi" w:hAnsiTheme="minorHAnsi" w:cstheme="minorHAnsi"/>
          <w:sz w:val="22"/>
          <w:szCs w:val="22"/>
        </w:rPr>
        <w:t xml:space="preserve">Previously, there was no fee to apply for an exemption from a regulatory requirement. Under the proposed fee structure new fees are introduced to support the processes of seeking a </w:t>
      </w:r>
      <w:r w:rsidRPr="00AB4420">
        <w:rPr>
          <w:rFonts w:asciiTheme="minorHAnsi" w:hAnsiTheme="minorHAnsi" w:cstheme="minorHAnsi"/>
          <w:b/>
          <w:sz w:val="22"/>
          <w:szCs w:val="22"/>
        </w:rPr>
        <w:t>waiver</w:t>
      </w:r>
      <w:r w:rsidRPr="00AB4420">
        <w:rPr>
          <w:rFonts w:asciiTheme="minorHAnsi" w:hAnsiTheme="minorHAnsi" w:cstheme="minorHAnsi"/>
          <w:sz w:val="22"/>
          <w:szCs w:val="22"/>
        </w:rPr>
        <w:t xml:space="preserve"> from certain prescribed regulatory requirements:</w:t>
      </w:r>
    </w:p>
    <w:p w14:paraId="37246745" w14:textId="77777777" w:rsidR="00F46104" w:rsidRPr="00AB4420" w:rsidRDefault="00F46104" w:rsidP="00F46104">
      <w:pPr>
        <w:pStyle w:val="EYBulletnoparaspace"/>
        <w:numPr>
          <w:ilvl w:val="0"/>
          <w:numId w:val="60"/>
        </w:numPr>
        <w:spacing w:before="120" w:after="120"/>
        <w:contextualSpacing w:val="0"/>
        <w:rPr>
          <w:rFonts w:asciiTheme="minorHAnsi" w:hAnsiTheme="minorHAnsi" w:cstheme="minorHAnsi"/>
          <w:sz w:val="22"/>
          <w:szCs w:val="22"/>
        </w:rPr>
      </w:pPr>
      <w:r w:rsidRPr="00AB4420">
        <w:rPr>
          <w:rFonts w:asciiTheme="minorHAnsi" w:hAnsiTheme="minorHAnsi" w:cstheme="minorHAnsi"/>
          <w:sz w:val="22"/>
          <w:szCs w:val="22"/>
        </w:rPr>
        <w:t>Application for a service waiver</w:t>
      </w:r>
    </w:p>
    <w:p w14:paraId="0A9A81AF" w14:textId="77777777" w:rsidR="00F46104" w:rsidRPr="00AB4420" w:rsidRDefault="00F46104" w:rsidP="00F46104">
      <w:pPr>
        <w:pStyle w:val="EYBulletnoparaspace"/>
        <w:numPr>
          <w:ilvl w:val="0"/>
          <w:numId w:val="60"/>
        </w:numPr>
        <w:spacing w:before="120" w:after="120"/>
        <w:contextualSpacing w:val="0"/>
        <w:rPr>
          <w:rFonts w:asciiTheme="minorHAnsi" w:hAnsiTheme="minorHAnsi" w:cstheme="minorHAnsi"/>
          <w:sz w:val="22"/>
          <w:szCs w:val="22"/>
        </w:rPr>
      </w:pPr>
      <w:r w:rsidRPr="00AB4420">
        <w:rPr>
          <w:rFonts w:asciiTheme="minorHAnsi" w:hAnsiTheme="minorHAnsi" w:cstheme="minorHAnsi"/>
          <w:sz w:val="22"/>
          <w:szCs w:val="22"/>
        </w:rPr>
        <w:t>Application for a temporary waiver</w:t>
      </w:r>
    </w:p>
    <w:p w14:paraId="646DD237" w14:textId="77777777" w:rsidR="00F46104" w:rsidRPr="00AB4420" w:rsidRDefault="00F46104" w:rsidP="00F46104">
      <w:pPr>
        <w:pStyle w:val="EYBulletnoparaspace"/>
        <w:numPr>
          <w:ilvl w:val="0"/>
          <w:numId w:val="60"/>
        </w:numPr>
        <w:spacing w:before="120" w:after="120"/>
        <w:contextualSpacing w:val="0"/>
        <w:rPr>
          <w:rFonts w:asciiTheme="minorHAnsi" w:hAnsiTheme="minorHAnsi" w:cstheme="minorHAnsi"/>
          <w:sz w:val="22"/>
          <w:szCs w:val="22"/>
        </w:rPr>
      </w:pPr>
      <w:r w:rsidRPr="00AB4420">
        <w:rPr>
          <w:rFonts w:asciiTheme="minorHAnsi" w:hAnsiTheme="minorHAnsi" w:cstheme="minorHAnsi"/>
          <w:sz w:val="22"/>
          <w:szCs w:val="22"/>
        </w:rPr>
        <w:t>Application for extension of a temporary waiver.</w:t>
      </w:r>
    </w:p>
    <w:p w14:paraId="6426784C" w14:textId="77777777" w:rsidR="00F46104" w:rsidRPr="00AB4420" w:rsidRDefault="00F46104" w:rsidP="00F46104">
      <w:pPr>
        <w:pStyle w:val="EYBodytextwithparaspace"/>
        <w:spacing w:before="120" w:after="120"/>
        <w:rPr>
          <w:rFonts w:asciiTheme="minorHAnsi" w:hAnsiTheme="minorHAnsi" w:cstheme="minorHAnsi"/>
          <w:sz w:val="22"/>
          <w:szCs w:val="22"/>
        </w:rPr>
      </w:pPr>
      <w:r w:rsidRPr="00AB4420">
        <w:rPr>
          <w:rFonts w:asciiTheme="minorHAnsi" w:hAnsiTheme="minorHAnsi" w:cstheme="minorHAnsi"/>
          <w:sz w:val="22"/>
          <w:szCs w:val="22"/>
        </w:rPr>
        <w:t>The new fees for these waiver applications are set at 7 fee units ($103.67), slightly lower than the equivalent fees under the NQF ($111.00).</w:t>
      </w:r>
      <w:r>
        <w:rPr>
          <w:rFonts w:asciiTheme="minorHAnsi" w:hAnsiTheme="minorHAnsi" w:cstheme="minorHAnsi"/>
          <w:sz w:val="22"/>
          <w:szCs w:val="22"/>
        </w:rPr>
        <w:t xml:space="preserve"> </w:t>
      </w:r>
    </w:p>
    <w:p w14:paraId="32E1E02A" w14:textId="6C7854FD" w:rsidR="00F46104" w:rsidRDefault="00F46104" w:rsidP="00F46104">
      <w:pPr>
        <w:pStyle w:val="EYBodytextwithparaspace"/>
        <w:spacing w:before="120" w:after="120"/>
        <w:rPr>
          <w:rFonts w:asciiTheme="minorHAnsi" w:hAnsiTheme="minorHAnsi" w:cstheme="minorHAnsi"/>
          <w:sz w:val="22"/>
          <w:szCs w:val="22"/>
        </w:rPr>
      </w:pPr>
      <w:r w:rsidRPr="00AB4420">
        <w:rPr>
          <w:rFonts w:asciiTheme="minorHAnsi" w:hAnsiTheme="minorHAnsi" w:cstheme="minorHAnsi"/>
          <w:sz w:val="22"/>
          <w:szCs w:val="22"/>
        </w:rPr>
        <w:t>In addition, the Department will have a regulatory discretion to waive fees in appropriate circumstances under the proposed structure.</w:t>
      </w:r>
    </w:p>
    <w:p w14:paraId="75A17B71" w14:textId="77777777" w:rsidR="00FA0706" w:rsidRPr="00BF6851" w:rsidRDefault="00FA0706" w:rsidP="00FA0706">
      <w:pPr>
        <w:rPr>
          <w:b/>
        </w:rPr>
      </w:pPr>
      <w:r>
        <w:rPr>
          <w:b/>
        </w:rPr>
        <w:t>Other fees</w:t>
      </w:r>
    </w:p>
    <w:p w14:paraId="4F09945D" w14:textId="77777777" w:rsidR="00FA0706" w:rsidRPr="00A23369" w:rsidRDefault="00FA0706" w:rsidP="00FA0706">
      <w:r w:rsidRPr="00A23369">
        <w:t xml:space="preserve">Under the proposed </w:t>
      </w:r>
      <w:r>
        <w:t>structure</w:t>
      </w:r>
      <w:r w:rsidRPr="00A23369">
        <w:t xml:space="preserve">, the following fees </w:t>
      </w:r>
      <w:r w:rsidRPr="00AB4420">
        <w:rPr>
          <w:b/>
        </w:rPr>
        <w:t>will not be prescribed</w:t>
      </w:r>
      <w:r w:rsidRPr="00A23369">
        <w:t xml:space="preserve"> in the regulations, represent</w:t>
      </w:r>
      <w:r>
        <w:t>ing</w:t>
      </w:r>
      <w:r w:rsidRPr="00A23369">
        <w:t xml:space="preserve"> a reduction in regulatory burden for services and for the regulator:</w:t>
      </w:r>
    </w:p>
    <w:p w14:paraId="3D8D866E" w14:textId="77777777" w:rsidR="00FA0706" w:rsidRPr="00A23369" w:rsidRDefault="00FA0706" w:rsidP="00FA0706">
      <w:pPr>
        <w:numPr>
          <w:ilvl w:val="0"/>
          <w:numId w:val="107"/>
        </w:numPr>
        <w:spacing w:after="160" w:line="259" w:lineRule="auto"/>
        <w:contextualSpacing/>
      </w:pPr>
      <w:r w:rsidRPr="00A23369">
        <w:t>Late application for licence renewal</w:t>
      </w:r>
    </w:p>
    <w:p w14:paraId="796B1135" w14:textId="77777777" w:rsidR="00FA0706" w:rsidRPr="00A23369" w:rsidRDefault="00FA0706" w:rsidP="00FA0706">
      <w:pPr>
        <w:numPr>
          <w:ilvl w:val="0"/>
          <w:numId w:val="107"/>
        </w:numPr>
        <w:spacing w:after="160" w:line="259" w:lineRule="auto"/>
        <w:contextualSpacing/>
      </w:pPr>
      <w:r w:rsidRPr="00A23369">
        <w:t>Application fo</w:t>
      </w:r>
      <w:r>
        <w:t>r the approval of new nominees</w:t>
      </w:r>
    </w:p>
    <w:p w14:paraId="1B8029FF" w14:textId="77777777" w:rsidR="00FA0706" w:rsidRDefault="00FA0706" w:rsidP="00FA0706">
      <w:pPr>
        <w:numPr>
          <w:ilvl w:val="0"/>
          <w:numId w:val="107"/>
        </w:numPr>
        <w:spacing w:after="160" w:line="259" w:lineRule="auto"/>
        <w:contextualSpacing/>
      </w:pPr>
      <w:r w:rsidRPr="00A23369">
        <w:t>Application to vary or revoke a condition or restriction</w:t>
      </w:r>
    </w:p>
    <w:p w14:paraId="1ED7EC56" w14:textId="77777777" w:rsidR="00FA0706" w:rsidRPr="00A23369" w:rsidRDefault="00FA0706" w:rsidP="00FA0706">
      <w:pPr>
        <w:numPr>
          <w:ilvl w:val="0"/>
          <w:numId w:val="107"/>
        </w:numPr>
        <w:spacing w:after="160" w:line="259" w:lineRule="auto"/>
        <w:contextualSpacing/>
      </w:pPr>
      <w:r>
        <w:t xml:space="preserve">Application to </w:t>
      </w:r>
      <w:r w:rsidRPr="00A23369">
        <w:t>impose a new condition or restriction</w:t>
      </w:r>
    </w:p>
    <w:p w14:paraId="5C926AC5" w14:textId="77777777" w:rsidR="00FA0706" w:rsidRDefault="00FA0706" w:rsidP="00FA0706">
      <w:pPr>
        <w:numPr>
          <w:ilvl w:val="0"/>
          <w:numId w:val="107"/>
        </w:numPr>
        <w:spacing w:after="0"/>
        <w:ind w:left="714" w:hanging="357"/>
      </w:pPr>
      <w:r w:rsidRPr="00A23369">
        <w:t>Application to vary the period of a licence.</w:t>
      </w:r>
      <w:bookmarkStart w:id="211" w:name="_For_noting_-"/>
      <w:bookmarkEnd w:id="211"/>
    </w:p>
    <w:p w14:paraId="1CDD3189" w14:textId="77777777" w:rsidR="00F46104" w:rsidRPr="00B50BC1" w:rsidRDefault="00F46104" w:rsidP="0007555D">
      <w:pPr>
        <w:pStyle w:val="EYBodytextwithparaspace"/>
        <w:spacing w:before="360" w:after="120"/>
        <w:rPr>
          <w:rFonts w:asciiTheme="minorHAnsi" w:hAnsiTheme="minorHAnsi" w:cstheme="minorHAnsi"/>
          <w:i/>
          <w:sz w:val="22"/>
          <w:szCs w:val="22"/>
        </w:rPr>
      </w:pPr>
      <w:r w:rsidRPr="00B50BC1">
        <w:rPr>
          <w:rFonts w:asciiTheme="minorHAnsi" w:hAnsiTheme="minorHAnsi" w:cstheme="minorHAnsi"/>
          <w:b/>
          <w:i/>
          <w:sz w:val="22"/>
          <w:szCs w:val="22"/>
        </w:rPr>
        <w:lastRenderedPageBreak/>
        <w:t>Current Fee Structure</w:t>
      </w:r>
    </w:p>
    <w:p w14:paraId="6CC20BD7" w14:textId="77777777" w:rsidR="00F46104" w:rsidRDefault="00F46104" w:rsidP="00F46104">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t>F</w:t>
      </w:r>
      <w:r w:rsidRPr="000107A9">
        <w:rPr>
          <w:rFonts w:asciiTheme="minorHAnsi" w:hAnsiTheme="minorHAnsi" w:cstheme="minorHAnsi"/>
          <w:sz w:val="22"/>
          <w:szCs w:val="22"/>
        </w:rPr>
        <w:t xml:space="preserve">ees </w:t>
      </w:r>
      <w:r>
        <w:rPr>
          <w:rFonts w:asciiTheme="minorHAnsi" w:hAnsiTheme="minorHAnsi" w:cstheme="minorHAnsi"/>
          <w:sz w:val="22"/>
          <w:szCs w:val="22"/>
        </w:rPr>
        <w:t xml:space="preserve">are included </w:t>
      </w:r>
      <w:r w:rsidRPr="000107A9">
        <w:rPr>
          <w:rFonts w:asciiTheme="minorHAnsi" w:hAnsiTheme="minorHAnsi" w:cstheme="minorHAnsi"/>
          <w:sz w:val="22"/>
          <w:szCs w:val="22"/>
        </w:rPr>
        <w:t xml:space="preserve">in the body of the </w:t>
      </w:r>
      <w:r>
        <w:rPr>
          <w:rFonts w:asciiTheme="minorHAnsi" w:hAnsiTheme="minorHAnsi" w:cstheme="minorHAnsi"/>
          <w:sz w:val="22"/>
          <w:szCs w:val="22"/>
        </w:rPr>
        <w:t xml:space="preserve">current </w:t>
      </w:r>
      <w:r w:rsidRPr="000107A9">
        <w:rPr>
          <w:rFonts w:asciiTheme="minorHAnsi" w:hAnsiTheme="minorHAnsi" w:cstheme="minorHAnsi"/>
          <w:sz w:val="22"/>
          <w:szCs w:val="22"/>
        </w:rPr>
        <w:t>Regulations and in a schedule</w:t>
      </w:r>
      <w:r>
        <w:rPr>
          <w:rFonts w:asciiTheme="minorHAnsi" w:hAnsiTheme="minorHAnsi" w:cstheme="minorHAnsi"/>
          <w:sz w:val="22"/>
          <w:szCs w:val="22"/>
        </w:rPr>
        <w:t xml:space="preserve"> to the Regulations.</w:t>
      </w:r>
    </w:p>
    <w:p w14:paraId="6B4D2459" w14:textId="68D1F0A5" w:rsidR="00F46104" w:rsidRDefault="00F46104" w:rsidP="00F46104">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t>The current structure details up to 17 applications for which a fee is prescribed depending on the licence type a service holds and the number of approved places that a service is licen</w:t>
      </w:r>
      <w:r w:rsidR="002D240A">
        <w:rPr>
          <w:rFonts w:asciiTheme="minorHAnsi" w:hAnsiTheme="minorHAnsi" w:cstheme="minorHAnsi"/>
          <w:sz w:val="22"/>
          <w:szCs w:val="22"/>
        </w:rPr>
        <w:t>s</w:t>
      </w:r>
      <w:r>
        <w:rPr>
          <w:rFonts w:asciiTheme="minorHAnsi" w:hAnsiTheme="minorHAnsi" w:cstheme="minorHAnsi"/>
          <w:sz w:val="22"/>
          <w:szCs w:val="22"/>
        </w:rPr>
        <w:t>ed to provide. It also reflects the current ‘application process’ to establish a new service—that is, approval of premises, approval of licence for a term of up to 1, 3 or 5 years, and associated licence renewal depending on the term of that licence (e.g. 1, 3 or 5 years).</w:t>
      </w:r>
    </w:p>
    <w:p w14:paraId="0978643E" w14:textId="77777777" w:rsidR="00F46104" w:rsidRDefault="00F46104" w:rsidP="00F46104">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t>The prescribed fee units are</w:t>
      </w:r>
      <w:r w:rsidRPr="000107A9">
        <w:rPr>
          <w:rFonts w:asciiTheme="minorHAnsi" w:hAnsiTheme="minorHAnsi" w:cstheme="minorHAnsi"/>
          <w:sz w:val="22"/>
          <w:szCs w:val="22"/>
        </w:rPr>
        <w:t xml:space="preserve"> differentiated by licence type</w:t>
      </w:r>
      <w:r>
        <w:rPr>
          <w:rFonts w:asciiTheme="minorHAnsi" w:hAnsiTheme="minorHAnsi" w:cstheme="minorHAnsi"/>
          <w:sz w:val="22"/>
          <w:szCs w:val="22"/>
        </w:rPr>
        <w:t xml:space="preserve"> (currently 7 types) and rise incrementally based on the number of </w:t>
      </w:r>
      <w:r w:rsidRPr="000107A9">
        <w:rPr>
          <w:rFonts w:asciiTheme="minorHAnsi" w:hAnsiTheme="minorHAnsi" w:cstheme="minorHAnsi"/>
          <w:sz w:val="22"/>
          <w:szCs w:val="22"/>
        </w:rPr>
        <w:t>places the service</w:t>
      </w:r>
      <w:r w:rsidRPr="00915D0B">
        <w:rPr>
          <w:rFonts w:asciiTheme="minorHAnsi" w:hAnsiTheme="minorHAnsi" w:cstheme="minorHAnsi"/>
          <w:sz w:val="22"/>
          <w:szCs w:val="22"/>
        </w:rPr>
        <w:t xml:space="preserve"> </w:t>
      </w:r>
      <w:r>
        <w:rPr>
          <w:rFonts w:asciiTheme="minorHAnsi" w:hAnsiTheme="minorHAnsi" w:cstheme="minorHAnsi"/>
          <w:sz w:val="22"/>
          <w:szCs w:val="22"/>
        </w:rPr>
        <w:t xml:space="preserve">is approved provide, as defined by the following </w:t>
      </w:r>
      <w:r w:rsidRPr="000107A9">
        <w:rPr>
          <w:rFonts w:asciiTheme="minorHAnsi" w:hAnsiTheme="minorHAnsi" w:cstheme="minorHAnsi"/>
          <w:sz w:val="22"/>
          <w:szCs w:val="22"/>
        </w:rPr>
        <w:t>five brackets</w:t>
      </w:r>
      <w:r>
        <w:rPr>
          <w:rFonts w:asciiTheme="minorHAnsi" w:hAnsiTheme="minorHAnsi" w:cstheme="minorHAnsi"/>
          <w:sz w:val="22"/>
          <w:szCs w:val="22"/>
        </w:rPr>
        <w:t xml:space="preserve">: </w:t>
      </w:r>
      <w:r w:rsidRPr="000107A9">
        <w:rPr>
          <w:rFonts w:asciiTheme="minorHAnsi" w:hAnsiTheme="minorHAnsi" w:cstheme="minorHAnsi"/>
          <w:sz w:val="22"/>
          <w:szCs w:val="22"/>
        </w:rPr>
        <w:t>1-15, 16-30, 31-60, 61-120 and 121 or more</w:t>
      </w:r>
      <w:r>
        <w:rPr>
          <w:rFonts w:asciiTheme="minorHAnsi" w:hAnsiTheme="minorHAnsi" w:cstheme="minorHAnsi"/>
          <w:sz w:val="22"/>
          <w:szCs w:val="22"/>
        </w:rPr>
        <w:t xml:space="preserve"> approved places.</w:t>
      </w:r>
    </w:p>
    <w:p w14:paraId="6AAA6661" w14:textId="10258D81" w:rsidR="00F46104" w:rsidRDefault="00F46104" w:rsidP="00F46104">
      <w:pPr>
        <w:pStyle w:val="EYBodytextwithparaspace"/>
        <w:spacing w:before="120" w:after="120"/>
        <w:rPr>
          <w:rFonts w:asciiTheme="minorHAnsi" w:hAnsiTheme="minorHAnsi" w:cstheme="minorHAnsi"/>
          <w:sz w:val="22"/>
          <w:szCs w:val="22"/>
        </w:rPr>
      </w:pPr>
      <w:r w:rsidRPr="0099713C">
        <w:rPr>
          <w:rFonts w:asciiTheme="minorHAnsi" w:hAnsiTheme="minorHAnsi" w:cstheme="minorHAnsi"/>
          <w:sz w:val="22"/>
          <w:szCs w:val="22"/>
        </w:rPr>
        <w:t>Appendix 10.5a details the fee unit and dollar value of the current fee structure for Standard,</w:t>
      </w:r>
      <w:r>
        <w:rPr>
          <w:rFonts w:asciiTheme="minorHAnsi" w:hAnsiTheme="minorHAnsi" w:cstheme="minorHAnsi"/>
          <w:sz w:val="22"/>
          <w:szCs w:val="22"/>
        </w:rPr>
        <w:t xml:space="preserve"> Limited Hours (types 1 &amp; 2) and School Hours Care licence types.</w:t>
      </w:r>
    </w:p>
    <w:p w14:paraId="2CE97123" w14:textId="77777777" w:rsidR="00F46104" w:rsidRPr="00B50BC1" w:rsidRDefault="00F46104" w:rsidP="0007555D">
      <w:pPr>
        <w:pStyle w:val="EYBodytextwithparaspace"/>
        <w:spacing w:before="360" w:after="120"/>
        <w:rPr>
          <w:rFonts w:asciiTheme="minorHAnsi" w:hAnsiTheme="minorHAnsi" w:cstheme="minorHAnsi"/>
          <w:b/>
          <w:i/>
          <w:sz w:val="22"/>
          <w:szCs w:val="22"/>
        </w:rPr>
      </w:pPr>
      <w:r w:rsidRPr="00B50BC1">
        <w:rPr>
          <w:rFonts w:asciiTheme="minorHAnsi" w:hAnsiTheme="minorHAnsi" w:cstheme="minorHAnsi"/>
          <w:b/>
          <w:i/>
          <w:sz w:val="22"/>
          <w:szCs w:val="22"/>
        </w:rPr>
        <w:t>Proposed Fee Structure</w:t>
      </w:r>
    </w:p>
    <w:p w14:paraId="12A60CC1" w14:textId="079FFD41" w:rsidR="00F46104" w:rsidRDefault="00F46104" w:rsidP="00F46104">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t>The</w:t>
      </w:r>
      <w:r w:rsidRPr="000107A9">
        <w:rPr>
          <w:rFonts w:asciiTheme="minorHAnsi" w:hAnsiTheme="minorHAnsi" w:cstheme="minorHAnsi"/>
          <w:sz w:val="22"/>
          <w:szCs w:val="22"/>
        </w:rPr>
        <w:t xml:space="preserve"> proposed Regulations prescribe fees in support of the provisions in the </w:t>
      </w:r>
      <w:r>
        <w:rPr>
          <w:rFonts w:asciiTheme="minorHAnsi" w:hAnsiTheme="minorHAnsi" w:cstheme="minorHAnsi"/>
          <w:sz w:val="22"/>
          <w:szCs w:val="22"/>
        </w:rPr>
        <w:t xml:space="preserve">Amendment </w:t>
      </w:r>
      <w:r w:rsidRPr="000107A9">
        <w:rPr>
          <w:rFonts w:asciiTheme="minorHAnsi" w:hAnsiTheme="minorHAnsi" w:cstheme="minorHAnsi"/>
          <w:sz w:val="22"/>
          <w:szCs w:val="22"/>
        </w:rPr>
        <w:t>Act</w:t>
      </w:r>
      <w:r>
        <w:rPr>
          <w:rFonts w:asciiTheme="minorHAnsi" w:hAnsiTheme="minorHAnsi" w:cstheme="minorHAnsi"/>
          <w:sz w:val="22"/>
          <w:szCs w:val="22"/>
        </w:rPr>
        <w:t xml:space="preserve"> and associated approval process</w:t>
      </w:r>
      <w:r w:rsidR="002D240A">
        <w:rPr>
          <w:rFonts w:asciiTheme="minorHAnsi" w:hAnsiTheme="minorHAnsi" w:cstheme="minorHAnsi"/>
          <w:sz w:val="22"/>
          <w:szCs w:val="22"/>
        </w:rPr>
        <w:t>es</w:t>
      </w:r>
      <w:r>
        <w:rPr>
          <w:rFonts w:asciiTheme="minorHAnsi" w:hAnsiTheme="minorHAnsi" w:cstheme="minorHAnsi"/>
          <w:sz w:val="22"/>
          <w:szCs w:val="22"/>
        </w:rPr>
        <w:t>.</w:t>
      </w:r>
    </w:p>
    <w:p w14:paraId="07441512" w14:textId="77777777" w:rsidR="00F46104" w:rsidRDefault="00F46104" w:rsidP="00F46104">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t xml:space="preserve">The proposed fee structure details 13 activities for which a fee is prescribed, depending on the streamlined service type (two types) and </w:t>
      </w:r>
      <w:r w:rsidRPr="000107A9">
        <w:rPr>
          <w:rFonts w:asciiTheme="minorHAnsi" w:hAnsiTheme="minorHAnsi" w:cstheme="minorHAnsi"/>
          <w:sz w:val="22"/>
          <w:szCs w:val="22"/>
        </w:rPr>
        <w:t xml:space="preserve">differentiated according to the number of places </w:t>
      </w:r>
      <w:r>
        <w:rPr>
          <w:rFonts w:asciiTheme="minorHAnsi" w:hAnsiTheme="minorHAnsi" w:cstheme="minorHAnsi"/>
          <w:sz w:val="22"/>
          <w:szCs w:val="22"/>
        </w:rPr>
        <w:t>a</w:t>
      </w:r>
      <w:r w:rsidRPr="000107A9">
        <w:rPr>
          <w:rFonts w:asciiTheme="minorHAnsi" w:hAnsiTheme="minorHAnsi" w:cstheme="minorHAnsi"/>
          <w:sz w:val="22"/>
          <w:szCs w:val="22"/>
        </w:rPr>
        <w:t xml:space="preserve"> service</w:t>
      </w:r>
      <w:r w:rsidRPr="001F55FB">
        <w:rPr>
          <w:rFonts w:asciiTheme="minorHAnsi" w:hAnsiTheme="minorHAnsi" w:cstheme="minorHAnsi"/>
          <w:sz w:val="22"/>
          <w:szCs w:val="22"/>
        </w:rPr>
        <w:t xml:space="preserve"> </w:t>
      </w:r>
      <w:r>
        <w:rPr>
          <w:rFonts w:asciiTheme="minorHAnsi" w:hAnsiTheme="minorHAnsi" w:cstheme="minorHAnsi"/>
          <w:sz w:val="22"/>
          <w:szCs w:val="22"/>
        </w:rPr>
        <w:t xml:space="preserve">is </w:t>
      </w:r>
      <w:r w:rsidRPr="000107A9">
        <w:rPr>
          <w:rFonts w:asciiTheme="minorHAnsi" w:hAnsiTheme="minorHAnsi" w:cstheme="minorHAnsi"/>
          <w:sz w:val="22"/>
          <w:szCs w:val="22"/>
        </w:rPr>
        <w:t>approved</w:t>
      </w:r>
      <w:r>
        <w:rPr>
          <w:rFonts w:asciiTheme="minorHAnsi" w:hAnsiTheme="minorHAnsi" w:cstheme="minorHAnsi"/>
          <w:sz w:val="22"/>
          <w:szCs w:val="22"/>
        </w:rPr>
        <w:t xml:space="preserve"> to provide, as follows:</w:t>
      </w:r>
    </w:p>
    <w:p w14:paraId="59E8F58E" w14:textId="77777777" w:rsidR="00F46104" w:rsidRPr="000107A9" w:rsidRDefault="00F46104" w:rsidP="00F46104">
      <w:pPr>
        <w:pStyle w:val="EYBulletnoparaspace"/>
        <w:numPr>
          <w:ilvl w:val="0"/>
          <w:numId w:val="58"/>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 xml:space="preserve">For </w:t>
      </w:r>
      <w:r w:rsidRPr="000107A9">
        <w:rPr>
          <w:rFonts w:asciiTheme="minorHAnsi" w:hAnsiTheme="minorHAnsi" w:cstheme="minorHAnsi"/>
          <w:b/>
          <w:sz w:val="22"/>
          <w:szCs w:val="22"/>
        </w:rPr>
        <w:t>Occasional Care</w:t>
      </w:r>
      <w:r w:rsidRPr="000107A9">
        <w:rPr>
          <w:rFonts w:asciiTheme="minorHAnsi" w:hAnsiTheme="minorHAnsi" w:cstheme="minorHAnsi"/>
          <w:sz w:val="22"/>
          <w:szCs w:val="22"/>
        </w:rPr>
        <w:t xml:space="preserve"> service</w:t>
      </w:r>
      <w:r>
        <w:rPr>
          <w:rFonts w:asciiTheme="minorHAnsi" w:hAnsiTheme="minorHAnsi" w:cstheme="minorHAnsi"/>
          <w:sz w:val="22"/>
          <w:szCs w:val="22"/>
        </w:rPr>
        <w:t>s: 1-15, 16-30, 31-60 and 61 or more approved places</w:t>
      </w:r>
    </w:p>
    <w:p w14:paraId="59213442" w14:textId="77777777" w:rsidR="00F46104" w:rsidRPr="000107A9" w:rsidRDefault="00F46104" w:rsidP="00F46104">
      <w:pPr>
        <w:pStyle w:val="EYBulletnoparaspace"/>
        <w:numPr>
          <w:ilvl w:val="0"/>
          <w:numId w:val="58"/>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 xml:space="preserve">For </w:t>
      </w:r>
      <w:r w:rsidRPr="000107A9">
        <w:rPr>
          <w:rFonts w:asciiTheme="minorHAnsi" w:hAnsiTheme="minorHAnsi" w:cstheme="minorHAnsi"/>
          <w:b/>
          <w:sz w:val="22"/>
          <w:szCs w:val="22"/>
        </w:rPr>
        <w:t>Limited Hours</w:t>
      </w:r>
      <w:r w:rsidRPr="000107A9">
        <w:rPr>
          <w:rFonts w:asciiTheme="minorHAnsi" w:hAnsiTheme="minorHAnsi" w:cstheme="minorHAnsi"/>
          <w:sz w:val="22"/>
          <w:szCs w:val="22"/>
        </w:rPr>
        <w:t xml:space="preserve"> service</w:t>
      </w:r>
      <w:r>
        <w:rPr>
          <w:rFonts w:asciiTheme="minorHAnsi" w:hAnsiTheme="minorHAnsi" w:cstheme="minorHAnsi"/>
          <w:sz w:val="22"/>
          <w:szCs w:val="22"/>
        </w:rPr>
        <w:t>s: 1-15, 16-30, 31 or more approved places.</w:t>
      </w:r>
    </w:p>
    <w:p w14:paraId="69DEA27D" w14:textId="3726D9D5" w:rsidR="00F46104" w:rsidRDefault="00F46104" w:rsidP="00F46104">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t xml:space="preserve">As per the current structure, fee units and associated dollar amounts of proposed fees that relate to service establishment and continued operation, rise incrementally based on the number of places a service is approved to provide. For other activities, the prescribed fee unit is </w:t>
      </w:r>
      <w:r w:rsidRPr="00E720DA">
        <w:rPr>
          <w:rFonts w:asciiTheme="minorHAnsi" w:hAnsiTheme="minorHAnsi" w:cstheme="minorHAnsi"/>
          <w:b/>
          <w:sz w:val="22"/>
          <w:szCs w:val="22"/>
        </w:rPr>
        <w:t>static</w:t>
      </w:r>
      <w:r w:rsidRPr="00E720DA">
        <w:rPr>
          <w:rFonts w:asciiTheme="minorHAnsi" w:hAnsiTheme="minorHAnsi" w:cstheme="minorHAnsi"/>
          <w:sz w:val="22"/>
          <w:szCs w:val="22"/>
        </w:rPr>
        <w:t xml:space="preserve"> or </w:t>
      </w:r>
      <w:r w:rsidRPr="00E720DA">
        <w:rPr>
          <w:rFonts w:asciiTheme="minorHAnsi" w:hAnsiTheme="minorHAnsi" w:cstheme="minorHAnsi"/>
          <w:b/>
          <w:sz w:val="22"/>
          <w:szCs w:val="22"/>
        </w:rPr>
        <w:t>zero</w:t>
      </w:r>
      <w:r>
        <w:rPr>
          <w:rFonts w:asciiTheme="minorHAnsi" w:hAnsiTheme="minorHAnsi" w:cstheme="minorHAnsi"/>
          <w:sz w:val="22"/>
          <w:szCs w:val="22"/>
        </w:rPr>
        <w:t xml:space="preserve"> across all services, regardless of the service type or size e.g. </w:t>
      </w:r>
      <w:r w:rsidRPr="00A67174">
        <w:rPr>
          <w:rFonts w:asciiTheme="minorHAnsi" w:hAnsiTheme="minorHAnsi" w:cstheme="minorHAnsi"/>
          <w:b/>
          <w:sz w:val="22"/>
          <w:szCs w:val="22"/>
        </w:rPr>
        <w:t>late payment fee</w:t>
      </w:r>
      <w:r>
        <w:rPr>
          <w:rFonts w:asciiTheme="minorHAnsi" w:hAnsiTheme="minorHAnsi" w:cstheme="minorHAnsi"/>
          <w:sz w:val="22"/>
          <w:szCs w:val="22"/>
        </w:rPr>
        <w:t>,</w:t>
      </w:r>
      <w:r w:rsidR="002D240A">
        <w:rPr>
          <w:rFonts w:asciiTheme="minorHAnsi" w:hAnsiTheme="minorHAnsi" w:cstheme="minorHAnsi"/>
          <w:sz w:val="22"/>
          <w:szCs w:val="22"/>
        </w:rPr>
        <w:t xml:space="preserve"> application for service</w:t>
      </w:r>
      <w:r>
        <w:rPr>
          <w:rFonts w:asciiTheme="minorHAnsi" w:hAnsiTheme="minorHAnsi" w:cstheme="minorHAnsi"/>
          <w:sz w:val="22"/>
          <w:szCs w:val="22"/>
        </w:rPr>
        <w:t xml:space="preserve"> </w:t>
      </w:r>
      <w:r w:rsidRPr="00C0327A">
        <w:rPr>
          <w:rFonts w:asciiTheme="minorHAnsi" w:hAnsiTheme="minorHAnsi" w:cstheme="minorHAnsi"/>
          <w:b/>
          <w:sz w:val="22"/>
          <w:szCs w:val="22"/>
        </w:rPr>
        <w:t>waivers</w:t>
      </w:r>
      <w:r>
        <w:rPr>
          <w:rFonts w:asciiTheme="minorHAnsi" w:hAnsiTheme="minorHAnsi" w:cstheme="minorHAnsi"/>
          <w:sz w:val="22"/>
          <w:szCs w:val="22"/>
        </w:rPr>
        <w:t xml:space="preserve"> and </w:t>
      </w:r>
      <w:r w:rsidRPr="00C0327A">
        <w:rPr>
          <w:rFonts w:asciiTheme="minorHAnsi" w:hAnsiTheme="minorHAnsi" w:cstheme="minorHAnsi"/>
          <w:b/>
          <w:sz w:val="22"/>
          <w:szCs w:val="22"/>
        </w:rPr>
        <w:t>transfers</w:t>
      </w:r>
      <w:r w:rsidR="002D240A">
        <w:rPr>
          <w:rFonts w:asciiTheme="minorHAnsi" w:hAnsiTheme="minorHAnsi" w:cstheme="minorHAnsi"/>
          <w:sz w:val="22"/>
          <w:szCs w:val="22"/>
        </w:rPr>
        <w:t xml:space="preserve"> of service.</w:t>
      </w:r>
    </w:p>
    <w:p w14:paraId="1D0C7F70" w14:textId="7C7791DD" w:rsidR="00F46104" w:rsidRDefault="00F46104" w:rsidP="00F46104">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t>The proposed fees also</w:t>
      </w:r>
      <w:r w:rsidRPr="000107A9">
        <w:rPr>
          <w:rFonts w:asciiTheme="minorHAnsi" w:hAnsiTheme="minorHAnsi" w:cstheme="minorHAnsi"/>
          <w:sz w:val="22"/>
          <w:szCs w:val="22"/>
        </w:rPr>
        <w:t xml:space="preserve"> support the ne</w:t>
      </w:r>
      <w:r>
        <w:rPr>
          <w:rFonts w:asciiTheme="minorHAnsi" w:hAnsiTheme="minorHAnsi" w:cstheme="minorHAnsi"/>
          <w:sz w:val="22"/>
          <w:szCs w:val="22"/>
        </w:rPr>
        <w:t>w approval processes in the Act whereby an a</w:t>
      </w:r>
      <w:r w:rsidRPr="000107A9">
        <w:rPr>
          <w:rFonts w:asciiTheme="minorHAnsi" w:hAnsiTheme="minorHAnsi" w:cstheme="minorHAnsi"/>
          <w:sz w:val="22"/>
          <w:szCs w:val="22"/>
        </w:rPr>
        <w:t xml:space="preserve">pplication for provider approval </w:t>
      </w:r>
      <w:r>
        <w:rPr>
          <w:rFonts w:asciiTheme="minorHAnsi" w:hAnsiTheme="minorHAnsi" w:cstheme="minorHAnsi"/>
          <w:sz w:val="22"/>
          <w:szCs w:val="22"/>
        </w:rPr>
        <w:t>occurs</w:t>
      </w:r>
      <w:r w:rsidRPr="000107A9">
        <w:rPr>
          <w:rFonts w:asciiTheme="minorHAnsi" w:hAnsiTheme="minorHAnsi" w:cstheme="minorHAnsi"/>
          <w:sz w:val="22"/>
          <w:szCs w:val="22"/>
        </w:rPr>
        <w:t xml:space="preserve"> </w:t>
      </w:r>
      <w:r w:rsidRPr="001F55FB">
        <w:rPr>
          <w:rFonts w:asciiTheme="minorHAnsi" w:hAnsiTheme="minorHAnsi" w:cstheme="minorHAnsi"/>
          <w:b/>
          <w:sz w:val="22"/>
          <w:szCs w:val="22"/>
        </w:rPr>
        <w:t>once only</w:t>
      </w:r>
      <w:r>
        <w:rPr>
          <w:rFonts w:asciiTheme="minorHAnsi" w:hAnsiTheme="minorHAnsi" w:cstheme="minorHAnsi"/>
          <w:sz w:val="22"/>
          <w:szCs w:val="22"/>
        </w:rPr>
        <w:t xml:space="preserve"> and an a</w:t>
      </w:r>
      <w:r w:rsidRPr="000107A9">
        <w:rPr>
          <w:rFonts w:asciiTheme="minorHAnsi" w:hAnsiTheme="minorHAnsi" w:cstheme="minorHAnsi"/>
          <w:sz w:val="22"/>
          <w:szCs w:val="22"/>
        </w:rPr>
        <w:t xml:space="preserve">pplication for service approval </w:t>
      </w:r>
      <w:r>
        <w:rPr>
          <w:rFonts w:asciiTheme="minorHAnsi" w:hAnsiTheme="minorHAnsi" w:cstheme="minorHAnsi"/>
          <w:sz w:val="22"/>
          <w:szCs w:val="22"/>
        </w:rPr>
        <w:t>is costed</w:t>
      </w:r>
      <w:r w:rsidRPr="000107A9">
        <w:rPr>
          <w:rFonts w:asciiTheme="minorHAnsi" w:hAnsiTheme="minorHAnsi" w:cstheme="minorHAnsi"/>
          <w:sz w:val="22"/>
          <w:szCs w:val="22"/>
        </w:rPr>
        <w:t xml:space="preserve"> </w:t>
      </w:r>
      <w:r w:rsidRPr="001F55FB">
        <w:rPr>
          <w:rFonts w:asciiTheme="minorHAnsi" w:hAnsiTheme="minorHAnsi" w:cstheme="minorHAnsi"/>
          <w:b/>
          <w:sz w:val="22"/>
          <w:szCs w:val="22"/>
        </w:rPr>
        <w:t>per service</w:t>
      </w:r>
      <w:r w:rsidRPr="001F55FB">
        <w:rPr>
          <w:rFonts w:asciiTheme="minorHAnsi" w:hAnsiTheme="minorHAnsi" w:cstheme="minorHAnsi"/>
          <w:sz w:val="22"/>
          <w:szCs w:val="22"/>
        </w:rPr>
        <w:t xml:space="preserve"> – allowing a provider to operate a number of services under the one provider approval</w:t>
      </w:r>
      <w:r>
        <w:rPr>
          <w:rFonts w:asciiTheme="minorHAnsi" w:hAnsiTheme="minorHAnsi" w:cstheme="minorHAnsi"/>
          <w:sz w:val="22"/>
          <w:szCs w:val="22"/>
        </w:rPr>
        <w:t xml:space="preserve"> and across both regulatory regimes</w:t>
      </w:r>
      <w:r w:rsidRPr="001F55FB">
        <w:rPr>
          <w:rFonts w:asciiTheme="minorHAnsi" w:hAnsiTheme="minorHAnsi" w:cstheme="minorHAnsi"/>
          <w:sz w:val="22"/>
          <w:szCs w:val="22"/>
        </w:rPr>
        <w:t>.</w:t>
      </w:r>
      <w:r>
        <w:rPr>
          <w:rFonts w:asciiTheme="minorHAnsi" w:hAnsiTheme="minorHAnsi" w:cstheme="minorHAnsi"/>
          <w:sz w:val="22"/>
          <w:szCs w:val="22"/>
        </w:rPr>
        <w:t xml:space="preserve"> Furthermore, the service approval is </w:t>
      </w:r>
      <w:r w:rsidRPr="00D21C6D">
        <w:rPr>
          <w:rFonts w:asciiTheme="minorHAnsi" w:hAnsiTheme="minorHAnsi" w:cstheme="minorHAnsi"/>
          <w:b/>
          <w:sz w:val="22"/>
          <w:szCs w:val="22"/>
        </w:rPr>
        <w:t>perpetual</w:t>
      </w:r>
      <w:r w:rsidR="002D240A">
        <w:rPr>
          <w:rFonts w:asciiTheme="minorHAnsi" w:hAnsiTheme="minorHAnsi" w:cstheme="minorHAnsi"/>
          <w:sz w:val="22"/>
          <w:szCs w:val="22"/>
        </w:rPr>
        <w:t xml:space="preserve"> – </w:t>
      </w:r>
      <w:r>
        <w:rPr>
          <w:rFonts w:asciiTheme="minorHAnsi" w:hAnsiTheme="minorHAnsi" w:cstheme="minorHAnsi"/>
          <w:sz w:val="22"/>
          <w:szCs w:val="22"/>
        </w:rPr>
        <w:t>removing the necessity to</w:t>
      </w:r>
      <w:r w:rsidR="002D240A">
        <w:rPr>
          <w:rFonts w:asciiTheme="minorHAnsi" w:hAnsiTheme="minorHAnsi" w:cstheme="minorHAnsi"/>
          <w:sz w:val="22"/>
          <w:szCs w:val="22"/>
        </w:rPr>
        <w:t xml:space="preserve"> apply to</w:t>
      </w:r>
      <w:r>
        <w:rPr>
          <w:rFonts w:asciiTheme="minorHAnsi" w:hAnsiTheme="minorHAnsi" w:cstheme="minorHAnsi"/>
          <w:sz w:val="22"/>
          <w:szCs w:val="22"/>
        </w:rPr>
        <w:t xml:space="preserve"> renew a licence periodically, which carries administrative burden in the preparation of paperwork to</w:t>
      </w:r>
      <w:r w:rsidR="002D240A">
        <w:rPr>
          <w:rFonts w:asciiTheme="minorHAnsi" w:hAnsiTheme="minorHAnsi" w:cstheme="minorHAnsi"/>
          <w:sz w:val="22"/>
          <w:szCs w:val="22"/>
        </w:rPr>
        <w:t xml:space="preserve"> support the application.</w:t>
      </w:r>
    </w:p>
    <w:p w14:paraId="03819FFE" w14:textId="77777777" w:rsidR="00F46104" w:rsidRDefault="00F46104" w:rsidP="00F46104">
      <w:pPr>
        <w:pStyle w:val="EYBodytextwithparaspace"/>
        <w:spacing w:before="120" w:after="120"/>
        <w:rPr>
          <w:rFonts w:asciiTheme="minorHAnsi" w:hAnsiTheme="minorHAnsi" w:cstheme="minorHAnsi"/>
          <w:sz w:val="22"/>
          <w:szCs w:val="22"/>
        </w:rPr>
      </w:pPr>
      <w:r w:rsidRPr="0099713C">
        <w:rPr>
          <w:rFonts w:asciiTheme="minorHAnsi" w:hAnsiTheme="minorHAnsi" w:cstheme="minorHAnsi"/>
          <w:sz w:val="22"/>
          <w:szCs w:val="22"/>
        </w:rPr>
        <w:t>Appendix 10.5b</w:t>
      </w:r>
      <w:r>
        <w:rPr>
          <w:rFonts w:asciiTheme="minorHAnsi" w:hAnsiTheme="minorHAnsi" w:cstheme="minorHAnsi"/>
          <w:sz w:val="22"/>
          <w:szCs w:val="22"/>
        </w:rPr>
        <w:t xml:space="preserve"> details the fee unit and dollar value of the proposed fee structure for Occasional Care and Limited Hours service types.</w:t>
      </w:r>
    </w:p>
    <w:p w14:paraId="187913A7" w14:textId="77CE6862" w:rsidR="00F46104" w:rsidRPr="00AB4420" w:rsidRDefault="00F46104" w:rsidP="00F46104">
      <w:pPr>
        <w:pStyle w:val="EYBodytextwithparaspace"/>
        <w:spacing w:before="120" w:after="120"/>
        <w:rPr>
          <w:rFonts w:asciiTheme="minorHAnsi" w:hAnsiTheme="minorHAnsi" w:cstheme="minorHAnsi"/>
          <w:b/>
          <w:sz w:val="22"/>
          <w:szCs w:val="22"/>
        </w:rPr>
      </w:pPr>
      <w:r>
        <w:rPr>
          <w:rFonts w:asciiTheme="minorHAnsi" w:hAnsiTheme="minorHAnsi" w:cstheme="minorHAnsi"/>
          <w:b/>
          <w:sz w:val="22"/>
          <w:szCs w:val="22"/>
        </w:rPr>
        <w:t xml:space="preserve">New Market Entry – </w:t>
      </w:r>
      <w:r w:rsidR="002D240A">
        <w:rPr>
          <w:rFonts w:asciiTheme="minorHAnsi" w:hAnsiTheme="minorHAnsi" w:cstheme="minorHAnsi"/>
          <w:b/>
          <w:sz w:val="22"/>
          <w:szCs w:val="22"/>
        </w:rPr>
        <w:t>cost of initial approvals</w:t>
      </w:r>
    </w:p>
    <w:p w14:paraId="77F399A6" w14:textId="77777777" w:rsidR="00F46104" w:rsidRDefault="00F46104" w:rsidP="00F46104">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t>E</w:t>
      </w:r>
      <w:r w:rsidRPr="000107A9">
        <w:rPr>
          <w:rFonts w:asciiTheme="minorHAnsi" w:hAnsiTheme="minorHAnsi" w:cstheme="minorHAnsi"/>
          <w:sz w:val="22"/>
          <w:szCs w:val="22"/>
        </w:rPr>
        <w:t>xamples are provided below</w:t>
      </w:r>
      <w:r>
        <w:rPr>
          <w:rFonts w:asciiTheme="minorHAnsi" w:hAnsiTheme="minorHAnsi" w:cstheme="minorHAnsi"/>
          <w:sz w:val="22"/>
          <w:szCs w:val="22"/>
        </w:rPr>
        <w:t xml:space="preserve"> to illustrate how providers/services </w:t>
      </w:r>
      <w:r w:rsidRPr="0067739C">
        <w:rPr>
          <w:rFonts w:asciiTheme="minorHAnsi" w:hAnsiTheme="minorHAnsi" w:cstheme="minorHAnsi"/>
          <w:b/>
          <w:sz w:val="22"/>
          <w:szCs w:val="22"/>
        </w:rPr>
        <w:t>entering the market</w:t>
      </w:r>
      <w:r>
        <w:rPr>
          <w:rFonts w:asciiTheme="minorHAnsi" w:hAnsiTheme="minorHAnsi" w:cstheme="minorHAnsi"/>
          <w:sz w:val="22"/>
          <w:szCs w:val="22"/>
        </w:rPr>
        <w:t xml:space="preserve"> may experience the proposed</w:t>
      </w:r>
      <w:r w:rsidRPr="000107A9">
        <w:rPr>
          <w:rFonts w:asciiTheme="minorHAnsi" w:hAnsiTheme="minorHAnsi" w:cstheme="minorHAnsi"/>
          <w:sz w:val="22"/>
          <w:szCs w:val="22"/>
        </w:rPr>
        <w:t xml:space="preserve"> </w:t>
      </w:r>
      <w:r>
        <w:rPr>
          <w:rFonts w:asciiTheme="minorHAnsi" w:hAnsiTheme="minorHAnsi" w:cstheme="minorHAnsi"/>
          <w:sz w:val="22"/>
          <w:szCs w:val="22"/>
        </w:rPr>
        <w:t xml:space="preserve">fee structure, as well as comparison against the NQF structure. The examples are based on the </w:t>
      </w:r>
      <w:r w:rsidRPr="00AB4420">
        <w:rPr>
          <w:rFonts w:asciiTheme="minorHAnsi" w:hAnsiTheme="minorHAnsi" w:cstheme="minorHAnsi"/>
          <w:b/>
          <w:sz w:val="22"/>
          <w:szCs w:val="22"/>
        </w:rPr>
        <w:t>16 to 30</w:t>
      </w:r>
      <w:r>
        <w:rPr>
          <w:rFonts w:asciiTheme="minorHAnsi" w:hAnsiTheme="minorHAnsi" w:cstheme="minorHAnsi"/>
          <w:sz w:val="22"/>
          <w:szCs w:val="22"/>
        </w:rPr>
        <w:t xml:space="preserve"> approved places bracket and should be viewed in conjunction </w:t>
      </w:r>
      <w:r w:rsidRPr="0099713C">
        <w:rPr>
          <w:rFonts w:asciiTheme="minorHAnsi" w:hAnsiTheme="minorHAnsi" w:cstheme="minorHAnsi"/>
          <w:sz w:val="22"/>
          <w:szCs w:val="22"/>
        </w:rPr>
        <w:t>with the full fee structures shown in Appendix 10.5a (current structure) and Appendix 10.5b</w:t>
      </w:r>
      <w:r>
        <w:rPr>
          <w:rFonts w:asciiTheme="minorHAnsi" w:hAnsiTheme="minorHAnsi" w:cstheme="minorHAnsi"/>
          <w:sz w:val="22"/>
          <w:szCs w:val="22"/>
        </w:rPr>
        <w:t xml:space="preserve"> proposed structure.</w:t>
      </w:r>
    </w:p>
    <w:p w14:paraId="575A670B" w14:textId="6C55D1B9" w:rsidR="00F46104" w:rsidRDefault="00F46104" w:rsidP="00F46104">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Under the current Regulations, to</w:t>
      </w:r>
      <w:r w:rsidR="002D240A">
        <w:rPr>
          <w:rFonts w:asciiTheme="minorHAnsi" w:hAnsiTheme="minorHAnsi" w:cstheme="minorHAnsi"/>
          <w:sz w:val="22"/>
          <w:szCs w:val="22"/>
        </w:rPr>
        <w:t xml:space="preserve"> obtain the necessary initial approvals to operate</w:t>
      </w:r>
      <w:r w:rsidRPr="000107A9">
        <w:rPr>
          <w:rFonts w:asciiTheme="minorHAnsi" w:hAnsiTheme="minorHAnsi" w:cstheme="minorHAnsi"/>
          <w:sz w:val="22"/>
          <w:szCs w:val="22"/>
        </w:rPr>
        <w:t xml:space="preserve"> </w:t>
      </w:r>
      <w:r w:rsidR="002D240A">
        <w:rPr>
          <w:rFonts w:asciiTheme="minorHAnsi" w:hAnsiTheme="minorHAnsi" w:cstheme="minorHAnsi"/>
          <w:sz w:val="22"/>
          <w:szCs w:val="22"/>
        </w:rPr>
        <w:t>a</w:t>
      </w:r>
      <w:r w:rsidRPr="000107A9">
        <w:rPr>
          <w:rFonts w:asciiTheme="minorHAnsi" w:hAnsiTheme="minorHAnsi" w:cstheme="minorHAnsi"/>
          <w:sz w:val="22"/>
          <w:szCs w:val="22"/>
        </w:rPr>
        <w:t xml:space="preserve"> children’s service with between 16 and 30 approved places under a one-year Standard Licence would cost 41 fee units ($607.21). The bulk of the cost is associated with the application for approval of premises and this cost rises incrementally based on the number of approved places. Similarly, to </w:t>
      </w:r>
      <w:r w:rsidRPr="000107A9">
        <w:rPr>
          <w:rFonts w:asciiTheme="minorHAnsi" w:hAnsiTheme="minorHAnsi" w:cstheme="minorHAnsi"/>
          <w:sz w:val="22"/>
          <w:szCs w:val="22"/>
        </w:rPr>
        <w:lastRenderedPageBreak/>
        <w:t>set up a children’s service with between 16 and 30 approved places under a Limited Hours type 2 (most common) Licence would cost 20 fee units ($296.20) – as shown in the table below.</w:t>
      </w:r>
    </w:p>
    <w:tbl>
      <w:tblPr>
        <w:tblStyle w:val="TableGrid"/>
        <w:tblW w:w="9493" w:type="dxa"/>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5524"/>
        <w:gridCol w:w="1984"/>
        <w:gridCol w:w="1985"/>
      </w:tblGrid>
      <w:tr w:rsidR="00F46104" w:rsidRPr="009847E7" w14:paraId="4789B4CA" w14:textId="77777777" w:rsidTr="00F46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3"/>
            <w:hideMark/>
          </w:tcPr>
          <w:p w14:paraId="42300702" w14:textId="2CCBB8A8" w:rsidR="00F46104" w:rsidRPr="009847E7" w:rsidRDefault="00F46104" w:rsidP="008B3077">
            <w:pPr>
              <w:pStyle w:val="EYBodytextwithparaspace"/>
              <w:spacing w:after="60"/>
              <w:rPr>
                <w:rFonts w:ascii="Arial Narrow" w:hAnsi="Arial Narrow" w:cstheme="minorHAnsi"/>
                <w:sz w:val="22"/>
                <w:szCs w:val="22"/>
              </w:rPr>
            </w:pPr>
            <w:r w:rsidRPr="009847E7">
              <w:rPr>
                <w:rFonts w:ascii="Arial Narrow" w:hAnsi="Arial Narrow" w:cstheme="minorHAnsi"/>
                <w:sz w:val="22"/>
                <w:szCs w:val="22"/>
              </w:rPr>
              <w:t>Children's Services Regulations</w:t>
            </w:r>
            <w:r>
              <w:rPr>
                <w:rFonts w:ascii="Arial Narrow" w:hAnsi="Arial Narrow" w:cstheme="minorHAnsi"/>
                <w:sz w:val="22"/>
                <w:szCs w:val="22"/>
              </w:rPr>
              <w:t xml:space="preserve"> 2009</w:t>
            </w:r>
            <w:r w:rsidRPr="009847E7">
              <w:rPr>
                <w:rFonts w:ascii="Arial Narrow" w:hAnsi="Arial Narrow" w:cstheme="minorHAnsi"/>
                <w:sz w:val="22"/>
                <w:szCs w:val="22"/>
              </w:rPr>
              <w:t xml:space="preserve"> </w:t>
            </w:r>
            <w:r>
              <w:rPr>
                <w:rFonts w:ascii="Arial Narrow" w:hAnsi="Arial Narrow" w:cstheme="minorHAnsi"/>
                <w:sz w:val="22"/>
                <w:szCs w:val="22"/>
              </w:rPr>
              <w:t>–</w:t>
            </w:r>
            <w:r w:rsidRPr="009847E7">
              <w:rPr>
                <w:rFonts w:ascii="Arial Narrow" w:hAnsi="Arial Narrow" w:cstheme="minorHAnsi"/>
                <w:sz w:val="22"/>
                <w:szCs w:val="22"/>
              </w:rPr>
              <w:t xml:space="preserve"> </w:t>
            </w:r>
            <w:r w:rsidRPr="0050070E">
              <w:rPr>
                <w:rFonts w:ascii="Arial Narrow" w:hAnsi="Arial Narrow" w:cstheme="minorHAnsi"/>
                <w:sz w:val="22"/>
                <w:szCs w:val="22"/>
              </w:rPr>
              <w:t>Current</w:t>
            </w:r>
            <w:r w:rsidRPr="009847E7">
              <w:rPr>
                <w:rFonts w:ascii="Arial Narrow" w:hAnsi="Arial Narrow" w:cstheme="minorHAnsi"/>
                <w:sz w:val="22"/>
                <w:szCs w:val="22"/>
              </w:rPr>
              <w:t xml:space="preserve"> cost</w:t>
            </w:r>
            <w:r w:rsidR="002D240A">
              <w:rPr>
                <w:rFonts w:ascii="Arial Narrow" w:hAnsi="Arial Narrow" w:cstheme="minorHAnsi"/>
                <w:sz w:val="22"/>
                <w:szCs w:val="22"/>
              </w:rPr>
              <w:t xml:space="preserve"> of initial approvals</w:t>
            </w:r>
          </w:p>
        </w:tc>
      </w:tr>
      <w:tr w:rsidR="00F46104" w:rsidRPr="009847E7" w14:paraId="1DD3CA05" w14:textId="77777777" w:rsidTr="002D240A">
        <w:tc>
          <w:tcPr>
            <w:cnfStyle w:val="001000000000" w:firstRow="0" w:lastRow="0" w:firstColumn="1" w:lastColumn="0" w:oddVBand="0" w:evenVBand="0" w:oddHBand="0" w:evenHBand="0" w:firstRowFirstColumn="0" w:firstRowLastColumn="0" w:lastRowFirstColumn="0" w:lastRowLastColumn="0"/>
            <w:tcW w:w="5524" w:type="dxa"/>
            <w:vMerge w:val="restart"/>
            <w:hideMark/>
          </w:tcPr>
          <w:p w14:paraId="08E973CA" w14:textId="77777777" w:rsidR="00F46104" w:rsidRPr="009847E7" w:rsidRDefault="00F46104" w:rsidP="00F46104">
            <w:pPr>
              <w:pStyle w:val="EYBodytextwithparaspace"/>
              <w:spacing w:after="60"/>
              <w:rPr>
                <w:rFonts w:ascii="Arial Narrow" w:hAnsi="Arial Narrow" w:cstheme="minorHAnsi"/>
                <w:b/>
                <w:color w:val="auto"/>
                <w:sz w:val="22"/>
                <w:szCs w:val="22"/>
              </w:rPr>
            </w:pPr>
            <w:r w:rsidRPr="009847E7">
              <w:rPr>
                <w:rFonts w:ascii="Arial Narrow" w:hAnsi="Arial Narrow" w:cstheme="minorHAnsi"/>
                <w:b/>
                <w:color w:val="auto"/>
                <w:sz w:val="22"/>
                <w:szCs w:val="22"/>
              </w:rPr>
              <w:t>Fee Transaction and Section of the Law</w:t>
            </w:r>
          </w:p>
        </w:tc>
        <w:tc>
          <w:tcPr>
            <w:tcW w:w="1984" w:type="dxa"/>
            <w:noWrap/>
            <w:hideMark/>
          </w:tcPr>
          <w:p w14:paraId="7F0BCE04" w14:textId="77777777" w:rsidR="00F46104" w:rsidRPr="009847E7" w:rsidRDefault="00F46104" w:rsidP="00F46104">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9847E7">
              <w:rPr>
                <w:rFonts w:ascii="Arial Narrow" w:hAnsi="Arial Narrow" w:cstheme="minorHAnsi"/>
                <w:b/>
                <w:sz w:val="22"/>
                <w:szCs w:val="22"/>
              </w:rPr>
              <w:t>Standard Licence</w:t>
            </w:r>
          </w:p>
        </w:tc>
        <w:tc>
          <w:tcPr>
            <w:tcW w:w="1985" w:type="dxa"/>
            <w:noWrap/>
            <w:hideMark/>
          </w:tcPr>
          <w:p w14:paraId="02EB7428" w14:textId="77777777" w:rsidR="00F46104" w:rsidRPr="009847E7" w:rsidRDefault="00F46104" w:rsidP="00F46104">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sidRPr="009847E7">
              <w:rPr>
                <w:rFonts w:ascii="Arial Narrow" w:hAnsi="Arial Narrow" w:cstheme="minorHAnsi"/>
                <w:b/>
                <w:sz w:val="22"/>
                <w:szCs w:val="22"/>
              </w:rPr>
              <w:t>Limited Hours 2</w:t>
            </w:r>
          </w:p>
        </w:tc>
      </w:tr>
      <w:tr w:rsidR="00F46104" w:rsidRPr="009847E7" w14:paraId="408B35CD" w14:textId="77777777" w:rsidTr="002D240A">
        <w:trPr>
          <w:trHeight w:val="130"/>
        </w:trPr>
        <w:tc>
          <w:tcPr>
            <w:cnfStyle w:val="001000000000" w:firstRow="0" w:lastRow="0" w:firstColumn="1" w:lastColumn="0" w:oddVBand="0" w:evenVBand="0" w:oddHBand="0" w:evenHBand="0" w:firstRowFirstColumn="0" w:firstRowLastColumn="0" w:lastRowFirstColumn="0" w:lastRowLastColumn="0"/>
            <w:tcW w:w="5524" w:type="dxa"/>
            <w:vMerge/>
            <w:hideMark/>
          </w:tcPr>
          <w:p w14:paraId="60F9F117" w14:textId="77777777" w:rsidR="00F46104" w:rsidRPr="009847E7" w:rsidRDefault="00F46104" w:rsidP="00F46104">
            <w:pPr>
              <w:pStyle w:val="EYBodytextwithparaspace"/>
              <w:spacing w:after="60"/>
              <w:rPr>
                <w:rFonts w:ascii="Arial Narrow" w:hAnsi="Arial Narrow" w:cstheme="minorHAnsi"/>
                <w:b/>
                <w:color w:val="auto"/>
                <w:sz w:val="22"/>
                <w:szCs w:val="22"/>
              </w:rPr>
            </w:pPr>
          </w:p>
        </w:tc>
        <w:tc>
          <w:tcPr>
            <w:tcW w:w="1984" w:type="dxa"/>
            <w:noWrap/>
            <w:hideMark/>
          </w:tcPr>
          <w:p w14:paraId="6FA2F6F0" w14:textId="77777777" w:rsidR="00F46104" w:rsidRPr="009847E7" w:rsidRDefault="00F46104" w:rsidP="00F46104">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bCs/>
                <w:sz w:val="22"/>
                <w:szCs w:val="22"/>
                <w:lang w:eastAsia="en-AU"/>
              </w:rPr>
            </w:pPr>
            <w:r w:rsidRPr="009847E7">
              <w:rPr>
                <w:rFonts w:ascii="Arial Narrow" w:hAnsi="Arial Narrow" w:cstheme="minorHAnsi"/>
                <w:b/>
                <w:sz w:val="22"/>
                <w:szCs w:val="22"/>
              </w:rPr>
              <w:t>16 – 30</w:t>
            </w:r>
          </w:p>
        </w:tc>
        <w:tc>
          <w:tcPr>
            <w:tcW w:w="1985" w:type="dxa"/>
            <w:noWrap/>
            <w:hideMark/>
          </w:tcPr>
          <w:p w14:paraId="59E8517E" w14:textId="77777777" w:rsidR="00F46104" w:rsidRPr="009847E7" w:rsidRDefault="00F46104" w:rsidP="00F46104">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bCs/>
                <w:sz w:val="22"/>
                <w:szCs w:val="22"/>
                <w:lang w:eastAsia="en-AU"/>
              </w:rPr>
            </w:pPr>
            <w:r w:rsidRPr="009847E7">
              <w:rPr>
                <w:rFonts w:ascii="Arial Narrow" w:hAnsi="Arial Narrow" w:cstheme="minorHAnsi"/>
                <w:b/>
                <w:sz w:val="22"/>
                <w:szCs w:val="22"/>
              </w:rPr>
              <w:t>16 – 30</w:t>
            </w:r>
          </w:p>
        </w:tc>
      </w:tr>
      <w:tr w:rsidR="00F46104" w:rsidRPr="009847E7" w14:paraId="77FBB2D0" w14:textId="77777777" w:rsidTr="002D240A">
        <w:tc>
          <w:tcPr>
            <w:cnfStyle w:val="001000000000" w:firstRow="0" w:lastRow="0" w:firstColumn="1" w:lastColumn="0" w:oddVBand="0" w:evenVBand="0" w:oddHBand="0" w:evenHBand="0" w:firstRowFirstColumn="0" w:firstRowLastColumn="0" w:lastRowFirstColumn="0" w:lastRowLastColumn="0"/>
            <w:tcW w:w="5524" w:type="dxa"/>
            <w:hideMark/>
          </w:tcPr>
          <w:p w14:paraId="379BC9F2" w14:textId="77777777" w:rsidR="00F46104" w:rsidRPr="009847E7" w:rsidRDefault="00F46104" w:rsidP="00F46104">
            <w:pPr>
              <w:pStyle w:val="EYBodytextwithparaspace"/>
              <w:spacing w:after="60"/>
              <w:rPr>
                <w:rFonts w:ascii="Arial Narrow" w:hAnsi="Arial Narrow" w:cstheme="minorHAnsi"/>
                <w:sz w:val="22"/>
                <w:szCs w:val="22"/>
              </w:rPr>
            </w:pPr>
            <w:r w:rsidRPr="009847E7">
              <w:rPr>
                <w:rFonts w:ascii="Arial Narrow" w:hAnsi="Arial Narrow" w:cstheme="minorHAnsi"/>
                <w:sz w:val="22"/>
                <w:szCs w:val="22"/>
              </w:rPr>
              <w:t>Application for approval of premises (Schedule 2, Part 1 - r6)</w:t>
            </w:r>
          </w:p>
        </w:tc>
        <w:tc>
          <w:tcPr>
            <w:tcW w:w="1984" w:type="dxa"/>
            <w:noWrap/>
          </w:tcPr>
          <w:p w14:paraId="6E9F25E6" w14:textId="45619645" w:rsidR="00F46104" w:rsidRPr="009847E7" w:rsidRDefault="008B3077" w:rsidP="008B3077">
            <w:pPr>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 xml:space="preserve">$459.11 </w:t>
            </w:r>
            <w:r w:rsidR="00F46104" w:rsidRPr="009847E7">
              <w:rPr>
                <w:rFonts w:cstheme="minorHAnsi"/>
                <w:szCs w:val="22"/>
              </w:rPr>
              <w:t>(31)</w:t>
            </w:r>
            <w:r>
              <w:rPr>
                <w:rFonts w:cstheme="minorHAnsi"/>
                <w:szCs w:val="22"/>
              </w:rPr>
              <w:t>*</w:t>
            </w:r>
          </w:p>
        </w:tc>
        <w:tc>
          <w:tcPr>
            <w:tcW w:w="1985" w:type="dxa"/>
            <w:noWrap/>
          </w:tcPr>
          <w:p w14:paraId="6A7DD25A" w14:textId="57C76186" w:rsidR="00F46104" w:rsidRPr="009847E7" w:rsidRDefault="008B3077" w:rsidP="008B3077">
            <w:pPr>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 xml:space="preserve">$222.15 </w:t>
            </w:r>
            <w:r w:rsidR="00F46104" w:rsidRPr="009847E7">
              <w:rPr>
                <w:rFonts w:cstheme="minorHAnsi"/>
                <w:szCs w:val="22"/>
              </w:rPr>
              <w:t>(15)</w:t>
            </w:r>
          </w:p>
        </w:tc>
      </w:tr>
      <w:tr w:rsidR="00F46104" w:rsidRPr="009847E7" w14:paraId="2DD3975D" w14:textId="77777777" w:rsidTr="002D240A">
        <w:tc>
          <w:tcPr>
            <w:cnfStyle w:val="001000000000" w:firstRow="0" w:lastRow="0" w:firstColumn="1" w:lastColumn="0" w:oddVBand="0" w:evenVBand="0" w:oddHBand="0" w:evenHBand="0" w:firstRowFirstColumn="0" w:firstRowLastColumn="0" w:lastRowFirstColumn="0" w:lastRowLastColumn="0"/>
            <w:tcW w:w="5524" w:type="dxa"/>
            <w:hideMark/>
          </w:tcPr>
          <w:p w14:paraId="0E07D9E4" w14:textId="68F2EDFB" w:rsidR="00F46104" w:rsidRPr="009847E7" w:rsidRDefault="00F46104" w:rsidP="00F46104">
            <w:pPr>
              <w:pStyle w:val="EYBodytextwithparaspace"/>
              <w:spacing w:after="60"/>
              <w:rPr>
                <w:rFonts w:ascii="Arial Narrow" w:hAnsi="Arial Narrow" w:cstheme="minorHAnsi"/>
                <w:sz w:val="22"/>
                <w:szCs w:val="22"/>
              </w:rPr>
            </w:pPr>
            <w:r w:rsidRPr="009847E7">
              <w:rPr>
                <w:rFonts w:ascii="Arial Narrow" w:hAnsi="Arial Narrow" w:cstheme="minorHAnsi"/>
                <w:sz w:val="22"/>
                <w:szCs w:val="22"/>
              </w:rPr>
              <w:t>Licence to operate a children's service (Schedule 2, Part 2 - r8)</w:t>
            </w:r>
            <w:r w:rsidR="002D240A">
              <w:rPr>
                <w:rFonts w:ascii="Arial Narrow" w:hAnsi="Arial Narrow" w:cstheme="minorHAnsi"/>
                <w:sz w:val="22"/>
                <w:szCs w:val="22"/>
              </w:rPr>
              <w:t xml:space="preserve"> – ongoing licence renewal required for future continued operation</w:t>
            </w:r>
          </w:p>
        </w:tc>
        <w:tc>
          <w:tcPr>
            <w:tcW w:w="1984" w:type="dxa"/>
            <w:noWrap/>
          </w:tcPr>
          <w:p w14:paraId="5E3EAAE9" w14:textId="2FB6AD78" w:rsidR="00F46104" w:rsidRPr="009847E7" w:rsidRDefault="00F46104" w:rsidP="008B307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9847E7">
              <w:rPr>
                <w:rFonts w:ascii="Arial Narrow" w:hAnsi="Arial Narrow" w:cstheme="minorHAnsi"/>
                <w:sz w:val="22"/>
                <w:szCs w:val="22"/>
              </w:rPr>
              <w:t>$148.10 (10)</w:t>
            </w:r>
          </w:p>
        </w:tc>
        <w:tc>
          <w:tcPr>
            <w:tcW w:w="1985" w:type="dxa"/>
            <w:noWrap/>
          </w:tcPr>
          <w:p w14:paraId="252F977F" w14:textId="59BE7150" w:rsidR="00F46104" w:rsidRPr="009847E7" w:rsidRDefault="008B3077" w:rsidP="008B307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 xml:space="preserve">$74.05 </w:t>
            </w:r>
            <w:r w:rsidR="00F46104" w:rsidRPr="009847E7">
              <w:rPr>
                <w:rFonts w:ascii="Arial Narrow" w:hAnsi="Arial Narrow" w:cstheme="minorHAnsi"/>
                <w:sz w:val="22"/>
                <w:szCs w:val="22"/>
              </w:rPr>
              <w:t>(5)</w:t>
            </w:r>
          </w:p>
        </w:tc>
      </w:tr>
      <w:tr w:rsidR="00F46104" w:rsidRPr="009847E7" w14:paraId="4813D990" w14:textId="77777777" w:rsidTr="002D240A">
        <w:tc>
          <w:tcPr>
            <w:cnfStyle w:val="001000000000" w:firstRow="0" w:lastRow="0" w:firstColumn="1" w:lastColumn="0" w:oddVBand="0" w:evenVBand="0" w:oddHBand="0" w:evenHBand="0" w:firstRowFirstColumn="0" w:firstRowLastColumn="0" w:lastRowFirstColumn="0" w:lastRowLastColumn="0"/>
            <w:tcW w:w="5524" w:type="dxa"/>
            <w:hideMark/>
          </w:tcPr>
          <w:p w14:paraId="2962956A" w14:textId="27C92BCB" w:rsidR="00F46104" w:rsidRPr="009847E7" w:rsidRDefault="002D240A" w:rsidP="00F46104">
            <w:pPr>
              <w:pStyle w:val="EYBodytextwithparaspace"/>
              <w:spacing w:after="60"/>
              <w:rPr>
                <w:rFonts w:ascii="Arial Narrow" w:hAnsi="Arial Narrow" w:cstheme="minorHAnsi"/>
                <w:b/>
                <w:sz w:val="22"/>
                <w:szCs w:val="22"/>
              </w:rPr>
            </w:pPr>
            <w:r>
              <w:rPr>
                <w:rFonts w:ascii="Arial Narrow" w:hAnsi="Arial Narrow" w:cstheme="minorHAnsi"/>
                <w:b/>
                <w:sz w:val="22"/>
                <w:szCs w:val="22"/>
              </w:rPr>
              <w:t>Cost of initial approvals</w:t>
            </w:r>
            <w:r w:rsidR="00F46104" w:rsidRPr="009847E7">
              <w:rPr>
                <w:rFonts w:ascii="Arial Narrow" w:hAnsi="Arial Narrow" w:cstheme="minorHAnsi"/>
                <w:b/>
                <w:sz w:val="22"/>
                <w:szCs w:val="22"/>
              </w:rPr>
              <w:t xml:space="preserve"> for new services</w:t>
            </w:r>
          </w:p>
        </w:tc>
        <w:tc>
          <w:tcPr>
            <w:tcW w:w="1984" w:type="dxa"/>
          </w:tcPr>
          <w:p w14:paraId="460ADA0D" w14:textId="59C087CA" w:rsidR="00F46104" w:rsidRPr="009847E7" w:rsidRDefault="008B3077" w:rsidP="008B307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Pr>
                <w:rFonts w:ascii="Arial Narrow" w:hAnsi="Arial Narrow" w:cstheme="minorHAnsi"/>
                <w:b/>
                <w:sz w:val="22"/>
                <w:szCs w:val="22"/>
              </w:rPr>
              <w:t xml:space="preserve">$607.21 </w:t>
            </w:r>
            <w:r w:rsidR="00F46104" w:rsidRPr="009847E7">
              <w:rPr>
                <w:rFonts w:ascii="Arial Narrow" w:hAnsi="Arial Narrow" w:cstheme="minorHAnsi"/>
                <w:b/>
                <w:sz w:val="22"/>
                <w:szCs w:val="22"/>
              </w:rPr>
              <w:t>(41)</w:t>
            </w:r>
          </w:p>
        </w:tc>
        <w:tc>
          <w:tcPr>
            <w:tcW w:w="1985" w:type="dxa"/>
          </w:tcPr>
          <w:p w14:paraId="295BF6B2" w14:textId="3F7B8568" w:rsidR="00F46104" w:rsidRPr="009847E7" w:rsidRDefault="008B3077" w:rsidP="008B307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b/>
                <w:sz w:val="22"/>
                <w:szCs w:val="22"/>
              </w:rPr>
            </w:pPr>
            <w:r>
              <w:rPr>
                <w:rFonts w:ascii="Arial Narrow" w:hAnsi="Arial Narrow" w:cstheme="minorHAnsi"/>
                <w:b/>
                <w:sz w:val="22"/>
                <w:szCs w:val="22"/>
              </w:rPr>
              <w:t xml:space="preserve">$296.20 </w:t>
            </w:r>
            <w:r w:rsidR="00F46104" w:rsidRPr="009847E7">
              <w:rPr>
                <w:rFonts w:ascii="Arial Narrow" w:hAnsi="Arial Narrow" w:cstheme="minorHAnsi"/>
                <w:b/>
                <w:sz w:val="22"/>
                <w:szCs w:val="22"/>
              </w:rPr>
              <w:t>(20)</w:t>
            </w:r>
          </w:p>
        </w:tc>
      </w:tr>
    </w:tbl>
    <w:p w14:paraId="7C0A5498" w14:textId="79C78898" w:rsidR="008B3077" w:rsidRPr="008B3077" w:rsidRDefault="008B3077" w:rsidP="00F46104">
      <w:pPr>
        <w:pStyle w:val="EYBodytextwithparaspace"/>
        <w:spacing w:before="120" w:after="120"/>
        <w:rPr>
          <w:rFonts w:asciiTheme="minorHAnsi" w:hAnsiTheme="minorHAnsi" w:cstheme="minorHAnsi"/>
          <w:i/>
        </w:rPr>
      </w:pPr>
      <w:r>
        <w:rPr>
          <w:rFonts w:asciiTheme="minorHAnsi" w:hAnsiTheme="minorHAnsi" w:cstheme="minorHAnsi"/>
          <w:i/>
        </w:rPr>
        <w:t>*</w:t>
      </w:r>
      <w:r w:rsidRPr="008B3077">
        <w:rPr>
          <w:rFonts w:asciiTheme="minorHAnsi" w:hAnsiTheme="minorHAnsi" w:cstheme="minorHAnsi"/>
          <w:i/>
        </w:rPr>
        <w:t>Fee units shown in brackets</w:t>
      </w:r>
    </w:p>
    <w:p w14:paraId="3C8E4D6B" w14:textId="771F04DC" w:rsidR="00F46104" w:rsidRPr="000107A9" w:rsidRDefault="00F46104" w:rsidP="00F46104">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Under the proposed Regulations and associated fee structure, the approval process will be more </w:t>
      </w:r>
      <w:r w:rsidR="002D240A">
        <w:rPr>
          <w:rFonts w:asciiTheme="minorHAnsi" w:hAnsiTheme="minorHAnsi" w:cstheme="minorHAnsi"/>
          <w:sz w:val="22"/>
          <w:szCs w:val="22"/>
        </w:rPr>
        <w:t>consistent</w:t>
      </w:r>
      <w:r w:rsidRPr="000107A9">
        <w:rPr>
          <w:rFonts w:asciiTheme="minorHAnsi" w:hAnsiTheme="minorHAnsi" w:cstheme="minorHAnsi"/>
          <w:sz w:val="22"/>
          <w:szCs w:val="22"/>
        </w:rPr>
        <w:t xml:space="preserve"> with the NQF meaning a provider approval is required (once only) and a service approval will be required (per service, rising incrementally based on the number of approved places in each service). Given the proposed change to the current licence structure, </w:t>
      </w:r>
      <w:r w:rsidR="002D240A">
        <w:rPr>
          <w:rFonts w:asciiTheme="minorHAnsi" w:hAnsiTheme="minorHAnsi" w:cstheme="minorHAnsi"/>
          <w:sz w:val="22"/>
          <w:szCs w:val="22"/>
        </w:rPr>
        <w:t>the cost of approvals for a</w:t>
      </w:r>
      <w:r w:rsidRPr="000107A9">
        <w:rPr>
          <w:rFonts w:asciiTheme="minorHAnsi" w:hAnsiTheme="minorHAnsi" w:cstheme="minorHAnsi"/>
          <w:sz w:val="22"/>
          <w:szCs w:val="22"/>
        </w:rPr>
        <w:t xml:space="preserve"> new service seeking to operate between 16 and 30 approved places, is calculated as 29 fee units ($429.49) for Occasional Care services and 25 fee units ($370.25) for Limited Hours services.</w:t>
      </w:r>
    </w:p>
    <w:tbl>
      <w:tblPr>
        <w:tblStyle w:val="TableGrid"/>
        <w:tblW w:w="9493" w:type="dxa"/>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5399"/>
        <w:gridCol w:w="1945"/>
        <w:gridCol w:w="2149"/>
      </w:tblGrid>
      <w:tr w:rsidR="00F46104" w:rsidRPr="009847E7" w14:paraId="49E2BC84" w14:textId="77777777" w:rsidTr="00F46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3"/>
            <w:noWrap/>
            <w:hideMark/>
          </w:tcPr>
          <w:p w14:paraId="3A3CCF1F" w14:textId="17506448" w:rsidR="00F46104" w:rsidRPr="009847E7" w:rsidRDefault="00F46104" w:rsidP="002D240A">
            <w:pPr>
              <w:spacing w:after="60"/>
              <w:rPr>
                <w:rFonts w:cstheme="minorHAnsi"/>
                <w:szCs w:val="22"/>
              </w:rPr>
            </w:pPr>
            <w:r w:rsidRPr="009847E7">
              <w:rPr>
                <w:rFonts w:cstheme="minorHAnsi"/>
                <w:szCs w:val="22"/>
              </w:rPr>
              <w:t>Children's Services Regulations</w:t>
            </w:r>
            <w:r>
              <w:rPr>
                <w:rFonts w:cstheme="minorHAnsi"/>
                <w:szCs w:val="22"/>
              </w:rPr>
              <w:t xml:space="preserve"> 2020</w:t>
            </w:r>
            <w:r w:rsidRPr="009847E7">
              <w:rPr>
                <w:rFonts w:cstheme="minorHAnsi"/>
                <w:szCs w:val="22"/>
              </w:rPr>
              <w:t xml:space="preserve"> </w:t>
            </w:r>
            <w:r>
              <w:rPr>
                <w:rFonts w:cstheme="minorHAnsi"/>
                <w:szCs w:val="22"/>
              </w:rPr>
              <w:t>–</w:t>
            </w:r>
            <w:r w:rsidRPr="009847E7">
              <w:rPr>
                <w:rFonts w:cstheme="minorHAnsi"/>
                <w:szCs w:val="22"/>
              </w:rPr>
              <w:t xml:space="preserve"> Proposed </w:t>
            </w:r>
            <w:r w:rsidR="002D240A">
              <w:rPr>
                <w:rFonts w:cstheme="minorHAnsi"/>
                <w:szCs w:val="22"/>
              </w:rPr>
              <w:t>cost of initial approvals</w:t>
            </w:r>
          </w:p>
        </w:tc>
      </w:tr>
      <w:tr w:rsidR="00F46104" w:rsidRPr="009847E7" w14:paraId="01A51C4B" w14:textId="77777777" w:rsidTr="00F46104">
        <w:tc>
          <w:tcPr>
            <w:cnfStyle w:val="001000000000" w:firstRow="0" w:lastRow="0" w:firstColumn="1" w:lastColumn="0" w:oddVBand="0" w:evenVBand="0" w:oddHBand="0" w:evenHBand="0" w:firstRowFirstColumn="0" w:firstRowLastColumn="0" w:lastRowFirstColumn="0" w:lastRowLastColumn="0"/>
            <w:tcW w:w="5399" w:type="dxa"/>
            <w:vMerge w:val="restart"/>
            <w:noWrap/>
            <w:hideMark/>
          </w:tcPr>
          <w:p w14:paraId="1A66EF25" w14:textId="77777777" w:rsidR="00F46104" w:rsidRPr="009847E7" w:rsidRDefault="00F46104" w:rsidP="00F46104">
            <w:pPr>
              <w:spacing w:after="60"/>
              <w:rPr>
                <w:rFonts w:cstheme="minorHAnsi"/>
                <w:b/>
                <w:color w:val="auto"/>
                <w:szCs w:val="22"/>
              </w:rPr>
            </w:pPr>
            <w:r w:rsidRPr="009847E7">
              <w:rPr>
                <w:rFonts w:cstheme="minorHAnsi"/>
                <w:b/>
                <w:color w:val="auto"/>
                <w:szCs w:val="22"/>
              </w:rPr>
              <w:t>Fee Transaction and Section of the Act</w:t>
            </w:r>
          </w:p>
        </w:tc>
        <w:tc>
          <w:tcPr>
            <w:tcW w:w="1945" w:type="dxa"/>
            <w:noWrap/>
            <w:hideMark/>
          </w:tcPr>
          <w:p w14:paraId="79F11416" w14:textId="77777777" w:rsidR="00F46104" w:rsidRPr="009847E7" w:rsidRDefault="00F46104" w:rsidP="00F46104">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9847E7">
              <w:rPr>
                <w:rFonts w:cstheme="minorHAnsi"/>
                <w:b/>
                <w:szCs w:val="22"/>
              </w:rPr>
              <w:t>Occasional Care</w:t>
            </w:r>
          </w:p>
        </w:tc>
        <w:tc>
          <w:tcPr>
            <w:tcW w:w="2149" w:type="dxa"/>
            <w:noWrap/>
            <w:hideMark/>
          </w:tcPr>
          <w:p w14:paraId="309C924B" w14:textId="77777777" w:rsidR="00F46104" w:rsidRPr="009847E7" w:rsidRDefault="00F46104" w:rsidP="00F46104">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9847E7">
              <w:rPr>
                <w:rFonts w:cstheme="minorHAnsi"/>
                <w:b/>
                <w:szCs w:val="22"/>
              </w:rPr>
              <w:t>Limited Hours</w:t>
            </w:r>
          </w:p>
        </w:tc>
      </w:tr>
      <w:tr w:rsidR="00F46104" w:rsidRPr="009847E7" w14:paraId="7FB62041" w14:textId="77777777" w:rsidTr="00F46104">
        <w:tc>
          <w:tcPr>
            <w:cnfStyle w:val="001000000000" w:firstRow="0" w:lastRow="0" w:firstColumn="1" w:lastColumn="0" w:oddVBand="0" w:evenVBand="0" w:oddHBand="0" w:evenHBand="0" w:firstRowFirstColumn="0" w:firstRowLastColumn="0" w:lastRowFirstColumn="0" w:lastRowLastColumn="0"/>
            <w:tcW w:w="5399" w:type="dxa"/>
            <w:vMerge/>
            <w:noWrap/>
            <w:hideMark/>
          </w:tcPr>
          <w:p w14:paraId="363B22F1" w14:textId="77777777" w:rsidR="00F46104" w:rsidRPr="009847E7" w:rsidRDefault="00F46104" w:rsidP="00F46104">
            <w:pPr>
              <w:spacing w:after="60"/>
              <w:rPr>
                <w:rFonts w:cstheme="minorHAnsi"/>
                <w:b/>
                <w:color w:val="auto"/>
                <w:szCs w:val="22"/>
              </w:rPr>
            </w:pPr>
          </w:p>
        </w:tc>
        <w:tc>
          <w:tcPr>
            <w:tcW w:w="1945" w:type="dxa"/>
            <w:noWrap/>
            <w:hideMark/>
          </w:tcPr>
          <w:p w14:paraId="15B84C26" w14:textId="77777777" w:rsidR="00F46104" w:rsidRPr="009847E7" w:rsidRDefault="00F46104" w:rsidP="00F46104">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9847E7">
              <w:rPr>
                <w:rFonts w:cstheme="minorHAnsi"/>
                <w:b/>
                <w:szCs w:val="22"/>
              </w:rPr>
              <w:t>16 – 30</w:t>
            </w:r>
          </w:p>
        </w:tc>
        <w:tc>
          <w:tcPr>
            <w:tcW w:w="2149" w:type="dxa"/>
            <w:noWrap/>
            <w:hideMark/>
          </w:tcPr>
          <w:p w14:paraId="5A4E0F84" w14:textId="77777777" w:rsidR="00F46104" w:rsidRPr="009847E7" w:rsidRDefault="00F46104" w:rsidP="00F46104">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9847E7">
              <w:rPr>
                <w:rFonts w:cstheme="minorHAnsi"/>
                <w:b/>
                <w:szCs w:val="22"/>
              </w:rPr>
              <w:t>16 – 30</w:t>
            </w:r>
          </w:p>
        </w:tc>
      </w:tr>
      <w:tr w:rsidR="00F46104" w:rsidRPr="009847E7" w14:paraId="11A016EE" w14:textId="77777777" w:rsidTr="00F46104">
        <w:tc>
          <w:tcPr>
            <w:cnfStyle w:val="001000000000" w:firstRow="0" w:lastRow="0" w:firstColumn="1" w:lastColumn="0" w:oddVBand="0" w:evenVBand="0" w:oddHBand="0" w:evenHBand="0" w:firstRowFirstColumn="0" w:firstRowLastColumn="0" w:lastRowFirstColumn="0" w:lastRowLastColumn="0"/>
            <w:tcW w:w="5399" w:type="dxa"/>
            <w:noWrap/>
            <w:hideMark/>
          </w:tcPr>
          <w:p w14:paraId="09004DA2" w14:textId="77777777" w:rsidR="00F46104" w:rsidRPr="009847E7" w:rsidRDefault="00F46104" w:rsidP="00F46104">
            <w:pPr>
              <w:spacing w:after="60"/>
              <w:rPr>
                <w:rFonts w:cstheme="minorHAnsi"/>
                <w:szCs w:val="22"/>
              </w:rPr>
            </w:pPr>
            <w:r w:rsidRPr="009847E7">
              <w:rPr>
                <w:rFonts w:cstheme="minorHAnsi"/>
                <w:szCs w:val="22"/>
              </w:rPr>
              <w:t>Application for provider approval (s11(d)) – once only</w:t>
            </w:r>
          </w:p>
        </w:tc>
        <w:tc>
          <w:tcPr>
            <w:tcW w:w="1945" w:type="dxa"/>
            <w:noWrap/>
          </w:tcPr>
          <w:p w14:paraId="6BAF089B" w14:textId="43D96AC9" w:rsidR="00F46104" w:rsidRPr="009847E7" w:rsidRDefault="00F46104" w:rsidP="00F46104">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9847E7">
              <w:rPr>
                <w:rFonts w:cstheme="minorHAnsi"/>
                <w:szCs w:val="22"/>
              </w:rPr>
              <w:t>$222.15 (15)</w:t>
            </w:r>
            <w:r w:rsidR="008B3077">
              <w:rPr>
                <w:rFonts w:cstheme="minorHAnsi"/>
                <w:szCs w:val="22"/>
              </w:rPr>
              <w:t>*</w:t>
            </w:r>
          </w:p>
        </w:tc>
        <w:tc>
          <w:tcPr>
            <w:tcW w:w="2149" w:type="dxa"/>
          </w:tcPr>
          <w:p w14:paraId="34EA0A76" w14:textId="77777777" w:rsidR="00F46104" w:rsidRPr="009847E7" w:rsidRDefault="00F46104" w:rsidP="00F46104">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9847E7">
              <w:rPr>
                <w:rFonts w:cstheme="minorHAnsi"/>
                <w:szCs w:val="22"/>
              </w:rPr>
              <w:t>$222.15 (15)</w:t>
            </w:r>
          </w:p>
        </w:tc>
      </w:tr>
      <w:tr w:rsidR="00F46104" w:rsidRPr="009847E7" w14:paraId="4887E60D" w14:textId="77777777" w:rsidTr="00F46104">
        <w:tc>
          <w:tcPr>
            <w:cnfStyle w:val="001000000000" w:firstRow="0" w:lastRow="0" w:firstColumn="1" w:lastColumn="0" w:oddVBand="0" w:evenVBand="0" w:oddHBand="0" w:evenHBand="0" w:firstRowFirstColumn="0" w:firstRowLastColumn="0" w:lastRowFirstColumn="0" w:lastRowLastColumn="0"/>
            <w:tcW w:w="5399" w:type="dxa"/>
            <w:noWrap/>
            <w:hideMark/>
          </w:tcPr>
          <w:p w14:paraId="459C5591" w14:textId="77777777" w:rsidR="00F46104" w:rsidRPr="009847E7" w:rsidRDefault="00F46104" w:rsidP="00F46104">
            <w:pPr>
              <w:spacing w:after="60"/>
              <w:rPr>
                <w:rFonts w:cstheme="minorHAnsi"/>
                <w:szCs w:val="22"/>
              </w:rPr>
            </w:pPr>
            <w:r w:rsidRPr="009847E7">
              <w:rPr>
                <w:rFonts w:cstheme="minorHAnsi"/>
                <w:szCs w:val="22"/>
              </w:rPr>
              <w:t>Application for service approval (s43(f)) – per service</w:t>
            </w:r>
          </w:p>
        </w:tc>
        <w:tc>
          <w:tcPr>
            <w:tcW w:w="1945" w:type="dxa"/>
            <w:noWrap/>
          </w:tcPr>
          <w:p w14:paraId="198B82DB" w14:textId="77777777" w:rsidR="00F46104" w:rsidRPr="009847E7" w:rsidRDefault="00F46104" w:rsidP="00F46104">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9847E7">
              <w:rPr>
                <w:rFonts w:cstheme="minorHAnsi"/>
                <w:szCs w:val="22"/>
              </w:rPr>
              <w:t>$207.34 (14)</w:t>
            </w:r>
          </w:p>
        </w:tc>
        <w:tc>
          <w:tcPr>
            <w:tcW w:w="2149" w:type="dxa"/>
          </w:tcPr>
          <w:p w14:paraId="1827C39C" w14:textId="77777777" w:rsidR="00F46104" w:rsidRPr="009847E7" w:rsidRDefault="00F46104" w:rsidP="00F46104">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9847E7">
              <w:rPr>
                <w:rFonts w:cstheme="minorHAnsi"/>
                <w:szCs w:val="22"/>
              </w:rPr>
              <w:t>$148.10 (10)</w:t>
            </w:r>
          </w:p>
        </w:tc>
      </w:tr>
      <w:tr w:rsidR="00F46104" w:rsidRPr="009847E7" w14:paraId="4BEE5DA1" w14:textId="77777777" w:rsidTr="00F46104">
        <w:tc>
          <w:tcPr>
            <w:cnfStyle w:val="001000000000" w:firstRow="0" w:lastRow="0" w:firstColumn="1" w:lastColumn="0" w:oddVBand="0" w:evenVBand="0" w:oddHBand="0" w:evenHBand="0" w:firstRowFirstColumn="0" w:firstRowLastColumn="0" w:lastRowFirstColumn="0" w:lastRowLastColumn="0"/>
            <w:tcW w:w="5399" w:type="dxa"/>
            <w:noWrap/>
            <w:hideMark/>
          </w:tcPr>
          <w:p w14:paraId="20916B46" w14:textId="0366CB5D" w:rsidR="00F46104" w:rsidRPr="009847E7" w:rsidRDefault="002D240A" w:rsidP="00986E12">
            <w:pPr>
              <w:spacing w:after="60"/>
              <w:rPr>
                <w:rFonts w:cstheme="minorHAnsi"/>
                <w:b/>
                <w:szCs w:val="22"/>
              </w:rPr>
            </w:pPr>
            <w:r>
              <w:rPr>
                <w:rFonts w:cstheme="minorHAnsi"/>
                <w:b/>
                <w:szCs w:val="22"/>
              </w:rPr>
              <w:t>Cost of initial approvals for new services</w:t>
            </w:r>
          </w:p>
        </w:tc>
        <w:tc>
          <w:tcPr>
            <w:tcW w:w="1945" w:type="dxa"/>
            <w:noWrap/>
          </w:tcPr>
          <w:p w14:paraId="05CD1B26" w14:textId="77777777" w:rsidR="00F46104" w:rsidRPr="009847E7" w:rsidRDefault="00F46104" w:rsidP="00F46104">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9847E7">
              <w:rPr>
                <w:rFonts w:cstheme="minorHAnsi"/>
                <w:b/>
                <w:szCs w:val="22"/>
              </w:rPr>
              <w:t>$429.49 (29)</w:t>
            </w:r>
          </w:p>
        </w:tc>
        <w:tc>
          <w:tcPr>
            <w:tcW w:w="2149" w:type="dxa"/>
          </w:tcPr>
          <w:p w14:paraId="2897358E" w14:textId="77777777" w:rsidR="00F46104" w:rsidRPr="009847E7" w:rsidRDefault="00F46104" w:rsidP="00F46104">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9847E7">
              <w:rPr>
                <w:rFonts w:cstheme="minorHAnsi"/>
                <w:b/>
                <w:szCs w:val="22"/>
              </w:rPr>
              <w:t>$370.25 (25)</w:t>
            </w:r>
          </w:p>
        </w:tc>
      </w:tr>
    </w:tbl>
    <w:p w14:paraId="4129B7F6" w14:textId="77777777" w:rsidR="008B3077" w:rsidRPr="008B3077" w:rsidRDefault="008B3077" w:rsidP="008B3077">
      <w:pPr>
        <w:pStyle w:val="EYBodytextwithparaspace"/>
        <w:spacing w:before="120" w:after="120"/>
        <w:rPr>
          <w:rFonts w:asciiTheme="minorHAnsi" w:hAnsiTheme="minorHAnsi" w:cstheme="minorHAnsi"/>
          <w:i/>
        </w:rPr>
      </w:pPr>
      <w:r>
        <w:rPr>
          <w:rFonts w:asciiTheme="minorHAnsi" w:hAnsiTheme="minorHAnsi" w:cstheme="minorHAnsi"/>
          <w:i/>
        </w:rPr>
        <w:t>*</w:t>
      </w:r>
      <w:r w:rsidRPr="008B3077">
        <w:rPr>
          <w:rFonts w:asciiTheme="minorHAnsi" w:hAnsiTheme="minorHAnsi" w:cstheme="minorHAnsi"/>
          <w:i/>
        </w:rPr>
        <w:t>Fee units shown in brackets</w:t>
      </w:r>
    </w:p>
    <w:p w14:paraId="3FD7146A" w14:textId="5741169B" w:rsidR="00D76D99" w:rsidRPr="00D76D99" w:rsidRDefault="00F46104" w:rsidP="00F46104">
      <w:pPr>
        <w:pStyle w:val="EYBodytextwithparaspace"/>
        <w:spacing w:before="120" w:after="120"/>
        <w:rPr>
          <w:rFonts w:asciiTheme="minorHAnsi" w:hAnsiTheme="minorHAnsi" w:cstheme="minorHAnsi"/>
          <w:b/>
          <w:bCs/>
          <w:sz w:val="22"/>
          <w:szCs w:val="22"/>
          <w:lang w:val="en-US"/>
        </w:rPr>
      </w:pPr>
      <w:r w:rsidRPr="000107A9">
        <w:rPr>
          <w:rFonts w:asciiTheme="minorHAnsi" w:hAnsiTheme="minorHAnsi" w:cstheme="minorHAnsi"/>
          <w:sz w:val="22"/>
          <w:szCs w:val="22"/>
        </w:rPr>
        <w:t xml:space="preserve">By way of comparison, the cost </w:t>
      </w:r>
      <w:r w:rsidR="00986E12">
        <w:rPr>
          <w:rFonts w:asciiTheme="minorHAnsi" w:hAnsiTheme="minorHAnsi" w:cstheme="minorHAnsi"/>
          <w:sz w:val="22"/>
          <w:szCs w:val="22"/>
        </w:rPr>
        <w:t xml:space="preserve">of initial approvals </w:t>
      </w:r>
      <w:r w:rsidRPr="000107A9">
        <w:rPr>
          <w:rFonts w:asciiTheme="minorHAnsi" w:hAnsiTheme="minorHAnsi" w:cstheme="minorHAnsi"/>
          <w:sz w:val="22"/>
          <w:szCs w:val="22"/>
        </w:rPr>
        <w:t>for a service of similar size under the NQF is $681.00 (the NQF does not use fee units; all fees are expressed in dollar amounts) with the application for provider approval being a flat rate regardless of the size of a service, and the application for service approval rising incrementally as the size of the service increases – as shown in the table below.</w:t>
      </w:r>
      <w:r w:rsidRPr="000107A9">
        <w:fldChar w:fldCharType="begin"/>
      </w:r>
      <w:r w:rsidRPr="000107A9">
        <w:instrText xml:space="preserve"> LINK </w:instrText>
      </w:r>
      <w:r w:rsidR="00DC1E4D">
        <w:instrText xml:space="preserve">Excel.Sheet.12 "C:\\Users\\08591203\\Desktop\\RIS DRAFTS\\CSRegulations-ProposedFeeStructure-Calculations.xlsx" Sheet1!R24C1:R30C4 </w:instrText>
      </w:r>
      <w:r w:rsidRPr="000107A9">
        <w:instrText xml:space="preserve">\a \f 4 \h  \* MERGEFORMAT </w:instrText>
      </w:r>
      <w:r w:rsidRPr="000107A9">
        <w:fldChar w:fldCharType="separate"/>
      </w:r>
    </w:p>
    <w:tbl>
      <w:tblPr>
        <w:tblStyle w:val="TableGrid"/>
        <w:tblW w:w="9498" w:type="dxa"/>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ayout w:type="fixed"/>
        <w:tblLook w:val="04A0" w:firstRow="1" w:lastRow="0" w:firstColumn="1" w:lastColumn="0" w:noHBand="0" w:noVBand="1"/>
      </w:tblPr>
      <w:tblGrid>
        <w:gridCol w:w="4106"/>
        <w:gridCol w:w="1766"/>
        <w:gridCol w:w="1813"/>
        <w:gridCol w:w="1813"/>
      </w:tblGrid>
      <w:tr w:rsidR="00D76D99" w:rsidRPr="00D76D99" w14:paraId="1E6E54BA" w14:textId="77777777" w:rsidTr="00094D4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498" w:type="dxa"/>
            <w:gridSpan w:val="4"/>
            <w:noWrap/>
            <w:hideMark/>
          </w:tcPr>
          <w:p w14:paraId="730B955F" w14:textId="178B78CD" w:rsidR="00D76D99" w:rsidRPr="00D76D99" w:rsidRDefault="00D76D99" w:rsidP="00D76D99">
            <w:pPr>
              <w:spacing w:after="60"/>
              <w:rPr>
                <w:rFonts w:eastAsia="Times New Roman" w:cs="Calibri"/>
                <w:b w:val="0"/>
                <w:bCs/>
                <w:color w:val="FFFFFF"/>
                <w:szCs w:val="22"/>
                <w:lang w:val="en-AU" w:eastAsia="en-AU"/>
              </w:rPr>
            </w:pPr>
            <w:r w:rsidRPr="00D76D99">
              <w:rPr>
                <w:rFonts w:eastAsia="Times New Roman" w:cs="Calibri"/>
                <w:bCs/>
                <w:color w:val="FFFFFF"/>
                <w:szCs w:val="22"/>
                <w:lang w:val="en-AU" w:eastAsia="en-AU"/>
              </w:rPr>
              <w:t>Current NQF Fees</w:t>
            </w:r>
          </w:p>
        </w:tc>
      </w:tr>
      <w:tr w:rsidR="00D76D99" w:rsidRPr="00D76D99" w14:paraId="566EAD05" w14:textId="77777777" w:rsidTr="00D76D99">
        <w:trPr>
          <w:trHeight w:val="300"/>
        </w:trPr>
        <w:tc>
          <w:tcPr>
            <w:cnfStyle w:val="001000000000" w:firstRow="0" w:lastRow="0" w:firstColumn="1" w:lastColumn="0" w:oddVBand="0" w:evenVBand="0" w:oddHBand="0" w:evenHBand="0" w:firstRowFirstColumn="0" w:firstRowLastColumn="0" w:lastRowFirstColumn="0" w:lastRowLastColumn="0"/>
            <w:tcW w:w="4106" w:type="dxa"/>
            <w:vMerge w:val="restart"/>
            <w:noWrap/>
            <w:hideMark/>
          </w:tcPr>
          <w:p w14:paraId="09B516C0" w14:textId="7BAAC66F" w:rsidR="00D76D99" w:rsidRPr="00D76D99" w:rsidRDefault="00D76D99" w:rsidP="00D76D99">
            <w:pPr>
              <w:spacing w:after="60"/>
              <w:rPr>
                <w:rFonts w:eastAsia="Times New Roman" w:cs="Calibri"/>
                <w:b/>
                <w:bCs/>
                <w:color w:val="000000"/>
                <w:szCs w:val="22"/>
                <w:lang w:val="en-AU" w:eastAsia="en-AU"/>
              </w:rPr>
            </w:pPr>
            <w:r w:rsidRPr="00D76D99">
              <w:rPr>
                <w:rFonts w:eastAsia="Times New Roman" w:cs="Calibri"/>
                <w:b/>
                <w:bCs/>
                <w:color w:val="000000"/>
                <w:szCs w:val="22"/>
                <w:lang w:val="en-AU" w:eastAsia="en-AU"/>
              </w:rPr>
              <w:t>Fee Transaction and Section of the Law</w:t>
            </w:r>
          </w:p>
        </w:tc>
        <w:tc>
          <w:tcPr>
            <w:tcW w:w="5392" w:type="dxa"/>
            <w:gridSpan w:val="3"/>
            <w:noWrap/>
            <w:hideMark/>
          </w:tcPr>
          <w:p w14:paraId="026ACE08" w14:textId="0859F59A" w:rsidR="00D76D99" w:rsidRPr="00D76D99" w:rsidRDefault="00D76D99" w:rsidP="00D76D99">
            <w:pPr>
              <w:spacing w:after="60"/>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Cs w:val="22"/>
                <w:lang w:val="en-AU" w:eastAsia="en-AU"/>
              </w:rPr>
            </w:pPr>
            <w:r w:rsidRPr="00D76D99">
              <w:rPr>
                <w:rFonts w:eastAsia="Times New Roman" w:cs="Calibri"/>
                <w:b/>
                <w:bCs/>
                <w:color w:val="000000"/>
                <w:szCs w:val="22"/>
                <w:lang w:val="en-AU" w:eastAsia="en-AU"/>
              </w:rPr>
              <w:t>Approved places</w:t>
            </w:r>
          </w:p>
        </w:tc>
      </w:tr>
      <w:tr w:rsidR="00D76D99" w:rsidRPr="00D76D99" w14:paraId="09BB580E" w14:textId="77777777" w:rsidTr="00D76D99">
        <w:trPr>
          <w:trHeight w:val="300"/>
        </w:trPr>
        <w:tc>
          <w:tcPr>
            <w:cnfStyle w:val="001000000000" w:firstRow="0" w:lastRow="0" w:firstColumn="1" w:lastColumn="0" w:oddVBand="0" w:evenVBand="0" w:oddHBand="0" w:evenHBand="0" w:firstRowFirstColumn="0" w:firstRowLastColumn="0" w:lastRowFirstColumn="0" w:lastRowLastColumn="0"/>
            <w:tcW w:w="4106" w:type="dxa"/>
            <w:vMerge/>
            <w:noWrap/>
            <w:hideMark/>
          </w:tcPr>
          <w:p w14:paraId="6EF087C9" w14:textId="7656A4F4" w:rsidR="00D76D99" w:rsidRPr="00D76D99" w:rsidRDefault="00D76D99" w:rsidP="00D76D99">
            <w:pPr>
              <w:spacing w:after="60"/>
              <w:rPr>
                <w:rFonts w:eastAsia="Times New Roman" w:cs="Calibri"/>
                <w:b/>
                <w:bCs/>
                <w:color w:val="000000"/>
                <w:szCs w:val="22"/>
                <w:lang w:val="en-AU" w:eastAsia="en-AU"/>
              </w:rPr>
            </w:pPr>
          </w:p>
        </w:tc>
        <w:tc>
          <w:tcPr>
            <w:tcW w:w="1766" w:type="dxa"/>
            <w:noWrap/>
            <w:hideMark/>
          </w:tcPr>
          <w:p w14:paraId="1C961B3D" w14:textId="77777777" w:rsidR="00D76D99" w:rsidRPr="00D76D99" w:rsidRDefault="00D76D99" w:rsidP="00D76D99">
            <w:pPr>
              <w:spacing w:after="60"/>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Cs w:val="22"/>
                <w:lang w:val="en-AU" w:eastAsia="en-AU"/>
              </w:rPr>
            </w:pPr>
            <w:r w:rsidRPr="00D76D99">
              <w:rPr>
                <w:rFonts w:eastAsia="Times New Roman" w:cs="Calibri"/>
                <w:b/>
                <w:bCs/>
                <w:color w:val="000000"/>
                <w:szCs w:val="22"/>
                <w:lang w:val="en-AU" w:eastAsia="en-AU"/>
              </w:rPr>
              <w:t>Small (0-24)</w:t>
            </w:r>
          </w:p>
        </w:tc>
        <w:tc>
          <w:tcPr>
            <w:tcW w:w="1813" w:type="dxa"/>
            <w:noWrap/>
            <w:hideMark/>
          </w:tcPr>
          <w:p w14:paraId="459FB852" w14:textId="77777777" w:rsidR="00D76D99" w:rsidRPr="00D76D99" w:rsidRDefault="00D76D99" w:rsidP="00D76D99">
            <w:pPr>
              <w:spacing w:after="60"/>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Cs w:val="22"/>
                <w:lang w:val="en-AU" w:eastAsia="en-AU"/>
              </w:rPr>
            </w:pPr>
            <w:r w:rsidRPr="00D76D99">
              <w:rPr>
                <w:rFonts w:eastAsia="Times New Roman" w:cs="Calibri"/>
                <w:b/>
                <w:bCs/>
                <w:color w:val="000000"/>
                <w:szCs w:val="22"/>
                <w:lang w:val="en-AU" w:eastAsia="en-AU"/>
              </w:rPr>
              <w:t>Medium (25-80)</w:t>
            </w:r>
          </w:p>
        </w:tc>
        <w:tc>
          <w:tcPr>
            <w:tcW w:w="1813" w:type="dxa"/>
            <w:noWrap/>
            <w:hideMark/>
          </w:tcPr>
          <w:p w14:paraId="1B6EEE5E" w14:textId="77777777" w:rsidR="00D76D99" w:rsidRPr="00D76D99" w:rsidRDefault="00D76D99" w:rsidP="00D76D99">
            <w:pPr>
              <w:spacing w:after="60"/>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Cs w:val="22"/>
                <w:lang w:val="en-AU" w:eastAsia="en-AU"/>
              </w:rPr>
            </w:pPr>
            <w:r w:rsidRPr="00D76D99">
              <w:rPr>
                <w:rFonts w:eastAsia="Times New Roman" w:cs="Calibri"/>
                <w:b/>
                <w:bCs/>
                <w:color w:val="000000"/>
                <w:szCs w:val="22"/>
                <w:lang w:val="en-AU" w:eastAsia="en-AU"/>
              </w:rPr>
              <w:t>Large (81+)</w:t>
            </w:r>
          </w:p>
        </w:tc>
      </w:tr>
      <w:tr w:rsidR="00D76D99" w:rsidRPr="00D76D99" w14:paraId="61AEF9AB" w14:textId="77777777" w:rsidTr="00D76D99">
        <w:trPr>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14:paraId="732DC4A2" w14:textId="77777777" w:rsidR="00D76D99" w:rsidRPr="00D76D99" w:rsidRDefault="00D76D99" w:rsidP="00D76D99">
            <w:pPr>
              <w:spacing w:after="60"/>
              <w:rPr>
                <w:rFonts w:eastAsia="Times New Roman" w:cs="Calibri"/>
                <w:color w:val="004EA8"/>
                <w:szCs w:val="22"/>
                <w:lang w:val="en-AU" w:eastAsia="en-AU"/>
              </w:rPr>
            </w:pPr>
            <w:r w:rsidRPr="00D76D99">
              <w:rPr>
                <w:rFonts w:eastAsia="Times New Roman" w:cs="Calibri"/>
                <w:color w:val="004EA8"/>
                <w:szCs w:val="22"/>
                <w:lang w:val="en-AU" w:eastAsia="en-AU"/>
              </w:rPr>
              <w:t xml:space="preserve">Application for provider approval (s11(d)) </w:t>
            </w:r>
          </w:p>
        </w:tc>
        <w:tc>
          <w:tcPr>
            <w:tcW w:w="1766" w:type="dxa"/>
            <w:noWrap/>
            <w:hideMark/>
          </w:tcPr>
          <w:p w14:paraId="3DDD79DB" w14:textId="77777777" w:rsidR="00D76D99" w:rsidRPr="00D76D99" w:rsidRDefault="00D76D99" w:rsidP="00D76D99">
            <w:pPr>
              <w:spacing w:after="6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val="en-AU" w:eastAsia="en-AU"/>
              </w:rPr>
            </w:pPr>
            <w:r w:rsidRPr="00D76D99">
              <w:rPr>
                <w:rFonts w:eastAsia="Times New Roman" w:cs="Calibri"/>
                <w:color w:val="000000"/>
                <w:szCs w:val="22"/>
                <w:lang w:val="en-AU" w:eastAsia="en-AU"/>
              </w:rPr>
              <w:t>$227.00</w:t>
            </w:r>
          </w:p>
        </w:tc>
        <w:tc>
          <w:tcPr>
            <w:tcW w:w="1813" w:type="dxa"/>
            <w:noWrap/>
            <w:hideMark/>
          </w:tcPr>
          <w:p w14:paraId="74989BE6" w14:textId="77777777" w:rsidR="00D76D99" w:rsidRPr="00D76D99" w:rsidRDefault="00D76D99" w:rsidP="00D76D99">
            <w:pPr>
              <w:spacing w:after="6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val="en-AU" w:eastAsia="en-AU"/>
              </w:rPr>
            </w:pPr>
            <w:r w:rsidRPr="00D76D99">
              <w:rPr>
                <w:rFonts w:eastAsia="Times New Roman" w:cs="Calibri"/>
                <w:color w:val="000000"/>
                <w:szCs w:val="22"/>
                <w:lang w:val="en-AU" w:eastAsia="en-AU"/>
              </w:rPr>
              <w:t>$227.00</w:t>
            </w:r>
          </w:p>
        </w:tc>
        <w:tc>
          <w:tcPr>
            <w:tcW w:w="1813" w:type="dxa"/>
            <w:noWrap/>
            <w:hideMark/>
          </w:tcPr>
          <w:p w14:paraId="1DA1C27D" w14:textId="77777777" w:rsidR="00D76D99" w:rsidRPr="00D76D99" w:rsidRDefault="00D76D99" w:rsidP="00D76D99">
            <w:pPr>
              <w:spacing w:after="6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2"/>
                <w:lang w:val="en-AU" w:eastAsia="en-AU"/>
              </w:rPr>
            </w:pPr>
            <w:r w:rsidRPr="00D76D99">
              <w:rPr>
                <w:rFonts w:eastAsia="Times New Roman" w:cs="Calibri"/>
                <w:color w:val="000000"/>
                <w:szCs w:val="22"/>
                <w:lang w:val="en-AU" w:eastAsia="en-AU"/>
              </w:rPr>
              <w:t>$227.00</w:t>
            </w:r>
          </w:p>
        </w:tc>
      </w:tr>
      <w:tr w:rsidR="00D76D99" w:rsidRPr="00D76D99" w14:paraId="0614CE34" w14:textId="77777777" w:rsidTr="00D76D99">
        <w:trPr>
          <w:trHeight w:val="300"/>
        </w:trPr>
        <w:tc>
          <w:tcPr>
            <w:cnfStyle w:val="001000000000" w:firstRow="0" w:lastRow="0" w:firstColumn="1" w:lastColumn="0" w:oddVBand="0" w:evenVBand="0" w:oddHBand="0" w:evenHBand="0" w:firstRowFirstColumn="0" w:firstRowLastColumn="0" w:lastRowFirstColumn="0" w:lastRowLastColumn="0"/>
            <w:tcW w:w="4106" w:type="dxa"/>
            <w:noWrap/>
            <w:hideMark/>
          </w:tcPr>
          <w:p w14:paraId="10AD012C" w14:textId="77777777" w:rsidR="00D76D99" w:rsidRPr="00D76D99" w:rsidRDefault="00D76D99" w:rsidP="00D76D99">
            <w:pPr>
              <w:spacing w:after="60"/>
              <w:rPr>
                <w:rFonts w:eastAsia="Times New Roman" w:cs="Calibri"/>
                <w:bCs/>
                <w:color w:val="004EA8"/>
                <w:szCs w:val="22"/>
                <w:lang w:val="en-AU" w:eastAsia="en-AU"/>
              </w:rPr>
            </w:pPr>
            <w:r w:rsidRPr="00D76D99">
              <w:rPr>
                <w:rFonts w:eastAsia="Times New Roman" w:cs="Calibri"/>
                <w:bCs/>
                <w:color w:val="004EA8"/>
                <w:szCs w:val="22"/>
                <w:lang w:val="en-AU" w:eastAsia="en-AU"/>
              </w:rPr>
              <w:lastRenderedPageBreak/>
              <w:t>Application for service approval (s44(1</w:t>
            </w:r>
            <w:r w:rsidRPr="00D76D99">
              <w:rPr>
                <w:rFonts w:ascii="EYInterstate Light" w:eastAsia="Times New Roman" w:hAnsi="EYInterstate Light" w:cs="Calibri"/>
                <w:color w:val="004EA8"/>
                <w:sz w:val="20"/>
                <w:szCs w:val="20"/>
                <w:lang w:val="en-AU" w:eastAsia="en-AU"/>
              </w:rPr>
              <w:t>)(e))</w:t>
            </w:r>
          </w:p>
        </w:tc>
        <w:tc>
          <w:tcPr>
            <w:tcW w:w="1766" w:type="dxa"/>
            <w:noWrap/>
            <w:hideMark/>
          </w:tcPr>
          <w:p w14:paraId="5812A59D" w14:textId="77777777" w:rsidR="00D76D99" w:rsidRPr="00D76D99" w:rsidRDefault="00D76D99" w:rsidP="00D76D99">
            <w:pPr>
              <w:spacing w:after="60"/>
              <w:jc w:val="right"/>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Cs w:val="22"/>
                <w:lang w:val="en-AU" w:eastAsia="en-AU"/>
              </w:rPr>
            </w:pPr>
            <w:r w:rsidRPr="00D76D99">
              <w:rPr>
                <w:rFonts w:eastAsia="Times New Roman" w:cs="Calibri"/>
                <w:bCs/>
                <w:color w:val="000000"/>
                <w:szCs w:val="22"/>
                <w:lang w:val="en-AU" w:eastAsia="en-AU"/>
              </w:rPr>
              <w:t>$454.00</w:t>
            </w:r>
          </w:p>
        </w:tc>
        <w:tc>
          <w:tcPr>
            <w:tcW w:w="1813" w:type="dxa"/>
            <w:noWrap/>
            <w:hideMark/>
          </w:tcPr>
          <w:p w14:paraId="5E684D74" w14:textId="77777777" w:rsidR="00D76D99" w:rsidRPr="00D76D99" w:rsidRDefault="00D76D99" w:rsidP="00D76D99">
            <w:pPr>
              <w:spacing w:after="60"/>
              <w:jc w:val="right"/>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Cs w:val="22"/>
                <w:lang w:val="en-AU" w:eastAsia="en-AU"/>
              </w:rPr>
            </w:pPr>
            <w:r w:rsidRPr="00D76D99">
              <w:rPr>
                <w:rFonts w:eastAsia="Times New Roman" w:cs="Calibri"/>
                <w:bCs/>
                <w:color w:val="000000"/>
                <w:szCs w:val="22"/>
                <w:lang w:val="en-AU" w:eastAsia="en-AU"/>
              </w:rPr>
              <w:t>$682.00</w:t>
            </w:r>
          </w:p>
        </w:tc>
        <w:tc>
          <w:tcPr>
            <w:tcW w:w="1813" w:type="dxa"/>
            <w:noWrap/>
            <w:hideMark/>
          </w:tcPr>
          <w:p w14:paraId="627037AD" w14:textId="77777777" w:rsidR="00D76D99" w:rsidRPr="00D76D99" w:rsidRDefault="00D76D99" w:rsidP="00D76D99">
            <w:pPr>
              <w:spacing w:after="60"/>
              <w:jc w:val="right"/>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Cs w:val="22"/>
                <w:lang w:val="en-AU" w:eastAsia="en-AU"/>
              </w:rPr>
            </w:pPr>
            <w:r w:rsidRPr="00D76D99">
              <w:rPr>
                <w:rFonts w:eastAsia="Times New Roman" w:cs="Calibri"/>
                <w:bCs/>
                <w:color w:val="000000"/>
                <w:szCs w:val="22"/>
                <w:lang w:val="en-AU" w:eastAsia="en-AU"/>
              </w:rPr>
              <w:t>$910.00</w:t>
            </w:r>
          </w:p>
        </w:tc>
      </w:tr>
      <w:tr w:rsidR="00D76D99" w:rsidRPr="00D76D99" w14:paraId="4D262A51" w14:textId="77777777" w:rsidTr="00D76D99">
        <w:trPr>
          <w:trHeight w:val="300"/>
        </w:trPr>
        <w:tc>
          <w:tcPr>
            <w:cnfStyle w:val="001000000000" w:firstRow="0" w:lastRow="0" w:firstColumn="1" w:lastColumn="0" w:oddVBand="0" w:evenVBand="0" w:oddHBand="0" w:evenHBand="0" w:firstRowFirstColumn="0" w:firstRowLastColumn="0" w:lastRowFirstColumn="0" w:lastRowLastColumn="0"/>
            <w:tcW w:w="4106" w:type="dxa"/>
            <w:hideMark/>
          </w:tcPr>
          <w:p w14:paraId="67375903" w14:textId="77777777" w:rsidR="00D76D99" w:rsidRPr="00D76D99" w:rsidRDefault="00D76D99" w:rsidP="00D76D99">
            <w:pPr>
              <w:spacing w:after="60"/>
              <w:rPr>
                <w:rFonts w:eastAsia="Times New Roman" w:cs="Calibri"/>
                <w:b/>
                <w:color w:val="004EA8"/>
                <w:szCs w:val="22"/>
                <w:lang w:val="en-AU" w:eastAsia="en-AU"/>
              </w:rPr>
            </w:pPr>
            <w:r w:rsidRPr="00D76D99">
              <w:rPr>
                <w:rFonts w:eastAsia="Times New Roman" w:cs="Calibri"/>
                <w:b/>
                <w:szCs w:val="22"/>
                <w:lang w:eastAsia="en-AU"/>
              </w:rPr>
              <w:t>Set-up cost for new NQF services</w:t>
            </w:r>
          </w:p>
        </w:tc>
        <w:tc>
          <w:tcPr>
            <w:tcW w:w="1766" w:type="dxa"/>
            <w:noWrap/>
            <w:hideMark/>
          </w:tcPr>
          <w:p w14:paraId="515EA3CD" w14:textId="77777777" w:rsidR="00D76D99" w:rsidRPr="00D76D99" w:rsidRDefault="00D76D99" w:rsidP="00D76D99">
            <w:pPr>
              <w:spacing w:after="60"/>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szCs w:val="22"/>
                <w:lang w:val="en-AU" w:eastAsia="en-AU"/>
              </w:rPr>
            </w:pPr>
            <w:r w:rsidRPr="00D76D99">
              <w:rPr>
                <w:rFonts w:eastAsia="Times New Roman" w:cs="Calibri"/>
                <w:b/>
                <w:color w:val="000000"/>
                <w:szCs w:val="22"/>
                <w:lang w:eastAsia="en-AU"/>
              </w:rPr>
              <w:t>$681.00</w:t>
            </w:r>
          </w:p>
        </w:tc>
        <w:tc>
          <w:tcPr>
            <w:tcW w:w="1813" w:type="dxa"/>
            <w:noWrap/>
            <w:hideMark/>
          </w:tcPr>
          <w:p w14:paraId="36BED5E7" w14:textId="77777777" w:rsidR="00D76D99" w:rsidRPr="00D76D99" w:rsidRDefault="00D76D99" w:rsidP="00D76D99">
            <w:pPr>
              <w:spacing w:after="60"/>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szCs w:val="22"/>
                <w:lang w:val="en-AU" w:eastAsia="en-AU"/>
              </w:rPr>
            </w:pPr>
            <w:r w:rsidRPr="00D76D99">
              <w:rPr>
                <w:rFonts w:eastAsia="Times New Roman" w:cs="Calibri"/>
                <w:b/>
                <w:color w:val="000000"/>
                <w:szCs w:val="22"/>
                <w:lang w:eastAsia="en-AU"/>
              </w:rPr>
              <w:t>$909.00</w:t>
            </w:r>
          </w:p>
        </w:tc>
        <w:tc>
          <w:tcPr>
            <w:tcW w:w="1813" w:type="dxa"/>
            <w:noWrap/>
            <w:hideMark/>
          </w:tcPr>
          <w:p w14:paraId="5220BE02" w14:textId="77777777" w:rsidR="00D76D99" w:rsidRPr="00D76D99" w:rsidRDefault="00D76D99" w:rsidP="00D76D99">
            <w:pPr>
              <w:spacing w:after="60"/>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szCs w:val="22"/>
                <w:lang w:val="en-AU" w:eastAsia="en-AU"/>
              </w:rPr>
            </w:pPr>
            <w:r w:rsidRPr="00D76D99">
              <w:rPr>
                <w:rFonts w:eastAsia="Times New Roman" w:cs="Calibri"/>
                <w:b/>
                <w:color w:val="000000"/>
                <w:szCs w:val="22"/>
                <w:lang w:eastAsia="en-AU"/>
              </w:rPr>
              <w:t>$1,137.00</w:t>
            </w:r>
          </w:p>
        </w:tc>
      </w:tr>
    </w:tbl>
    <w:p w14:paraId="02D4DB1E" w14:textId="33C47A41" w:rsidR="00F46104" w:rsidRDefault="00F46104" w:rsidP="00F46104">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While the proposed fee structure in most circumstances is higher</w:t>
      </w:r>
      <w:r w:rsidR="00986E12">
        <w:rPr>
          <w:rFonts w:asciiTheme="minorHAnsi" w:hAnsiTheme="minorHAnsi" w:cstheme="minorHAnsi"/>
          <w:sz w:val="22"/>
          <w:szCs w:val="22"/>
        </w:rPr>
        <w:t xml:space="preserve"> than currently</w:t>
      </w:r>
      <w:r w:rsidRPr="000107A9">
        <w:rPr>
          <w:rFonts w:asciiTheme="minorHAnsi" w:hAnsiTheme="minorHAnsi" w:cstheme="minorHAnsi"/>
          <w:sz w:val="22"/>
          <w:szCs w:val="22"/>
        </w:rPr>
        <w:t xml:space="preserve"> in fee units and dollar value, it is well below the NQF (for a similar sized service) and will apply fo</w:t>
      </w:r>
      <w:r>
        <w:rPr>
          <w:rFonts w:asciiTheme="minorHAnsi" w:hAnsiTheme="minorHAnsi" w:cstheme="minorHAnsi"/>
          <w:sz w:val="22"/>
          <w:szCs w:val="22"/>
        </w:rPr>
        <w:t xml:space="preserve">r </w:t>
      </w:r>
      <w:r w:rsidRPr="00E36919">
        <w:rPr>
          <w:rFonts w:asciiTheme="minorHAnsi" w:hAnsiTheme="minorHAnsi" w:cstheme="minorHAnsi"/>
          <w:b/>
          <w:sz w:val="22"/>
          <w:szCs w:val="22"/>
        </w:rPr>
        <w:t>new children’s services only</w:t>
      </w:r>
      <w:r>
        <w:rPr>
          <w:rFonts w:asciiTheme="minorHAnsi" w:hAnsiTheme="minorHAnsi" w:cstheme="minorHAnsi"/>
          <w:sz w:val="22"/>
          <w:szCs w:val="22"/>
        </w:rPr>
        <w:t>. E</w:t>
      </w:r>
      <w:r w:rsidRPr="00E36919">
        <w:rPr>
          <w:rFonts w:asciiTheme="minorHAnsi" w:hAnsiTheme="minorHAnsi" w:cstheme="minorHAnsi"/>
          <w:sz w:val="22"/>
          <w:szCs w:val="22"/>
        </w:rPr>
        <w:t>xisting services will not be impacted by this proposed change.</w:t>
      </w:r>
    </w:p>
    <w:p w14:paraId="3F81897A" w14:textId="770ED0E9" w:rsidR="00F46104" w:rsidRPr="0067739C" w:rsidRDefault="00F46104" w:rsidP="00F46104">
      <w:pPr>
        <w:pStyle w:val="EYBodytextwithparaspace"/>
        <w:spacing w:before="120" w:after="120"/>
        <w:rPr>
          <w:rFonts w:asciiTheme="minorHAnsi" w:hAnsiTheme="minorHAnsi" w:cstheme="minorHAnsi"/>
          <w:b/>
          <w:sz w:val="22"/>
          <w:szCs w:val="22"/>
        </w:rPr>
      </w:pPr>
      <w:r>
        <w:rPr>
          <w:rFonts w:asciiTheme="minorHAnsi" w:hAnsiTheme="minorHAnsi" w:cstheme="minorHAnsi"/>
          <w:b/>
          <w:sz w:val="22"/>
          <w:szCs w:val="22"/>
        </w:rPr>
        <w:t>Comparison of current and proposed structure</w:t>
      </w:r>
      <w:r w:rsidR="00986E12">
        <w:rPr>
          <w:rFonts w:asciiTheme="minorHAnsi" w:hAnsiTheme="minorHAnsi" w:cstheme="minorHAnsi"/>
          <w:b/>
          <w:sz w:val="22"/>
          <w:szCs w:val="22"/>
        </w:rPr>
        <w:t xml:space="preserve"> of fees for approvals to operate</w:t>
      </w:r>
    </w:p>
    <w:p w14:paraId="6783D27A" w14:textId="50EDA418" w:rsidR="00F46104" w:rsidRDefault="00F46104" w:rsidP="00F46104">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following</w:t>
      </w:r>
      <w:r>
        <w:rPr>
          <w:rFonts w:asciiTheme="minorHAnsi" w:hAnsiTheme="minorHAnsi" w:cstheme="minorHAnsi"/>
          <w:sz w:val="22"/>
          <w:szCs w:val="22"/>
        </w:rPr>
        <w:t xml:space="preserve"> two</w:t>
      </w:r>
      <w:r w:rsidRPr="000107A9">
        <w:rPr>
          <w:rFonts w:asciiTheme="minorHAnsi" w:hAnsiTheme="minorHAnsi" w:cstheme="minorHAnsi"/>
          <w:sz w:val="22"/>
          <w:szCs w:val="22"/>
        </w:rPr>
        <w:t xml:space="preserve"> examples illustrate how services may experience the changing fee structure</w:t>
      </w:r>
      <w:r w:rsidR="00986E12">
        <w:rPr>
          <w:rFonts w:asciiTheme="minorHAnsi" w:hAnsiTheme="minorHAnsi" w:cstheme="minorHAnsi"/>
          <w:sz w:val="22"/>
          <w:szCs w:val="22"/>
        </w:rPr>
        <w:t xml:space="preserve"> for approvals to operate</w:t>
      </w:r>
      <w:r w:rsidRPr="000107A9">
        <w:rPr>
          <w:rFonts w:asciiTheme="minorHAnsi" w:hAnsiTheme="minorHAnsi" w:cstheme="minorHAnsi"/>
          <w:sz w:val="22"/>
          <w:szCs w:val="22"/>
        </w:rPr>
        <w:t>, with each example covering a period of 3 years.</w:t>
      </w:r>
    </w:p>
    <w:p w14:paraId="472E8543" w14:textId="4D70033C" w:rsidR="00F46104" w:rsidRPr="000107A9" w:rsidRDefault="00F46104" w:rsidP="00F46104">
      <w:pPr>
        <w:pStyle w:val="EYBodytextwithparaspace"/>
        <w:spacing w:before="120" w:after="120"/>
        <w:rPr>
          <w:rFonts w:asciiTheme="minorHAnsi" w:hAnsiTheme="minorHAnsi" w:cstheme="minorHAnsi"/>
          <w:sz w:val="22"/>
          <w:szCs w:val="22"/>
        </w:rPr>
      </w:pPr>
      <w:r w:rsidRPr="006B487E">
        <w:rPr>
          <w:rFonts w:asciiTheme="minorHAnsi" w:hAnsiTheme="minorHAnsi" w:cstheme="minorHAnsi"/>
          <w:b/>
          <w:sz w:val="22"/>
          <w:szCs w:val="22"/>
        </w:rPr>
        <w:t>Service A</w:t>
      </w:r>
      <w:r w:rsidRPr="000107A9">
        <w:rPr>
          <w:rFonts w:asciiTheme="minorHAnsi" w:hAnsiTheme="minorHAnsi" w:cstheme="minorHAnsi"/>
          <w:sz w:val="22"/>
          <w:szCs w:val="22"/>
        </w:rPr>
        <w:t xml:space="preserve"> holds a </w:t>
      </w:r>
      <w:r w:rsidRPr="00D76D99">
        <w:rPr>
          <w:rFonts w:asciiTheme="minorHAnsi" w:hAnsiTheme="minorHAnsi" w:cstheme="minorHAnsi"/>
          <w:sz w:val="22"/>
          <w:szCs w:val="22"/>
        </w:rPr>
        <w:t>Limited Hours type 2 licence</w:t>
      </w:r>
      <w:r w:rsidRPr="000107A9">
        <w:rPr>
          <w:rFonts w:asciiTheme="minorHAnsi" w:hAnsiTheme="minorHAnsi" w:cstheme="minorHAnsi"/>
          <w:sz w:val="22"/>
          <w:szCs w:val="22"/>
        </w:rPr>
        <w:t xml:space="preserve"> and is opened by a leisure centre </w:t>
      </w:r>
      <w:r w:rsidR="00986E12">
        <w:rPr>
          <w:rFonts w:asciiTheme="minorHAnsi" w:hAnsiTheme="minorHAnsi" w:cstheme="minorHAnsi"/>
          <w:sz w:val="22"/>
          <w:szCs w:val="22"/>
        </w:rPr>
        <w:t xml:space="preserve">as a trial to attract increased </w:t>
      </w:r>
      <w:r w:rsidRPr="000107A9">
        <w:rPr>
          <w:rFonts w:asciiTheme="minorHAnsi" w:hAnsiTheme="minorHAnsi" w:cstheme="minorHAnsi"/>
          <w:sz w:val="22"/>
          <w:szCs w:val="22"/>
        </w:rPr>
        <w:t xml:space="preserve">membership as a result of providing childcare services. The service is approved to provide education and care for up to 25 children. It is successful </w:t>
      </w:r>
      <w:r w:rsidR="00986E12">
        <w:rPr>
          <w:rFonts w:asciiTheme="minorHAnsi" w:hAnsiTheme="minorHAnsi" w:cstheme="minorHAnsi"/>
          <w:sz w:val="22"/>
          <w:szCs w:val="22"/>
        </w:rPr>
        <w:t xml:space="preserve">in attracting new members </w:t>
      </w:r>
      <w:r w:rsidRPr="000107A9">
        <w:rPr>
          <w:rFonts w:asciiTheme="minorHAnsi" w:hAnsiTheme="minorHAnsi" w:cstheme="minorHAnsi"/>
          <w:sz w:val="22"/>
          <w:szCs w:val="22"/>
        </w:rPr>
        <w:t>and the leisure centre operator decides to seek a licence renewal for 3 years.</w:t>
      </w:r>
    </w:p>
    <w:p w14:paraId="5EBB273E" w14:textId="77777777" w:rsidR="00F46104" w:rsidRPr="000107A9" w:rsidRDefault="00F46104" w:rsidP="00F46104">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For comparison purposes, it is assumed that Service A holds an Occasional Care service </w:t>
      </w:r>
      <w:r>
        <w:rPr>
          <w:rFonts w:asciiTheme="minorHAnsi" w:hAnsiTheme="minorHAnsi" w:cstheme="minorHAnsi"/>
          <w:sz w:val="22"/>
          <w:szCs w:val="22"/>
        </w:rPr>
        <w:t>type in the Alignment o</w:t>
      </w:r>
      <w:r w:rsidRPr="000107A9">
        <w:rPr>
          <w:rFonts w:asciiTheme="minorHAnsi" w:hAnsiTheme="minorHAnsi" w:cstheme="minorHAnsi"/>
          <w:sz w:val="22"/>
          <w:szCs w:val="22"/>
        </w:rPr>
        <w:t>ption.</w:t>
      </w:r>
    </w:p>
    <w:tbl>
      <w:tblPr>
        <w:tblStyle w:val="TableGrid"/>
        <w:tblW w:w="0" w:type="auto"/>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2405"/>
        <w:gridCol w:w="3544"/>
        <w:gridCol w:w="3544"/>
      </w:tblGrid>
      <w:tr w:rsidR="00F46104" w:rsidRPr="00A409C2" w14:paraId="0573C0A0" w14:textId="77777777" w:rsidTr="005A6B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CDD4F70" w14:textId="77777777" w:rsidR="00F46104" w:rsidRPr="00A409C2" w:rsidRDefault="00F46104" w:rsidP="0099713C">
            <w:pPr>
              <w:spacing w:after="60"/>
              <w:rPr>
                <w:rFonts w:cstheme="minorHAnsi"/>
                <w:szCs w:val="20"/>
              </w:rPr>
            </w:pPr>
            <w:r w:rsidRPr="00A409C2">
              <w:rPr>
                <w:rFonts w:cstheme="minorHAnsi"/>
                <w:szCs w:val="20"/>
              </w:rPr>
              <w:t>Service A</w:t>
            </w:r>
          </w:p>
        </w:tc>
        <w:tc>
          <w:tcPr>
            <w:tcW w:w="3544" w:type="dxa"/>
          </w:tcPr>
          <w:p w14:paraId="613D5453" w14:textId="77777777" w:rsidR="00F46104" w:rsidRPr="00A409C2" w:rsidRDefault="00F46104" w:rsidP="0099713C">
            <w:pPr>
              <w:spacing w:after="60"/>
              <w:cnfStyle w:val="100000000000" w:firstRow="1" w:lastRow="0" w:firstColumn="0" w:lastColumn="0" w:oddVBand="0" w:evenVBand="0" w:oddHBand="0" w:evenHBand="0" w:firstRowFirstColumn="0" w:firstRowLastColumn="0" w:lastRowFirstColumn="0" w:lastRowLastColumn="0"/>
              <w:rPr>
                <w:rFonts w:cstheme="minorHAnsi"/>
                <w:szCs w:val="20"/>
              </w:rPr>
            </w:pPr>
            <w:r w:rsidRPr="00A409C2">
              <w:rPr>
                <w:rFonts w:cstheme="minorHAnsi"/>
                <w:szCs w:val="20"/>
              </w:rPr>
              <w:t>Option C.1. Status Quo</w:t>
            </w:r>
          </w:p>
        </w:tc>
        <w:tc>
          <w:tcPr>
            <w:tcW w:w="3544" w:type="dxa"/>
          </w:tcPr>
          <w:p w14:paraId="08D8EFCA" w14:textId="77777777" w:rsidR="00F46104" w:rsidRPr="00A409C2" w:rsidRDefault="00F46104" w:rsidP="0099713C">
            <w:pPr>
              <w:spacing w:after="60"/>
              <w:cnfStyle w:val="100000000000" w:firstRow="1" w:lastRow="0" w:firstColumn="0" w:lastColumn="0" w:oddVBand="0" w:evenVBand="0" w:oddHBand="0" w:evenHBand="0" w:firstRowFirstColumn="0" w:firstRowLastColumn="0" w:lastRowFirstColumn="0" w:lastRowLastColumn="0"/>
              <w:rPr>
                <w:rFonts w:cstheme="minorHAnsi"/>
                <w:szCs w:val="20"/>
              </w:rPr>
            </w:pPr>
            <w:r w:rsidRPr="00A409C2">
              <w:rPr>
                <w:rFonts w:cstheme="minorHAnsi"/>
                <w:szCs w:val="20"/>
              </w:rPr>
              <w:t>Option C.2. Alignment</w:t>
            </w:r>
          </w:p>
        </w:tc>
      </w:tr>
      <w:tr w:rsidR="00F46104" w:rsidRPr="00A409C2" w14:paraId="52250FF5" w14:textId="77777777" w:rsidTr="005A6B33">
        <w:tc>
          <w:tcPr>
            <w:cnfStyle w:val="001000000000" w:firstRow="0" w:lastRow="0" w:firstColumn="1" w:lastColumn="0" w:oddVBand="0" w:evenVBand="0" w:oddHBand="0" w:evenHBand="0" w:firstRowFirstColumn="0" w:firstRowLastColumn="0" w:lastRowFirstColumn="0" w:lastRowLastColumn="0"/>
            <w:tcW w:w="2405" w:type="dxa"/>
            <w:vMerge w:val="restart"/>
          </w:tcPr>
          <w:p w14:paraId="44B15BFE" w14:textId="77777777" w:rsidR="00F46104" w:rsidRPr="00A409C2" w:rsidRDefault="00F46104" w:rsidP="0099713C">
            <w:pPr>
              <w:pStyle w:val="EYBodytextwithparaspace"/>
              <w:spacing w:after="60"/>
              <w:rPr>
                <w:rFonts w:ascii="Arial Narrow" w:hAnsi="Arial Narrow" w:cstheme="minorHAnsi"/>
              </w:rPr>
            </w:pPr>
            <w:r w:rsidRPr="00A409C2">
              <w:rPr>
                <w:rFonts w:ascii="Arial Narrow" w:hAnsi="Arial Narrow" w:cstheme="minorHAnsi"/>
              </w:rPr>
              <w:t>Licence/Service approval</w:t>
            </w:r>
          </w:p>
        </w:tc>
        <w:tc>
          <w:tcPr>
            <w:tcW w:w="3544" w:type="dxa"/>
          </w:tcPr>
          <w:p w14:paraId="6322FD02" w14:textId="77777777" w:rsidR="00F46104" w:rsidRPr="00A409C2"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szCs w:val="20"/>
              </w:rPr>
            </w:pPr>
            <w:r w:rsidRPr="00A409C2">
              <w:rPr>
                <w:rFonts w:cstheme="minorHAnsi"/>
                <w:szCs w:val="20"/>
              </w:rPr>
              <w:t xml:space="preserve">Limited Hours </w:t>
            </w:r>
            <w:r w:rsidRPr="00D76D99">
              <w:rPr>
                <w:rFonts w:cstheme="minorHAnsi"/>
                <w:szCs w:val="20"/>
              </w:rPr>
              <w:t>Type 2 licence</w:t>
            </w:r>
          </w:p>
        </w:tc>
        <w:tc>
          <w:tcPr>
            <w:tcW w:w="3544" w:type="dxa"/>
          </w:tcPr>
          <w:p w14:paraId="5051187B" w14:textId="77777777" w:rsidR="00F46104" w:rsidRPr="00A409C2"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szCs w:val="20"/>
              </w:rPr>
            </w:pPr>
            <w:r w:rsidRPr="00A409C2">
              <w:rPr>
                <w:rFonts w:cstheme="minorHAnsi"/>
                <w:szCs w:val="20"/>
              </w:rPr>
              <w:t>Occasional Care service approval</w:t>
            </w:r>
          </w:p>
        </w:tc>
      </w:tr>
      <w:tr w:rsidR="00F46104" w:rsidRPr="00A409C2" w14:paraId="4CEFD3FB" w14:textId="77777777" w:rsidTr="005A6B33">
        <w:tc>
          <w:tcPr>
            <w:cnfStyle w:val="001000000000" w:firstRow="0" w:lastRow="0" w:firstColumn="1" w:lastColumn="0" w:oddVBand="0" w:evenVBand="0" w:oddHBand="0" w:evenHBand="0" w:firstRowFirstColumn="0" w:firstRowLastColumn="0" w:lastRowFirstColumn="0" w:lastRowLastColumn="0"/>
            <w:tcW w:w="2405" w:type="dxa"/>
            <w:vMerge/>
          </w:tcPr>
          <w:p w14:paraId="72E20BB5" w14:textId="77777777" w:rsidR="00F46104" w:rsidRPr="00A409C2" w:rsidRDefault="00F46104" w:rsidP="0099713C">
            <w:pPr>
              <w:pStyle w:val="EYBodytextwithparaspace"/>
              <w:spacing w:after="60"/>
              <w:rPr>
                <w:rFonts w:ascii="Arial Narrow" w:hAnsi="Arial Narrow" w:cstheme="minorHAnsi"/>
              </w:rPr>
            </w:pPr>
          </w:p>
        </w:tc>
        <w:tc>
          <w:tcPr>
            <w:tcW w:w="3544" w:type="dxa"/>
          </w:tcPr>
          <w:p w14:paraId="64E8198F" w14:textId="77777777" w:rsidR="00F46104" w:rsidRPr="00A409C2"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szCs w:val="20"/>
              </w:rPr>
            </w:pPr>
            <w:r w:rsidRPr="00A409C2">
              <w:rPr>
                <w:rFonts w:cstheme="minorHAnsi"/>
                <w:szCs w:val="20"/>
              </w:rPr>
              <w:t>Renewed periodically</w:t>
            </w:r>
          </w:p>
        </w:tc>
        <w:tc>
          <w:tcPr>
            <w:tcW w:w="3544" w:type="dxa"/>
          </w:tcPr>
          <w:p w14:paraId="37297810" w14:textId="77777777" w:rsidR="00F46104" w:rsidRPr="00A409C2"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szCs w:val="20"/>
              </w:rPr>
            </w:pPr>
            <w:r w:rsidRPr="00A409C2">
              <w:rPr>
                <w:rFonts w:cstheme="minorHAnsi"/>
                <w:szCs w:val="20"/>
              </w:rPr>
              <w:t>Perpetual approval</w:t>
            </w:r>
          </w:p>
        </w:tc>
      </w:tr>
      <w:tr w:rsidR="00F46104" w:rsidRPr="00A409C2" w14:paraId="1B7E55F6" w14:textId="77777777" w:rsidTr="005A6B33">
        <w:tc>
          <w:tcPr>
            <w:cnfStyle w:val="001000000000" w:firstRow="0" w:lastRow="0" w:firstColumn="1" w:lastColumn="0" w:oddVBand="0" w:evenVBand="0" w:oddHBand="0" w:evenHBand="0" w:firstRowFirstColumn="0" w:firstRowLastColumn="0" w:lastRowFirstColumn="0" w:lastRowLastColumn="0"/>
            <w:tcW w:w="2405" w:type="dxa"/>
          </w:tcPr>
          <w:p w14:paraId="27A419AE" w14:textId="77777777" w:rsidR="00F46104" w:rsidRPr="00A409C2" w:rsidRDefault="00F46104" w:rsidP="0099713C">
            <w:pPr>
              <w:pStyle w:val="EYBodytextwithparaspace"/>
              <w:spacing w:after="60"/>
              <w:rPr>
                <w:rFonts w:ascii="Arial Narrow" w:hAnsi="Arial Narrow" w:cstheme="minorHAnsi"/>
              </w:rPr>
            </w:pPr>
            <w:r w:rsidRPr="00A409C2">
              <w:rPr>
                <w:rFonts w:ascii="Arial Narrow" w:hAnsi="Arial Narrow" w:cstheme="minorHAnsi"/>
              </w:rPr>
              <w:t>Approved places</w:t>
            </w:r>
          </w:p>
        </w:tc>
        <w:tc>
          <w:tcPr>
            <w:tcW w:w="3544" w:type="dxa"/>
          </w:tcPr>
          <w:p w14:paraId="5D79E55A" w14:textId="77777777" w:rsidR="00F46104" w:rsidRPr="00A409C2"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szCs w:val="20"/>
              </w:rPr>
            </w:pPr>
            <w:r w:rsidRPr="00A409C2">
              <w:rPr>
                <w:rFonts w:cstheme="minorHAnsi"/>
                <w:szCs w:val="20"/>
              </w:rPr>
              <w:t>16 to 30 places</w:t>
            </w:r>
          </w:p>
        </w:tc>
        <w:tc>
          <w:tcPr>
            <w:tcW w:w="3544" w:type="dxa"/>
          </w:tcPr>
          <w:p w14:paraId="28608FEE" w14:textId="77777777" w:rsidR="00F46104" w:rsidRPr="00A409C2"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szCs w:val="20"/>
              </w:rPr>
            </w:pPr>
            <w:r w:rsidRPr="00A409C2">
              <w:rPr>
                <w:rFonts w:cstheme="minorHAnsi"/>
                <w:szCs w:val="20"/>
              </w:rPr>
              <w:t>16 to 30 places</w:t>
            </w:r>
          </w:p>
        </w:tc>
      </w:tr>
      <w:tr w:rsidR="00F46104" w:rsidRPr="00A409C2" w14:paraId="000A3A09" w14:textId="77777777" w:rsidTr="005A6B33">
        <w:tc>
          <w:tcPr>
            <w:cnfStyle w:val="001000000000" w:firstRow="0" w:lastRow="0" w:firstColumn="1" w:lastColumn="0" w:oddVBand="0" w:evenVBand="0" w:oddHBand="0" w:evenHBand="0" w:firstRowFirstColumn="0" w:firstRowLastColumn="0" w:lastRowFirstColumn="0" w:lastRowLastColumn="0"/>
            <w:tcW w:w="2405" w:type="dxa"/>
          </w:tcPr>
          <w:p w14:paraId="58B47031" w14:textId="77777777" w:rsidR="00F46104" w:rsidRPr="00A409C2" w:rsidRDefault="00F46104" w:rsidP="0099713C">
            <w:pPr>
              <w:pStyle w:val="EYBodytextwithparaspace"/>
              <w:spacing w:after="60"/>
              <w:rPr>
                <w:rFonts w:ascii="Arial Narrow" w:hAnsi="Arial Narrow" w:cstheme="minorHAnsi"/>
              </w:rPr>
            </w:pPr>
            <w:r w:rsidRPr="00A409C2">
              <w:rPr>
                <w:rFonts w:ascii="Arial Narrow" w:hAnsi="Arial Narrow" w:cstheme="minorHAnsi"/>
              </w:rPr>
              <w:t>Set-up fee costs</w:t>
            </w:r>
          </w:p>
        </w:tc>
        <w:tc>
          <w:tcPr>
            <w:tcW w:w="3544" w:type="dxa"/>
          </w:tcPr>
          <w:p w14:paraId="1D40FFFD" w14:textId="77777777" w:rsidR="00F46104" w:rsidRPr="00A409C2"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szCs w:val="20"/>
              </w:rPr>
            </w:pPr>
            <w:r w:rsidRPr="00A409C2">
              <w:rPr>
                <w:rFonts w:cstheme="minorHAnsi"/>
                <w:szCs w:val="20"/>
              </w:rPr>
              <w:t>Premises approval: $222.15</w:t>
            </w:r>
          </w:p>
          <w:p w14:paraId="61A94DDF" w14:textId="77777777" w:rsidR="00F46104" w:rsidRPr="00A409C2"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szCs w:val="20"/>
              </w:rPr>
            </w:pPr>
            <w:r w:rsidRPr="00A409C2">
              <w:rPr>
                <w:rFonts w:cstheme="minorHAnsi"/>
                <w:szCs w:val="20"/>
              </w:rPr>
              <w:t>Licence up to 1 year: $74.05</w:t>
            </w:r>
          </w:p>
        </w:tc>
        <w:tc>
          <w:tcPr>
            <w:tcW w:w="3544" w:type="dxa"/>
          </w:tcPr>
          <w:p w14:paraId="371D505C" w14:textId="77777777" w:rsidR="00F46104" w:rsidRPr="00A409C2"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szCs w:val="20"/>
              </w:rPr>
            </w:pPr>
            <w:r w:rsidRPr="00A409C2">
              <w:rPr>
                <w:rFonts w:cstheme="minorHAnsi"/>
                <w:szCs w:val="20"/>
              </w:rPr>
              <w:t>Provider approval: $222.15</w:t>
            </w:r>
          </w:p>
          <w:p w14:paraId="7AA0A5EC" w14:textId="77777777" w:rsidR="00F46104" w:rsidRPr="00A409C2"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szCs w:val="20"/>
              </w:rPr>
            </w:pPr>
            <w:r w:rsidRPr="00A409C2">
              <w:rPr>
                <w:rFonts w:cstheme="minorHAnsi"/>
                <w:szCs w:val="20"/>
              </w:rPr>
              <w:t>Service approval: $207.34</w:t>
            </w:r>
          </w:p>
        </w:tc>
      </w:tr>
      <w:tr w:rsidR="00F46104" w:rsidRPr="00A409C2" w14:paraId="6D41C125" w14:textId="77777777" w:rsidTr="005A6B33">
        <w:tc>
          <w:tcPr>
            <w:cnfStyle w:val="001000000000" w:firstRow="0" w:lastRow="0" w:firstColumn="1" w:lastColumn="0" w:oddVBand="0" w:evenVBand="0" w:oddHBand="0" w:evenHBand="0" w:firstRowFirstColumn="0" w:firstRowLastColumn="0" w:lastRowFirstColumn="0" w:lastRowLastColumn="0"/>
            <w:tcW w:w="2405" w:type="dxa"/>
          </w:tcPr>
          <w:p w14:paraId="236122F1" w14:textId="77777777" w:rsidR="00F46104" w:rsidRPr="00A409C2" w:rsidRDefault="00F46104" w:rsidP="0099713C">
            <w:pPr>
              <w:pStyle w:val="EYBodytextwithparaspace"/>
              <w:spacing w:after="60"/>
              <w:rPr>
                <w:rFonts w:ascii="Arial Narrow" w:hAnsi="Arial Narrow" w:cstheme="minorHAnsi"/>
              </w:rPr>
            </w:pPr>
            <w:r w:rsidRPr="00A409C2">
              <w:rPr>
                <w:rFonts w:ascii="Arial Narrow" w:hAnsi="Arial Narrow" w:cstheme="minorHAnsi"/>
              </w:rPr>
              <w:t>Renewal/Annual fee costs</w:t>
            </w:r>
          </w:p>
        </w:tc>
        <w:tc>
          <w:tcPr>
            <w:tcW w:w="3544" w:type="dxa"/>
          </w:tcPr>
          <w:p w14:paraId="60864FD1" w14:textId="77777777" w:rsidR="00F46104" w:rsidRPr="00A409C2"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szCs w:val="20"/>
              </w:rPr>
            </w:pPr>
            <w:r w:rsidRPr="00A409C2">
              <w:rPr>
                <w:rFonts w:cstheme="minorHAnsi"/>
                <w:szCs w:val="20"/>
              </w:rPr>
              <w:t>Licence renewal up to 3 years: $192.33</w:t>
            </w:r>
          </w:p>
        </w:tc>
        <w:tc>
          <w:tcPr>
            <w:tcW w:w="3544" w:type="dxa"/>
          </w:tcPr>
          <w:p w14:paraId="1BB0EB5B" w14:textId="77777777" w:rsidR="00F46104" w:rsidRPr="00A409C2"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szCs w:val="20"/>
              </w:rPr>
            </w:pPr>
            <w:r w:rsidRPr="00A409C2">
              <w:rPr>
                <w:rFonts w:cstheme="minorHAnsi"/>
                <w:szCs w:val="20"/>
              </w:rPr>
              <w:t>Annual service fee ($88.86 x 3 years): $266.58</w:t>
            </w:r>
          </w:p>
        </w:tc>
      </w:tr>
      <w:tr w:rsidR="00F46104" w:rsidRPr="00A409C2" w14:paraId="431B41F0" w14:textId="77777777" w:rsidTr="005A6B33">
        <w:tc>
          <w:tcPr>
            <w:cnfStyle w:val="001000000000" w:firstRow="0" w:lastRow="0" w:firstColumn="1" w:lastColumn="0" w:oddVBand="0" w:evenVBand="0" w:oddHBand="0" w:evenHBand="0" w:firstRowFirstColumn="0" w:firstRowLastColumn="0" w:lastRowFirstColumn="0" w:lastRowLastColumn="0"/>
            <w:tcW w:w="2405" w:type="dxa"/>
          </w:tcPr>
          <w:p w14:paraId="0E9BA666" w14:textId="77777777" w:rsidR="00F46104" w:rsidRPr="00A409C2" w:rsidRDefault="00F46104" w:rsidP="0099713C">
            <w:pPr>
              <w:pStyle w:val="EYBodytextwithparaspace"/>
              <w:spacing w:after="60"/>
              <w:rPr>
                <w:rFonts w:ascii="Arial Narrow" w:hAnsi="Arial Narrow" w:cstheme="minorHAnsi"/>
              </w:rPr>
            </w:pPr>
            <w:r w:rsidRPr="00A409C2">
              <w:rPr>
                <w:rFonts w:ascii="Arial Narrow" w:hAnsi="Arial Narrow" w:cstheme="minorHAnsi"/>
              </w:rPr>
              <w:t>Other costs/savings</w:t>
            </w:r>
          </w:p>
        </w:tc>
        <w:tc>
          <w:tcPr>
            <w:tcW w:w="3544" w:type="dxa"/>
          </w:tcPr>
          <w:p w14:paraId="044B5792" w14:textId="77777777" w:rsidR="00F46104" w:rsidRPr="00A409C2"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szCs w:val="20"/>
              </w:rPr>
            </w:pPr>
            <w:r w:rsidRPr="00A409C2">
              <w:rPr>
                <w:rFonts w:cstheme="minorHAnsi"/>
                <w:szCs w:val="20"/>
              </w:rPr>
              <w:t>Administrative costs associated with document collection and renewal application</w:t>
            </w:r>
          </w:p>
          <w:p w14:paraId="596B3E93" w14:textId="77777777" w:rsidR="00F46104" w:rsidRPr="00A409C2"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szCs w:val="20"/>
              </w:rPr>
            </w:pPr>
            <w:r w:rsidRPr="00A409C2">
              <w:rPr>
                <w:rFonts w:cstheme="minorHAnsi"/>
                <w:szCs w:val="20"/>
              </w:rPr>
              <w:t>Notification of changes to nominees and regulator assessment of new primary nominees</w:t>
            </w:r>
          </w:p>
        </w:tc>
        <w:tc>
          <w:tcPr>
            <w:tcW w:w="3544" w:type="dxa"/>
          </w:tcPr>
          <w:p w14:paraId="024C72A2" w14:textId="77777777" w:rsidR="00F46104" w:rsidRPr="00A409C2"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szCs w:val="20"/>
              </w:rPr>
            </w:pPr>
            <w:r w:rsidRPr="00A409C2">
              <w:rPr>
                <w:rFonts w:cstheme="minorHAnsi"/>
                <w:szCs w:val="20"/>
              </w:rPr>
              <w:t>Administrative costs associated with annual invoice payable on 30 June each year</w:t>
            </w:r>
          </w:p>
          <w:p w14:paraId="49D6738A" w14:textId="77777777" w:rsidR="00F46104" w:rsidRPr="00A409C2"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szCs w:val="20"/>
              </w:rPr>
            </w:pPr>
            <w:r w:rsidRPr="00A409C2">
              <w:rPr>
                <w:rFonts w:cstheme="minorHAnsi"/>
                <w:szCs w:val="20"/>
              </w:rPr>
              <w:t>Notification of changes of nominated supervisor only</w:t>
            </w:r>
          </w:p>
        </w:tc>
      </w:tr>
      <w:tr w:rsidR="00F46104" w:rsidRPr="00A409C2" w14:paraId="0D37C308" w14:textId="77777777" w:rsidTr="005A6B33">
        <w:tc>
          <w:tcPr>
            <w:cnfStyle w:val="001000000000" w:firstRow="0" w:lastRow="0" w:firstColumn="1" w:lastColumn="0" w:oddVBand="0" w:evenVBand="0" w:oddHBand="0" w:evenHBand="0" w:firstRowFirstColumn="0" w:firstRowLastColumn="0" w:lastRowFirstColumn="0" w:lastRowLastColumn="0"/>
            <w:tcW w:w="2405" w:type="dxa"/>
          </w:tcPr>
          <w:p w14:paraId="07BD65A3" w14:textId="1BB5E905" w:rsidR="00F46104" w:rsidRPr="00A409C2" w:rsidRDefault="00F46104" w:rsidP="0099713C">
            <w:pPr>
              <w:spacing w:after="60"/>
              <w:rPr>
                <w:rFonts w:cstheme="minorHAnsi"/>
                <w:b/>
                <w:szCs w:val="20"/>
              </w:rPr>
            </w:pPr>
            <w:r w:rsidRPr="00A409C2">
              <w:rPr>
                <w:rFonts w:cstheme="minorHAnsi"/>
                <w:b/>
                <w:szCs w:val="20"/>
              </w:rPr>
              <w:t xml:space="preserve">Total fee costs </w:t>
            </w:r>
            <w:r w:rsidR="004B5680">
              <w:rPr>
                <w:rFonts w:cstheme="minorHAnsi"/>
                <w:b/>
                <w:szCs w:val="20"/>
              </w:rPr>
              <w:t xml:space="preserve">to operate </w:t>
            </w:r>
            <w:r w:rsidRPr="00A409C2">
              <w:rPr>
                <w:rFonts w:cstheme="minorHAnsi"/>
                <w:b/>
                <w:szCs w:val="20"/>
              </w:rPr>
              <w:t xml:space="preserve">over </w:t>
            </w:r>
            <w:r w:rsidR="004B5680">
              <w:rPr>
                <w:rFonts w:cstheme="minorHAnsi"/>
                <w:b/>
                <w:szCs w:val="20"/>
              </w:rPr>
              <w:t xml:space="preserve">a </w:t>
            </w:r>
            <w:r w:rsidRPr="00A409C2">
              <w:rPr>
                <w:rFonts w:cstheme="minorHAnsi"/>
                <w:b/>
                <w:szCs w:val="20"/>
              </w:rPr>
              <w:t>3 year period</w:t>
            </w:r>
          </w:p>
        </w:tc>
        <w:tc>
          <w:tcPr>
            <w:tcW w:w="3544" w:type="dxa"/>
          </w:tcPr>
          <w:p w14:paraId="07F0E2B4" w14:textId="77777777" w:rsidR="00F46104" w:rsidRPr="00A409C2"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b/>
                <w:szCs w:val="20"/>
              </w:rPr>
            </w:pPr>
            <w:r w:rsidRPr="00A409C2">
              <w:rPr>
                <w:rFonts w:cstheme="minorHAnsi"/>
                <w:b/>
                <w:szCs w:val="20"/>
              </w:rPr>
              <w:t>$488.53</w:t>
            </w:r>
            <w:r w:rsidRPr="00A409C2">
              <w:rPr>
                <w:rFonts w:cstheme="minorHAnsi"/>
                <w:b/>
                <w:szCs w:val="20"/>
                <w:vertAlign w:val="superscript"/>
              </w:rPr>
              <w:t>##</w:t>
            </w:r>
          </w:p>
        </w:tc>
        <w:tc>
          <w:tcPr>
            <w:tcW w:w="3544" w:type="dxa"/>
          </w:tcPr>
          <w:p w14:paraId="3F35C79E" w14:textId="77777777" w:rsidR="00F46104" w:rsidRPr="00A409C2"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b/>
                <w:szCs w:val="20"/>
              </w:rPr>
            </w:pPr>
            <w:r w:rsidRPr="00A409C2">
              <w:rPr>
                <w:rFonts w:cstheme="minorHAnsi"/>
                <w:b/>
                <w:szCs w:val="20"/>
              </w:rPr>
              <w:t>$696.07</w:t>
            </w:r>
          </w:p>
        </w:tc>
      </w:tr>
    </w:tbl>
    <w:p w14:paraId="2F41BA16" w14:textId="77777777" w:rsidR="00F46104" w:rsidRPr="00510E2D" w:rsidRDefault="00F46104" w:rsidP="00F46104">
      <w:pPr>
        <w:pStyle w:val="EYBulletnoparaspace"/>
        <w:numPr>
          <w:ilvl w:val="0"/>
          <w:numId w:val="0"/>
        </w:numPr>
        <w:spacing w:before="120" w:after="120"/>
        <w:contextualSpacing w:val="0"/>
        <w:rPr>
          <w:rFonts w:asciiTheme="minorHAnsi" w:hAnsiTheme="minorHAnsi" w:cstheme="minorHAnsi"/>
          <w:i/>
          <w:szCs w:val="20"/>
        </w:rPr>
      </w:pPr>
      <w:r w:rsidRPr="00510E2D">
        <w:rPr>
          <w:rFonts w:asciiTheme="minorHAnsi" w:hAnsiTheme="minorHAnsi" w:cstheme="minorHAnsi"/>
          <w:i/>
          <w:szCs w:val="20"/>
        </w:rPr>
        <w:t>## The fee costs outlined above do not include the additional costs that would be incurred under Option H.1. Status Quo during the licence renewal process i.e. the time and resources required to complete the renewal each period and the need to obtain and provide information such as a Police Check (no more than 6 months old). These costs are not included as they cannot be accurately estimated, but it is expected that, once these costs are considered, there would be no significant difference between the two options.</w:t>
      </w:r>
    </w:p>
    <w:p w14:paraId="078CAFF8" w14:textId="77777777" w:rsidR="00F46104" w:rsidRPr="00E36919" w:rsidRDefault="00F46104" w:rsidP="00F46104">
      <w:pPr>
        <w:pStyle w:val="EYBulletnoparaspace"/>
        <w:numPr>
          <w:ilvl w:val="0"/>
          <w:numId w:val="0"/>
        </w:numPr>
        <w:spacing w:before="120" w:after="120"/>
        <w:contextualSpacing w:val="0"/>
        <w:rPr>
          <w:rFonts w:asciiTheme="minorHAnsi" w:hAnsiTheme="minorHAnsi" w:cstheme="minorHAnsi"/>
          <w:sz w:val="22"/>
          <w:szCs w:val="22"/>
        </w:rPr>
      </w:pPr>
      <w:r w:rsidRPr="00E36919">
        <w:rPr>
          <w:rFonts w:asciiTheme="minorHAnsi" w:hAnsiTheme="minorHAnsi" w:cstheme="minorHAnsi"/>
          <w:sz w:val="22"/>
          <w:szCs w:val="22"/>
        </w:rPr>
        <w:t>In the Alignment option, an approved provider would need to maintain a current Working with Children Check (WWCC), and in the Status Quo option an approved provider would need to provide a current Police Check at renewal.</w:t>
      </w:r>
    </w:p>
    <w:p w14:paraId="3B4765A1" w14:textId="77777777" w:rsidR="00F46104" w:rsidRPr="000107A9" w:rsidRDefault="00F46104" w:rsidP="00F46104">
      <w:pPr>
        <w:pStyle w:val="EYBulletnoparaspace"/>
        <w:numPr>
          <w:ilvl w:val="0"/>
          <w:numId w:val="60"/>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lastRenderedPageBreak/>
        <w:t xml:space="preserve">A WWCC costs $126.50 (initial check) and $93.60 (renewal check), and is valid for </w:t>
      </w:r>
      <w:r>
        <w:rPr>
          <w:rFonts w:asciiTheme="minorHAnsi" w:hAnsiTheme="minorHAnsi" w:cstheme="minorHAnsi"/>
          <w:sz w:val="22"/>
          <w:szCs w:val="22"/>
        </w:rPr>
        <w:t>5</w:t>
      </w:r>
      <w:r w:rsidRPr="000107A9">
        <w:rPr>
          <w:rFonts w:asciiTheme="minorHAnsi" w:hAnsiTheme="minorHAnsi" w:cstheme="minorHAnsi"/>
          <w:sz w:val="22"/>
          <w:szCs w:val="22"/>
        </w:rPr>
        <w:t xml:space="preserve"> years.</w:t>
      </w:r>
      <w:r w:rsidRPr="000107A9">
        <w:rPr>
          <w:rFonts w:asciiTheme="minorHAnsi" w:hAnsiTheme="minorHAnsi" w:cstheme="minorHAnsi"/>
          <w:sz w:val="22"/>
          <w:szCs w:val="22"/>
          <w:vertAlign w:val="superscript"/>
        </w:rPr>
        <w:footnoteReference w:id="57"/>
      </w:r>
      <w:r w:rsidRPr="000107A9">
        <w:rPr>
          <w:rFonts w:asciiTheme="minorHAnsi" w:hAnsiTheme="minorHAnsi" w:cstheme="minorHAnsi"/>
          <w:sz w:val="22"/>
          <w:szCs w:val="22"/>
          <w:vertAlign w:val="superscript"/>
        </w:rPr>
        <w:t xml:space="preserve"> </w:t>
      </w:r>
    </w:p>
    <w:p w14:paraId="3D12B598" w14:textId="77777777" w:rsidR="00F46104" w:rsidRPr="000107A9" w:rsidRDefault="00F46104" w:rsidP="00F46104">
      <w:pPr>
        <w:pStyle w:val="EYBulletnoparaspace"/>
        <w:numPr>
          <w:ilvl w:val="0"/>
          <w:numId w:val="60"/>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A Police Check costs $48.90 and does not have an expiry.</w:t>
      </w:r>
      <w:r w:rsidRPr="000107A9">
        <w:rPr>
          <w:rFonts w:asciiTheme="minorHAnsi" w:hAnsiTheme="minorHAnsi" w:cstheme="minorHAnsi"/>
          <w:sz w:val="22"/>
          <w:szCs w:val="22"/>
          <w:vertAlign w:val="superscript"/>
        </w:rPr>
        <w:footnoteReference w:id="58"/>
      </w:r>
      <w:r w:rsidRPr="000107A9">
        <w:rPr>
          <w:rFonts w:asciiTheme="minorHAnsi" w:hAnsiTheme="minorHAnsi" w:cstheme="minorHAnsi"/>
          <w:sz w:val="22"/>
          <w:szCs w:val="22"/>
          <w:vertAlign w:val="superscript"/>
        </w:rPr>
        <w:t xml:space="preserve"> </w:t>
      </w:r>
    </w:p>
    <w:p w14:paraId="11CD5579" w14:textId="3269F450" w:rsidR="00F46104" w:rsidRPr="000107A9" w:rsidRDefault="00F46104" w:rsidP="00F46104">
      <w:pPr>
        <w:pStyle w:val="EYBulletnoparaspace"/>
        <w:numPr>
          <w:ilvl w:val="0"/>
          <w:numId w:val="0"/>
        </w:numPr>
        <w:spacing w:before="120" w:after="120"/>
        <w:contextualSpacing w:val="0"/>
        <w:rPr>
          <w:rFonts w:asciiTheme="minorHAnsi" w:hAnsiTheme="minorHAnsi" w:cstheme="minorHAnsi"/>
          <w:sz w:val="22"/>
          <w:szCs w:val="22"/>
        </w:rPr>
      </w:pPr>
      <w:r>
        <w:rPr>
          <w:rFonts w:asciiTheme="minorHAnsi" w:hAnsiTheme="minorHAnsi" w:cstheme="minorHAnsi"/>
          <w:sz w:val="22"/>
          <w:szCs w:val="22"/>
        </w:rPr>
        <w:t>In</w:t>
      </w:r>
      <w:r w:rsidRPr="000107A9">
        <w:rPr>
          <w:rFonts w:asciiTheme="minorHAnsi" w:hAnsiTheme="minorHAnsi" w:cstheme="minorHAnsi"/>
          <w:sz w:val="22"/>
          <w:szCs w:val="22"/>
        </w:rPr>
        <w:t xml:space="preserve"> </w:t>
      </w:r>
      <w:r>
        <w:rPr>
          <w:rFonts w:asciiTheme="minorHAnsi" w:hAnsiTheme="minorHAnsi" w:cstheme="minorHAnsi"/>
          <w:sz w:val="22"/>
          <w:szCs w:val="22"/>
        </w:rPr>
        <w:t xml:space="preserve">the </w:t>
      </w:r>
      <w:r w:rsidRPr="000107A9">
        <w:rPr>
          <w:rFonts w:asciiTheme="minorHAnsi" w:hAnsiTheme="minorHAnsi" w:cstheme="minorHAnsi"/>
          <w:sz w:val="22"/>
          <w:szCs w:val="22"/>
        </w:rPr>
        <w:t>Status Quo</w:t>
      </w:r>
      <w:r w:rsidRPr="00E36919">
        <w:rPr>
          <w:rFonts w:asciiTheme="minorHAnsi" w:hAnsiTheme="minorHAnsi" w:cstheme="minorHAnsi"/>
          <w:sz w:val="22"/>
          <w:szCs w:val="22"/>
        </w:rPr>
        <w:t xml:space="preserve"> </w:t>
      </w:r>
      <w:r>
        <w:rPr>
          <w:rFonts w:asciiTheme="minorHAnsi" w:hAnsiTheme="minorHAnsi" w:cstheme="minorHAnsi"/>
          <w:sz w:val="22"/>
          <w:szCs w:val="22"/>
        </w:rPr>
        <w:t>o</w:t>
      </w:r>
      <w:r w:rsidRPr="000107A9">
        <w:rPr>
          <w:rFonts w:asciiTheme="minorHAnsi" w:hAnsiTheme="minorHAnsi" w:cstheme="minorHAnsi"/>
          <w:sz w:val="22"/>
          <w:szCs w:val="22"/>
        </w:rPr>
        <w:t>ption</w:t>
      </w:r>
      <w:r>
        <w:rPr>
          <w:rFonts w:asciiTheme="minorHAnsi" w:hAnsiTheme="minorHAnsi" w:cstheme="minorHAnsi"/>
          <w:sz w:val="22"/>
          <w:szCs w:val="22"/>
        </w:rPr>
        <w:t>, t</w:t>
      </w:r>
      <w:r w:rsidRPr="000107A9">
        <w:rPr>
          <w:rFonts w:asciiTheme="minorHAnsi" w:hAnsiTheme="minorHAnsi" w:cstheme="minorHAnsi"/>
          <w:sz w:val="22"/>
          <w:szCs w:val="22"/>
        </w:rPr>
        <w:t xml:space="preserve">here are also </w:t>
      </w:r>
      <w:r w:rsidRPr="00510E2D">
        <w:rPr>
          <w:rFonts w:asciiTheme="minorHAnsi" w:hAnsiTheme="minorHAnsi" w:cstheme="minorHAnsi"/>
          <w:b/>
          <w:sz w:val="22"/>
          <w:szCs w:val="22"/>
        </w:rPr>
        <w:t>administrative costs</w:t>
      </w:r>
      <w:r w:rsidRPr="000107A9">
        <w:rPr>
          <w:rFonts w:asciiTheme="minorHAnsi" w:hAnsiTheme="minorHAnsi" w:cstheme="minorHAnsi"/>
          <w:sz w:val="22"/>
          <w:szCs w:val="22"/>
        </w:rPr>
        <w:t xml:space="preserve"> associated with the additional time taken to compile the paperwork and complete the application</w:t>
      </w:r>
      <w:r>
        <w:rPr>
          <w:rFonts w:asciiTheme="minorHAnsi" w:hAnsiTheme="minorHAnsi" w:cstheme="minorHAnsi"/>
          <w:sz w:val="22"/>
          <w:szCs w:val="22"/>
        </w:rPr>
        <w:t xml:space="preserve"> process</w:t>
      </w:r>
      <w:r w:rsidRPr="000107A9">
        <w:rPr>
          <w:rFonts w:asciiTheme="minorHAnsi" w:hAnsiTheme="minorHAnsi" w:cstheme="minorHAnsi"/>
          <w:sz w:val="22"/>
          <w:szCs w:val="22"/>
        </w:rPr>
        <w:t xml:space="preserve">. </w:t>
      </w:r>
      <w:r w:rsidR="004B5680">
        <w:rPr>
          <w:rFonts w:asciiTheme="minorHAnsi" w:hAnsiTheme="minorHAnsi" w:cstheme="minorHAnsi"/>
          <w:sz w:val="22"/>
          <w:szCs w:val="22"/>
        </w:rPr>
        <w:t>Costing assumes</w:t>
      </w:r>
      <w:r w:rsidRPr="000107A9">
        <w:rPr>
          <w:rFonts w:asciiTheme="minorHAnsi" w:hAnsiTheme="minorHAnsi" w:cstheme="minorHAnsi"/>
          <w:sz w:val="22"/>
          <w:szCs w:val="22"/>
        </w:rPr>
        <w:t xml:space="preserve"> that a Diploma-level educator completes this task, at a cost of $32.09 per hour in wages, </w:t>
      </w:r>
      <w:r>
        <w:rPr>
          <w:rFonts w:asciiTheme="minorHAnsi" w:hAnsiTheme="minorHAnsi" w:cstheme="minorHAnsi"/>
          <w:sz w:val="22"/>
          <w:szCs w:val="22"/>
        </w:rPr>
        <w:t xml:space="preserve">and the time taken to complete this </w:t>
      </w:r>
      <w:r w:rsidRPr="000107A9">
        <w:rPr>
          <w:rFonts w:asciiTheme="minorHAnsi" w:hAnsiTheme="minorHAnsi" w:cstheme="minorHAnsi"/>
          <w:sz w:val="22"/>
          <w:szCs w:val="22"/>
        </w:rPr>
        <w:t>administrative task is estimated to be 1.4 hours for a small service</w:t>
      </w:r>
      <w:r w:rsidRPr="00510E2D">
        <w:rPr>
          <w:rFonts w:asciiTheme="minorHAnsi" w:hAnsiTheme="minorHAnsi" w:cstheme="minorHAnsi"/>
          <w:sz w:val="22"/>
          <w:szCs w:val="22"/>
        </w:rPr>
        <w:t xml:space="preserve"> </w:t>
      </w:r>
      <w:r w:rsidRPr="000107A9">
        <w:rPr>
          <w:rFonts w:asciiTheme="minorHAnsi" w:hAnsiTheme="minorHAnsi" w:cstheme="minorHAnsi"/>
          <w:sz w:val="22"/>
          <w:szCs w:val="22"/>
        </w:rPr>
        <w:t xml:space="preserve">and 2.5 hours for </w:t>
      </w:r>
      <w:r>
        <w:rPr>
          <w:rFonts w:asciiTheme="minorHAnsi" w:hAnsiTheme="minorHAnsi" w:cstheme="minorHAnsi"/>
          <w:sz w:val="22"/>
          <w:szCs w:val="22"/>
        </w:rPr>
        <w:t xml:space="preserve">a </w:t>
      </w:r>
      <w:r w:rsidRPr="000107A9">
        <w:rPr>
          <w:rFonts w:asciiTheme="minorHAnsi" w:hAnsiTheme="minorHAnsi" w:cstheme="minorHAnsi"/>
          <w:sz w:val="22"/>
          <w:szCs w:val="22"/>
        </w:rPr>
        <w:t>medium service</w:t>
      </w:r>
      <w:r>
        <w:rPr>
          <w:rFonts w:asciiTheme="minorHAnsi" w:hAnsiTheme="minorHAnsi" w:cstheme="minorHAnsi"/>
          <w:sz w:val="22"/>
          <w:szCs w:val="22"/>
        </w:rPr>
        <w:t xml:space="preserve"> – the estimated cost is </w:t>
      </w:r>
      <w:r w:rsidRPr="000107A9">
        <w:rPr>
          <w:rFonts w:asciiTheme="minorHAnsi" w:hAnsiTheme="minorHAnsi" w:cstheme="minorHAnsi"/>
          <w:sz w:val="22"/>
          <w:szCs w:val="22"/>
        </w:rPr>
        <w:t>$44.93 for small services</w:t>
      </w:r>
      <w:r>
        <w:rPr>
          <w:rFonts w:asciiTheme="minorHAnsi" w:hAnsiTheme="minorHAnsi" w:cstheme="minorHAnsi"/>
          <w:sz w:val="22"/>
          <w:szCs w:val="22"/>
        </w:rPr>
        <w:t xml:space="preserve"> and </w:t>
      </w:r>
      <w:r w:rsidRPr="000107A9">
        <w:rPr>
          <w:rFonts w:asciiTheme="minorHAnsi" w:hAnsiTheme="minorHAnsi" w:cstheme="minorHAnsi"/>
          <w:sz w:val="22"/>
          <w:szCs w:val="22"/>
        </w:rPr>
        <w:t>$80.23 for medium services.</w:t>
      </w:r>
    </w:p>
    <w:p w14:paraId="0D54C0DA" w14:textId="77777777" w:rsidR="00F46104" w:rsidRDefault="00F46104" w:rsidP="00F46104">
      <w:pPr>
        <w:pStyle w:val="EYBulletnoparaspace"/>
        <w:numPr>
          <w:ilvl w:val="0"/>
          <w:numId w:val="0"/>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These are conservative estimates due to the difficulty in determining the actual time taken by services to complete applications currently.</w:t>
      </w:r>
    </w:p>
    <w:p w14:paraId="07772006" w14:textId="77777777" w:rsidR="00F46104" w:rsidRPr="000107A9" w:rsidRDefault="00F46104" w:rsidP="00F46104">
      <w:pPr>
        <w:pStyle w:val="EYBodytextwithparaspace"/>
        <w:spacing w:before="120" w:after="120"/>
        <w:rPr>
          <w:rFonts w:asciiTheme="minorHAnsi" w:hAnsiTheme="minorHAnsi" w:cstheme="minorHAnsi"/>
          <w:sz w:val="22"/>
          <w:szCs w:val="22"/>
        </w:rPr>
      </w:pPr>
      <w:r w:rsidRPr="006B487E">
        <w:rPr>
          <w:rFonts w:asciiTheme="minorHAnsi" w:hAnsiTheme="minorHAnsi" w:cstheme="minorHAnsi"/>
          <w:b/>
          <w:sz w:val="22"/>
          <w:szCs w:val="22"/>
        </w:rPr>
        <w:t>Service B</w:t>
      </w:r>
      <w:r w:rsidRPr="000107A9">
        <w:rPr>
          <w:rFonts w:asciiTheme="minorHAnsi" w:hAnsiTheme="minorHAnsi" w:cstheme="minorHAnsi"/>
          <w:sz w:val="22"/>
          <w:szCs w:val="22"/>
        </w:rPr>
        <w:t xml:space="preserve"> is an existing service, operating out of a Neighbourhood House. It holds a </w:t>
      </w:r>
      <w:r w:rsidRPr="00D76D99">
        <w:rPr>
          <w:rFonts w:asciiTheme="minorHAnsi" w:hAnsiTheme="minorHAnsi" w:cstheme="minorHAnsi"/>
          <w:sz w:val="22"/>
          <w:szCs w:val="22"/>
        </w:rPr>
        <w:t>Limited Hours type 1 licence and has been operating for a number of years. It is approved to provide education and care for up to 40 children. The Neighbourhood House renews its licence for 3 yea</w:t>
      </w:r>
      <w:r w:rsidRPr="000107A9">
        <w:rPr>
          <w:rFonts w:asciiTheme="minorHAnsi" w:hAnsiTheme="minorHAnsi" w:cstheme="minorHAnsi"/>
          <w:sz w:val="22"/>
          <w:szCs w:val="22"/>
        </w:rPr>
        <w:t>rs and subsequently, undergoes renovations to provide additional capacity.</w:t>
      </w:r>
    </w:p>
    <w:p w14:paraId="00143BD5" w14:textId="77777777" w:rsidR="00F46104" w:rsidRPr="000107A9" w:rsidRDefault="00F46104" w:rsidP="00F46104">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For comparison purposes, it is assumed that Service B holds a Limited Hours service approval in the Alignment Option.</w:t>
      </w:r>
    </w:p>
    <w:tbl>
      <w:tblPr>
        <w:tblStyle w:val="TableGrid"/>
        <w:tblW w:w="0" w:type="auto"/>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2547"/>
        <w:gridCol w:w="3402"/>
        <w:gridCol w:w="3402"/>
      </w:tblGrid>
      <w:tr w:rsidR="00F46104" w:rsidRPr="005C0C88" w14:paraId="5F4D8704" w14:textId="77777777" w:rsidTr="005A6B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right w:val="none" w:sz="0" w:space="0" w:color="auto"/>
            </w:tcBorders>
          </w:tcPr>
          <w:p w14:paraId="23480FF4" w14:textId="77777777" w:rsidR="00F46104" w:rsidRPr="005C0C88" w:rsidRDefault="00F46104" w:rsidP="0099713C">
            <w:pPr>
              <w:spacing w:after="60"/>
              <w:rPr>
                <w:rFonts w:eastAsia="Times New Roman" w:cstheme="minorHAnsi"/>
                <w:szCs w:val="22"/>
                <w:lang w:val="en-US"/>
              </w:rPr>
            </w:pPr>
            <w:r w:rsidRPr="005C0C88">
              <w:rPr>
                <w:rFonts w:cstheme="minorHAnsi"/>
                <w:szCs w:val="22"/>
              </w:rPr>
              <w:t>Service B</w:t>
            </w:r>
          </w:p>
        </w:tc>
        <w:tc>
          <w:tcPr>
            <w:tcW w:w="3402" w:type="dxa"/>
            <w:tcBorders>
              <w:left w:val="none" w:sz="0" w:space="0" w:color="auto"/>
              <w:right w:val="none" w:sz="0" w:space="0" w:color="auto"/>
            </w:tcBorders>
          </w:tcPr>
          <w:p w14:paraId="1E98D89D" w14:textId="77777777" w:rsidR="00F46104" w:rsidRPr="005C0C88" w:rsidRDefault="00F46104" w:rsidP="0099713C">
            <w:pPr>
              <w:spacing w:after="60"/>
              <w:cnfStyle w:val="100000000000" w:firstRow="1" w:lastRow="0" w:firstColumn="0" w:lastColumn="0" w:oddVBand="0" w:evenVBand="0" w:oddHBand="0" w:evenHBand="0" w:firstRowFirstColumn="0" w:firstRowLastColumn="0" w:lastRowFirstColumn="0" w:lastRowLastColumn="0"/>
              <w:rPr>
                <w:rFonts w:eastAsia="Times New Roman" w:cstheme="minorHAnsi"/>
                <w:szCs w:val="22"/>
                <w:lang w:val="en-US"/>
              </w:rPr>
            </w:pPr>
            <w:r w:rsidRPr="005C0C88">
              <w:rPr>
                <w:rFonts w:cstheme="minorHAnsi"/>
                <w:szCs w:val="22"/>
              </w:rPr>
              <w:t>Option C.1. Status Quo</w:t>
            </w:r>
          </w:p>
        </w:tc>
        <w:tc>
          <w:tcPr>
            <w:tcW w:w="3402" w:type="dxa"/>
            <w:tcBorders>
              <w:left w:val="none" w:sz="0" w:space="0" w:color="auto"/>
            </w:tcBorders>
          </w:tcPr>
          <w:p w14:paraId="68BABF65" w14:textId="77777777" w:rsidR="00F46104" w:rsidRPr="005C0C88" w:rsidRDefault="00F46104" w:rsidP="0099713C">
            <w:pPr>
              <w:spacing w:after="60"/>
              <w:cnfStyle w:val="100000000000" w:firstRow="1"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Option C.2. Alignment</w:t>
            </w:r>
          </w:p>
        </w:tc>
      </w:tr>
      <w:tr w:rsidR="00F46104" w:rsidRPr="005C0C88" w14:paraId="2A0A6031" w14:textId="77777777" w:rsidTr="005A6B33">
        <w:tc>
          <w:tcPr>
            <w:cnfStyle w:val="001000000000" w:firstRow="0" w:lastRow="0" w:firstColumn="1" w:lastColumn="0" w:oddVBand="0" w:evenVBand="0" w:oddHBand="0" w:evenHBand="0" w:firstRowFirstColumn="0" w:firstRowLastColumn="0" w:lastRowFirstColumn="0" w:lastRowLastColumn="0"/>
            <w:tcW w:w="2547" w:type="dxa"/>
            <w:vMerge w:val="restart"/>
          </w:tcPr>
          <w:p w14:paraId="3C4191ED" w14:textId="77777777" w:rsidR="00F46104" w:rsidRPr="005C0C88" w:rsidRDefault="00F46104" w:rsidP="0099713C">
            <w:pPr>
              <w:spacing w:after="60"/>
              <w:rPr>
                <w:rFonts w:cstheme="minorHAnsi"/>
                <w:szCs w:val="22"/>
              </w:rPr>
            </w:pPr>
            <w:r w:rsidRPr="005C0C88">
              <w:rPr>
                <w:rFonts w:cstheme="minorHAnsi"/>
                <w:szCs w:val="22"/>
              </w:rPr>
              <w:t>Licence/Service approval</w:t>
            </w:r>
          </w:p>
        </w:tc>
        <w:tc>
          <w:tcPr>
            <w:tcW w:w="3402" w:type="dxa"/>
          </w:tcPr>
          <w:p w14:paraId="3A87F309" w14:textId="77777777" w:rsidR="00F46104" w:rsidRPr="005C0C88"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 xml:space="preserve">Limited </w:t>
            </w:r>
            <w:r w:rsidRPr="00D76D99">
              <w:rPr>
                <w:rFonts w:cstheme="minorHAnsi"/>
                <w:szCs w:val="22"/>
              </w:rPr>
              <w:t>Hours Type 1 licence</w:t>
            </w:r>
          </w:p>
        </w:tc>
        <w:tc>
          <w:tcPr>
            <w:tcW w:w="3402" w:type="dxa"/>
          </w:tcPr>
          <w:p w14:paraId="0C83741E" w14:textId="77777777" w:rsidR="00F46104" w:rsidRPr="005C0C88"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Limited Hours service approval</w:t>
            </w:r>
          </w:p>
        </w:tc>
      </w:tr>
      <w:tr w:rsidR="00F46104" w:rsidRPr="005C0C88" w14:paraId="7BD3A868" w14:textId="77777777" w:rsidTr="005A6B33">
        <w:tc>
          <w:tcPr>
            <w:cnfStyle w:val="001000000000" w:firstRow="0" w:lastRow="0" w:firstColumn="1" w:lastColumn="0" w:oddVBand="0" w:evenVBand="0" w:oddHBand="0" w:evenHBand="0" w:firstRowFirstColumn="0" w:firstRowLastColumn="0" w:lastRowFirstColumn="0" w:lastRowLastColumn="0"/>
            <w:tcW w:w="2547" w:type="dxa"/>
            <w:vMerge/>
          </w:tcPr>
          <w:p w14:paraId="6B19019A" w14:textId="77777777" w:rsidR="00F46104" w:rsidRPr="005C0C88" w:rsidRDefault="00F46104" w:rsidP="0099713C">
            <w:pPr>
              <w:spacing w:after="60"/>
              <w:rPr>
                <w:rFonts w:cstheme="minorHAnsi"/>
                <w:szCs w:val="22"/>
              </w:rPr>
            </w:pPr>
          </w:p>
        </w:tc>
        <w:tc>
          <w:tcPr>
            <w:tcW w:w="3402" w:type="dxa"/>
          </w:tcPr>
          <w:p w14:paraId="395F6DED" w14:textId="77777777" w:rsidR="00F46104" w:rsidRPr="005C0C88"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Renewed periodically</w:t>
            </w:r>
          </w:p>
        </w:tc>
        <w:tc>
          <w:tcPr>
            <w:tcW w:w="3402" w:type="dxa"/>
          </w:tcPr>
          <w:p w14:paraId="1D08F60A" w14:textId="77777777" w:rsidR="00F46104" w:rsidRPr="005C0C88"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Perpetual approval</w:t>
            </w:r>
          </w:p>
        </w:tc>
      </w:tr>
      <w:tr w:rsidR="00F46104" w:rsidRPr="005C0C88" w14:paraId="249C2F33" w14:textId="77777777" w:rsidTr="005A6B33">
        <w:tc>
          <w:tcPr>
            <w:cnfStyle w:val="001000000000" w:firstRow="0" w:lastRow="0" w:firstColumn="1" w:lastColumn="0" w:oddVBand="0" w:evenVBand="0" w:oddHBand="0" w:evenHBand="0" w:firstRowFirstColumn="0" w:firstRowLastColumn="0" w:lastRowFirstColumn="0" w:lastRowLastColumn="0"/>
            <w:tcW w:w="2547" w:type="dxa"/>
          </w:tcPr>
          <w:p w14:paraId="01F0A8A1" w14:textId="77777777" w:rsidR="00F46104" w:rsidRPr="005C0C88" w:rsidRDefault="00F46104" w:rsidP="0099713C">
            <w:pPr>
              <w:spacing w:after="60"/>
              <w:rPr>
                <w:rFonts w:cstheme="minorHAnsi"/>
                <w:szCs w:val="22"/>
              </w:rPr>
            </w:pPr>
            <w:r w:rsidRPr="005C0C88">
              <w:rPr>
                <w:rFonts w:cstheme="minorHAnsi"/>
                <w:szCs w:val="22"/>
              </w:rPr>
              <w:t>Approved places</w:t>
            </w:r>
          </w:p>
        </w:tc>
        <w:tc>
          <w:tcPr>
            <w:tcW w:w="3402" w:type="dxa"/>
          </w:tcPr>
          <w:p w14:paraId="0881CBEF" w14:textId="77777777" w:rsidR="00F46104" w:rsidRPr="005C0C88"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31 to 60 places</w:t>
            </w:r>
          </w:p>
        </w:tc>
        <w:tc>
          <w:tcPr>
            <w:tcW w:w="3402" w:type="dxa"/>
          </w:tcPr>
          <w:p w14:paraId="76794014" w14:textId="77777777" w:rsidR="00F46104" w:rsidRPr="005C0C88"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31 + places</w:t>
            </w:r>
          </w:p>
        </w:tc>
      </w:tr>
      <w:tr w:rsidR="00F46104" w:rsidRPr="005C0C88" w14:paraId="629EC000" w14:textId="77777777" w:rsidTr="005A6B33">
        <w:tc>
          <w:tcPr>
            <w:cnfStyle w:val="001000000000" w:firstRow="0" w:lastRow="0" w:firstColumn="1" w:lastColumn="0" w:oddVBand="0" w:evenVBand="0" w:oddHBand="0" w:evenHBand="0" w:firstRowFirstColumn="0" w:firstRowLastColumn="0" w:lastRowFirstColumn="0" w:lastRowLastColumn="0"/>
            <w:tcW w:w="2547" w:type="dxa"/>
          </w:tcPr>
          <w:p w14:paraId="16CB9078" w14:textId="77777777" w:rsidR="00F46104" w:rsidRPr="005C0C88" w:rsidRDefault="00F46104" w:rsidP="0099713C">
            <w:pPr>
              <w:spacing w:after="60"/>
              <w:rPr>
                <w:rFonts w:cstheme="minorHAnsi"/>
                <w:szCs w:val="22"/>
              </w:rPr>
            </w:pPr>
            <w:r w:rsidRPr="005C0C88">
              <w:rPr>
                <w:rFonts w:cstheme="minorHAnsi"/>
                <w:szCs w:val="22"/>
              </w:rPr>
              <w:t>Renewal/Annual fee costs</w:t>
            </w:r>
          </w:p>
        </w:tc>
        <w:tc>
          <w:tcPr>
            <w:tcW w:w="3402" w:type="dxa"/>
          </w:tcPr>
          <w:p w14:paraId="1A721660" w14:textId="77777777" w:rsidR="00F46104" w:rsidRPr="005C0C88"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Licence renewal up to 3 years: $281.39</w:t>
            </w:r>
          </w:p>
        </w:tc>
        <w:tc>
          <w:tcPr>
            <w:tcW w:w="3402" w:type="dxa"/>
          </w:tcPr>
          <w:p w14:paraId="25D11EFE" w14:textId="77777777" w:rsidR="00F46104" w:rsidRPr="005C0C88"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Annual service fee ($148.10 x 3 years): $444.30</w:t>
            </w:r>
          </w:p>
        </w:tc>
      </w:tr>
      <w:tr w:rsidR="00F46104" w:rsidRPr="005C0C88" w14:paraId="39AEEA04" w14:textId="77777777" w:rsidTr="005A6B33">
        <w:tc>
          <w:tcPr>
            <w:cnfStyle w:val="001000000000" w:firstRow="0" w:lastRow="0" w:firstColumn="1" w:lastColumn="0" w:oddVBand="0" w:evenVBand="0" w:oddHBand="0" w:evenHBand="0" w:firstRowFirstColumn="0" w:firstRowLastColumn="0" w:lastRowFirstColumn="0" w:lastRowLastColumn="0"/>
            <w:tcW w:w="2547" w:type="dxa"/>
          </w:tcPr>
          <w:p w14:paraId="7F38B602" w14:textId="77777777" w:rsidR="00F46104" w:rsidRPr="005C0C88" w:rsidRDefault="00F46104" w:rsidP="0099713C">
            <w:pPr>
              <w:spacing w:after="60"/>
              <w:rPr>
                <w:rFonts w:cstheme="minorHAnsi"/>
                <w:szCs w:val="22"/>
              </w:rPr>
            </w:pPr>
            <w:r w:rsidRPr="005C0C88">
              <w:rPr>
                <w:rFonts w:cstheme="minorHAnsi"/>
                <w:szCs w:val="22"/>
              </w:rPr>
              <w:t>Other fee costs</w:t>
            </w:r>
          </w:p>
        </w:tc>
        <w:tc>
          <w:tcPr>
            <w:tcW w:w="3402" w:type="dxa"/>
          </w:tcPr>
          <w:p w14:paraId="3DAB6E27" w14:textId="77777777" w:rsidR="00F46104" w:rsidRPr="005C0C88"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Application for approval of alteration to premises: $162.91</w:t>
            </w:r>
          </w:p>
          <w:p w14:paraId="74AD98B8" w14:textId="77777777" w:rsidR="00F46104" w:rsidRPr="005C0C88"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Voluntary suspension of Licence due to renovations: $74.05</w:t>
            </w:r>
          </w:p>
        </w:tc>
        <w:tc>
          <w:tcPr>
            <w:tcW w:w="3402" w:type="dxa"/>
          </w:tcPr>
          <w:p w14:paraId="42C8C0C8" w14:textId="77777777" w:rsidR="00F46104" w:rsidRPr="005C0C88"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Voluntary suspension of service approval: Nil ($0)</w:t>
            </w:r>
          </w:p>
          <w:p w14:paraId="2A988EE6" w14:textId="77777777" w:rsidR="00F46104" w:rsidRPr="005C0C88"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Amendment of service approval: Nil ($0)</w:t>
            </w:r>
          </w:p>
        </w:tc>
      </w:tr>
      <w:tr w:rsidR="00F46104" w:rsidRPr="005C0C88" w14:paraId="5F7F7768" w14:textId="77777777" w:rsidTr="005A6B33">
        <w:tc>
          <w:tcPr>
            <w:cnfStyle w:val="001000000000" w:firstRow="0" w:lastRow="0" w:firstColumn="1" w:lastColumn="0" w:oddVBand="0" w:evenVBand="0" w:oddHBand="0" w:evenHBand="0" w:firstRowFirstColumn="0" w:firstRowLastColumn="0" w:lastRowFirstColumn="0" w:lastRowLastColumn="0"/>
            <w:tcW w:w="2547" w:type="dxa"/>
          </w:tcPr>
          <w:p w14:paraId="06547AD7" w14:textId="77777777" w:rsidR="00F46104" w:rsidRPr="005C0C88" w:rsidDel="005A1C5C" w:rsidRDefault="00F46104" w:rsidP="0099713C">
            <w:pPr>
              <w:spacing w:after="60"/>
              <w:rPr>
                <w:rFonts w:cstheme="minorHAnsi"/>
                <w:szCs w:val="22"/>
              </w:rPr>
            </w:pPr>
            <w:r w:rsidRPr="005C0C88">
              <w:rPr>
                <w:rFonts w:cstheme="minorHAnsi"/>
                <w:szCs w:val="22"/>
              </w:rPr>
              <w:t>Other costs/savings</w:t>
            </w:r>
          </w:p>
        </w:tc>
        <w:tc>
          <w:tcPr>
            <w:tcW w:w="3402" w:type="dxa"/>
          </w:tcPr>
          <w:p w14:paraId="71F94658" w14:textId="77777777" w:rsidR="00F46104" w:rsidRPr="005C0C88" w:rsidRDefault="00F46104" w:rsidP="009619D6">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Administrative costs associated with document collection and renewal application e.g. Police Checks</w:t>
            </w:r>
          </w:p>
          <w:p w14:paraId="030C9FAC" w14:textId="77777777" w:rsidR="00F46104" w:rsidRPr="005C0C88" w:rsidRDefault="00F46104" w:rsidP="009619D6">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Notification of changes to nominees and regulator assessment of new primary nominees</w:t>
            </w:r>
          </w:p>
        </w:tc>
        <w:tc>
          <w:tcPr>
            <w:tcW w:w="3402" w:type="dxa"/>
          </w:tcPr>
          <w:p w14:paraId="16564D26" w14:textId="77777777" w:rsidR="00F46104" w:rsidRPr="005C0C88"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Administrative costs associated with annual invoice payable on 30 June each year</w:t>
            </w:r>
          </w:p>
          <w:p w14:paraId="07DA5F1C" w14:textId="77777777" w:rsidR="00F46104" w:rsidRPr="005C0C88"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5C0C88">
              <w:rPr>
                <w:rFonts w:cstheme="minorHAnsi"/>
                <w:szCs w:val="22"/>
              </w:rPr>
              <w:t>Notification of changes of nominated supervisor only</w:t>
            </w:r>
          </w:p>
        </w:tc>
      </w:tr>
      <w:tr w:rsidR="00F46104" w:rsidRPr="005C0C88" w14:paraId="6BF943E9" w14:textId="77777777" w:rsidTr="005A6B33">
        <w:tc>
          <w:tcPr>
            <w:cnfStyle w:val="001000000000" w:firstRow="0" w:lastRow="0" w:firstColumn="1" w:lastColumn="0" w:oddVBand="0" w:evenVBand="0" w:oddHBand="0" w:evenHBand="0" w:firstRowFirstColumn="0" w:firstRowLastColumn="0" w:lastRowFirstColumn="0" w:lastRowLastColumn="0"/>
            <w:tcW w:w="2547" w:type="dxa"/>
          </w:tcPr>
          <w:p w14:paraId="3814C080" w14:textId="471FBD82" w:rsidR="00F46104" w:rsidRPr="005C0C88" w:rsidRDefault="00F46104" w:rsidP="0099713C">
            <w:pPr>
              <w:spacing w:after="60"/>
              <w:rPr>
                <w:rFonts w:cstheme="minorHAnsi"/>
                <w:b/>
                <w:szCs w:val="22"/>
              </w:rPr>
            </w:pPr>
            <w:r w:rsidRPr="005C0C88">
              <w:rPr>
                <w:rFonts w:cstheme="minorHAnsi"/>
                <w:b/>
                <w:szCs w:val="22"/>
              </w:rPr>
              <w:t xml:space="preserve">Total fee costs </w:t>
            </w:r>
            <w:r w:rsidR="004B5680">
              <w:rPr>
                <w:rFonts w:cstheme="minorHAnsi"/>
                <w:b/>
                <w:szCs w:val="22"/>
              </w:rPr>
              <w:t xml:space="preserve">to operate </w:t>
            </w:r>
            <w:r w:rsidRPr="005C0C88">
              <w:rPr>
                <w:rFonts w:cstheme="minorHAnsi"/>
                <w:b/>
                <w:szCs w:val="22"/>
              </w:rPr>
              <w:t xml:space="preserve">over </w:t>
            </w:r>
            <w:r w:rsidR="004B5680">
              <w:rPr>
                <w:rFonts w:cstheme="minorHAnsi"/>
                <w:b/>
                <w:szCs w:val="22"/>
              </w:rPr>
              <w:t xml:space="preserve">a </w:t>
            </w:r>
            <w:r w:rsidRPr="005C0C88">
              <w:rPr>
                <w:rFonts w:cstheme="minorHAnsi"/>
                <w:b/>
                <w:szCs w:val="22"/>
              </w:rPr>
              <w:t>3 year period</w:t>
            </w:r>
          </w:p>
        </w:tc>
        <w:tc>
          <w:tcPr>
            <w:tcW w:w="3402" w:type="dxa"/>
          </w:tcPr>
          <w:p w14:paraId="0F29C1AC" w14:textId="77777777" w:rsidR="00F46104" w:rsidRPr="005C0C88"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5C0C88">
              <w:rPr>
                <w:rFonts w:cstheme="minorHAnsi"/>
                <w:b/>
                <w:szCs w:val="22"/>
              </w:rPr>
              <w:t>$518.35</w:t>
            </w:r>
          </w:p>
        </w:tc>
        <w:tc>
          <w:tcPr>
            <w:tcW w:w="3402" w:type="dxa"/>
          </w:tcPr>
          <w:p w14:paraId="4FF7AEC9" w14:textId="77777777" w:rsidR="00F46104" w:rsidRPr="005C0C88" w:rsidRDefault="00F46104" w:rsidP="0099713C">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r w:rsidRPr="005C0C88">
              <w:rPr>
                <w:rFonts w:cstheme="minorHAnsi"/>
                <w:b/>
                <w:szCs w:val="22"/>
              </w:rPr>
              <w:t>$444.30</w:t>
            </w:r>
          </w:p>
        </w:tc>
      </w:tr>
    </w:tbl>
    <w:p w14:paraId="666ADDE6" w14:textId="77777777" w:rsidR="005A6B33" w:rsidRDefault="005A6B33">
      <w:pPr>
        <w:spacing w:after="0"/>
        <w:rPr>
          <w:rFonts w:eastAsia="Times New Roman" w:cstheme="minorHAnsi"/>
          <w:b/>
          <w:szCs w:val="22"/>
          <w:lang w:val="en-AU"/>
        </w:rPr>
      </w:pPr>
      <w:r>
        <w:rPr>
          <w:rFonts w:cstheme="minorHAnsi"/>
          <w:b/>
          <w:szCs w:val="22"/>
        </w:rPr>
        <w:br w:type="page"/>
      </w:r>
    </w:p>
    <w:p w14:paraId="6180FEF5" w14:textId="2793A698" w:rsidR="00F46104" w:rsidRPr="00A67174" w:rsidRDefault="00F46104" w:rsidP="00F46104">
      <w:pPr>
        <w:pStyle w:val="EYBodytextwithparaspace"/>
        <w:spacing w:before="120" w:after="120"/>
        <w:rPr>
          <w:rFonts w:asciiTheme="minorHAnsi" w:hAnsiTheme="minorHAnsi" w:cstheme="minorHAnsi"/>
          <w:sz w:val="22"/>
          <w:szCs w:val="22"/>
        </w:rPr>
      </w:pPr>
      <w:r w:rsidRPr="00A67174">
        <w:rPr>
          <w:rFonts w:asciiTheme="minorHAnsi" w:hAnsiTheme="minorHAnsi" w:cstheme="minorHAnsi"/>
          <w:b/>
          <w:sz w:val="22"/>
          <w:szCs w:val="22"/>
        </w:rPr>
        <w:lastRenderedPageBreak/>
        <w:t>Conclusion</w:t>
      </w:r>
    </w:p>
    <w:p w14:paraId="2CC1EEBF" w14:textId="324348BE" w:rsidR="00F46104" w:rsidRPr="00A67174" w:rsidRDefault="00F46104" w:rsidP="00F46104">
      <w:pPr>
        <w:pStyle w:val="EYBodytextwithparaspace"/>
        <w:spacing w:before="120" w:after="120"/>
        <w:rPr>
          <w:rFonts w:asciiTheme="minorHAnsi" w:hAnsiTheme="minorHAnsi" w:cstheme="minorHAnsi"/>
          <w:sz w:val="22"/>
          <w:szCs w:val="22"/>
        </w:rPr>
      </w:pPr>
      <w:r w:rsidRPr="00A67174">
        <w:rPr>
          <w:rFonts w:asciiTheme="minorHAnsi" w:hAnsiTheme="minorHAnsi" w:cstheme="minorHAnsi"/>
          <w:sz w:val="22"/>
          <w:szCs w:val="22"/>
        </w:rPr>
        <w:t xml:space="preserve">Initial costs for new providers </w:t>
      </w:r>
      <w:r w:rsidR="004B5680">
        <w:rPr>
          <w:rFonts w:asciiTheme="minorHAnsi" w:hAnsiTheme="minorHAnsi" w:cstheme="minorHAnsi"/>
          <w:sz w:val="22"/>
          <w:szCs w:val="22"/>
        </w:rPr>
        <w:t xml:space="preserve">to operate new services </w:t>
      </w:r>
      <w:r w:rsidRPr="00A67174">
        <w:rPr>
          <w:rFonts w:asciiTheme="minorHAnsi" w:hAnsiTheme="minorHAnsi" w:cstheme="minorHAnsi"/>
          <w:sz w:val="22"/>
          <w:szCs w:val="22"/>
        </w:rPr>
        <w:t>are higher under the H.2 Alignment option than H.1 Status Quo.</w:t>
      </w:r>
    </w:p>
    <w:p w14:paraId="26F0E4E3" w14:textId="5C960ED2" w:rsidR="00F46104" w:rsidRPr="00A67174" w:rsidRDefault="00F46104" w:rsidP="00F46104">
      <w:pPr>
        <w:pStyle w:val="EYBodytextwithparaspace"/>
        <w:spacing w:before="120" w:after="120"/>
        <w:rPr>
          <w:rFonts w:asciiTheme="minorHAnsi" w:hAnsiTheme="minorHAnsi" w:cstheme="minorHAnsi"/>
          <w:sz w:val="22"/>
          <w:szCs w:val="22"/>
        </w:rPr>
      </w:pPr>
      <w:r w:rsidRPr="00A67174">
        <w:rPr>
          <w:rFonts w:asciiTheme="minorHAnsi" w:hAnsiTheme="minorHAnsi" w:cstheme="minorHAnsi"/>
          <w:sz w:val="22"/>
          <w:szCs w:val="22"/>
        </w:rPr>
        <w:t xml:space="preserve">While the shift from licence </w:t>
      </w:r>
      <w:r w:rsidR="004B5680">
        <w:rPr>
          <w:rFonts w:asciiTheme="minorHAnsi" w:hAnsiTheme="minorHAnsi" w:cstheme="minorHAnsi"/>
          <w:sz w:val="22"/>
          <w:szCs w:val="22"/>
        </w:rPr>
        <w:t>approval</w:t>
      </w:r>
      <w:r w:rsidRPr="00A67174">
        <w:rPr>
          <w:rFonts w:asciiTheme="minorHAnsi" w:hAnsiTheme="minorHAnsi" w:cstheme="minorHAnsi"/>
          <w:sz w:val="22"/>
          <w:szCs w:val="22"/>
        </w:rPr>
        <w:t xml:space="preserve"> and renewal</w:t>
      </w:r>
      <w:r w:rsidR="004B5680">
        <w:rPr>
          <w:rFonts w:asciiTheme="minorHAnsi" w:hAnsiTheme="minorHAnsi" w:cstheme="minorHAnsi"/>
          <w:sz w:val="22"/>
          <w:szCs w:val="22"/>
        </w:rPr>
        <w:t xml:space="preserve"> applications</w:t>
      </w:r>
      <w:r w:rsidRPr="00A67174">
        <w:rPr>
          <w:rFonts w:asciiTheme="minorHAnsi" w:hAnsiTheme="minorHAnsi" w:cstheme="minorHAnsi"/>
          <w:sz w:val="22"/>
          <w:szCs w:val="22"/>
        </w:rPr>
        <w:t xml:space="preserve"> to an annual service fee would result in a reduced administrative burden for all existing (and future) services, costs directly associated with fees would fall for current Standard licence holders and rise for both Limited Hours service types. This would be balanced by the discontinuation of some fees and the introduction of new fees, and the alignment structure of </w:t>
      </w:r>
      <w:r w:rsidR="004B5680">
        <w:rPr>
          <w:rFonts w:asciiTheme="minorHAnsi" w:hAnsiTheme="minorHAnsi" w:cstheme="minorHAnsi"/>
          <w:sz w:val="22"/>
          <w:szCs w:val="22"/>
        </w:rPr>
        <w:t>imposing</w:t>
      </w:r>
      <w:r w:rsidRPr="00A67174">
        <w:rPr>
          <w:rFonts w:asciiTheme="minorHAnsi" w:hAnsiTheme="minorHAnsi" w:cstheme="minorHAnsi"/>
          <w:sz w:val="22"/>
          <w:szCs w:val="22"/>
        </w:rPr>
        <w:t xml:space="preserve"> a static fee across all services for activities that do not require additional time or resources regardless of service size or type.</w:t>
      </w:r>
    </w:p>
    <w:p w14:paraId="0289A798" w14:textId="04EC1FB2" w:rsidR="00F46104" w:rsidRPr="00A67174" w:rsidRDefault="00F46104" w:rsidP="00F46104">
      <w:pPr>
        <w:pStyle w:val="EYBodytextwithparaspace"/>
        <w:spacing w:before="120" w:after="120"/>
        <w:rPr>
          <w:rFonts w:asciiTheme="minorHAnsi" w:hAnsiTheme="minorHAnsi" w:cstheme="minorHAnsi"/>
          <w:sz w:val="22"/>
          <w:szCs w:val="22"/>
        </w:rPr>
      </w:pPr>
      <w:r w:rsidRPr="00A67174">
        <w:rPr>
          <w:rFonts w:asciiTheme="minorHAnsi" w:hAnsiTheme="minorHAnsi" w:cstheme="minorHAnsi"/>
          <w:sz w:val="22"/>
          <w:szCs w:val="22"/>
        </w:rPr>
        <w:t>Overall, both options have been scored as moderately negative relative to the Base Case</w:t>
      </w:r>
      <w:r w:rsidR="004B5680">
        <w:rPr>
          <w:rFonts w:asciiTheme="minorHAnsi" w:hAnsiTheme="minorHAnsi" w:cstheme="minorHAnsi"/>
          <w:sz w:val="22"/>
          <w:szCs w:val="22"/>
        </w:rPr>
        <w:t xml:space="preserve"> (under which no fees could be set without regulations)</w:t>
      </w:r>
      <w:r w:rsidRPr="00A67174">
        <w:rPr>
          <w:rFonts w:asciiTheme="minorHAnsi" w:hAnsiTheme="minorHAnsi" w:cstheme="minorHAnsi"/>
          <w:sz w:val="22"/>
          <w:szCs w:val="22"/>
        </w:rPr>
        <w:t>, with the H.2 Alignment scoring slightly better owing to the clearer fee structure and the expectation that this will reduce administrative burden for service providers compared to Option H.1. Status Quo.</w:t>
      </w:r>
    </w:p>
    <w:p w14:paraId="75EF1E80" w14:textId="58452781" w:rsidR="00F46104" w:rsidRPr="00A67174" w:rsidRDefault="00F46104" w:rsidP="00F46104">
      <w:pPr>
        <w:pStyle w:val="EYBodytextwithparaspace"/>
        <w:spacing w:before="120" w:after="120"/>
        <w:rPr>
          <w:rFonts w:asciiTheme="minorHAnsi" w:hAnsiTheme="minorHAnsi" w:cstheme="minorHAnsi"/>
          <w:sz w:val="22"/>
          <w:szCs w:val="22"/>
        </w:rPr>
      </w:pPr>
      <w:r w:rsidRPr="00A67174">
        <w:rPr>
          <w:rFonts w:asciiTheme="minorHAnsi" w:hAnsiTheme="minorHAnsi" w:cstheme="minorHAnsi"/>
          <w:sz w:val="22"/>
          <w:szCs w:val="22"/>
        </w:rPr>
        <w:fldChar w:fldCharType="begin"/>
      </w:r>
      <w:r w:rsidRPr="00A67174">
        <w:rPr>
          <w:rFonts w:asciiTheme="minorHAnsi" w:hAnsiTheme="minorHAnsi" w:cstheme="minorHAnsi"/>
          <w:sz w:val="22"/>
          <w:szCs w:val="22"/>
        </w:rPr>
        <w:instrText xml:space="preserve"> REF _Ref24123347 \h  \* MERGEFORMAT </w:instrText>
      </w:r>
      <w:r w:rsidRPr="00A67174">
        <w:rPr>
          <w:rFonts w:asciiTheme="minorHAnsi" w:hAnsiTheme="minorHAnsi" w:cstheme="minorHAnsi"/>
          <w:sz w:val="22"/>
          <w:szCs w:val="22"/>
        </w:rPr>
      </w:r>
      <w:r w:rsidRPr="00A67174">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 xml:space="preserve">Table </w:t>
      </w:r>
      <w:r w:rsidR="00493211" w:rsidRPr="00493211">
        <w:rPr>
          <w:rFonts w:asciiTheme="minorHAnsi" w:hAnsiTheme="minorHAnsi" w:cstheme="minorHAnsi"/>
          <w:noProof/>
          <w:sz w:val="22"/>
          <w:szCs w:val="22"/>
        </w:rPr>
        <w:t>34</w:t>
      </w:r>
      <w:r w:rsidRPr="00A67174">
        <w:rPr>
          <w:rFonts w:asciiTheme="minorHAnsi" w:hAnsiTheme="minorHAnsi" w:cstheme="minorHAnsi"/>
          <w:sz w:val="22"/>
          <w:szCs w:val="22"/>
        </w:rPr>
        <w:fldChar w:fldCharType="end"/>
      </w:r>
      <w:r w:rsidRPr="00A67174">
        <w:rPr>
          <w:rFonts w:asciiTheme="minorHAnsi" w:hAnsiTheme="minorHAnsi" w:cstheme="minorHAnsi"/>
          <w:sz w:val="22"/>
          <w:szCs w:val="22"/>
        </w:rPr>
        <w:t xml:space="preserve"> provides the score given to H.1. Status Quo and H.2. Alignment options against the costs to industry criterion.</w:t>
      </w:r>
    </w:p>
    <w:p w14:paraId="7171FBC0" w14:textId="5C238BFE" w:rsidR="00F46104" w:rsidRPr="00D55F3A" w:rsidRDefault="00F46104" w:rsidP="00F46104">
      <w:pPr>
        <w:pStyle w:val="Caption"/>
      </w:pPr>
      <w:bookmarkStart w:id="212" w:name="_Ref24123347"/>
      <w:bookmarkStart w:id="213" w:name="_Toc31124377"/>
      <w:bookmarkStart w:id="214" w:name="_Toc32592817"/>
      <w:r w:rsidRPr="00A67174">
        <w:t xml:space="preserve">Table </w:t>
      </w:r>
      <w:r>
        <w:fldChar w:fldCharType="begin"/>
      </w:r>
      <w:r>
        <w:instrText xml:space="preserve"> SEQ Table \* ARABIC </w:instrText>
      </w:r>
      <w:r>
        <w:fldChar w:fldCharType="separate"/>
      </w:r>
      <w:r w:rsidR="00493211">
        <w:rPr>
          <w:noProof/>
        </w:rPr>
        <w:t>34</w:t>
      </w:r>
      <w:r>
        <w:rPr>
          <w:noProof/>
        </w:rPr>
        <w:fldChar w:fldCharType="end"/>
      </w:r>
      <w:bookmarkEnd w:id="212"/>
      <w:r w:rsidRPr="00A67174">
        <w:t xml:space="preserve"> Fees - costs to industry</w:t>
      </w:r>
      <w:bookmarkEnd w:id="213"/>
      <w:bookmarkEnd w:id="214"/>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660"/>
        <w:gridCol w:w="3477"/>
        <w:gridCol w:w="1495"/>
        <w:gridCol w:w="1495"/>
        <w:gridCol w:w="1495"/>
      </w:tblGrid>
      <w:tr w:rsidR="00F46104" w:rsidRPr="009619D6" w14:paraId="29F8B0F2" w14:textId="77777777" w:rsidTr="00F46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 w:type="pct"/>
            <w:tcBorders>
              <w:right w:val="none" w:sz="0" w:space="0" w:color="auto"/>
            </w:tcBorders>
          </w:tcPr>
          <w:p w14:paraId="3CD3F135" w14:textId="77777777" w:rsidR="00F46104" w:rsidRPr="009619D6" w:rsidRDefault="00F46104" w:rsidP="00F46104">
            <w:pPr>
              <w:rPr>
                <w:rStyle w:val="Strong"/>
                <w:rFonts w:cstheme="minorHAnsi"/>
                <w:b/>
                <w:szCs w:val="22"/>
              </w:rPr>
            </w:pPr>
            <w:r w:rsidRPr="009619D6">
              <w:rPr>
                <w:rStyle w:val="Strong"/>
                <w:rFonts w:cstheme="minorHAnsi"/>
                <w:b/>
                <w:szCs w:val="22"/>
              </w:rPr>
              <w:t>Criterion</w:t>
            </w:r>
          </w:p>
        </w:tc>
        <w:tc>
          <w:tcPr>
            <w:tcW w:w="1807" w:type="pct"/>
            <w:tcBorders>
              <w:left w:val="none" w:sz="0" w:space="0" w:color="auto"/>
              <w:right w:val="none" w:sz="0" w:space="0" w:color="auto"/>
            </w:tcBorders>
          </w:tcPr>
          <w:p w14:paraId="29D94CDB" w14:textId="77777777" w:rsidR="00F46104" w:rsidRPr="009619D6" w:rsidRDefault="00F46104" w:rsidP="00F46104">
            <w:pP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9619D6">
              <w:rPr>
                <w:rStyle w:val="Strong"/>
                <w:rFonts w:cstheme="minorHAnsi"/>
                <w:b/>
                <w:szCs w:val="22"/>
              </w:rPr>
              <w:t>Description</w:t>
            </w:r>
          </w:p>
        </w:tc>
        <w:tc>
          <w:tcPr>
            <w:tcW w:w="777" w:type="pct"/>
            <w:tcBorders>
              <w:left w:val="none" w:sz="0" w:space="0" w:color="auto"/>
              <w:right w:val="none" w:sz="0" w:space="0" w:color="auto"/>
            </w:tcBorders>
          </w:tcPr>
          <w:p w14:paraId="106635CB" w14:textId="77777777" w:rsidR="00F46104" w:rsidRPr="009619D6" w:rsidRDefault="00F46104" w:rsidP="00F46104">
            <w:pPr>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9619D6">
              <w:rPr>
                <w:rStyle w:val="Strong"/>
                <w:rFonts w:cstheme="minorHAnsi"/>
                <w:b/>
                <w:szCs w:val="22"/>
              </w:rPr>
              <w:t>Weighting</w:t>
            </w:r>
          </w:p>
        </w:tc>
        <w:tc>
          <w:tcPr>
            <w:tcW w:w="777" w:type="pct"/>
            <w:tcBorders>
              <w:left w:val="none" w:sz="0" w:space="0" w:color="auto"/>
              <w:right w:val="none" w:sz="0" w:space="0" w:color="auto"/>
            </w:tcBorders>
          </w:tcPr>
          <w:p w14:paraId="3C2A641E" w14:textId="77777777" w:rsidR="00F46104" w:rsidRPr="009619D6" w:rsidRDefault="00F46104" w:rsidP="00F46104">
            <w:pPr>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9619D6">
              <w:rPr>
                <w:rStyle w:val="Strong"/>
                <w:rFonts w:cstheme="minorHAnsi"/>
                <w:b/>
                <w:szCs w:val="22"/>
              </w:rPr>
              <w:t>Option H.1</w:t>
            </w:r>
          </w:p>
        </w:tc>
        <w:tc>
          <w:tcPr>
            <w:tcW w:w="777" w:type="pct"/>
            <w:tcBorders>
              <w:left w:val="none" w:sz="0" w:space="0" w:color="auto"/>
            </w:tcBorders>
          </w:tcPr>
          <w:p w14:paraId="414FB5A7" w14:textId="77777777" w:rsidR="00F46104" w:rsidRPr="009619D6" w:rsidRDefault="00F46104" w:rsidP="00F46104">
            <w:pPr>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9619D6">
              <w:rPr>
                <w:rStyle w:val="Strong"/>
                <w:rFonts w:cstheme="minorHAnsi"/>
                <w:b/>
                <w:szCs w:val="22"/>
              </w:rPr>
              <w:t>Option H.2</w:t>
            </w:r>
          </w:p>
        </w:tc>
      </w:tr>
      <w:tr w:rsidR="00F46104" w:rsidRPr="00ED1E44" w14:paraId="53910DC2" w14:textId="77777777" w:rsidTr="00F46104">
        <w:trPr>
          <w:trHeight w:val="358"/>
        </w:trPr>
        <w:tc>
          <w:tcPr>
            <w:cnfStyle w:val="001000000000" w:firstRow="0" w:lastRow="0" w:firstColumn="1" w:lastColumn="0" w:oddVBand="0" w:evenVBand="0" w:oddHBand="0" w:evenHBand="0" w:firstRowFirstColumn="0" w:firstRowLastColumn="0" w:lastRowFirstColumn="0" w:lastRowLastColumn="0"/>
            <w:tcW w:w="862" w:type="pct"/>
            <w:tcBorders>
              <w:bottom w:val="single" w:sz="4" w:space="0" w:color="004EA8" w:themeColor="accent1"/>
            </w:tcBorders>
          </w:tcPr>
          <w:p w14:paraId="44A8EF42" w14:textId="77777777" w:rsidR="00F46104" w:rsidRPr="00ED1E44" w:rsidRDefault="00F46104" w:rsidP="00F46104">
            <w:pPr>
              <w:rPr>
                <w:rFonts w:cstheme="minorHAnsi"/>
                <w:szCs w:val="22"/>
              </w:rPr>
            </w:pPr>
            <w:r w:rsidRPr="00ED1E44">
              <w:rPr>
                <w:rFonts w:cstheme="minorHAnsi"/>
                <w:szCs w:val="22"/>
              </w:rPr>
              <w:t>Cost to industry</w:t>
            </w:r>
          </w:p>
        </w:tc>
        <w:tc>
          <w:tcPr>
            <w:tcW w:w="1807" w:type="pct"/>
            <w:tcBorders>
              <w:bottom w:val="single" w:sz="4" w:space="0" w:color="004EA8" w:themeColor="accent1"/>
            </w:tcBorders>
          </w:tcPr>
          <w:p w14:paraId="1FEF8B6C" w14:textId="77777777" w:rsidR="00F46104" w:rsidRPr="00ED1E44" w:rsidRDefault="00F46104" w:rsidP="00F46104">
            <w:pPr>
              <w:cnfStyle w:val="000000000000" w:firstRow="0" w:lastRow="0" w:firstColumn="0" w:lastColumn="0" w:oddVBand="0" w:evenVBand="0" w:oddHBand="0" w:evenHBand="0" w:firstRowFirstColumn="0" w:firstRowLastColumn="0" w:lastRowFirstColumn="0" w:lastRowLastColumn="0"/>
              <w:rPr>
                <w:rFonts w:cstheme="minorHAnsi"/>
                <w:szCs w:val="22"/>
              </w:rPr>
            </w:pPr>
            <w:r w:rsidRPr="00ED1E44">
              <w:rPr>
                <w:rFonts w:cstheme="minorHAnsi"/>
                <w:szCs w:val="22"/>
              </w:rPr>
              <w:t>Costs to industry imposed by Regulations relating to fees.</w:t>
            </w:r>
          </w:p>
        </w:tc>
        <w:tc>
          <w:tcPr>
            <w:tcW w:w="777" w:type="pct"/>
            <w:tcBorders>
              <w:bottom w:val="single" w:sz="4" w:space="0" w:color="004EA8" w:themeColor="accent1"/>
            </w:tcBorders>
          </w:tcPr>
          <w:p w14:paraId="43C47CE9" w14:textId="77777777" w:rsidR="00F46104" w:rsidRPr="00ED1E44" w:rsidRDefault="00F46104" w:rsidP="00F46104">
            <w:pPr>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ED1E44">
              <w:rPr>
                <w:rFonts w:cstheme="minorHAnsi"/>
                <w:szCs w:val="22"/>
              </w:rPr>
              <w:t>35%</w:t>
            </w:r>
          </w:p>
        </w:tc>
        <w:tc>
          <w:tcPr>
            <w:tcW w:w="777" w:type="pct"/>
            <w:tcBorders>
              <w:bottom w:val="single" w:sz="4" w:space="0" w:color="004EA8" w:themeColor="accent1"/>
            </w:tcBorders>
          </w:tcPr>
          <w:p w14:paraId="63F8C5D8" w14:textId="77777777" w:rsidR="00F46104" w:rsidRPr="00ED1E44" w:rsidRDefault="00F46104" w:rsidP="00F46104">
            <w:pPr>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w:t>
            </w:r>
            <w:r w:rsidRPr="00ED1E44">
              <w:rPr>
                <w:rFonts w:cstheme="minorHAnsi"/>
                <w:szCs w:val="22"/>
              </w:rPr>
              <w:t>7</w:t>
            </w:r>
          </w:p>
        </w:tc>
        <w:tc>
          <w:tcPr>
            <w:tcW w:w="777" w:type="pct"/>
            <w:tcBorders>
              <w:bottom w:val="single" w:sz="4" w:space="0" w:color="004EA8" w:themeColor="accent1"/>
            </w:tcBorders>
          </w:tcPr>
          <w:p w14:paraId="59CAC915" w14:textId="77777777" w:rsidR="00F46104" w:rsidRPr="00ED1E44" w:rsidRDefault="00F46104" w:rsidP="00F46104">
            <w:pPr>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w:t>
            </w:r>
            <w:r w:rsidRPr="00ED1E44">
              <w:rPr>
                <w:rFonts w:cstheme="minorHAnsi"/>
                <w:szCs w:val="22"/>
              </w:rPr>
              <w:t>6</w:t>
            </w:r>
          </w:p>
        </w:tc>
      </w:tr>
      <w:tr w:rsidR="00F46104" w:rsidRPr="00ED1E44" w14:paraId="3C4F5B65" w14:textId="77777777" w:rsidTr="00F46104">
        <w:trPr>
          <w:trHeight w:val="358"/>
        </w:trPr>
        <w:tc>
          <w:tcPr>
            <w:cnfStyle w:val="001000000000" w:firstRow="0" w:lastRow="0" w:firstColumn="1" w:lastColumn="0" w:oddVBand="0" w:evenVBand="0" w:oddHBand="0" w:evenHBand="0" w:firstRowFirstColumn="0" w:firstRowLastColumn="0" w:lastRowFirstColumn="0" w:lastRowLastColumn="0"/>
            <w:tcW w:w="862" w:type="pct"/>
            <w:tcBorders>
              <w:right w:val="nil"/>
            </w:tcBorders>
          </w:tcPr>
          <w:p w14:paraId="7EC9B13A" w14:textId="77777777" w:rsidR="00F46104" w:rsidRPr="00ED1E44" w:rsidRDefault="00F46104" w:rsidP="00F46104">
            <w:pPr>
              <w:rPr>
                <w:rFonts w:cstheme="minorHAnsi"/>
                <w:b/>
                <w:szCs w:val="22"/>
              </w:rPr>
            </w:pPr>
            <w:r w:rsidRPr="00ED1E44">
              <w:rPr>
                <w:rFonts w:cstheme="minorHAnsi"/>
                <w:b/>
                <w:szCs w:val="22"/>
              </w:rPr>
              <w:t>Total</w:t>
            </w:r>
          </w:p>
        </w:tc>
        <w:tc>
          <w:tcPr>
            <w:tcW w:w="1807" w:type="pct"/>
            <w:tcBorders>
              <w:left w:val="nil"/>
              <w:right w:val="nil"/>
            </w:tcBorders>
          </w:tcPr>
          <w:p w14:paraId="1AA0F18A" w14:textId="77777777" w:rsidR="00F46104" w:rsidRPr="0050070E" w:rsidRDefault="00F46104" w:rsidP="00F46104">
            <w:pPr>
              <w:cnfStyle w:val="000000000000" w:firstRow="0" w:lastRow="0" w:firstColumn="0" w:lastColumn="0" w:oddVBand="0" w:evenVBand="0" w:oddHBand="0" w:evenHBand="0" w:firstRowFirstColumn="0" w:firstRowLastColumn="0" w:lastRowFirstColumn="0" w:lastRowLastColumn="0"/>
              <w:rPr>
                <w:rFonts w:cstheme="minorHAnsi"/>
                <w:szCs w:val="22"/>
              </w:rPr>
            </w:pPr>
          </w:p>
        </w:tc>
        <w:tc>
          <w:tcPr>
            <w:tcW w:w="777" w:type="pct"/>
            <w:tcBorders>
              <w:left w:val="nil"/>
              <w:right w:val="nil"/>
            </w:tcBorders>
          </w:tcPr>
          <w:p w14:paraId="2B5EEB2A" w14:textId="77777777" w:rsidR="00F46104" w:rsidRPr="0050070E" w:rsidRDefault="00F46104" w:rsidP="00F46104">
            <w:pPr>
              <w:jc w:val="center"/>
              <w:cnfStyle w:val="000000000000" w:firstRow="0" w:lastRow="0" w:firstColumn="0" w:lastColumn="0" w:oddVBand="0" w:evenVBand="0" w:oddHBand="0" w:evenHBand="0" w:firstRowFirstColumn="0" w:firstRowLastColumn="0" w:lastRowFirstColumn="0" w:lastRowLastColumn="0"/>
              <w:rPr>
                <w:rFonts w:cstheme="minorHAnsi"/>
                <w:szCs w:val="22"/>
              </w:rPr>
            </w:pPr>
          </w:p>
        </w:tc>
        <w:tc>
          <w:tcPr>
            <w:tcW w:w="777" w:type="pct"/>
            <w:tcBorders>
              <w:left w:val="nil"/>
              <w:right w:val="nil"/>
            </w:tcBorders>
          </w:tcPr>
          <w:p w14:paraId="73706E4A" w14:textId="77777777" w:rsidR="00F46104" w:rsidRPr="00ED1E44" w:rsidRDefault="00F46104" w:rsidP="00F46104">
            <w:pPr>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ED1E44">
              <w:rPr>
                <w:rFonts w:cstheme="minorHAnsi"/>
                <w:b/>
                <w:szCs w:val="22"/>
              </w:rPr>
              <w:t>-2.45</w:t>
            </w:r>
          </w:p>
        </w:tc>
        <w:tc>
          <w:tcPr>
            <w:tcW w:w="777" w:type="pct"/>
            <w:tcBorders>
              <w:left w:val="nil"/>
            </w:tcBorders>
          </w:tcPr>
          <w:p w14:paraId="3B440A63" w14:textId="77777777" w:rsidR="00F46104" w:rsidRPr="00ED1E44" w:rsidRDefault="00F46104" w:rsidP="00F46104">
            <w:pPr>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ED1E44">
              <w:rPr>
                <w:rFonts w:cstheme="minorHAnsi"/>
                <w:b/>
                <w:szCs w:val="22"/>
              </w:rPr>
              <w:t>-2.1</w:t>
            </w:r>
          </w:p>
        </w:tc>
      </w:tr>
    </w:tbl>
    <w:p w14:paraId="64CDCDD6" w14:textId="503D2557" w:rsidR="00C01E92" w:rsidRPr="000107A9" w:rsidRDefault="00C01E92" w:rsidP="002806C5">
      <w:pPr>
        <w:pStyle w:val="EYHeading4"/>
        <w:numPr>
          <w:ilvl w:val="3"/>
          <w:numId w:val="80"/>
        </w:numPr>
        <w:spacing w:before="120"/>
        <w:rPr>
          <w:rFonts w:asciiTheme="minorHAnsi" w:hAnsiTheme="minorHAnsi" w:cstheme="minorHAnsi"/>
          <w:szCs w:val="22"/>
        </w:rPr>
      </w:pPr>
      <w:r w:rsidRPr="000107A9">
        <w:rPr>
          <w:rFonts w:asciiTheme="minorHAnsi" w:hAnsiTheme="minorHAnsi" w:cstheme="minorHAnsi"/>
          <w:szCs w:val="22"/>
        </w:rPr>
        <w:t xml:space="preserve">Exemptions </w:t>
      </w:r>
      <w:r w:rsidR="00215B6D">
        <w:rPr>
          <w:rFonts w:asciiTheme="minorHAnsi" w:hAnsiTheme="minorHAnsi" w:cstheme="minorHAnsi"/>
          <w:szCs w:val="22"/>
        </w:rPr>
        <w:t>or</w:t>
      </w:r>
      <w:r w:rsidRPr="000107A9">
        <w:rPr>
          <w:rFonts w:asciiTheme="minorHAnsi" w:hAnsiTheme="minorHAnsi" w:cstheme="minorHAnsi"/>
          <w:szCs w:val="22"/>
        </w:rPr>
        <w:t xml:space="preserve"> waivers</w:t>
      </w:r>
    </w:p>
    <w:p w14:paraId="465E6448"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Act provides that approved providers can apply for a waiver exempting a service from complying with the prescribed Regulations. The Act provides that applications must be accompanied by the prescribed information. </w:t>
      </w:r>
    </w:p>
    <w:p w14:paraId="2E39FA52"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Under Option I.1.Status Quo, the Regulations are silent as to waivers or exemptions. This option would impose increased costs relative to the base case through the increased administrative burden for providers needing to contact the Department to clarify the scope of possible waivers and the information needed to accompany applications. </w:t>
      </w:r>
    </w:p>
    <w:p w14:paraId="0144DF4E" w14:textId="49770CBB"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Under Option I.2. Alignment, the proposed Regulations outline the information to be provided with waiver applications, resulting in a cost saving compared to the base case and Option I.2 through the reduced administrative burden associated with regulatory guidance. There will, however, still be some administrative costs incurred through the application process and the subsequent communications between the provider and the Department.</w:t>
      </w:r>
    </w:p>
    <w:p w14:paraId="4A3759B3" w14:textId="528206B4" w:rsidR="00C01E92" w:rsidRPr="000107A9" w:rsidRDefault="009F2454" w:rsidP="00C01E92">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t xml:space="preserve">Table 35 </w:t>
      </w:r>
      <w:r w:rsidR="00C01E92" w:rsidRPr="000107A9">
        <w:rPr>
          <w:rFonts w:asciiTheme="minorHAnsi" w:hAnsiTheme="minorHAnsi" w:cstheme="minorHAnsi"/>
          <w:sz w:val="22"/>
          <w:szCs w:val="22"/>
        </w:rPr>
        <w:t>provides the scores given to Option I.1 and Option I.2 against the cost to industry criterion. The scores reflect the mild cost saving to businesses expected under Option I.2.</w:t>
      </w:r>
    </w:p>
    <w:p w14:paraId="6897324F" w14:textId="77777777" w:rsidR="009F2454" w:rsidRDefault="009F2454">
      <w:pPr>
        <w:spacing w:after="0"/>
        <w:rPr>
          <w:rFonts w:ascii="Arial Narrow" w:eastAsia="Times New Roman" w:hAnsi="Arial Narrow" w:cs="Times New Roman"/>
          <w:bCs/>
          <w:color w:val="000000" w:themeColor="text1"/>
          <w:szCs w:val="18"/>
          <w:lang w:val="en-AU"/>
        </w:rPr>
      </w:pPr>
      <w:bookmarkStart w:id="215" w:name="_Ref24698311"/>
      <w:r>
        <w:br w:type="page"/>
      </w:r>
    </w:p>
    <w:p w14:paraId="487901DE" w14:textId="4ABA74BE" w:rsidR="00C01E92" w:rsidRPr="00D55F3A" w:rsidRDefault="00C01E92" w:rsidP="00D55F3A">
      <w:pPr>
        <w:pStyle w:val="Caption"/>
      </w:pPr>
      <w:bookmarkStart w:id="216" w:name="_Toc32592818"/>
      <w:r w:rsidRPr="00D55F3A">
        <w:lastRenderedPageBreak/>
        <w:t xml:space="preserve">Table </w:t>
      </w:r>
      <w:r w:rsidRPr="00D55F3A">
        <w:fldChar w:fldCharType="begin"/>
      </w:r>
      <w:r w:rsidRPr="00D55F3A">
        <w:instrText xml:space="preserve"> SEQ Table \* ARABIC </w:instrText>
      </w:r>
      <w:r w:rsidRPr="00D55F3A">
        <w:fldChar w:fldCharType="separate"/>
      </w:r>
      <w:r w:rsidR="00493211">
        <w:rPr>
          <w:noProof/>
        </w:rPr>
        <w:t>35</w:t>
      </w:r>
      <w:r w:rsidRPr="00D55F3A">
        <w:fldChar w:fldCharType="end"/>
      </w:r>
      <w:bookmarkEnd w:id="215"/>
      <w:r w:rsidRPr="00D55F3A">
        <w:t xml:space="preserve"> </w:t>
      </w:r>
      <w:r w:rsidR="00D76D99">
        <w:t xml:space="preserve">Exemptions </w:t>
      </w:r>
      <w:r w:rsidR="00215B6D">
        <w:t>or</w:t>
      </w:r>
      <w:r w:rsidR="00D76D99">
        <w:t xml:space="preserve"> Waivers</w:t>
      </w:r>
      <w:r w:rsidRPr="00D55F3A">
        <w:t xml:space="preserve"> - costs to industry</w:t>
      </w:r>
      <w:bookmarkEnd w:id="216"/>
      <w:r w:rsidRPr="00D55F3A">
        <w:t xml:space="preserve"> </w:t>
      </w:r>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696"/>
        <w:gridCol w:w="3441"/>
        <w:gridCol w:w="1495"/>
        <w:gridCol w:w="1495"/>
        <w:gridCol w:w="1495"/>
      </w:tblGrid>
      <w:tr w:rsidR="00C01E92" w:rsidRPr="00ED1E44" w14:paraId="369C93B0" w14:textId="77777777" w:rsidTr="00961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Borders>
              <w:right w:val="none" w:sz="0" w:space="0" w:color="auto"/>
            </w:tcBorders>
          </w:tcPr>
          <w:p w14:paraId="65497EC8" w14:textId="77777777" w:rsidR="00C01E92" w:rsidRPr="00ED1E44" w:rsidRDefault="00C01E92" w:rsidP="00ED1E44">
            <w:pPr>
              <w:spacing w:after="60"/>
              <w:rPr>
                <w:rStyle w:val="Strong"/>
                <w:rFonts w:cstheme="minorHAnsi"/>
                <w:b/>
                <w:bCs w:val="0"/>
                <w:szCs w:val="22"/>
              </w:rPr>
            </w:pPr>
            <w:r w:rsidRPr="00ED1E44">
              <w:rPr>
                <w:rStyle w:val="Strong"/>
                <w:rFonts w:cstheme="minorHAnsi"/>
                <w:b/>
                <w:szCs w:val="22"/>
              </w:rPr>
              <w:t>Criterion</w:t>
            </w:r>
          </w:p>
        </w:tc>
        <w:tc>
          <w:tcPr>
            <w:tcW w:w="1788" w:type="pct"/>
            <w:tcBorders>
              <w:left w:val="none" w:sz="0" w:space="0" w:color="auto"/>
              <w:right w:val="none" w:sz="0" w:space="0" w:color="auto"/>
            </w:tcBorders>
          </w:tcPr>
          <w:p w14:paraId="4F91B664" w14:textId="77777777" w:rsidR="00C01E92" w:rsidRPr="00ED1E44" w:rsidRDefault="00C01E92" w:rsidP="00ED1E44">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bCs w:val="0"/>
                <w:szCs w:val="22"/>
              </w:rPr>
            </w:pPr>
            <w:r w:rsidRPr="00ED1E44">
              <w:rPr>
                <w:rStyle w:val="Strong"/>
                <w:rFonts w:cstheme="minorHAnsi"/>
                <w:b/>
                <w:szCs w:val="22"/>
              </w:rPr>
              <w:t>Description</w:t>
            </w:r>
          </w:p>
        </w:tc>
        <w:tc>
          <w:tcPr>
            <w:tcW w:w="777" w:type="pct"/>
            <w:tcBorders>
              <w:left w:val="none" w:sz="0" w:space="0" w:color="auto"/>
              <w:right w:val="none" w:sz="0" w:space="0" w:color="auto"/>
            </w:tcBorders>
          </w:tcPr>
          <w:p w14:paraId="240EFE36" w14:textId="77777777" w:rsidR="00C01E92" w:rsidRPr="00ED1E44" w:rsidRDefault="00C01E92" w:rsidP="00ED1E44">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bCs w:val="0"/>
                <w:szCs w:val="22"/>
              </w:rPr>
            </w:pPr>
            <w:r w:rsidRPr="00ED1E44">
              <w:rPr>
                <w:rStyle w:val="Strong"/>
                <w:rFonts w:cstheme="minorHAnsi"/>
                <w:b/>
                <w:szCs w:val="22"/>
              </w:rPr>
              <w:t>Weighting</w:t>
            </w:r>
          </w:p>
        </w:tc>
        <w:tc>
          <w:tcPr>
            <w:tcW w:w="777" w:type="pct"/>
            <w:tcBorders>
              <w:left w:val="none" w:sz="0" w:space="0" w:color="auto"/>
              <w:right w:val="none" w:sz="0" w:space="0" w:color="auto"/>
            </w:tcBorders>
          </w:tcPr>
          <w:p w14:paraId="6E3B15F6" w14:textId="77777777" w:rsidR="00C01E92" w:rsidRPr="00ED1E44" w:rsidRDefault="00C01E92" w:rsidP="00ED1E44">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bCs w:val="0"/>
                <w:szCs w:val="22"/>
              </w:rPr>
            </w:pPr>
            <w:r w:rsidRPr="00ED1E44">
              <w:rPr>
                <w:rStyle w:val="Strong"/>
                <w:rFonts w:cstheme="minorHAnsi"/>
                <w:b/>
                <w:szCs w:val="22"/>
              </w:rPr>
              <w:t>Option H.1</w:t>
            </w:r>
          </w:p>
        </w:tc>
        <w:tc>
          <w:tcPr>
            <w:tcW w:w="777" w:type="pct"/>
            <w:tcBorders>
              <w:left w:val="none" w:sz="0" w:space="0" w:color="auto"/>
            </w:tcBorders>
          </w:tcPr>
          <w:p w14:paraId="6BC66EFB" w14:textId="77777777" w:rsidR="00C01E92" w:rsidRPr="00ED1E44" w:rsidRDefault="00C01E92" w:rsidP="00ED1E44">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bCs w:val="0"/>
                <w:szCs w:val="22"/>
              </w:rPr>
            </w:pPr>
            <w:r w:rsidRPr="00ED1E44">
              <w:rPr>
                <w:rStyle w:val="Strong"/>
                <w:rFonts w:cstheme="minorHAnsi"/>
                <w:b/>
                <w:szCs w:val="22"/>
              </w:rPr>
              <w:t>Option H.2</w:t>
            </w:r>
          </w:p>
        </w:tc>
      </w:tr>
      <w:tr w:rsidR="00C01E92" w:rsidRPr="00ED1E44" w14:paraId="524C8A54" w14:textId="77777777" w:rsidTr="009619D6">
        <w:trPr>
          <w:trHeight w:val="358"/>
        </w:trPr>
        <w:tc>
          <w:tcPr>
            <w:cnfStyle w:val="001000000000" w:firstRow="0" w:lastRow="0" w:firstColumn="1" w:lastColumn="0" w:oddVBand="0" w:evenVBand="0" w:oddHBand="0" w:evenHBand="0" w:firstRowFirstColumn="0" w:firstRowLastColumn="0" w:lastRowFirstColumn="0" w:lastRowLastColumn="0"/>
            <w:tcW w:w="881" w:type="pct"/>
            <w:tcBorders>
              <w:bottom w:val="single" w:sz="4" w:space="0" w:color="004EA8" w:themeColor="accent1"/>
            </w:tcBorders>
          </w:tcPr>
          <w:p w14:paraId="2FDA8E32" w14:textId="77777777" w:rsidR="00C01E92" w:rsidRPr="00ED1E44" w:rsidRDefault="00C01E92" w:rsidP="00ED1E44">
            <w:pPr>
              <w:spacing w:after="60"/>
              <w:rPr>
                <w:rFonts w:cstheme="minorHAnsi"/>
                <w:szCs w:val="22"/>
              </w:rPr>
            </w:pPr>
            <w:r w:rsidRPr="00ED1E44">
              <w:rPr>
                <w:rFonts w:cstheme="minorHAnsi"/>
                <w:szCs w:val="22"/>
              </w:rPr>
              <w:t>Cost to industry</w:t>
            </w:r>
          </w:p>
        </w:tc>
        <w:tc>
          <w:tcPr>
            <w:tcW w:w="1788" w:type="pct"/>
            <w:tcBorders>
              <w:bottom w:val="single" w:sz="4" w:space="0" w:color="004EA8" w:themeColor="accent1"/>
            </w:tcBorders>
          </w:tcPr>
          <w:p w14:paraId="6E8DE409" w14:textId="0A791ADF" w:rsidR="00C01E92" w:rsidRPr="00ED1E44" w:rsidRDefault="00C01E92" w:rsidP="00215B6D">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ED1E44">
              <w:rPr>
                <w:rFonts w:cstheme="minorHAnsi"/>
                <w:szCs w:val="22"/>
              </w:rPr>
              <w:t xml:space="preserve">Costs to industry imposed by Regulations relating to exemptions </w:t>
            </w:r>
            <w:r w:rsidR="00215B6D">
              <w:rPr>
                <w:rFonts w:cstheme="minorHAnsi"/>
                <w:szCs w:val="22"/>
              </w:rPr>
              <w:t>or</w:t>
            </w:r>
            <w:r w:rsidRPr="00ED1E44">
              <w:rPr>
                <w:rFonts w:cstheme="minorHAnsi"/>
                <w:szCs w:val="22"/>
              </w:rPr>
              <w:t xml:space="preserve"> waivers.</w:t>
            </w:r>
          </w:p>
        </w:tc>
        <w:tc>
          <w:tcPr>
            <w:tcW w:w="777" w:type="pct"/>
            <w:tcBorders>
              <w:bottom w:val="single" w:sz="4" w:space="0" w:color="004EA8" w:themeColor="accent1"/>
            </w:tcBorders>
          </w:tcPr>
          <w:p w14:paraId="54721F3C" w14:textId="77777777" w:rsidR="00C01E92" w:rsidRPr="00ED1E44" w:rsidRDefault="00C01E92" w:rsidP="00ED1E44">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ED1E44">
              <w:rPr>
                <w:rFonts w:cstheme="minorHAnsi"/>
                <w:szCs w:val="22"/>
              </w:rPr>
              <w:t>35%</w:t>
            </w:r>
          </w:p>
        </w:tc>
        <w:tc>
          <w:tcPr>
            <w:tcW w:w="777" w:type="pct"/>
            <w:tcBorders>
              <w:bottom w:val="single" w:sz="4" w:space="0" w:color="004EA8" w:themeColor="accent1"/>
            </w:tcBorders>
          </w:tcPr>
          <w:p w14:paraId="39252547" w14:textId="77777777" w:rsidR="00C01E92" w:rsidRPr="00ED1E44" w:rsidRDefault="00C01E92" w:rsidP="00ED1E44">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ED1E44">
              <w:rPr>
                <w:rFonts w:cstheme="minorHAnsi"/>
                <w:szCs w:val="22"/>
              </w:rPr>
              <w:t>0</w:t>
            </w:r>
          </w:p>
        </w:tc>
        <w:tc>
          <w:tcPr>
            <w:tcW w:w="777" w:type="pct"/>
            <w:tcBorders>
              <w:bottom w:val="single" w:sz="4" w:space="0" w:color="004EA8" w:themeColor="accent1"/>
            </w:tcBorders>
          </w:tcPr>
          <w:p w14:paraId="6113DE85" w14:textId="77777777" w:rsidR="00C01E92" w:rsidRPr="00ED1E44" w:rsidRDefault="00C01E92" w:rsidP="00ED1E44">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ED1E44">
              <w:rPr>
                <w:rFonts w:cstheme="minorHAnsi"/>
                <w:szCs w:val="22"/>
              </w:rPr>
              <w:t>2</w:t>
            </w:r>
          </w:p>
        </w:tc>
      </w:tr>
      <w:tr w:rsidR="00C01E92" w:rsidRPr="00ED1E44" w14:paraId="300C843B" w14:textId="77777777" w:rsidTr="009619D6">
        <w:trPr>
          <w:trHeight w:val="358"/>
        </w:trPr>
        <w:tc>
          <w:tcPr>
            <w:cnfStyle w:val="001000000000" w:firstRow="0" w:lastRow="0" w:firstColumn="1" w:lastColumn="0" w:oddVBand="0" w:evenVBand="0" w:oddHBand="0" w:evenHBand="0" w:firstRowFirstColumn="0" w:firstRowLastColumn="0" w:lastRowFirstColumn="0" w:lastRowLastColumn="0"/>
            <w:tcW w:w="881" w:type="pct"/>
            <w:tcBorders>
              <w:right w:val="nil"/>
            </w:tcBorders>
          </w:tcPr>
          <w:p w14:paraId="5D639593" w14:textId="77777777" w:rsidR="00C01E92" w:rsidRPr="00ED1E44" w:rsidRDefault="00C01E92" w:rsidP="00ED1E44">
            <w:pPr>
              <w:spacing w:after="60"/>
              <w:rPr>
                <w:rFonts w:cstheme="minorHAnsi"/>
                <w:b/>
                <w:szCs w:val="22"/>
              </w:rPr>
            </w:pPr>
            <w:r w:rsidRPr="00ED1E44">
              <w:rPr>
                <w:rFonts w:cstheme="minorHAnsi"/>
                <w:b/>
                <w:szCs w:val="22"/>
              </w:rPr>
              <w:t>Total</w:t>
            </w:r>
          </w:p>
        </w:tc>
        <w:tc>
          <w:tcPr>
            <w:tcW w:w="1788" w:type="pct"/>
            <w:tcBorders>
              <w:left w:val="nil"/>
              <w:right w:val="nil"/>
            </w:tcBorders>
          </w:tcPr>
          <w:p w14:paraId="506E192B" w14:textId="77777777" w:rsidR="00C01E92" w:rsidRPr="00ED1E44" w:rsidRDefault="00C01E92" w:rsidP="00ED1E44">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777" w:type="pct"/>
            <w:tcBorders>
              <w:left w:val="nil"/>
              <w:right w:val="nil"/>
            </w:tcBorders>
          </w:tcPr>
          <w:p w14:paraId="2AC86EA0" w14:textId="77777777" w:rsidR="00C01E92" w:rsidRPr="00ED1E44" w:rsidRDefault="00C01E92" w:rsidP="00ED1E44">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777" w:type="pct"/>
            <w:tcBorders>
              <w:left w:val="nil"/>
              <w:right w:val="nil"/>
            </w:tcBorders>
          </w:tcPr>
          <w:p w14:paraId="6648A818" w14:textId="77777777" w:rsidR="00C01E92" w:rsidRPr="00ED1E44" w:rsidRDefault="00C01E92" w:rsidP="00ED1E44">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ED1E44">
              <w:rPr>
                <w:rFonts w:cstheme="minorHAnsi"/>
                <w:b/>
                <w:szCs w:val="22"/>
              </w:rPr>
              <w:t>0</w:t>
            </w:r>
          </w:p>
        </w:tc>
        <w:tc>
          <w:tcPr>
            <w:tcW w:w="777" w:type="pct"/>
            <w:tcBorders>
              <w:left w:val="nil"/>
            </w:tcBorders>
          </w:tcPr>
          <w:p w14:paraId="0C6594DC" w14:textId="77777777" w:rsidR="00C01E92" w:rsidRPr="00ED1E44" w:rsidRDefault="00C01E92" w:rsidP="00ED1E44">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ED1E44">
              <w:rPr>
                <w:rFonts w:cstheme="minorHAnsi"/>
                <w:b/>
                <w:szCs w:val="22"/>
              </w:rPr>
              <w:t>0.7</w:t>
            </w:r>
          </w:p>
        </w:tc>
      </w:tr>
    </w:tbl>
    <w:p w14:paraId="6B3989C6" w14:textId="77777777" w:rsidR="00C01E92" w:rsidRPr="000107A9" w:rsidRDefault="00C01E92" w:rsidP="002806C5">
      <w:pPr>
        <w:pStyle w:val="EYHeading4"/>
        <w:numPr>
          <w:ilvl w:val="3"/>
          <w:numId w:val="80"/>
        </w:numPr>
        <w:spacing w:before="120"/>
        <w:rPr>
          <w:rFonts w:asciiTheme="minorHAnsi" w:hAnsiTheme="minorHAnsi" w:cstheme="minorHAnsi"/>
          <w:szCs w:val="22"/>
        </w:rPr>
      </w:pPr>
      <w:r w:rsidRPr="000107A9">
        <w:rPr>
          <w:rFonts w:asciiTheme="minorHAnsi" w:hAnsiTheme="minorHAnsi" w:cstheme="minorHAnsi"/>
          <w:szCs w:val="22"/>
        </w:rPr>
        <w:t>Total costs to industry</w:t>
      </w:r>
    </w:p>
    <w:p w14:paraId="19674F91"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It is difficult to fully quantify the total costs to industry expected under the Status Quo and alignment options because it has not been possible to quantify costs associated with all areas within each option. However, the total costs to industry have been assessed insofar as possible, and are shown in Tables 46 and 47 below. </w:t>
      </w:r>
    </w:p>
    <w:p w14:paraId="2B64310A"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These tables include costs imposed by the current and proposed Regulations which are:</w:t>
      </w:r>
    </w:p>
    <w:p w14:paraId="3DBA0B6C" w14:textId="77777777" w:rsidR="00C01E92" w:rsidRPr="000107A9" w:rsidRDefault="00C01E92" w:rsidP="002806C5">
      <w:pPr>
        <w:pStyle w:val="EYBulletnoparaspace"/>
        <w:numPr>
          <w:ilvl w:val="0"/>
          <w:numId w:val="76"/>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Obligatory, thus incurred by all providers</w:t>
      </w:r>
    </w:p>
    <w:p w14:paraId="25551051" w14:textId="77777777" w:rsidR="00C01E92" w:rsidRPr="000107A9" w:rsidRDefault="00C01E92" w:rsidP="002806C5">
      <w:pPr>
        <w:pStyle w:val="EYBulletnoparaspace"/>
        <w:numPr>
          <w:ilvl w:val="0"/>
          <w:numId w:val="76"/>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Actual costs rather than opportunity costs</w:t>
      </w:r>
    </w:p>
    <w:p w14:paraId="4B5FC459" w14:textId="77777777" w:rsidR="00C01E92" w:rsidRPr="000107A9" w:rsidRDefault="00C01E92" w:rsidP="002806C5">
      <w:pPr>
        <w:pStyle w:val="EYBulletnoparaspace"/>
        <w:numPr>
          <w:ilvl w:val="0"/>
          <w:numId w:val="76"/>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Possible to calculate across the industry as a whole given available data (e.g. how often events occur per provider, per service or per year).</w:t>
      </w:r>
    </w:p>
    <w:p w14:paraId="33FC6AC4"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These costs are:</w:t>
      </w:r>
    </w:p>
    <w:p w14:paraId="7598B246" w14:textId="77777777" w:rsidR="00C01E92" w:rsidRPr="000107A9" w:rsidRDefault="00C01E92" w:rsidP="002806C5">
      <w:pPr>
        <w:pStyle w:val="EYBulletnoparaspace"/>
        <w:numPr>
          <w:ilvl w:val="0"/>
          <w:numId w:val="76"/>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 xml:space="preserve">Staffing </w:t>
      </w:r>
    </w:p>
    <w:p w14:paraId="7DFC15CC" w14:textId="77777777" w:rsidR="00C01E92" w:rsidRPr="000107A9" w:rsidRDefault="00C01E92" w:rsidP="002806C5">
      <w:pPr>
        <w:pStyle w:val="EYBulletnoparaspace"/>
        <w:numPr>
          <w:ilvl w:val="0"/>
          <w:numId w:val="76"/>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Health and welfare requirements relating to excursions</w:t>
      </w:r>
    </w:p>
    <w:p w14:paraId="4ADD2261" w14:textId="77777777" w:rsidR="00C01E92" w:rsidRPr="000107A9" w:rsidRDefault="00C01E92" w:rsidP="002806C5">
      <w:pPr>
        <w:pStyle w:val="EYBulletnoparaspace"/>
        <w:numPr>
          <w:ilvl w:val="0"/>
          <w:numId w:val="76"/>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First-aid kits and training</w:t>
      </w:r>
    </w:p>
    <w:p w14:paraId="207CB30A" w14:textId="77777777" w:rsidR="00C01E92" w:rsidRPr="000107A9" w:rsidRDefault="00C01E92" w:rsidP="002806C5">
      <w:pPr>
        <w:pStyle w:val="EYBulletnoparaspace"/>
        <w:numPr>
          <w:ilvl w:val="0"/>
          <w:numId w:val="76"/>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Equipment and facilities</w:t>
      </w:r>
    </w:p>
    <w:p w14:paraId="6AED4B44" w14:textId="77777777" w:rsidR="00C01E92" w:rsidRPr="000107A9" w:rsidRDefault="00C01E92" w:rsidP="002806C5">
      <w:pPr>
        <w:pStyle w:val="EYBulletnoparaspace"/>
        <w:numPr>
          <w:ilvl w:val="0"/>
          <w:numId w:val="76"/>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Incident records</w:t>
      </w:r>
    </w:p>
    <w:p w14:paraId="2C6D583B" w14:textId="77777777" w:rsidR="00C01E92" w:rsidRPr="000107A9" w:rsidRDefault="00C01E92" w:rsidP="002806C5">
      <w:pPr>
        <w:pStyle w:val="EYBulletnoparaspace"/>
        <w:numPr>
          <w:ilvl w:val="0"/>
          <w:numId w:val="76"/>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Notification and display of changes to policies</w:t>
      </w:r>
    </w:p>
    <w:p w14:paraId="79DE91E4" w14:textId="77777777" w:rsidR="00C01E92" w:rsidRPr="000107A9" w:rsidRDefault="00C01E92" w:rsidP="002806C5">
      <w:pPr>
        <w:pStyle w:val="EYBulletnoparaspace"/>
        <w:numPr>
          <w:ilvl w:val="0"/>
          <w:numId w:val="76"/>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Initial establishment of policies and procedures.</w:t>
      </w:r>
    </w:p>
    <w:p w14:paraId="6A8FDC73"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Requirements such as keeping records and the process for applying for provider and service approvals, which have been described as opportunity costs, are not included in these total costs to industry. It is assumed that these tasks would be completed by staff during their usual working hours, and would be reflected within the staffing costs experienced by services.</w:t>
      </w:r>
    </w:p>
    <w:p w14:paraId="4172CE80" w14:textId="5CB9F716" w:rsidR="00C01E92" w:rsidRPr="000107A9" w:rsidRDefault="00C01E92" w:rsidP="005351C1">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In addition, the following ‘equipment and facilities’ costs have not been quantified and are not included in these total costs:</w:t>
      </w:r>
      <w:r w:rsidR="005351C1">
        <w:rPr>
          <w:rFonts w:asciiTheme="minorHAnsi" w:hAnsiTheme="minorHAnsi" w:cstheme="minorHAnsi"/>
          <w:sz w:val="22"/>
          <w:szCs w:val="22"/>
        </w:rPr>
        <w:t xml:space="preserve"> p</w:t>
      </w:r>
      <w:r w:rsidRPr="000107A9">
        <w:rPr>
          <w:rFonts w:asciiTheme="minorHAnsi" w:hAnsiTheme="minorHAnsi" w:cstheme="minorHAnsi"/>
          <w:sz w:val="22"/>
          <w:szCs w:val="22"/>
        </w:rPr>
        <w:t>roviding facilities for children to participate in educational and care programs</w:t>
      </w:r>
      <w:r w:rsidR="005351C1">
        <w:rPr>
          <w:rFonts w:asciiTheme="minorHAnsi" w:hAnsiTheme="minorHAnsi" w:cstheme="minorHAnsi"/>
          <w:sz w:val="22"/>
          <w:szCs w:val="22"/>
        </w:rPr>
        <w:t>; m</w:t>
      </w:r>
      <w:r w:rsidRPr="000107A9">
        <w:rPr>
          <w:rFonts w:asciiTheme="minorHAnsi" w:hAnsiTheme="minorHAnsi" w:cstheme="minorHAnsi"/>
          <w:sz w:val="22"/>
          <w:szCs w:val="22"/>
        </w:rPr>
        <w:t>eeting children’s hygiene needs/providing toilets and hand-basins</w:t>
      </w:r>
      <w:r w:rsidR="005351C1">
        <w:rPr>
          <w:rFonts w:asciiTheme="minorHAnsi" w:hAnsiTheme="minorHAnsi" w:cstheme="minorHAnsi"/>
          <w:sz w:val="22"/>
          <w:szCs w:val="22"/>
        </w:rPr>
        <w:t>; i</w:t>
      </w:r>
      <w:r w:rsidRPr="000107A9">
        <w:rPr>
          <w:rFonts w:asciiTheme="minorHAnsi" w:hAnsiTheme="minorHAnsi" w:cstheme="minorHAnsi"/>
          <w:sz w:val="22"/>
          <w:szCs w:val="22"/>
        </w:rPr>
        <w:t>ndoor and outdoor space requirements</w:t>
      </w:r>
      <w:r w:rsidR="005351C1">
        <w:rPr>
          <w:rFonts w:asciiTheme="minorHAnsi" w:hAnsiTheme="minorHAnsi" w:cstheme="minorHAnsi"/>
          <w:sz w:val="22"/>
          <w:szCs w:val="22"/>
        </w:rPr>
        <w:t>; and s</w:t>
      </w:r>
      <w:r w:rsidRPr="000107A9">
        <w:rPr>
          <w:rFonts w:asciiTheme="minorHAnsi" w:hAnsiTheme="minorHAnsi" w:cstheme="minorHAnsi"/>
          <w:sz w:val="22"/>
          <w:szCs w:val="22"/>
        </w:rPr>
        <w:t>taff room</w:t>
      </w:r>
      <w:r w:rsidR="005351C1">
        <w:rPr>
          <w:rFonts w:asciiTheme="minorHAnsi" w:hAnsiTheme="minorHAnsi" w:cstheme="minorHAnsi"/>
          <w:sz w:val="22"/>
          <w:szCs w:val="22"/>
        </w:rPr>
        <w:t>.</w:t>
      </w:r>
    </w:p>
    <w:p w14:paraId="6C68D9D7"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Note that some of these costs vary considerably depending on the type and size of a service, meaning that the ‘per service’ costs provided below relate to the average service across the industry as a whole, and may not reflect the costs experienced by individual services in reality. In addition, it has been assumed that all services operate to their maximum weekly hours every week of the year, meaning that costs may be over-estimated if this is not the case. Nonetheless, these costs are provided to give an indicative guide to new entrants to the market and to illustrate the expected cost impacts for individual services of both options. Both real and net present value </w:t>
      </w:r>
      <w:r w:rsidRPr="000107A9">
        <w:rPr>
          <w:rFonts w:asciiTheme="minorHAnsi" w:hAnsiTheme="minorHAnsi" w:cstheme="minorHAnsi"/>
          <w:sz w:val="22"/>
          <w:szCs w:val="22"/>
        </w:rPr>
        <w:lastRenderedPageBreak/>
        <w:t>(</w:t>
      </w:r>
      <w:r w:rsidRPr="000107A9">
        <w:rPr>
          <w:rFonts w:asciiTheme="minorHAnsi" w:hAnsiTheme="minorHAnsi" w:cstheme="minorHAnsi"/>
          <w:b/>
          <w:sz w:val="22"/>
          <w:szCs w:val="22"/>
        </w:rPr>
        <w:t>NPV</w:t>
      </w:r>
      <w:r w:rsidRPr="000107A9">
        <w:rPr>
          <w:rFonts w:asciiTheme="minorHAnsi" w:hAnsiTheme="minorHAnsi" w:cstheme="minorHAnsi"/>
          <w:sz w:val="22"/>
          <w:szCs w:val="22"/>
        </w:rPr>
        <w:t xml:space="preserve">) projected costs are included. The NPV cost is calculated using a real discount rate of four per cent. </w:t>
      </w:r>
    </w:p>
    <w:p w14:paraId="0D7A090A" w14:textId="2152B25A" w:rsidR="00C01E92" w:rsidRPr="000107A9" w:rsidRDefault="00EE3E5C" w:rsidP="00C01E92">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t xml:space="preserve">Table </w:t>
      </w:r>
      <w:r w:rsidR="0099713C">
        <w:rPr>
          <w:rFonts w:asciiTheme="minorHAnsi" w:hAnsiTheme="minorHAnsi" w:cstheme="minorHAnsi"/>
          <w:sz w:val="22"/>
          <w:szCs w:val="22"/>
        </w:rPr>
        <w:t>36</w:t>
      </w:r>
      <w:r>
        <w:rPr>
          <w:rFonts w:asciiTheme="minorHAnsi" w:hAnsiTheme="minorHAnsi" w:cstheme="minorHAnsi"/>
          <w:sz w:val="22"/>
          <w:szCs w:val="22"/>
        </w:rPr>
        <w:t xml:space="preserve"> p</w:t>
      </w:r>
      <w:r w:rsidR="00C01E92" w:rsidRPr="000107A9">
        <w:rPr>
          <w:rFonts w:asciiTheme="minorHAnsi" w:hAnsiTheme="minorHAnsi" w:cstheme="minorHAnsi"/>
          <w:sz w:val="22"/>
          <w:szCs w:val="22"/>
        </w:rPr>
        <w:t xml:space="preserve">rovides the estimated total initial set-up costs incurred in relation to each new service and to the industry overall each year under the Status Quo and alignment options. These costs are limited to the purchase of equipment required under the options as the other set-up costs, such as applying for approvals or establishing policies, are considered opportunity costs. As the equipment and facilities required under both options are the same, the </w:t>
      </w:r>
      <w:r w:rsidR="00C01E92" w:rsidRPr="000107A9">
        <w:rPr>
          <w:rFonts w:asciiTheme="minorHAnsi" w:hAnsiTheme="minorHAnsi" w:cstheme="minorHAnsi"/>
          <w:b/>
          <w:sz w:val="22"/>
          <w:szCs w:val="22"/>
        </w:rPr>
        <w:t>costs are expected to be the same</w:t>
      </w:r>
      <w:r w:rsidR="00C01E92" w:rsidRPr="000107A9">
        <w:rPr>
          <w:rFonts w:asciiTheme="minorHAnsi" w:hAnsiTheme="minorHAnsi" w:cstheme="minorHAnsi"/>
          <w:sz w:val="22"/>
          <w:szCs w:val="22"/>
        </w:rPr>
        <w:t xml:space="preserve"> for both options.</w:t>
      </w:r>
    </w:p>
    <w:p w14:paraId="1DB988E5" w14:textId="53181DB2" w:rsidR="00C01E92" w:rsidRPr="00822B0B" w:rsidRDefault="00C01E92" w:rsidP="00F7569F">
      <w:pPr>
        <w:pStyle w:val="Caption"/>
      </w:pPr>
      <w:bookmarkStart w:id="217" w:name="_Toc32592819"/>
      <w:r w:rsidRPr="00822B0B">
        <w:t xml:space="preserve">Table </w:t>
      </w:r>
      <w:r w:rsidRPr="00822B0B">
        <w:fldChar w:fldCharType="begin"/>
      </w:r>
      <w:r w:rsidRPr="00822B0B">
        <w:instrText xml:space="preserve"> SEQ Table \* ARABIC </w:instrText>
      </w:r>
      <w:r w:rsidRPr="00822B0B">
        <w:fldChar w:fldCharType="separate"/>
      </w:r>
      <w:r w:rsidR="00493211">
        <w:rPr>
          <w:noProof/>
        </w:rPr>
        <w:t>36</w:t>
      </w:r>
      <w:r w:rsidRPr="00822B0B">
        <w:fldChar w:fldCharType="end"/>
      </w:r>
      <w:r w:rsidRPr="00822B0B">
        <w:t xml:space="preserve"> Total costs to industry: initial set-up</w:t>
      </w:r>
      <w:bookmarkEnd w:id="217"/>
    </w:p>
    <w:tbl>
      <w:tblPr>
        <w:tblStyle w:val="TableGrid"/>
        <w:tblW w:w="9634" w:type="dxa"/>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2254"/>
        <w:gridCol w:w="2460"/>
        <w:gridCol w:w="2460"/>
        <w:gridCol w:w="2460"/>
      </w:tblGrid>
      <w:tr w:rsidR="00C01E92" w:rsidRPr="00ED1E44" w14:paraId="1D0DABDD" w14:textId="77777777" w:rsidTr="00ED1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right w:val="none" w:sz="0" w:space="0" w:color="auto"/>
            </w:tcBorders>
          </w:tcPr>
          <w:p w14:paraId="71C57EDF" w14:textId="77777777" w:rsidR="00C01E92" w:rsidRPr="00ED1E44" w:rsidRDefault="00C01E92" w:rsidP="00ED1E44">
            <w:pPr>
              <w:pStyle w:val="EYBodytextwithparaspace"/>
              <w:spacing w:after="60"/>
              <w:jc w:val="center"/>
              <w:rPr>
                <w:rFonts w:ascii="Arial Narrow" w:hAnsi="Arial Narrow" w:cstheme="minorHAnsi"/>
                <w:sz w:val="22"/>
                <w:szCs w:val="22"/>
              </w:rPr>
            </w:pPr>
            <w:r w:rsidRPr="00ED1E44">
              <w:rPr>
                <w:rFonts w:ascii="Arial Narrow" w:hAnsi="Arial Narrow" w:cstheme="minorHAnsi"/>
                <w:sz w:val="22"/>
                <w:szCs w:val="22"/>
              </w:rPr>
              <w:t>Option</w:t>
            </w:r>
          </w:p>
        </w:tc>
        <w:tc>
          <w:tcPr>
            <w:tcW w:w="2460" w:type="dxa"/>
            <w:tcBorders>
              <w:left w:val="none" w:sz="0" w:space="0" w:color="auto"/>
              <w:right w:val="none" w:sz="0" w:space="0" w:color="auto"/>
            </w:tcBorders>
          </w:tcPr>
          <w:p w14:paraId="40A12E5E" w14:textId="77777777" w:rsidR="00C01E92" w:rsidRPr="00ED1E44" w:rsidRDefault="00C01E92" w:rsidP="00ED1E44">
            <w:pPr>
              <w:pStyle w:val="EYBodytextwithparaspace"/>
              <w:spacing w:after="60"/>
              <w:jc w:val="center"/>
              <w:cnfStyle w:val="100000000000" w:firstRow="1"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ED1E44">
              <w:rPr>
                <w:rFonts w:ascii="Arial Narrow" w:hAnsi="Arial Narrow" w:cstheme="minorHAnsi"/>
                <w:sz w:val="22"/>
                <w:szCs w:val="22"/>
              </w:rPr>
              <w:t>Total cost per service</w:t>
            </w:r>
          </w:p>
        </w:tc>
        <w:tc>
          <w:tcPr>
            <w:tcW w:w="2460" w:type="dxa"/>
            <w:tcBorders>
              <w:left w:val="none" w:sz="0" w:space="0" w:color="auto"/>
              <w:right w:val="none" w:sz="0" w:space="0" w:color="auto"/>
            </w:tcBorders>
          </w:tcPr>
          <w:p w14:paraId="027CA1A5" w14:textId="77777777" w:rsidR="00C01E92" w:rsidRPr="00ED1E44" w:rsidRDefault="00C01E92" w:rsidP="00ED1E44">
            <w:pPr>
              <w:pStyle w:val="EYBodytextwithparaspace"/>
              <w:spacing w:after="60"/>
              <w:jc w:val="center"/>
              <w:cnfStyle w:val="100000000000" w:firstRow="1"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ED1E44">
              <w:rPr>
                <w:rFonts w:ascii="Arial Narrow" w:hAnsi="Arial Narrow" w:cstheme="minorHAnsi"/>
                <w:sz w:val="22"/>
                <w:szCs w:val="22"/>
              </w:rPr>
              <w:t>Total cost to industry per year</w:t>
            </w:r>
          </w:p>
        </w:tc>
        <w:tc>
          <w:tcPr>
            <w:tcW w:w="2460" w:type="dxa"/>
            <w:tcBorders>
              <w:left w:val="none" w:sz="0" w:space="0" w:color="auto"/>
            </w:tcBorders>
          </w:tcPr>
          <w:p w14:paraId="0251F416" w14:textId="77777777" w:rsidR="00C01E92" w:rsidRPr="00ED1E44" w:rsidRDefault="00C01E92" w:rsidP="00ED1E44">
            <w:pPr>
              <w:pStyle w:val="EYBodytextwithparaspace"/>
              <w:spacing w:after="60"/>
              <w:jc w:val="center"/>
              <w:cnfStyle w:val="100000000000" w:firstRow="1"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ED1E44">
              <w:rPr>
                <w:rFonts w:ascii="Arial Narrow" w:hAnsi="Arial Narrow" w:cstheme="minorHAnsi"/>
                <w:sz w:val="22"/>
                <w:szCs w:val="22"/>
              </w:rPr>
              <w:t>Total cost to industry over 10 years - NPV</w:t>
            </w:r>
          </w:p>
        </w:tc>
      </w:tr>
      <w:tr w:rsidR="00C01E92" w:rsidRPr="00ED1E44" w14:paraId="112F9A68" w14:textId="77777777" w:rsidTr="00ED1E44">
        <w:tc>
          <w:tcPr>
            <w:cnfStyle w:val="001000000000" w:firstRow="0" w:lastRow="0" w:firstColumn="1" w:lastColumn="0" w:oddVBand="0" w:evenVBand="0" w:oddHBand="0" w:evenHBand="0" w:firstRowFirstColumn="0" w:firstRowLastColumn="0" w:lastRowFirstColumn="0" w:lastRowLastColumn="0"/>
            <w:tcW w:w="2254" w:type="dxa"/>
          </w:tcPr>
          <w:p w14:paraId="30870CC8" w14:textId="77777777" w:rsidR="00C01E92" w:rsidRPr="00ED1E44" w:rsidRDefault="00C01E92" w:rsidP="00ED1E44">
            <w:pPr>
              <w:pStyle w:val="EYBodytextwithparaspace"/>
              <w:spacing w:after="60"/>
              <w:jc w:val="center"/>
              <w:rPr>
                <w:rFonts w:ascii="Arial Narrow" w:hAnsi="Arial Narrow" w:cstheme="minorHAnsi"/>
                <w:sz w:val="22"/>
                <w:szCs w:val="22"/>
              </w:rPr>
            </w:pPr>
            <w:r w:rsidRPr="00ED1E44">
              <w:rPr>
                <w:rFonts w:ascii="Arial Narrow" w:hAnsi="Arial Narrow" w:cstheme="minorHAnsi"/>
                <w:sz w:val="22"/>
                <w:szCs w:val="22"/>
              </w:rPr>
              <w:t>Status Quo</w:t>
            </w:r>
          </w:p>
        </w:tc>
        <w:tc>
          <w:tcPr>
            <w:tcW w:w="2460" w:type="dxa"/>
          </w:tcPr>
          <w:p w14:paraId="48021C23" w14:textId="6443D9D8" w:rsidR="00C01E92" w:rsidRPr="00ED1E44" w:rsidRDefault="00ED1E44" w:rsidP="00ED1E44">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$9,694</w:t>
            </w:r>
          </w:p>
        </w:tc>
        <w:tc>
          <w:tcPr>
            <w:tcW w:w="2460" w:type="dxa"/>
          </w:tcPr>
          <w:p w14:paraId="13FE4F7F" w14:textId="7909EF90" w:rsidR="00C01E92" w:rsidRPr="00ED1E44" w:rsidRDefault="00ED1E44" w:rsidP="00ED1E44">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$193,888</w:t>
            </w:r>
          </w:p>
        </w:tc>
        <w:tc>
          <w:tcPr>
            <w:tcW w:w="2460" w:type="dxa"/>
          </w:tcPr>
          <w:p w14:paraId="1E3C7A61" w14:textId="0A2EA5D6" w:rsidR="00C01E92" w:rsidRPr="00ED1E44" w:rsidRDefault="00ED1E44" w:rsidP="00ED1E44">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$1,572,611</w:t>
            </w:r>
          </w:p>
        </w:tc>
      </w:tr>
      <w:tr w:rsidR="00C01E92" w:rsidRPr="00ED1E44" w14:paraId="48E43DD4" w14:textId="77777777" w:rsidTr="00ED1E44">
        <w:tc>
          <w:tcPr>
            <w:cnfStyle w:val="001000000000" w:firstRow="0" w:lastRow="0" w:firstColumn="1" w:lastColumn="0" w:oddVBand="0" w:evenVBand="0" w:oddHBand="0" w:evenHBand="0" w:firstRowFirstColumn="0" w:firstRowLastColumn="0" w:lastRowFirstColumn="0" w:lastRowLastColumn="0"/>
            <w:tcW w:w="2254" w:type="dxa"/>
          </w:tcPr>
          <w:p w14:paraId="6A433FFA" w14:textId="77777777" w:rsidR="00C01E92" w:rsidRPr="00ED1E44" w:rsidRDefault="00C01E92" w:rsidP="00ED1E44">
            <w:pPr>
              <w:pStyle w:val="EYBodytextwithparaspace"/>
              <w:spacing w:after="60"/>
              <w:jc w:val="center"/>
              <w:rPr>
                <w:rFonts w:ascii="Arial Narrow" w:hAnsi="Arial Narrow" w:cstheme="minorHAnsi"/>
                <w:sz w:val="22"/>
                <w:szCs w:val="22"/>
              </w:rPr>
            </w:pPr>
            <w:r w:rsidRPr="00ED1E44">
              <w:rPr>
                <w:rFonts w:ascii="Arial Narrow" w:hAnsi="Arial Narrow" w:cstheme="minorHAnsi"/>
                <w:sz w:val="22"/>
                <w:szCs w:val="22"/>
              </w:rPr>
              <w:t>Alignment</w:t>
            </w:r>
          </w:p>
        </w:tc>
        <w:tc>
          <w:tcPr>
            <w:tcW w:w="2460" w:type="dxa"/>
          </w:tcPr>
          <w:p w14:paraId="30FA3C81" w14:textId="7D018ABF" w:rsidR="00C01E92" w:rsidRPr="00ED1E44" w:rsidRDefault="00ED1E44" w:rsidP="00ED1E44">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$9,694</w:t>
            </w:r>
          </w:p>
        </w:tc>
        <w:tc>
          <w:tcPr>
            <w:tcW w:w="2460" w:type="dxa"/>
          </w:tcPr>
          <w:p w14:paraId="0AEFDCCF" w14:textId="21A9DE9B" w:rsidR="00C01E92" w:rsidRPr="00ED1E44" w:rsidRDefault="00ED1E44" w:rsidP="00ED1E44">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$193,888</w:t>
            </w:r>
          </w:p>
        </w:tc>
        <w:tc>
          <w:tcPr>
            <w:tcW w:w="2460" w:type="dxa"/>
          </w:tcPr>
          <w:p w14:paraId="2EF6B0AA" w14:textId="0F5CE809" w:rsidR="00C01E92" w:rsidRPr="00ED1E44" w:rsidRDefault="00ED1E44" w:rsidP="00ED1E44">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$1,572,611</w:t>
            </w:r>
          </w:p>
        </w:tc>
      </w:tr>
    </w:tbl>
    <w:p w14:paraId="7724C035" w14:textId="57E2FFB5" w:rsidR="00C01E92"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_Ref24728303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 xml:space="preserve">Table </w:t>
      </w:r>
      <w:r w:rsidR="00493211" w:rsidRPr="00493211">
        <w:rPr>
          <w:rFonts w:asciiTheme="minorHAnsi" w:hAnsiTheme="minorHAnsi" w:cstheme="minorHAnsi"/>
          <w:noProof/>
          <w:sz w:val="22"/>
          <w:szCs w:val="22"/>
        </w:rPr>
        <w:t>37</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provides the estimated ongoing annual costs per service and to the industry as a whole under the Status Quo and alignment options. The ongoing costs included in these figures are staffing, first-aid training and kits and equipment that needs to be replaced at intervals (mattresses and sheets, e.g.). Staffing costs comprise the bulk of these costs and it should be noted that, as discussed at section 6.2.1.3., these costs may vary considerably depending on individual providers’ size, attendance rates, weekly hours of operation and staffing choices. </w:t>
      </w:r>
    </w:p>
    <w:p w14:paraId="57EEBB6C" w14:textId="787DA2FB" w:rsidR="00C01E92" w:rsidRPr="000107A9" w:rsidRDefault="00C01E92" w:rsidP="00F7569F">
      <w:pPr>
        <w:pStyle w:val="Caption"/>
      </w:pPr>
      <w:bookmarkStart w:id="218" w:name="_Ref24728303"/>
      <w:bookmarkStart w:id="219" w:name="_Toc32592820"/>
      <w:r w:rsidRPr="000107A9">
        <w:t xml:space="preserve">Table </w:t>
      </w:r>
      <w:r w:rsidRPr="000107A9">
        <w:fldChar w:fldCharType="begin"/>
      </w:r>
      <w:r w:rsidRPr="000107A9">
        <w:instrText xml:space="preserve"> SEQ Table \* ARABIC </w:instrText>
      </w:r>
      <w:r w:rsidRPr="000107A9">
        <w:fldChar w:fldCharType="separate"/>
      </w:r>
      <w:r w:rsidR="00493211">
        <w:rPr>
          <w:noProof/>
        </w:rPr>
        <w:t>37</w:t>
      </w:r>
      <w:r w:rsidRPr="000107A9">
        <w:fldChar w:fldCharType="end"/>
      </w:r>
      <w:bookmarkEnd w:id="218"/>
      <w:r w:rsidRPr="000107A9">
        <w:t xml:space="preserve"> Total costs to industry: ongoing costs</w:t>
      </w:r>
      <w:bookmarkEnd w:id="219"/>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2262"/>
        <w:gridCol w:w="2454"/>
        <w:gridCol w:w="2454"/>
        <w:gridCol w:w="2452"/>
      </w:tblGrid>
      <w:tr w:rsidR="00C01E92" w:rsidRPr="00ED1E44" w14:paraId="5BDBC0CF" w14:textId="77777777" w:rsidTr="00ED1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6" w:type="pct"/>
            <w:tcBorders>
              <w:right w:val="none" w:sz="0" w:space="0" w:color="auto"/>
            </w:tcBorders>
          </w:tcPr>
          <w:p w14:paraId="7C98F5F9" w14:textId="77777777" w:rsidR="00C01E92" w:rsidRPr="00ED1E44" w:rsidRDefault="00C01E92" w:rsidP="00ED1E44">
            <w:pPr>
              <w:spacing w:after="60"/>
              <w:jc w:val="center"/>
              <w:rPr>
                <w:rStyle w:val="Strong"/>
                <w:rFonts w:cstheme="minorHAnsi"/>
                <w:b/>
                <w:szCs w:val="22"/>
              </w:rPr>
            </w:pPr>
            <w:r w:rsidRPr="00ED1E44">
              <w:rPr>
                <w:rStyle w:val="Strong"/>
                <w:rFonts w:cstheme="minorHAnsi"/>
                <w:b/>
                <w:szCs w:val="22"/>
              </w:rPr>
              <w:t>Option</w:t>
            </w:r>
          </w:p>
        </w:tc>
        <w:tc>
          <w:tcPr>
            <w:tcW w:w="1275" w:type="pct"/>
            <w:tcBorders>
              <w:left w:val="none" w:sz="0" w:space="0" w:color="auto"/>
              <w:right w:val="none" w:sz="0" w:space="0" w:color="auto"/>
            </w:tcBorders>
          </w:tcPr>
          <w:p w14:paraId="13214633" w14:textId="77777777" w:rsidR="00C01E92" w:rsidRPr="00ED1E44" w:rsidRDefault="00C01E92" w:rsidP="00ED1E44">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ED1E44">
              <w:rPr>
                <w:rStyle w:val="Strong"/>
                <w:rFonts w:cstheme="minorHAnsi"/>
                <w:b/>
                <w:szCs w:val="22"/>
              </w:rPr>
              <w:t>Total annual ongoing costs per service</w:t>
            </w:r>
          </w:p>
        </w:tc>
        <w:tc>
          <w:tcPr>
            <w:tcW w:w="1275" w:type="pct"/>
            <w:tcBorders>
              <w:left w:val="none" w:sz="0" w:space="0" w:color="auto"/>
              <w:right w:val="none" w:sz="0" w:space="0" w:color="auto"/>
            </w:tcBorders>
          </w:tcPr>
          <w:p w14:paraId="7E8EC600" w14:textId="77777777" w:rsidR="00C01E92" w:rsidRPr="00ED1E44" w:rsidRDefault="00C01E92" w:rsidP="00ED1E44">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ED1E44">
              <w:rPr>
                <w:rStyle w:val="Strong"/>
                <w:rFonts w:cstheme="minorHAnsi"/>
                <w:b/>
                <w:szCs w:val="22"/>
              </w:rPr>
              <w:t>Total cost to industry per year</w:t>
            </w:r>
          </w:p>
        </w:tc>
        <w:tc>
          <w:tcPr>
            <w:tcW w:w="1275" w:type="pct"/>
            <w:tcBorders>
              <w:left w:val="none" w:sz="0" w:space="0" w:color="auto"/>
            </w:tcBorders>
          </w:tcPr>
          <w:p w14:paraId="464EE609" w14:textId="77777777" w:rsidR="00C01E92" w:rsidRPr="00ED1E44" w:rsidRDefault="00C01E92" w:rsidP="00ED1E44">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ED1E44">
              <w:rPr>
                <w:rStyle w:val="Strong"/>
                <w:rFonts w:cstheme="minorHAnsi"/>
                <w:b/>
                <w:szCs w:val="22"/>
              </w:rPr>
              <w:t>Total cost to industry over 10 years - NPV</w:t>
            </w:r>
          </w:p>
        </w:tc>
      </w:tr>
      <w:tr w:rsidR="00C01E92" w:rsidRPr="00ED1E44" w14:paraId="050D404E" w14:textId="77777777" w:rsidTr="00ED1E44">
        <w:trPr>
          <w:trHeight w:val="358"/>
        </w:trPr>
        <w:tc>
          <w:tcPr>
            <w:cnfStyle w:val="001000000000" w:firstRow="0" w:lastRow="0" w:firstColumn="1" w:lastColumn="0" w:oddVBand="0" w:evenVBand="0" w:oddHBand="0" w:evenHBand="0" w:firstRowFirstColumn="0" w:firstRowLastColumn="0" w:lastRowFirstColumn="0" w:lastRowLastColumn="0"/>
            <w:tcW w:w="1176" w:type="pct"/>
          </w:tcPr>
          <w:p w14:paraId="1880A15D" w14:textId="77777777" w:rsidR="00C01E92" w:rsidRPr="00ED1E44" w:rsidRDefault="00C01E92" w:rsidP="00ED1E44">
            <w:pPr>
              <w:spacing w:after="60"/>
              <w:jc w:val="center"/>
              <w:rPr>
                <w:rFonts w:cstheme="minorHAnsi"/>
                <w:szCs w:val="22"/>
              </w:rPr>
            </w:pPr>
            <w:r w:rsidRPr="00ED1E44">
              <w:rPr>
                <w:rFonts w:cstheme="minorHAnsi"/>
                <w:szCs w:val="22"/>
              </w:rPr>
              <w:t>Status Quo</w:t>
            </w:r>
          </w:p>
        </w:tc>
        <w:tc>
          <w:tcPr>
            <w:tcW w:w="1275" w:type="pct"/>
          </w:tcPr>
          <w:p w14:paraId="19BB304C" w14:textId="26EB7D9F" w:rsidR="00C01E92" w:rsidRPr="00ED1E44" w:rsidRDefault="00ED1E44" w:rsidP="00ED1E44">
            <w:pPr>
              <w:pStyle w:val="EYBodytextwithout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$75,202</w:t>
            </w:r>
          </w:p>
        </w:tc>
        <w:tc>
          <w:tcPr>
            <w:tcW w:w="1275" w:type="pct"/>
          </w:tcPr>
          <w:p w14:paraId="3D38A056" w14:textId="12FBB803" w:rsidR="00C01E92" w:rsidRPr="00ED1E44" w:rsidRDefault="00ED1E44" w:rsidP="00ED1E44">
            <w:pPr>
              <w:pStyle w:val="EYBodytextwithout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$24,215,355</w:t>
            </w:r>
          </w:p>
        </w:tc>
        <w:tc>
          <w:tcPr>
            <w:tcW w:w="1275" w:type="pct"/>
          </w:tcPr>
          <w:p w14:paraId="406BDD15" w14:textId="5DBE8E44" w:rsidR="00C01E92" w:rsidRPr="00ED1E44" w:rsidRDefault="00ED1E44" w:rsidP="00ED1E44">
            <w:pPr>
              <w:pStyle w:val="EYBodytextwithout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$244,387,699</w:t>
            </w:r>
          </w:p>
        </w:tc>
      </w:tr>
      <w:tr w:rsidR="00C01E92" w:rsidRPr="00ED1E44" w14:paraId="31E5AF4C" w14:textId="77777777" w:rsidTr="00ED1E44">
        <w:trPr>
          <w:trHeight w:val="358"/>
        </w:trPr>
        <w:tc>
          <w:tcPr>
            <w:cnfStyle w:val="001000000000" w:firstRow="0" w:lastRow="0" w:firstColumn="1" w:lastColumn="0" w:oddVBand="0" w:evenVBand="0" w:oddHBand="0" w:evenHBand="0" w:firstRowFirstColumn="0" w:firstRowLastColumn="0" w:lastRowFirstColumn="0" w:lastRowLastColumn="0"/>
            <w:tcW w:w="1176" w:type="pct"/>
          </w:tcPr>
          <w:p w14:paraId="6868A35C" w14:textId="77777777" w:rsidR="00C01E92" w:rsidRPr="00ED1E44" w:rsidRDefault="00C01E92" w:rsidP="00ED1E44">
            <w:pPr>
              <w:spacing w:after="60"/>
              <w:jc w:val="center"/>
              <w:rPr>
                <w:rFonts w:cstheme="minorHAnsi"/>
                <w:szCs w:val="22"/>
              </w:rPr>
            </w:pPr>
            <w:r w:rsidRPr="00ED1E44">
              <w:rPr>
                <w:rFonts w:cstheme="minorHAnsi"/>
                <w:szCs w:val="22"/>
              </w:rPr>
              <w:t>Alignment</w:t>
            </w:r>
          </w:p>
        </w:tc>
        <w:tc>
          <w:tcPr>
            <w:tcW w:w="1275" w:type="pct"/>
          </w:tcPr>
          <w:p w14:paraId="114FF503" w14:textId="63FAC82E" w:rsidR="00C01E92" w:rsidRPr="00ED1E44" w:rsidRDefault="00ED1E44" w:rsidP="00ED1E44">
            <w:pPr>
              <w:pStyle w:val="EYBodytextwithout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$74,984</w:t>
            </w:r>
          </w:p>
        </w:tc>
        <w:tc>
          <w:tcPr>
            <w:tcW w:w="1275" w:type="pct"/>
          </w:tcPr>
          <w:p w14:paraId="43773FD8" w14:textId="478A804B" w:rsidR="00C01E92" w:rsidRPr="00ED1E44" w:rsidRDefault="00ED1E44" w:rsidP="00ED1E44">
            <w:pPr>
              <w:pStyle w:val="EYBodytextwithout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$24,144,870</w:t>
            </w:r>
          </w:p>
        </w:tc>
        <w:tc>
          <w:tcPr>
            <w:tcW w:w="1275" w:type="pct"/>
          </w:tcPr>
          <w:p w14:paraId="50D90D72" w14:textId="28289896" w:rsidR="00C01E92" w:rsidRPr="00ED1E44" w:rsidRDefault="00ED1E44" w:rsidP="00ED1E44">
            <w:pPr>
              <w:pStyle w:val="EYBodytextwithout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$234,363,856</w:t>
            </w:r>
          </w:p>
        </w:tc>
      </w:tr>
    </w:tbl>
    <w:p w14:paraId="5382CB21" w14:textId="5AEF760F" w:rsidR="00C01E92" w:rsidRPr="000107A9" w:rsidRDefault="00315FEE" w:rsidP="00C3375F">
      <w:pPr>
        <w:pStyle w:val="Heading3"/>
      </w:pPr>
      <w:bookmarkStart w:id="220" w:name="_Toc32936890"/>
      <w:r>
        <w:t xml:space="preserve">6.2.2 </w:t>
      </w:r>
      <w:r w:rsidR="00C01E92" w:rsidRPr="000107A9">
        <w:t>Costs to regulator</w:t>
      </w:r>
      <w:bookmarkEnd w:id="220"/>
      <w:r w:rsidR="00C01E92" w:rsidRPr="000107A9">
        <w:t xml:space="preserve"> </w:t>
      </w:r>
    </w:p>
    <w:p w14:paraId="5BB786A1" w14:textId="5D964DD5" w:rsidR="00C01E92" w:rsidRPr="000107A9" w:rsidRDefault="00C01E92" w:rsidP="00C01E92">
      <w:pPr>
        <w:pStyle w:val="EYBodytextwithparaspace"/>
        <w:spacing w:before="120" w:after="120"/>
        <w:rPr>
          <w:rFonts w:asciiTheme="minorHAnsi" w:hAnsiTheme="minorHAnsi" w:cstheme="minorHAnsi"/>
          <w:color w:val="0B0C1D"/>
          <w:sz w:val="22"/>
          <w:szCs w:val="22"/>
          <w:lang w:val="en" w:eastAsia="en-AU"/>
        </w:rPr>
      </w:pPr>
      <w:r w:rsidRPr="000107A9">
        <w:rPr>
          <w:rFonts w:asciiTheme="minorHAnsi" w:hAnsiTheme="minorHAnsi" w:cstheme="minorHAnsi"/>
          <w:sz w:val="22"/>
          <w:szCs w:val="22"/>
        </w:rPr>
        <w:t>The Secretary of the Department of Education and Training (</w:t>
      </w:r>
      <w:r w:rsidRPr="000107A9">
        <w:rPr>
          <w:rFonts w:asciiTheme="minorHAnsi" w:hAnsiTheme="minorHAnsi" w:cstheme="minorHAnsi"/>
          <w:b/>
          <w:sz w:val="22"/>
          <w:szCs w:val="22"/>
        </w:rPr>
        <w:t>Department</w:t>
      </w:r>
      <w:r w:rsidRPr="000107A9">
        <w:rPr>
          <w:rFonts w:asciiTheme="minorHAnsi" w:hAnsiTheme="minorHAnsi" w:cstheme="minorHAnsi"/>
          <w:sz w:val="22"/>
          <w:szCs w:val="22"/>
        </w:rPr>
        <w:t xml:space="preserve">) is the regulator for education and care services and children's services operating in Victoria across both </w:t>
      </w:r>
      <w:r w:rsidR="005351C1">
        <w:rPr>
          <w:rFonts w:asciiTheme="minorHAnsi" w:hAnsiTheme="minorHAnsi" w:cstheme="minorHAnsi"/>
          <w:sz w:val="22"/>
          <w:szCs w:val="22"/>
        </w:rPr>
        <w:t>regulatory regimes</w:t>
      </w:r>
      <w:r w:rsidRPr="000107A9">
        <w:rPr>
          <w:rFonts w:asciiTheme="minorHAnsi" w:hAnsiTheme="minorHAnsi" w:cstheme="minorHAnsi"/>
          <w:sz w:val="22"/>
          <w:szCs w:val="22"/>
        </w:rPr>
        <w:t xml:space="preserve">. </w:t>
      </w:r>
      <w:r w:rsidR="005351C1">
        <w:rPr>
          <w:rFonts w:asciiTheme="minorHAnsi" w:hAnsiTheme="minorHAnsi" w:cstheme="minorHAnsi"/>
          <w:sz w:val="22"/>
          <w:szCs w:val="22"/>
        </w:rPr>
        <w:t>Regulator</w:t>
      </w:r>
      <w:r w:rsidRPr="000107A9">
        <w:rPr>
          <w:rFonts w:asciiTheme="minorHAnsi" w:hAnsiTheme="minorHAnsi" w:cstheme="minorHAnsi"/>
          <w:sz w:val="22"/>
          <w:szCs w:val="22"/>
        </w:rPr>
        <w:t xml:space="preserve"> functions and powers are largely delegated to the Quality Assessment and Regulation Division (</w:t>
      </w:r>
      <w:r w:rsidRPr="000107A9">
        <w:rPr>
          <w:rFonts w:asciiTheme="minorHAnsi" w:hAnsiTheme="minorHAnsi" w:cstheme="minorHAnsi"/>
          <w:b/>
          <w:sz w:val="22"/>
          <w:szCs w:val="22"/>
        </w:rPr>
        <w:t>QARD</w:t>
      </w:r>
      <w:r w:rsidRPr="000107A9">
        <w:rPr>
          <w:rFonts w:asciiTheme="minorHAnsi" w:hAnsiTheme="minorHAnsi" w:cstheme="minorHAnsi"/>
          <w:sz w:val="22"/>
          <w:szCs w:val="22"/>
        </w:rPr>
        <w:t>) of the Department to administer and enforce the regulatory regimes.</w:t>
      </w:r>
    </w:p>
    <w:p w14:paraId="2AB4BFEE" w14:textId="2712708B" w:rsidR="00C01E92" w:rsidRPr="00206AFA"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QARD undertakes the full range of functions and powers provided to promote the safety, health and well-being of children attending education and care and children’s services as guided by the Statement of Expectations</w:t>
      </w:r>
      <w:r w:rsidRPr="00C3375F">
        <w:rPr>
          <w:rStyle w:val="FootnoteReference"/>
          <w:rFonts w:asciiTheme="minorHAnsi" w:hAnsiTheme="minorHAnsi" w:cstheme="minorHAnsi"/>
          <w:color w:val="auto"/>
          <w:sz w:val="22"/>
          <w:szCs w:val="22"/>
        </w:rPr>
        <w:footnoteReference w:id="59"/>
      </w:r>
      <w:r w:rsidRPr="00C3375F">
        <w:rPr>
          <w:rFonts w:asciiTheme="minorHAnsi" w:hAnsiTheme="minorHAnsi" w:cstheme="minorHAnsi"/>
          <w:sz w:val="22"/>
          <w:szCs w:val="22"/>
        </w:rPr>
        <w:t xml:space="preserve"> </w:t>
      </w:r>
      <w:r w:rsidRPr="000107A9">
        <w:rPr>
          <w:rFonts w:asciiTheme="minorHAnsi" w:hAnsiTheme="minorHAnsi" w:cstheme="minorHAnsi"/>
          <w:sz w:val="22"/>
          <w:szCs w:val="22"/>
        </w:rPr>
        <w:t xml:space="preserve">issued by the Minister for Education, and published on the </w:t>
      </w:r>
      <w:r w:rsidRPr="00206AFA">
        <w:rPr>
          <w:rFonts w:asciiTheme="minorHAnsi" w:hAnsiTheme="minorHAnsi" w:cstheme="minorHAnsi"/>
          <w:sz w:val="22"/>
          <w:szCs w:val="22"/>
        </w:rPr>
        <w:t>Department’s website in September 2019 – the bulk of which is dedicated to NQF services.</w:t>
      </w:r>
    </w:p>
    <w:p w14:paraId="4DB51FE8" w14:textId="57E98386" w:rsidR="003666B5" w:rsidRPr="00206AFA" w:rsidRDefault="00C01E92" w:rsidP="00C01E92">
      <w:pPr>
        <w:pStyle w:val="EYBodytextwithparaspace"/>
        <w:spacing w:before="120" w:after="120"/>
        <w:rPr>
          <w:rFonts w:asciiTheme="minorHAnsi" w:hAnsiTheme="minorHAnsi" w:cstheme="minorHAnsi"/>
          <w:sz w:val="22"/>
          <w:szCs w:val="22"/>
        </w:rPr>
      </w:pPr>
      <w:r w:rsidRPr="00206AFA">
        <w:rPr>
          <w:rFonts w:asciiTheme="minorHAnsi" w:hAnsiTheme="minorHAnsi" w:cstheme="minorHAnsi"/>
          <w:sz w:val="22"/>
          <w:szCs w:val="22"/>
        </w:rPr>
        <w:t xml:space="preserve">The </w:t>
      </w:r>
      <w:r w:rsidR="002358A1" w:rsidRPr="00206AFA">
        <w:rPr>
          <w:rFonts w:asciiTheme="minorHAnsi" w:hAnsiTheme="minorHAnsi" w:cstheme="minorHAnsi"/>
          <w:sz w:val="22"/>
          <w:szCs w:val="22"/>
        </w:rPr>
        <w:t xml:space="preserve">bulk of QARD’s time is dedicated to NQF services and includes the time and resource intensive work of quality assessing and rating services against the NQS. By contract, the </w:t>
      </w:r>
      <w:r w:rsidRPr="00206AFA">
        <w:rPr>
          <w:rFonts w:asciiTheme="minorHAnsi" w:hAnsiTheme="minorHAnsi" w:cstheme="minorHAnsi"/>
          <w:sz w:val="22"/>
          <w:szCs w:val="22"/>
        </w:rPr>
        <w:t>proportion of time spent by QARD on the administration, monitoring and compliance of children’s services</w:t>
      </w:r>
      <w:r w:rsidR="002358A1" w:rsidRPr="00206AFA">
        <w:rPr>
          <w:rFonts w:asciiTheme="minorHAnsi" w:hAnsiTheme="minorHAnsi" w:cstheme="minorHAnsi"/>
          <w:sz w:val="22"/>
          <w:szCs w:val="22"/>
        </w:rPr>
        <w:t xml:space="preserve"> specifically</w:t>
      </w:r>
      <w:r w:rsidRPr="00206AFA">
        <w:rPr>
          <w:rFonts w:asciiTheme="minorHAnsi" w:hAnsiTheme="minorHAnsi" w:cstheme="minorHAnsi"/>
          <w:sz w:val="22"/>
          <w:szCs w:val="22"/>
        </w:rPr>
        <w:t xml:space="preserve"> is </w:t>
      </w:r>
      <w:r w:rsidR="002358A1" w:rsidRPr="00206AFA">
        <w:rPr>
          <w:rFonts w:asciiTheme="minorHAnsi" w:hAnsiTheme="minorHAnsi" w:cstheme="minorHAnsi"/>
          <w:sz w:val="22"/>
          <w:szCs w:val="22"/>
        </w:rPr>
        <w:t xml:space="preserve">small at </w:t>
      </w:r>
      <w:r w:rsidRPr="00206AFA">
        <w:rPr>
          <w:rFonts w:asciiTheme="minorHAnsi" w:hAnsiTheme="minorHAnsi" w:cstheme="minorHAnsi"/>
          <w:sz w:val="22"/>
          <w:szCs w:val="22"/>
        </w:rPr>
        <w:t>approximately 7.5%, reflect</w:t>
      </w:r>
      <w:r w:rsidR="002358A1" w:rsidRPr="00206AFA">
        <w:rPr>
          <w:rFonts w:asciiTheme="minorHAnsi" w:hAnsiTheme="minorHAnsi" w:cstheme="minorHAnsi"/>
          <w:sz w:val="22"/>
          <w:szCs w:val="22"/>
        </w:rPr>
        <w:t>ing</w:t>
      </w:r>
      <w:r w:rsidRPr="00206AFA">
        <w:rPr>
          <w:rFonts w:asciiTheme="minorHAnsi" w:hAnsiTheme="minorHAnsi" w:cstheme="minorHAnsi"/>
          <w:sz w:val="22"/>
          <w:szCs w:val="22"/>
        </w:rPr>
        <w:t xml:space="preserve"> the </w:t>
      </w:r>
      <w:r w:rsidR="003666B5" w:rsidRPr="00206AFA">
        <w:rPr>
          <w:rFonts w:asciiTheme="minorHAnsi" w:hAnsiTheme="minorHAnsi" w:cstheme="minorHAnsi"/>
          <w:sz w:val="22"/>
          <w:szCs w:val="22"/>
        </w:rPr>
        <w:t xml:space="preserve">size of the sector </w:t>
      </w:r>
      <w:r w:rsidRPr="00206AFA">
        <w:rPr>
          <w:rFonts w:asciiTheme="minorHAnsi" w:hAnsiTheme="minorHAnsi" w:cstheme="minorHAnsi"/>
          <w:sz w:val="22"/>
          <w:szCs w:val="22"/>
        </w:rPr>
        <w:t xml:space="preserve">and that quality assessment and rating </w:t>
      </w:r>
      <w:r w:rsidR="005351C1" w:rsidRPr="00206AFA">
        <w:rPr>
          <w:rFonts w:asciiTheme="minorHAnsi" w:hAnsiTheme="minorHAnsi" w:cstheme="minorHAnsi"/>
          <w:sz w:val="22"/>
          <w:szCs w:val="22"/>
        </w:rPr>
        <w:t xml:space="preserve">against NQS </w:t>
      </w:r>
      <w:r w:rsidRPr="00206AFA">
        <w:rPr>
          <w:rFonts w:asciiTheme="minorHAnsi" w:hAnsiTheme="minorHAnsi" w:cstheme="minorHAnsi"/>
          <w:sz w:val="22"/>
          <w:szCs w:val="22"/>
        </w:rPr>
        <w:t>does not apply</w:t>
      </w:r>
      <w:r w:rsidR="005351C1" w:rsidRPr="00206AFA">
        <w:rPr>
          <w:rFonts w:asciiTheme="minorHAnsi" w:hAnsiTheme="minorHAnsi" w:cstheme="minorHAnsi"/>
          <w:sz w:val="22"/>
          <w:szCs w:val="22"/>
        </w:rPr>
        <w:t xml:space="preserve"> to children’s services</w:t>
      </w:r>
      <w:r w:rsidRPr="00206AFA">
        <w:rPr>
          <w:rFonts w:asciiTheme="minorHAnsi" w:hAnsiTheme="minorHAnsi" w:cstheme="minorHAnsi"/>
          <w:sz w:val="22"/>
          <w:szCs w:val="22"/>
        </w:rPr>
        <w:t>.</w:t>
      </w:r>
    </w:p>
    <w:p w14:paraId="2F4A3F33" w14:textId="581FDD1A" w:rsidR="003666B5" w:rsidRPr="000107A9" w:rsidRDefault="003666B5" w:rsidP="00C01E92">
      <w:pPr>
        <w:pStyle w:val="EYBodytextwithparaspace"/>
        <w:spacing w:before="120" w:after="120"/>
        <w:rPr>
          <w:rFonts w:asciiTheme="minorHAnsi" w:hAnsiTheme="minorHAnsi" w:cstheme="minorHAnsi"/>
          <w:sz w:val="22"/>
          <w:szCs w:val="22"/>
        </w:rPr>
      </w:pPr>
      <w:r w:rsidRPr="00206AFA">
        <w:rPr>
          <w:rFonts w:asciiTheme="minorHAnsi" w:hAnsiTheme="minorHAnsi" w:cstheme="minorHAnsi"/>
          <w:sz w:val="22"/>
          <w:szCs w:val="22"/>
        </w:rPr>
        <w:lastRenderedPageBreak/>
        <w:t>(Approximately 4570 early childhood education and care services across Victoria, of which about 320 represent the children’s services sector, equating to 7.5%)</w:t>
      </w:r>
    </w:p>
    <w:p w14:paraId="4A56A22B" w14:textId="76544CF3" w:rsidR="002358A1" w:rsidRDefault="002358A1" w:rsidP="002358A1">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t>The</w:t>
      </w:r>
      <w:r w:rsidRPr="000107A9">
        <w:rPr>
          <w:rFonts w:asciiTheme="minorHAnsi" w:hAnsiTheme="minorHAnsi" w:cstheme="minorHAnsi"/>
          <w:sz w:val="22"/>
          <w:szCs w:val="22"/>
        </w:rPr>
        <w:t xml:space="preserve"> main activity undertaken by </w:t>
      </w:r>
      <w:r>
        <w:rPr>
          <w:rFonts w:asciiTheme="minorHAnsi" w:hAnsiTheme="minorHAnsi" w:cstheme="minorHAnsi"/>
          <w:sz w:val="22"/>
          <w:szCs w:val="22"/>
        </w:rPr>
        <w:t xml:space="preserve">QARD </w:t>
      </w:r>
      <w:r w:rsidRPr="000107A9">
        <w:rPr>
          <w:rFonts w:asciiTheme="minorHAnsi" w:hAnsiTheme="minorHAnsi" w:cstheme="minorHAnsi"/>
          <w:sz w:val="22"/>
          <w:szCs w:val="22"/>
        </w:rPr>
        <w:t>directly attr</w:t>
      </w:r>
      <w:r>
        <w:rPr>
          <w:rFonts w:asciiTheme="minorHAnsi" w:hAnsiTheme="minorHAnsi" w:cstheme="minorHAnsi"/>
          <w:sz w:val="22"/>
          <w:szCs w:val="22"/>
        </w:rPr>
        <w:t>ibutable to monitoring and compliance of children’s services, is shown in the Table below.</w:t>
      </w:r>
    </w:p>
    <w:p w14:paraId="78982C6D" w14:textId="77777777" w:rsidR="002358A1" w:rsidRPr="000107A9" w:rsidRDefault="002358A1" w:rsidP="002358A1">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Regulatory Effort for Children’s Services as at 2018-19 Financial Year:</w:t>
      </w:r>
    </w:p>
    <w:tbl>
      <w:tblPr>
        <w:tblStyle w:val="TableGrid"/>
        <w:tblW w:w="9634" w:type="dxa"/>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4390"/>
        <w:gridCol w:w="2409"/>
        <w:gridCol w:w="2835"/>
      </w:tblGrid>
      <w:tr w:rsidR="002358A1" w:rsidRPr="00ED1E44" w14:paraId="5349A501" w14:textId="77777777" w:rsidTr="002358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35345B32" w14:textId="77777777" w:rsidR="002358A1" w:rsidRPr="00ED1E44" w:rsidRDefault="002358A1" w:rsidP="00B50BC1">
            <w:pPr>
              <w:pStyle w:val="EYBodytextwithparaspace"/>
              <w:spacing w:after="60"/>
              <w:rPr>
                <w:rFonts w:ascii="Arial Narrow" w:hAnsi="Arial Narrow" w:cstheme="minorHAnsi"/>
                <w:sz w:val="22"/>
                <w:szCs w:val="22"/>
              </w:rPr>
            </w:pPr>
            <w:r>
              <w:rPr>
                <w:rFonts w:ascii="Arial Narrow" w:hAnsi="Arial Narrow" w:cstheme="minorHAnsi"/>
                <w:sz w:val="22"/>
                <w:szCs w:val="22"/>
              </w:rPr>
              <w:t xml:space="preserve">QARD </w:t>
            </w:r>
            <w:r w:rsidRPr="00ED1E44">
              <w:rPr>
                <w:rFonts w:ascii="Arial Narrow" w:hAnsi="Arial Narrow" w:cstheme="minorHAnsi"/>
                <w:sz w:val="22"/>
                <w:szCs w:val="22"/>
              </w:rPr>
              <w:t>Function</w:t>
            </w:r>
          </w:p>
        </w:tc>
        <w:tc>
          <w:tcPr>
            <w:tcW w:w="2409" w:type="dxa"/>
            <w:vAlign w:val="center"/>
          </w:tcPr>
          <w:p w14:paraId="349B6774" w14:textId="77777777" w:rsidR="002358A1" w:rsidRPr="00ED1E44" w:rsidRDefault="002358A1" w:rsidP="00B50BC1">
            <w:pPr>
              <w:pStyle w:val="EYBodytextwithparaspace"/>
              <w:spacing w:after="60"/>
              <w:jc w:val="center"/>
              <w:cnfStyle w:val="100000000000" w:firstRow="1"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QARD Teams</w:t>
            </w:r>
            <w:r w:rsidRPr="00D76D99">
              <w:rPr>
                <w:rStyle w:val="FootnoteReference"/>
                <w:rFonts w:ascii="Arial Narrow" w:eastAsiaTheme="majorEastAsia" w:hAnsi="Arial Narrow" w:cstheme="minorHAnsi"/>
                <w:color w:val="auto"/>
                <w:sz w:val="22"/>
                <w:szCs w:val="22"/>
              </w:rPr>
              <w:footnoteReference w:id="60"/>
            </w:r>
          </w:p>
        </w:tc>
        <w:tc>
          <w:tcPr>
            <w:tcW w:w="2835" w:type="dxa"/>
            <w:vAlign w:val="center"/>
          </w:tcPr>
          <w:p w14:paraId="48DCA242" w14:textId="77777777" w:rsidR="002358A1" w:rsidRPr="00ED1E44" w:rsidRDefault="002358A1" w:rsidP="00B50BC1">
            <w:pPr>
              <w:pStyle w:val="EYBodytextwithparaspace"/>
              <w:spacing w:after="60"/>
              <w:jc w:val="center"/>
              <w:cnfStyle w:val="100000000000" w:firstRow="1"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ED1E44">
              <w:rPr>
                <w:rFonts w:ascii="Arial Narrow" w:hAnsi="Arial Narrow" w:cstheme="minorHAnsi"/>
                <w:sz w:val="22"/>
                <w:szCs w:val="22"/>
              </w:rPr>
              <w:t xml:space="preserve">% </w:t>
            </w:r>
            <w:r>
              <w:rPr>
                <w:rFonts w:ascii="Arial Narrow" w:hAnsi="Arial Narrow" w:cstheme="minorHAnsi"/>
                <w:sz w:val="22"/>
                <w:szCs w:val="22"/>
              </w:rPr>
              <w:t>of time directly a</w:t>
            </w:r>
            <w:r w:rsidRPr="00ED1E44">
              <w:rPr>
                <w:rFonts w:ascii="Arial Narrow" w:hAnsi="Arial Narrow" w:cstheme="minorHAnsi"/>
                <w:sz w:val="22"/>
                <w:szCs w:val="22"/>
              </w:rPr>
              <w:t>ttributable to Children’s Services</w:t>
            </w:r>
          </w:p>
        </w:tc>
      </w:tr>
      <w:tr w:rsidR="002358A1" w:rsidRPr="00ED1E44" w14:paraId="44B26845" w14:textId="77777777" w:rsidTr="002358A1">
        <w:tc>
          <w:tcPr>
            <w:cnfStyle w:val="001000000000" w:firstRow="0" w:lastRow="0" w:firstColumn="1" w:lastColumn="0" w:oddVBand="0" w:evenVBand="0" w:oddHBand="0" w:evenHBand="0" w:firstRowFirstColumn="0" w:firstRowLastColumn="0" w:lastRowFirstColumn="0" w:lastRowLastColumn="0"/>
            <w:tcW w:w="4390" w:type="dxa"/>
          </w:tcPr>
          <w:p w14:paraId="4B4BE7D6" w14:textId="77777777" w:rsidR="002358A1" w:rsidRPr="00ED1E44" w:rsidRDefault="002358A1" w:rsidP="00B50BC1">
            <w:pPr>
              <w:pStyle w:val="EYBodytextwithparaspace"/>
              <w:spacing w:after="60"/>
              <w:rPr>
                <w:rFonts w:ascii="Arial Narrow" w:hAnsi="Arial Narrow" w:cstheme="minorHAnsi"/>
                <w:sz w:val="22"/>
                <w:szCs w:val="22"/>
              </w:rPr>
            </w:pPr>
            <w:r w:rsidRPr="00ED1E44">
              <w:rPr>
                <w:rFonts w:ascii="Arial Narrow" w:hAnsi="Arial Narrow" w:cstheme="minorHAnsi"/>
                <w:sz w:val="22"/>
                <w:szCs w:val="22"/>
              </w:rPr>
              <w:t>Processing Applications at Market Entry</w:t>
            </w:r>
          </w:p>
        </w:tc>
        <w:tc>
          <w:tcPr>
            <w:tcW w:w="2409" w:type="dxa"/>
          </w:tcPr>
          <w:p w14:paraId="3A09D9BB" w14:textId="77777777" w:rsidR="002358A1" w:rsidRPr="00ED1E44" w:rsidRDefault="002358A1" w:rsidP="00B50BC1">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SASU</w:t>
            </w:r>
          </w:p>
        </w:tc>
        <w:tc>
          <w:tcPr>
            <w:tcW w:w="2835" w:type="dxa"/>
          </w:tcPr>
          <w:p w14:paraId="26F29E5F" w14:textId="77777777" w:rsidR="002358A1" w:rsidRPr="00ED1E44" w:rsidRDefault="002358A1" w:rsidP="00B50BC1">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ED1E44">
              <w:rPr>
                <w:rFonts w:ascii="Arial Narrow" w:hAnsi="Arial Narrow" w:cstheme="minorHAnsi"/>
                <w:sz w:val="22"/>
                <w:szCs w:val="22"/>
              </w:rPr>
              <w:t>10.0%</w:t>
            </w:r>
          </w:p>
        </w:tc>
      </w:tr>
      <w:tr w:rsidR="002358A1" w:rsidRPr="00ED1E44" w14:paraId="3DF29349" w14:textId="77777777" w:rsidTr="002358A1">
        <w:tc>
          <w:tcPr>
            <w:cnfStyle w:val="001000000000" w:firstRow="0" w:lastRow="0" w:firstColumn="1" w:lastColumn="0" w:oddVBand="0" w:evenVBand="0" w:oddHBand="0" w:evenHBand="0" w:firstRowFirstColumn="0" w:firstRowLastColumn="0" w:lastRowFirstColumn="0" w:lastRowLastColumn="0"/>
            <w:tcW w:w="4390" w:type="dxa"/>
          </w:tcPr>
          <w:p w14:paraId="0B56FD08" w14:textId="77777777" w:rsidR="002358A1" w:rsidRPr="00ED1E44" w:rsidRDefault="002358A1" w:rsidP="00B50BC1">
            <w:pPr>
              <w:pStyle w:val="EYBodytextwithparaspace"/>
              <w:spacing w:after="60"/>
              <w:rPr>
                <w:rFonts w:ascii="Arial Narrow" w:hAnsi="Arial Narrow" w:cstheme="minorHAnsi"/>
                <w:sz w:val="22"/>
                <w:szCs w:val="22"/>
              </w:rPr>
            </w:pPr>
            <w:r w:rsidRPr="00ED1E44">
              <w:rPr>
                <w:rFonts w:ascii="Arial Narrow" w:hAnsi="Arial Narrow" w:cstheme="minorHAnsi"/>
                <w:sz w:val="22"/>
                <w:szCs w:val="22"/>
              </w:rPr>
              <w:t>Information, Guidance and Enquiries</w:t>
            </w:r>
          </w:p>
        </w:tc>
        <w:tc>
          <w:tcPr>
            <w:tcW w:w="2409" w:type="dxa"/>
          </w:tcPr>
          <w:p w14:paraId="2335C6D8" w14:textId="77777777" w:rsidR="002358A1" w:rsidRPr="00ED1E44" w:rsidRDefault="002358A1" w:rsidP="00B50BC1">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SASU and CPSU</w:t>
            </w:r>
          </w:p>
        </w:tc>
        <w:tc>
          <w:tcPr>
            <w:tcW w:w="2835" w:type="dxa"/>
          </w:tcPr>
          <w:p w14:paraId="611A0304" w14:textId="77777777" w:rsidR="002358A1" w:rsidRPr="00ED1E44" w:rsidRDefault="002358A1" w:rsidP="00B50BC1">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ED1E44">
              <w:rPr>
                <w:rFonts w:ascii="Arial Narrow" w:hAnsi="Arial Narrow" w:cstheme="minorHAnsi"/>
                <w:sz w:val="22"/>
                <w:szCs w:val="22"/>
              </w:rPr>
              <w:t>17.0%</w:t>
            </w:r>
          </w:p>
        </w:tc>
      </w:tr>
      <w:tr w:rsidR="002358A1" w:rsidRPr="00ED1E44" w14:paraId="5B405735" w14:textId="77777777" w:rsidTr="002358A1">
        <w:tc>
          <w:tcPr>
            <w:cnfStyle w:val="001000000000" w:firstRow="0" w:lastRow="0" w:firstColumn="1" w:lastColumn="0" w:oddVBand="0" w:evenVBand="0" w:oddHBand="0" w:evenHBand="0" w:firstRowFirstColumn="0" w:firstRowLastColumn="0" w:lastRowFirstColumn="0" w:lastRowLastColumn="0"/>
            <w:tcW w:w="4390" w:type="dxa"/>
          </w:tcPr>
          <w:p w14:paraId="1E092167" w14:textId="77777777" w:rsidR="002358A1" w:rsidRPr="00ED1E44" w:rsidRDefault="002358A1" w:rsidP="00B50BC1">
            <w:pPr>
              <w:pStyle w:val="EYBodytextwithparaspace"/>
              <w:spacing w:after="60"/>
              <w:rPr>
                <w:rFonts w:ascii="Arial Narrow" w:hAnsi="Arial Narrow" w:cstheme="minorHAnsi"/>
                <w:sz w:val="22"/>
                <w:szCs w:val="22"/>
              </w:rPr>
            </w:pPr>
            <w:r w:rsidRPr="00ED1E44">
              <w:rPr>
                <w:rFonts w:ascii="Arial Narrow" w:hAnsi="Arial Narrow" w:cstheme="minorHAnsi"/>
                <w:sz w:val="22"/>
                <w:szCs w:val="22"/>
              </w:rPr>
              <w:t>Inspections and Visits</w:t>
            </w:r>
          </w:p>
        </w:tc>
        <w:tc>
          <w:tcPr>
            <w:tcW w:w="2409" w:type="dxa"/>
          </w:tcPr>
          <w:p w14:paraId="5F5323A3" w14:textId="77777777" w:rsidR="002358A1" w:rsidRPr="00ED1E44" w:rsidRDefault="002358A1" w:rsidP="00B50BC1">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Operations</w:t>
            </w:r>
          </w:p>
        </w:tc>
        <w:tc>
          <w:tcPr>
            <w:tcW w:w="2835" w:type="dxa"/>
          </w:tcPr>
          <w:p w14:paraId="138B1F66" w14:textId="77777777" w:rsidR="002358A1" w:rsidRPr="00ED1E44" w:rsidRDefault="002358A1" w:rsidP="00B50BC1">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ED1E44">
              <w:rPr>
                <w:rFonts w:ascii="Arial Narrow" w:hAnsi="Arial Narrow" w:cstheme="minorHAnsi"/>
                <w:sz w:val="22"/>
                <w:szCs w:val="22"/>
              </w:rPr>
              <w:t>11.2%</w:t>
            </w:r>
          </w:p>
        </w:tc>
      </w:tr>
      <w:tr w:rsidR="002358A1" w:rsidRPr="00ED1E44" w14:paraId="1CE1BD56" w14:textId="77777777" w:rsidTr="002358A1">
        <w:tc>
          <w:tcPr>
            <w:cnfStyle w:val="001000000000" w:firstRow="0" w:lastRow="0" w:firstColumn="1" w:lastColumn="0" w:oddVBand="0" w:evenVBand="0" w:oddHBand="0" w:evenHBand="0" w:firstRowFirstColumn="0" w:firstRowLastColumn="0" w:lastRowFirstColumn="0" w:lastRowLastColumn="0"/>
            <w:tcW w:w="4390" w:type="dxa"/>
          </w:tcPr>
          <w:p w14:paraId="4E5E6D36" w14:textId="77777777" w:rsidR="002358A1" w:rsidRPr="00ED1E44" w:rsidRDefault="002358A1" w:rsidP="00B50BC1">
            <w:pPr>
              <w:pStyle w:val="EYBodytextwithparaspace"/>
              <w:spacing w:after="60"/>
              <w:rPr>
                <w:rFonts w:ascii="Arial Narrow" w:hAnsi="Arial Narrow" w:cstheme="minorHAnsi"/>
                <w:sz w:val="22"/>
                <w:szCs w:val="22"/>
              </w:rPr>
            </w:pPr>
            <w:r w:rsidRPr="00ED1E44">
              <w:rPr>
                <w:rFonts w:ascii="Arial Narrow" w:hAnsi="Arial Narrow" w:cstheme="minorHAnsi"/>
                <w:sz w:val="22"/>
                <w:szCs w:val="22"/>
              </w:rPr>
              <w:t>Monitoring and Compliance Actions</w:t>
            </w:r>
            <w:r>
              <w:rPr>
                <w:rFonts w:ascii="Arial Narrow" w:hAnsi="Arial Narrow" w:cstheme="minorHAnsi"/>
                <w:sz w:val="22"/>
                <w:szCs w:val="22"/>
              </w:rPr>
              <w:t xml:space="preserve"> (including investigations)</w:t>
            </w:r>
          </w:p>
        </w:tc>
        <w:tc>
          <w:tcPr>
            <w:tcW w:w="2409" w:type="dxa"/>
          </w:tcPr>
          <w:p w14:paraId="17908C1C" w14:textId="77777777" w:rsidR="002358A1" w:rsidRPr="00ED1E44" w:rsidRDefault="002358A1" w:rsidP="00B50BC1">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MCU and Investigations</w:t>
            </w:r>
          </w:p>
        </w:tc>
        <w:tc>
          <w:tcPr>
            <w:tcW w:w="2835" w:type="dxa"/>
          </w:tcPr>
          <w:p w14:paraId="1F5BB955" w14:textId="77777777" w:rsidR="002358A1" w:rsidRPr="00ED1E44" w:rsidRDefault="002358A1" w:rsidP="00B50BC1">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ED1E44">
              <w:rPr>
                <w:rFonts w:ascii="Arial Narrow" w:hAnsi="Arial Narrow" w:cstheme="minorHAnsi"/>
                <w:sz w:val="22"/>
                <w:szCs w:val="22"/>
              </w:rPr>
              <w:t>8.2%</w:t>
            </w:r>
          </w:p>
        </w:tc>
      </w:tr>
      <w:tr w:rsidR="002358A1" w:rsidRPr="00ED1E44" w14:paraId="28012112" w14:textId="77777777" w:rsidTr="002358A1">
        <w:tc>
          <w:tcPr>
            <w:cnfStyle w:val="001000000000" w:firstRow="0" w:lastRow="0" w:firstColumn="1" w:lastColumn="0" w:oddVBand="0" w:evenVBand="0" w:oddHBand="0" w:evenHBand="0" w:firstRowFirstColumn="0" w:firstRowLastColumn="0" w:lastRowFirstColumn="0" w:lastRowLastColumn="0"/>
            <w:tcW w:w="4390" w:type="dxa"/>
          </w:tcPr>
          <w:p w14:paraId="1B293C59" w14:textId="77777777" w:rsidR="002358A1" w:rsidRPr="00ED1E44" w:rsidRDefault="002358A1" w:rsidP="00B50BC1">
            <w:pPr>
              <w:pStyle w:val="EYBodytextwithparaspace"/>
              <w:spacing w:after="60"/>
              <w:rPr>
                <w:rFonts w:ascii="Arial Narrow" w:hAnsi="Arial Narrow" w:cstheme="minorHAnsi"/>
                <w:sz w:val="22"/>
                <w:szCs w:val="22"/>
              </w:rPr>
            </w:pPr>
            <w:r w:rsidRPr="00ED1E44">
              <w:rPr>
                <w:rFonts w:ascii="Arial Narrow" w:hAnsi="Arial Narrow" w:cstheme="minorHAnsi"/>
                <w:sz w:val="22"/>
                <w:szCs w:val="22"/>
              </w:rPr>
              <w:t>System Reporting and Administration (including licence renewals)</w:t>
            </w:r>
          </w:p>
        </w:tc>
        <w:tc>
          <w:tcPr>
            <w:tcW w:w="2409" w:type="dxa"/>
          </w:tcPr>
          <w:p w14:paraId="17FCED57" w14:textId="77777777" w:rsidR="002358A1" w:rsidRPr="00ED1E44" w:rsidRDefault="002358A1" w:rsidP="00B50BC1">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BSRU and SASU</w:t>
            </w:r>
          </w:p>
        </w:tc>
        <w:tc>
          <w:tcPr>
            <w:tcW w:w="2835" w:type="dxa"/>
          </w:tcPr>
          <w:p w14:paraId="5D29CF43" w14:textId="77777777" w:rsidR="002358A1" w:rsidRPr="00ED1E44" w:rsidRDefault="002358A1" w:rsidP="00B50BC1">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ED1E44">
              <w:rPr>
                <w:rFonts w:ascii="Arial Narrow" w:hAnsi="Arial Narrow" w:cstheme="minorHAnsi"/>
                <w:sz w:val="22"/>
                <w:szCs w:val="22"/>
              </w:rPr>
              <w:t>2.0%</w:t>
            </w:r>
          </w:p>
        </w:tc>
      </w:tr>
    </w:tbl>
    <w:p w14:paraId="4810F8CA" w14:textId="245C9D00" w:rsidR="005351C1"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Changes in the Amendment Act and proposed Regulations will have a </w:t>
      </w:r>
      <w:r w:rsidRPr="000107A9">
        <w:rPr>
          <w:rFonts w:asciiTheme="minorHAnsi" w:hAnsiTheme="minorHAnsi" w:cstheme="minorHAnsi"/>
          <w:b/>
          <w:sz w:val="22"/>
          <w:szCs w:val="22"/>
        </w:rPr>
        <w:t>short-term cost impact</w:t>
      </w:r>
      <w:r w:rsidRPr="000107A9">
        <w:rPr>
          <w:rFonts w:asciiTheme="minorHAnsi" w:hAnsiTheme="minorHAnsi" w:cstheme="minorHAnsi"/>
          <w:sz w:val="22"/>
          <w:szCs w:val="22"/>
        </w:rPr>
        <w:t xml:space="preserve"> on QARD in the period leading up to, and for a short time following, the Act and Regulations taking effect insofar as updating information and guidance material, updating provider and service approvals to reflect new or amended requirements/conditions, and communication activity with sector and stakeholders ab</w:t>
      </w:r>
      <w:r w:rsidR="005351C1">
        <w:rPr>
          <w:rFonts w:asciiTheme="minorHAnsi" w:hAnsiTheme="minorHAnsi" w:cstheme="minorHAnsi"/>
          <w:sz w:val="22"/>
          <w:szCs w:val="22"/>
        </w:rPr>
        <w:t>out and in response to changes.</w:t>
      </w:r>
    </w:p>
    <w:p w14:paraId="0B91DB21" w14:textId="20189DA3" w:rsidR="00AA5F9B"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However, it is expected that these </w:t>
      </w:r>
      <w:r w:rsidRPr="000107A9">
        <w:rPr>
          <w:rFonts w:asciiTheme="minorHAnsi" w:hAnsiTheme="minorHAnsi" w:cstheme="minorHAnsi"/>
          <w:b/>
          <w:sz w:val="22"/>
          <w:szCs w:val="22"/>
        </w:rPr>
        <w:t>costs will be off-set</w:t>
      </w:r>
      <w:r w:rsidRPr="000107A9">
        <w:rPr>
          <w:rFonts w:asciiTheme="minorHAnsi" w:hAnsiTheme="minorHAnsi" w:cstheme="minorHAnsi"/>
          <w:sz w:val="22"/>
          <w:szCs w:val="22"/>
        </w:rPr>
        <w:t xml:space="preserve"> by longer-term efficiencies offered by the two regimes being aligned (where appropriate) in terms of streamlined processes and reduced administrative burden</w:t>
      </w:r>
      <w:r w:rsidR="00AA5F9B">
        <w:rPr>
          <w:rFonts w:asciiTheme="minorHAnsi" w:hAnsiTheme="minorHAnsi" w:cstheme="minorHAnsi"/>
          <w:sz w:val="22"/>
          <w:szCs w:val="22"/>
        </w:rPr>
        <w:t>.</w:t>
      </w:r>
    </w:p>
    <w:p w14:paraId="10EA48F2"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As at 30 June 2019, the Department estimates that the current cost of regulating children’s services is approximately </w:t>
      </w:r>
      <w:r w:rsidRPr="000107A9">
        <w:rPr>
          <w:rFonts w:asciiTheme="minorHAnsi" w:hAnsiTheme="minorHAnsi" w:cstheme="minorHAnsi"/>
          <w:b/>
          <w:sz w:val="22"/>
          <w:szCs w:val="22"/>
        </w:rPr>
        <w:t>$1,630.00 per service, per annum</w:t>
      </w:r>
      <w:r w:rsidRPr="000107A9">
        <w:rPr>
          <w:rFonts w:asciiTheme="minorHAnsi" w:hAnsiTheme="minorHAnsi" w:cstheme="minorHAnsi"/>
          <w:sz w:val="22"/>
          <w:szCs w:val="22"/>
        </w:rPr>
        <w:t>. This cost is assumed in the Status Quo options.</w:t>
      </w:r>
    </w:p>
    <w:p w14:paraId="06FD34D3"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bulk of Department’s regulatory costs for children’s services are associated with the approvals process, keeping registers, and monitoring and compliance responsibilities provided for in the Act, which would still be incurred under the base case scenario. It should be noted, however, that both options can be expected to create general efficiencies for the Department through:</w:t>
      </w:r>
    </w:p>
    <w:p w14:paraId="3AE02C03" w14:textId="77777777" w:rsidR="00C01E92" w:rsidRPr="000107A9" w:rsidRDefault="00C01E92" w:rsidP="002806C5">
      <w:pPr>
        <w:pStyle w:val="EYBulletnoparaspace"/>
        <w:numPr>
          <w:ilvl w:val="0"/>
          <w:numId w:val="77"/>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Providing guidance to providers on how to comply with the Act, which the Department would otherwise have to find other means to provide</w:t>
      </w:r>
    </w:p>
    <w:p w14:paraId="4505531E" w14:textId="77777777" w:rsidR="00C01E92" w:rsidRPr="000107A9" w:rsidRDefault="00C01E92" w:rsidP="002806C5">
      <w:pPr>
        <w:pStyle w:val="EYBulletnoparaspace"/>
        <w:numPr>
          <w:ilvl w:val="0"/>
          <w:numId w:val="77"/>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Alerting providers to the information they need to have ready for inspection by the Department officers.</w:t>
      </w:r>
    </w:p>
    <w:p w14:paraId="7852928B"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In general, the Alignment options are likely to reduce costs to the Department because of the reduction in variation between the two regulatory systems the Department is responsible for administering: the NQF and the Act. This can be expected to reduce, for example, time taken to train staff and inspecting officers.</w:t>
      </w:r>
    </w:p>
    <w:p w14:paraId="12CCC6E0"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lastRenderedPageBreak/>
        <w:t>The following subsections assess the cost to government imposed by each option. The costs expected to arise under each option are included in the total cost per regulator and have been assessed qualitatively.</w:t>
      </w:r>
    </w:p>
    <w:p w14:paraId="54F633E6" w14:textId="3FA429AC" w:rsidR="00C01E92" w:rsidRPr="000107A9" w:rsidRDefault="00C01E92" w:rsidP="00EC0724">
      <w:pPr>
        <w:pStyle w:val="EYHeading4"/>
        <w:numPr>
          <w:ilvl w:val="3"/>
          <w:numId w:val="81"/>
        </w:numPr>
        <w:spacing w:before="240"/>
        <w:rPr>
          <w:rFonts w:asciiTheme="minorHAnsi" w:hAnsiTheme="minorHAnsi" w:cstheme="minorHAnsi"/>
          <w:szCs w:val="22"/>
        </w:rPr>
      </w:pPr>
      <w:r w:rsidRPr="000107A9">
        <w:rPr>
          <w:rFonts w:asciiTheme="minorHAnsi" w:hAnsiTheme="minorHAnsi" w:cstheme="minorHAnsi"/>
          <w:szCs w:val="22"/>
        </w:rPr>
        <w:t>Approval applications</w:t>
      </w:r>
    </w:p>
    <w:p w14:paraId="0431E510" w14:textId="6A37A17B"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Option A.2 Alignment is likely to reduce costs to the Department in comparison to the base case because under this option, clear guidance is provided to service and provider approval applicants about the documents and information required to accompany applications, reducing the likelihood of applicants seeking assistance from the Department staff. </w:t>
      </w:r>
    </w:p>
    <w:p w14:paraId="092D3683"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Guidance is also provided to both the Department staff and applicants regarding the specific grounds of refusal the Department can rely on in rejecting applications for service approvals; this guidance may result in administrative savings for the Department through reducing confusion and disputes over refused applications.</w:t>
      </w:r>
    </w:p>
    <w:p w14:paraId="2690ECB3"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Additionally, the Alignment option is likely to result in cost savings for the Department through facilitating the use of the same IT systems, staff training, etc., for both children’s services and NQF services rather than two disparate systems and resources.</w:t>
      </w:r>
    </w:p>
    <w:p w14:paraId="20D54FD8" w14:textId="1D0BA1D1"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_Ref24444141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 xml:space="preserve">Table </w:t>
      </w:r>
      <w:r w:rsidR="00493211" w:rsidRPr="00493211">
        <w:rPr>
          <w:rFonts w:asciiTheme="minorHAnsi" w:hAnsiTheme="minorHAnsi" w:cstheme="minorHAnsi"/>
          <w:noProof/>
          <w:sz w:val="22"/>
          <w:szCs w:val="22"/>
        </w:rPr>
        <w:t>38</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provides the score given to Option A.2 Alignment against the cost to regulator criterion.</w:t>
      </w:r>
    </w:p>
    <w:p w14:paraId="3264C984" w14:textId="09A30C3B" w:rsidR="00C01E92" w:rsidRPr="000107A9" w:rsidRDefault="00C01E92" w:rsidP="00F7569F">
      <w:pPr>
        <w:pStyle w:val="Caption"/>
      </w:pPr>
      <w:bookmarkStart w:id="221" w:name="_Ref24444141"/>
      <w:bookmarkStart w:id="222" w:name="_Toc32592821"/>
      <w:r w:rsidRPr="000107A9">
        <w:t xml:space="preserve">Table </w:t>
      </w:r>
      <w:r w:rsidRPr="000107A9">
        <w:fldChar w:fldCharType="begin"/>
      </w:r>
      <w:r w:rsidRPr="000107A9">
        <w:instrText xml:space="preserve"> SEQ Table \* ARABIC </w:instrText>
      </w:r>
      <w:r w:rsidRPr="000107A9">
        <w:fldChar w:fldCharType="separate"/>
      </w:r>
      <w:r w:rsidR="00493211">
        <w:rPr>
          <w:noProof/>
        </w:rPr>
        <w:t>38</w:t>
      </w:r>
      <w:r w:rsidRPr="000107A9">
        <w:fldChar w:fldCharType="end"/>
      </w:r>
      <w:bookmarkEnd w:id="221"/>
      <w:r w:rsidRPr="000107A9">
        <w:t xml:space="preserve"> Approval </w:t>
      </w:r>
      <w:r w:rsidR="009F2454">
        <w:t>applications</w:t>
      </w:r>
      <w:r w:rsidRPr="000107A9">
        <w:t xml:space="preserve"> - costs to regulator</w:t>
      </w:r>
      <w:bookmarkEnd w:id="222"/>
      <w:r w:rsidRPr="000107A9">
        <w:t xml:space="preserve"> </w:t>
      </w:r>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845"/>
        <w:gridCol w:w="4046"/>
        <w:gridCol w:w="1243"/>
        <w:gridCol w:w="1243"/>
        <w:gridCol w:w="1245"/>
      </w:tblGrid>
      <w:tr w:rsidR="009619D6" w:rsidRPr="00ED1E44" w14:paraId="1421F257" w14:textId="77777777" w:rsidTr="00961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pct"/>
          </w:tcPr>
          <w:p w14:paraId="5F93A1B2" w14:textId="77777777" w:rsidR="009619D6" w:rsidRPr="00ED1E44" w:rsidRDefault="009619D6" w:rsidP="00ED1E44">
            <w:pPr>
              <w:autoSpaceDE w:val="0"/>
              <w:autoSpaceDN w:val="0"/>
              <w:adjustRightInd w:val="0"/>
              <w:spacing w:after="60"/>
              <w:rPr>
                <w:rStyle w:val="Strong"/>
                <w:rFonts w:cstheme="minorHAnsi"/>
                <w:b/>
                <w:szCs w:val="22"/>
              </w:rPr>
            </w:pPr>
            <w:r w:rsidRPr="00ED1E44">
              <w:rPr>
                <w:rStyle w:val="Strong"/>
                <w:rFonts w:cstheme="minorHAnsi"/>
                <w:b/>
                <w:szCs w:val="22"/>
              </w:rPr>
              <w:t>Criterion</w:t>
            </w:r>
          </w:p>
        </w:tc>
        <w:tc>
          <w:tcPr>
            <w:tcW w:w="2102" w:type="pct"/>
          </w:tcPr>
          <w:p w14:paraId="3DAF1436" w14:textId="77777777" w:rsidR="009619D6" w:rsidRPr="00ED1E44" w:rsidRDefault="009619D6" w:rsidP="00ED1E44">
            <w:pPr>
              <w:autoSpaceDE w:val="0"/>
              <w:autoSpaceDN w:val="0"/>
              <w:adjustRightInd w:val="0"/>
              <w:spacing w:after="60"/>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ED1E44">
              <w:rPr>
                <w:rStyle w:val="Strong"/>
                <w:rFonts w:cstheme="minorHAnsi"/>
                <w:b/>
                <w:szCs w:val="22"/>
              </w:rPr>
              <w:t>Description</w:t>
            </w:r>
          </w:p>
        </w:tc>
        <w:tc>
          <w:tcPr>
            <w:tcW w:w="646" w:type="pct"/>
          </w:tcPr>
          <w:p w14:paraId="00A740B3" w14:textId="77777777" w:rsidR="009619D6" w:rsidRPr="00ED1E44" w:rsidRDefault="009619D6" w:rsidP="00ED1E44">
            <w:pPr>
              <w:autoSpaceDE w:val="0"/>
              <w:autoSpaceDN w:val="0"/>
              <w:adjustRightInd w:val="0"/>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ED1E44">
              <w:rPr>
                <w:rStyle w:val="Strong"/>
                <w:rFonts w:cstheme="minorHAnsi"/>
                <w:b/>
                <w:szCs w:val="22"/>
              </w:rPr>
              <w:t>Weighting</w:t>
            </w:r>
          </w:p>
        </w:tc>
        <w:tc>
          <w:tcPr>
            <w:tcW w:w="646" w:type="pct"/>
          </w:tcPr>
          <w:p w14:paraId="77BC966D" w14:textId="4F8FCD44" w:rsidR="009619D6" w:rsidRPr="00ED1E44" w:rsidRDefault="009619D6" w:rsidP="00ED1E44">
            <w:pPr>
              <w:autoSpaceDE w:val="0"/>
              <w:autoSpaceDN w:val="0"/>
              <w:adjustRightInd w:val="0"/>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Pr>
                <w:rStyle w:val="Strong"/>
                <w:rFonts w:cstheme="minorHAnsi"/>
                <w:b/>
                <w:szCs w:val="22"/>
              </w:rPr>
              <w:t>Option A.1</w:t>
            </w:r>
          </w:p>
        </w:tc>
        <w:tc>
          <w:tcPr>
            <w:tcW w:w="647" w:type="pct"/>
          </w:tcPr>
          <w:p w14:paraId="2B69C7C7" w14:textId="2D7A2DCF" w:rsidR="009619D6" w:rsidRPr="00ED1E44" w:rsidRDefault="009619D6" w:rsidP="00ED1E44">
            <w:pPr>
              <w:autoSpaceDE w:val="0"/>
              <w:autoSpaceDN w:val="0"/>
              <w:adjustRightInd w:val="0"/>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Pr>
                <w:rStyle w:val="Strong"/>
                <w:rFonts w:cstheme="minorHAnsi"/>
                <w:b/>
                <w:szCs w:val="22"/>
              </w:rPr>
              <w:t>Option A.2</w:t>
            </w:r>
          </w:p>
        </w:tc>
      </w:tr>
      <w:tr w:rsidR="009619D6" w:rsidRPr="00ED1E44" w14:paraId="12B0BF73" w14:textId="77777777" w:rsidTr="009619D6">
        <w:trPr>
          <w:trHeight w:val="358"/>
        </w:trPr>
        <w:tc>
          <w:tcPr>
            <w:cnfStyle w:val="001000000000" w:firstRow="0" w:lastRow="0" w:firstColumn="1" w:lastColumn="0" w:oddVBand="0" w:evenVBand="0" w:oddHBand="0" w:evenHBand="0" w:firstRowFirstColumn="0" w:firstRowLastColumn="0" w:lastRowFirstColumn="0" w:lastRowLastColumn="0"/>
            <w:tcW w:w="958" w:type="pct"/>
            <w:tcBorders>
              <w:bottom w:val="single" w:sz="4" w:space="0" w:color="004EA8" w:themeColor="accent1"/>
            </w:tcBorders>
          </w:tcPr>
          <w:p w14:paraId="755AB8CC" w14:textId="77777777" w:rsidR="009619D6" w:rsidRPr="00ED1E44" w:rsidRDefault="009619D6" w:rsidP="00ED1E44">
            <w:pPr>
              <w:autoSpaceDE w:val="0"/>
              <w:autoSpaceDN w:val="0"/>
              <w:adjustRightInd w:val="0"/>
              <w:spacing w:after="60"/>
              <w:rPr>
                <w:rFonts w:cstheme="minorHAnsi"/>
                <w:szCs w:val="22"/>
              </w:rPr>
            </w:pPr>
            <w:r w:rsidRPr="00ED1E44">
              <w:rPr>
                <w:rFonts w:cstheme="minorHAnsi"/>
                <w:szCs w:val="22"/>
              </w:rPr>
              <w:t>Cost to regulator</w:t>
            </w:r>
          </w:p>
        </w:tc>
        <w:tc>
          <w:tcPr>
            <w:tcW w:w="2102" w:type="pct"/>
            <w:tcBorders>
              <w:bottom w:val="single" w:sz="4" w:space="0" w:color="004EA8" w:themeColor="accent1"/>
            </w:tcBorders>
          </w:tcPr>
          <w:p w14:paraId="347073B7" w14:textId="41BC40F2" w:rsidR="009619D6" w:rsidRPr="00ED1E44" w:rsidRDefault="009619D6" w:rsidP="009F2454">
            <w:pPr>
              <w:autoSpaceDE w:val="0"/>
              <w:autoSpaceDN w:val="0"/>
              <w:adjustRightInd w:val="0"/>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ED1E44">
              <w:rPr>
                <w:rFonts w:cstheme="minorHAnsi"/>
                <w:szCs w:val="22"/>
              </w:rPr>
              <w:t xml:space="preserve">Costs to government imposed by Regulations relating to approval </w:t>
            </w:r>
            <w:r w:rsidR="009F2454">
              <w:rPr>
                <w:rFonts w:cstheme="minorHAnsi"/>
                <w:szCs w:val="22"/>
              </w:rPr>
              <w:t>applications</w:t>
            </w:r>
            <w:r w:rsidRPr="00ED1E44">
              <w:rPr>
                <w:rFonts w:cstheme="minorHAnsi"/>
                <w:szCs w:val="22"/>
              </w:rPr>
              <w:t>.</w:t>
            </w:r>
          </w:p>
        </w:tc>
        <w:tc>
          <w:tcPr>
            <w:tcW w:w="646" w:type="pct"/>
            <w:tcBorders>
              <w:bottom w:val="single" w:sz="4" w:space="0" w:color="004EA8" w:themeColor="accent1"/>
            </w:tcBorders>
          </w:tcPr>
          <w:p w14:paraId="5914109D" w14:textId="77777777" w:rsidR="009619D6" w:rsidRPr="00ED1E44" w:rsidRDefault="009619D6" w:rsidP="00ED1E44">
            <w:pPr>
              <w:autoSpaceDE w:val="0"/>
              <w:autoSpaceDN w:val="0"/>
              <w:adjustRightInd w:val="0"/>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ED1E44">
              <w:rPr>
                <w:rFonts w:cstheme="minorHAnsi"/>
                <w:szCs w:val="22"/>
              </w:rPr>
              <w:t>15%</w:t>
            </w:r>
          </w:p>
        </w:tc>
        <w:tc>
          <w:tcPr>
            <w:tcW w:w="646" w:type="pct"/>
            <w:tcBorders>
              <w:bottom w:val="single" w:sz="4" w:space="0" w:color="004EA8" w:themeColor="accent1"/>
            </w:tcBorders>
          </w:tcPr>
          <w:p w14:paraId="77806E5F" w14:textId="7F4CA2FE" w:rsidR="009619D6" w:rsidRPr="00ED1E44" w:rsidRDefault="009619D6" w:rsidP="00ED1E44">
            <w:pPr>
              <w:autoSpaceDE w:val="0"/>
              <w:autoSpaceDN w:val="0"/>
              <w:adjustRightInd w:val="0"/>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0</w:t>
            </w:r>
          </w:p>
        </w:tc>
        <w:tc>
          <w:tcPr>
            <w:tcW w:w="647" w:type="pct"/>
            <w:tcBorders>
              <w:bottom w:val="single" w:sz="4" w:space="0" w:color="004EA8" w:themeColor="accent1"/>
            </w:tcBorders>
          </w:tcPr>
          <w:p w14:paraId="71CE4EC5" w14:textId="18E3D573" w:rsidR="009619D6" w:rsidRPr="00ED1E44" w:rsidRDefault="009619D6" w:rsidP="00ED1E44">
            <w:pPr>
              <w:autoSpaceDE w:val="0"/>
              <w:autoSpaceDN w:val="0"/>
              <w:adjustRightInd w:val="0"/>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ED1E44">
              <w:rPr>
                <w:rFonts w:cstheme="minorHAnsi"/>
                <w:szCs w:val="22"/>
              </w:rPr>
              <w:t>3</w:t>
            </w:r>
          </w:p>
        </w:tc>
      </w:tr>
      <w:tr w:rsidR="009619D6" w:rsidRPr="00ED1E44" w14:paraId="1104231F" w14:textId="77777777" w:rsidTr="009619D6">
        <w:trPr>
          <w:trHeight w:val="358"/>
        </w:trPr>
        <w:tc>
          <w:tcPr>
            <w:cnfStyle w:val="001000000000" w:firstRow="0" w:lastRow="0" w:firstColumn="1" w:lastColumn="0" w:oddVBand="0" w:evenVBand="0" w:oddHBand="0" w:evenHBand="0" w:firstRowFirstColumn="0" w:firstRowLastColumn="0" w:lastRowFirstColumn="0" w:lastRowLastColumn="0"/>
            <w:tcW w:w="958" w:type="pct"/>
            <w:tcBorders>
              <w:right w:val="nil"/>
            </w:tcBorders>
          </w:tcPr>
          <w:p w14:paraId="21AD5733" w14:textId="77777777" w:rsidR="009619D6" w:rsidRPr="00ED1E44" w:rsidRDefault="009619D6" w:rsidP="00ED1E44">
            <w:pPr>
              <w:autoSpaceDE w:val="0"/>
              <w:autoSpaceDN w:val="0"/>
              <w:adjustRightInd w:val="0"/>
              <w:spacing w:after="60"/>
              <w:rPr>
                <w:rFonts w:cstheme="minorHAnsi"/>
                <w:b/>
                <w:szCs w:val="22"/>
              </w:rPr>
            </w:pPr>
            <w:r w:rsidRPr="00ED1E44">
              <w:rPr>
                <w:rFonts w:cstheme="minorHAnsi"/>
                <w:b/>
                <w:szCs w:val="22"/>
              </w:rPr>
              <w:t>Total</w:t>
            </w:r>
          </w:p>
        </w:tc>
        <w:tc>
          <w:tcPr>
            <w:tcW w:w="2102" w:type="pct"/>
            <w:tcBorders>
              <w:left w:val="nil"/>
              <w:right w:val="nil"/>
            </w:tcBorders>
          </w:tcPr>
          <w:p w14:paraId="11F710C1" w14:textId="77777777" w:rsidR="009619D6" w:rsidRPr="00ED1E44" w:rsidRDefault="009619D6" w:rsidP="00ED1E44">
            <w:pPr>
              <w:autoSpaceDE w:val="0"/>
              <w:autoSpaceDN w:val="0"/>
              <w:adjustRightInd w:val="0"/>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46" w:type="pct"/>
            <w:tcBorders>
              <w:left w:val="nil"/>
              <w:right w:val="nil"/>
            </w:tcBorders>
          </w:tcPr>
          <w:p w14:paraId="4E4A6BB1" w14:textId="77777777" w:rsidR="009619D6" w:rsidRPr="00ED1E44" w:rsidRDefault="009619D6" w:rsidP="00ED1E44">
            <w:pPr>
              <w:autoSpaceDE w:val="0"/>
              <w:autoSpaceDN w:val="0"/>
              <w:adjustRightInd w:val="0"/>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46" w:type="pct"/>
            <w:tcBorders>
              <w:left w:val="nil"/>
              <w:right w:val="nil"/>
            </w:tcBorders>
          </w:tcPr>
          <w:p w14:paraId="34E4D4F5" w14:textId="6E13CAF8" w:rsidR="009619D6" w:rsidRPr="00ED1E44" w:rsidRDefault="009619D6" w:rsidP="00ED1E44">
            <w:pPr>
              <w:autoSpaceDE w:val="0"/>
              <w:autoSpaceDN w:val="0"/>
              <w:adjustRightInd w:val="0"/>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0</w:t>
            </w:r>
          </w:p>
        </w:tc>
        <w:tc>
          <w:tcPr>
            <w:tcW w:w="647" w:type="pct"/>
            <w:tcBorders>
              <w:left w:val="nil"/>
            </w:tcBorders>
          </w:tcPr>
          <w:p w14:paraId="18124C41" w14:textId="15172B4D" w:rsidR="009619D6" w:rsidRPr="00ED1E44" w:rsidRDefault="009619D6" w:rsidP="00ED1E44">
            <w:pPr>
              <w:autoSpaceDE w:val="0"/>
              <w:autoSpaceDN w:val="0"/>
              <w:adjustRightInd w:val="0"/>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ED1E44">
              <w:rPr>
                <w:rFonts w:cstheme="minorHAnsi"/>
                <w:b/>
                <w:szCs w:val="22"/>
              </w:rPr>
              <w:t>0.45</w:t>
            </w:r>
          </w:p>
        </w:tc>
      </w:tr>
    </w:tbl>
    <w:p w14:paraId="66C41701" w14:textId="585074AA" w:rsidR="00C01E92" w:rsidRPr="000107A9" w:rsidRDefault="00C01E92" w:rsidP="00EC0724">
      <w:pPr>
        <w:pStyle w:val="EYHeading4"/>
        <w:numPr>
          <w:ilvl w:val="3"/>
          <w:numId w:val="81"/>
        </w:numPr>
        <w:spacing w:before="240"/>
        <w:rPr>
          <w:rFonts w:asciiTheme="minorHAnsi" w:hAnsiTheme="minorHAnsi" w:cstheme="minorHAnsi"/>
          <w:szCs w:val="22"/>
        </w:rPr>
      </w:pPr>
      <w:bookmarkStart w:id="223" w:name="_Ref27650026"/>
      <w:r w:rsidRPr="000107A9">
        <w:rPr>
          <w:rFonts w:asciiTheme="minorHAnsi" w:hAnsiTheme="minorHAnsi" w:cstheme="minorHAnsi"/>
          <w:szCs w:val="22"/>
        </w:rPr>
        <w:t xml:space="preserve">Service approval </w:t>
      </w:r>
      <w:bookmarkEnd w:id="223"/>
      <w:r w:rsidR="009F2454">
        <w:rPr>
          <w:rFonts w:asciiTheme="minorHAnsi" w:hAnsiTheme="minorHAnsi" w:cstheme="minorHAnsi"/>
          <w:szCs w:val="22"/>
        </w:rPr>
        <w:t>types</w:t>
      </w:r>
    </w:p>
    <w:p w14:paraId="0BB36ACA" w14:textId="7DE4820A"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Option B.1 Status Quo and Option B.2 Alignment are both expected to impose lesser regulatory costs to the Department in comparison to the base case. </w:t>
      </w:r>
    </w:p>
    <w:p w14:paraId="7D1490A9" w14:textId="2567FEEF"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Under Option B.1, the capacity to classify new services into licence types enables the Department to apply operating restrictions or requirements across multiple services. In the base case, the Department staff would need to develop and tailor such requirements to each individual service upon its being approved, which would take more time and staff resources.</w:t>
      </w:r>
    </w:p>
    <w:p w14:paraId="5D90FDAE" w14:textId="77777777" w:rsidR="009F2454"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Option B.2 would realise the cost savings arising under Option B.1 Status Quo while also likely further reducing costs by creating a clearer and more streamlined set of approvals. The reduction from 7 licence types to 2 service approvals may make it easier for the Department to approve new services and identify whether services are operating to the requir</w:t>
      </w:r>
      <w:r w:rsidR="009F2454">
        <w:rPr>
          <w:rFonts w:asciiTheme="minorHAnsi" w:hAnsiTheme="minorHAnsi" w:cstheme="minorHAnsi"/>
          <w:sz w:val="22"/>
          <w:szCs w:val="22"/>
        </w:rPr>
        <w:t>ed standards.</w:t>
      </w:r>
    </w:p>
    <w:p w14:paraId="79CBCDDD" w14:textId="105D123A" w:rsidR="00C01E92" w:rsidRPr="000107A9" w:rsidRDefault="009F2454" w:rsidP="00C01E92">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t xml:space="preserve">Table 39 </w:t>
      </w:r>
      <w:r w:rsidR="00C01E92" w:rsidRPr="000107A9">
        <w:rPr>
          <w:rFonts w:asciiTheme="minorHAnsi" w:hAnsiTheme="minorHAnsi" w:cstheme="minorHAnsi"/>
          <w:sz w:val="22"/>
          <w:szCs w:val="22"/>
        </w:rPr>
        <w:t>provides the scores given to Options B.1 Status Quo and B.2 Alignment against the cost to regulator criterion. The scores reflect the mild cost savings both options are expected to cause, with a slightly increased cost savings under Option B.2.</w:t>
      </w:r>
    </w:p>
    <w:p w14:paraId="28F1FD79" w14:textId="77777777" w:rsidR="009F2454" w:rsidRDefault="009F2454">
      <w:pPr>
        <w:spacing w:after="0"/>
        <w:rPr>
          <w:rFonts w:ascii="Arial Narrow" w:eastAsia="Times New Roman" w:hAnsi="Arial Narrow" w:cs="Times New Roman"/>
          <w:bCs/>
          <w:color w:val="000000" w:themeColor="text1"/>
          <w:szCs w:val="18"/>
          <w:lang w:val="en-AU"/>
        </w:rPr>
      </w:pPr>
      <w:bookmarkStart w:id="224" w:name="_Ref24125419"/>
      <w:r>
        <w:br w:type="page"/>
      </w:r>
    </w:p>
    <w:p w14:paraId="1AA58CC6" w14:textId="5D93C47A" w:rsidR="00C01E92" w:rsidRPr="000107A9" w:rsidRDefault="00C01E92" w:rsidP="00F7569F">
      <w:pPr>
        <w:pStyle w:val="Caption"/>
      </w:pPr>
      <w:bookmarkStart w:id="225" w:name="_Toc32592822"/>
      <w:r w:rsidRPr="000107A9">
        <w:lastRenderedPageBreak/>
        <w:t xml:space="preserve">Table </w:t>
      </w:r>
      <w:r w:rsidRPr="000107A9">
        <w:fldChar w:fldCharType="begin"/>
      </w:r>
      <w:r w:rsidRPr="000107A9">
        <w:instrText xml:space="preserve"> SEQ Table \* ARABIC </w:instrText>
      </w:r>
      <w:r w:rsidRPr="000107A9">
        <w:fldChar w:fldCharType="separate"/>
      </w:r>
      <w:r w:rsidR="00493211">
        <w:rPr>
          <w:noProof/>
        </w:rPr>
        <w:t>39</w:t>
      </w:r>
      <w:r w:rsidRPr="000107A9">
        <w:fldChar w:fldCharType="end"/>
      </w:r>
      <w:bookmarkEnd w:id="224"/>
      <w:r w:rsidRPr="000107A9">
        <w:t xml:space="preserve"> Service approval </w:t>
      </w:r>
      <w:r w:rsidR="009F2454">
        <w:t>types</w:t>
      </w:r>
      <w:r w:rsidRPr="000107A9">
        <w:t xml:space="preserve"> - costs to regulator</w:t>
      </w:r>
      <w:bookmarkEnd w:id="225"/>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838"/>
        <w:gridCol w:w="4055"/>
        <w:gridCol w:w="1243"/>
        <w:gridCol w:w="1243"/>
        <w:gridCol w:w="1243"/>
      </w:tblGrid>
      <w:tr w:rsidR="00C01E92" w:rsidRPr="00A0049E" w14:paraId="606E0D5D" w14:textId="77777777" w:rsidTr="00961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pct"/>
            <w:tcBorders>
              <w:right w:val="none" w:sz="0" w:space="0" w:color="auto"/>
            </w:tcBorders>
          </w:tcPr>
          <w:p w14:paraId="5C165A93" w14:textId="77777777" w:rsidR="00C01E92" w:rsidRPr="00A0049E" w:rsidRDefault="00C01E92" w:rsidP="00ED1E44">
            <w:pPr>
              <w:spacing w:after="60"/>
              <w:rPr>
                <w:rStyle w:val="Strong"/>
                <w:rFonts w:cstheme="minorHAnsi"/>
                <w:b/>
                <w:szCs w:val="22"/>
              </w:rPr>
            </w:pPr>
            <w:r w:rsidRPr="00A0049E">
              <w:rPr>
                <w:rStyle w:val="Strong"/>
                <w:rFonts w:cstheme="minorHAnsi"/>
                <w:b/>
                <w:szCs w:val="22"/>
              </w:rPr>
              <w:t>Criterion</w:t>
            </w:r>
          </w:p>
        </w:tc>
        <w:tc>
          <w:tcPr>
            <w:tcW w:w="2107" w:type="pct"/>
            <w:tcBorders>
              <w:left w:val="none" w:sz="0" w:space="0" w:color="auto"/>
              <w:right w:val="none" w:sz="0" w:space="0" w:color="auto"/>
            </w:tcBorders>
          </w:tcPr>
          <w:p w14:paraId="609DA0A7" w14:textId="77777777" w:rsidR="00C01E92" w:rsidRPr="00A0049E" w:rsidRDefault="00C01E92" w:rsidP="00ED1E44">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0049E">
              <w:rPr>
                <w:rStyle w:val="Strong"/>
                <w:rFonts w:cstheme="minorHAnsi"/>
                <w:b/>
                <w:szCs w:val="22"/>
              </w:rPr>
              <w:t>Description</w:t>
            </w:r>
          </w:p>
        </w:tc>
        <w:tc>
          <w:tcPr>
            <w:tcW w:w="646" w:type="pct"/>
            <w:tcBorders>
              <w:left w:val="none" w:sz="0" w:space="0" w:color="auto"/>
              <w:right w:val="none" w:sz="0" w:space="0" w:color="auto"/>
            </w:tcBorders>
          </w:tcPr>
          <w:p w14:paraId="1A290C0C" w14:textId="77777777" w:rsidR="00C01E92" w:rsidRPr="00A0049E" w:rsidRDefault="00C01E92" w:rsidP="00ED1E44">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0049E">
              <w:rPr>
                <w:rStyle w:val="Strong"/>
                <w:rFonts w:cstheme="minorHAnsi"/>
                <w:b/>
                <w:szCs w:val="22"/>
              </w:rPr>
              <w:t>Weighting</w:t>
            </w:r>
          </w:p>
        </w:tc>
        <w:tc>
          <w:tcPr>
            <w:tcW w:w="646" w:type="pct"/>
            <w:tcBorders>
              <w:left w:val="none" w:sz="0" w:space="0" w:color="auto"/>
              <w:right w:val="none" w:sz="0" w:space="0" w:color="auto"/>
            </w:tcBorders>
          </w:tcPr>
          <w:p w14:paraId="33BFF8FC" w14:textId="251FAD55" w:rsidR="00C01E92" w:rsidRPr="00A0049E" w:rsidRDefault="00C01E92" w:rsidP="009619D6">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0049E">
              <w:rPr>
                <w:rStyle w:val="Strong"/>
                <w:rFonts w:cstheme="minorHAnsi"/>
                <w:b/>
                <w:szCs w:val="22"/>
              </w:rPr>
              <w:t>Option B.1</w:t>
            </w:r>
          </w:p>
        </w:tc>
        <w:tc>
          <w:tcPr>
            <w:tcW w:w="646" w:type="pct"/>
            <w:tcBorders>
              <w:left w:val="none" w:sz="0" w:space="0" w:color="auto"/>
            </w:tcBorders>
          </w:tcPr>
          <w:p w14:paraId="66BFA01B" w14:textId="1D7D0A9D" w:rsidR="00C01E92" w:rsidRPr="00A0049E" w:rsidRDefault="00C01E92" w:rsidP="009619D6">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0049E">
              <w:rPr>
                <w:rStyle w:val="Strong"/>
                <w:rFonts w:cstheme="minorHAnsi"/>
                <w:b/>
                <w:szCs w:val="22"/>
              </w:rPr>
              <w:t>Option B.2</w:t>
            </w:r>
          </w:p>
        </w:tc>
      </w:tr>
      <w:tr w:rsidR="00C01E92" w:rsidRPr="00A0049E" w14:paraId="37C5851C" w14:textId="77777777" w:rsidTr="009619D6">
        <w:trPr>
          <w:trHeight w:val="358"/>
        </w:trPr>
        <w:tc>
          <w:tcPr>
            <w:cnfStyle w:val="001000000000" w:firstRow="0" w:lastRow="0" w:firstColumn="1" w:lastColumn="0" w:oddVBand="0" w:evenVBand="0" w:oddHBand="0" w:evenHBand="0" w:firstRowFirstColumn="0" w:firstRowLastColumn="0" w:lastRowFirstColumn="0" w:lastRowLastColumn="0"/>
            <w:tcW w:w="955" w:type="pct"/>
            <w:tcBorders>
              <w:bottom w:val="single" w:sz="4" w:space="0" w:color="004EA8" w:themeColor="accent1"/>
            </w:tcBorders>
          </w:tcPr>
          <w:p w14:paraId="790395A7" w14:textId="77777777" w:rsidR="00C01E92" w:rsidRPr="00A0049E" w:rsidRDefault="00C01E92" w:rsidP="00ED1E44">
            <w:pPr>
              <w:spacing w:after="60"/>
              <w:rPr>
                <w:rFonts w:cstheme="minorHAnsi"/>
                <w:szCs w:val="22"/>
              </w:rPr>
            </w:pPr>
            <w:r w:rsidRPr="00A0049E">
              <w:rPr>
                <w:rFonts w:cstheme="minorHAnsi"/>
                <w:szCs w:val="22"/>
              </w:rPr>
              <w:t>Cost to regulator</w:t>
            </w:r>
          </w:p>
        </w:tc>
        <w:tc>
          <w:tcPr>
            <w:tcW w:w="2107" w:type="pct"/>
            <w:tcBorders>
              <w:bottom w:val="single" w:sz="4" w:space="0" w:color="004EA8" w:themeColor="accent1"/>
            </w:tcBorders>
          </w:tcPr>
          <w:p w14:paraId="199124F3" w14:textId="448E9749" w:rsidR="00C01E92" w:rsidRPr="00A0049E" w:rsidRDefault="00C01E92" w:rsidP="009F2454">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 xml:space="preserve">Costs to government imposed by Regulations relating to service approval </w:t>
            </w:r>
            <w:r w:rsidR="009F2454">
              <w:rPr>
                <w:rFonts w:cstheme="minorHAnsi"/>
                <w:szCs w:val="22"/>
              </w:rPr>
              <w:t>types</w:t>
            </w:r>
            <w:r w:rsidRPr="00A0049E">
              <w:rPr>
                <w:rFonts w:cstheme="minorHAnsi"/>
                <w:szCs w:val="22"/>
              </w:rPr>
              <w:t>.</w:t>
            </w:r>
          </w:p>
        </w:tc>
        <w:tc>
          <w:tcPr>
            <w:tcW w:w="646" w:type="pct"/>
            <w:tcBorders>
              <w:bottom w:val="single" w:sz="4" w:space="0" w:color="004EA8" w:themeColor="accent1"/>
            </w:tcBorders>
          </w:tcPr>
          <w:p w14:paraId="70434CBA" w14:textId="77777777" w:rsidR="00C01E92" w:rsidRPr="00A0049E" w:rsidRDefault="00C01E92" w:rsidP="00ED1E44">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15%</w:t>
            </w:r>
          </w:p>
        </w:tc>
        <w:tc>
          <w:tcPr>
            <w:tcW w:w="646" w:type="pct"/>
            <w:tcBorders>
              <w:bottom w:val="single" w:sz="4" w:space="0" w:color="004EA8" w:themeColor="accent1"/>
            </w:tcBorders>
          </w:tcPr>
          <w:p w14:paraId="60E35C3A" w14:textId="77777777" w:rsidR="00C01E92" w:rsidRPr="00A0049E" w:rsidRDefault="00C01E92" w:rsidP="00ED1E44">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3</w:t>
            </w:r>
          </w:p>
        </w:tc>
        <w:tc>
          <w:tcPr>
            <w:tcW w:w="646" w:type="pct"/>
            <w:tcBorders>
              <w:bottom w:val="single" w:sz="4" w:space="0" w:color="004EA8" w:themeColor="accent1"/>
            </w:tcBorders>
          </w:tcPr>
          <w:p w14:paraId="0D560333" w14:textId="77777777" w:rsidR="00C01E92" w:rsidRPr="00A0049E" w:rsidRDefault="00C01E92" w:rsidP="00ED1E44">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4</w:t>
            </w:r>
          </w:p>
        </w:tc>
      </w:tr>
      <w:tr w:rsidR="00C01E92" w:rsidRPr="00A0049E" w14:paraId="54BA33E9" w14:textId="77777777" w:rsidTr="009619D6">
        <w:trPr>
          <w:trHeight w:val="358"/>
        </w:trPr>
        <w:tc>
          <w:tcPr>
            <w:cnfStyle w:val="001000000000" w:firstRow="0" w:lastRow="0" w:firstColumn="1" w:lastColumn="0" w:oddVBand="0" w:evenVBand="0" w:oddHBand="0" w:evenHBand="0" w:firstRowFirstColumn="0" w:firstRowLastColumn="0" w:lastRowFirstColumn="0" w:lastRowLastColumn="0"/>
            <w:tcW w:w="955" w:type="pct"/>
            <w:tcBorders>
              <w:right w:val="nil"/>
            </w:tcBorders>
          </w:tcPr>
          <w:p w14:paraId="2F9044E3" w14:textId="77777777" w:rsidR="00C01E92" w:rsidRPr="00A0049E" w:rsidRDefault="00C01E92" w:rsidP="00ED1E44">
            <w:pPr>
              <w:spacing w:after="60"/>
              <w:rPr>
                <w:rFonts w:cstheme="minorHAnsi"/>
                <w:b/>
                <w:szCs w:val="22"/>
              </w:rPr>
            </w:pPr>
            <w:r w:rsidRPr="00A0049E">
              <w:rPr>
                <w:rFonts w:cstheme="minorHAnsi"/>
                <w:b/>
                <w:szCs w:val="22"/>
              </w:rPr>
              <w:t>Total</w:t>
            </w:r>
          </w:p>
        </w:tc>
        <w:tc>
          <w:tcPr>
            <w:tcW w:w="2107" w:type="pct"/>
            <w:tcBorders>
              <w:left w:val="nil"/>
              <w:right w:val="nil"/>
            </w:tcBorders>
          </w:tcPr>
          <w:p w14:paraId="4CAF7767" w14:textId="77777777" w:rsidR="00C01E92" w:rsidRPr="00A0049E" w:rsidRDefault="00C01E92" w:rsidP="00ED1E44">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46" w:type="pct"/>
            <w:tcBorders>
              <w:left w:val="nil"/>
              <w:right w:val="nil"/>
            </w:tcBorders>
          </w:tcPr>
          <w:p w14:paraId="02849A71" w14:textId="77777777" w:rsidR="00C01E92" w:rsidRPr="00A0049E" w:rsidRDefault="00C01E92" w:rsidP="00ED1E44">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46" w:type="pct"/>
            <w:tcBorders>
              <w:left w:val="nil"/>
              <w:right w:val="nil"/>
            </w:tcBorders>
          </w:tcPr>
          <w:p w14:paraId="3425835E" w14:textId="77777777" w:rsidR="00C01E92" w:rsidRPr="00A0049E" w:rsidRDefault="00C01E92" w:rsidP="00ED1E44">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A0049E">
              <w:rPr>
                <w:rFonts w:cstheme="minorHAnsi"/>
                <w:b/>
                <w:szCs w:val="22"/>
              </w:rPr>
              <w:t>0.45</w:t>
            </w:r>
          </w:p>
        </w:tc>
        <w:tc>
          <w:tcPr>
            <w:tcW w:w="646" w:type="pct"/>
            <w:tcBorders>
              <w:left w:val="nil"/>
            </w:tcBorders>
          </w:tcPr>
          <w:p w14:paraId="1E2D8E56" w14:textId="77777777" w:rsidR="00C01E92" w:rsidRPr="00A0049E" w:rsidRDefault="00C01E92" w:rsidP="00ED1E44">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A0049E">
              <w:rPr>
                <w:rFonts w:cstheme="minorHAnsi"/>
                <w:b/>
                <w:szCs w:val="22"/>
              </w:rPr>
              <w:t>0.6</w:t>
            </w:r>
          </w:p>
        </w:tc>
      </w:tr>
    </w:tbl>
    <w:p w14:paraId="0666541B" w14:textId="00E242D6" w:rsidR="00C01E92" w:rsidRPr="000107A9" w:rsidRDefault="00C01E92" w:rsidP="00EC0724">
      <w:pPr>
        <w:pStyle w:val="EYHeading4"/>
        <w:numPr>
          <w:ilvl w:val="3"/>
          <w:numId w:val="81"/>
        </w:numPr>
        <w:spacing w:before="240"/>
        <w:rPr>
          <w:rFonts w:asciiTheme="minorHAnsi" w:hAnsiTheme="minorHAnsi" w:cstheme="minorHAnsi"/>
          <w:szCs w:val="22"/>
        </w:rPr>
      </w:pPr>
      <w:bookmarkStart w:id="226" w:name="_Ref23933964"/>
      <w:r w:rsidRPr="000107A9">
        <w:rPr>
          <w:rFonts w:asciiTheme="minorHAnsi" w:hAnsiTheme="minorHAnsi" w:cstheme="minorHAnsi"/>
          <w:szCs w:val="22"/>
        </w:rPr>
        <w:t>Staffing</w:t>
      </w:r>
      <w:bookmarkEnd w:id="226"/>
    </w:p>
    <w:p w14:paraId="1EB536D9" w14:textId="5C72F8C4"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Option C.1 Status Quo and Option C.2 Alignment could either create additional regulatory costs to the Department in comparison to the base case or reduce costs.</w:t>
      </w:r>
    </w:p>
    <w:p w14:paraId="2905EEA9" w14:textId="77777777" w:rsidR="00C01E92" w:rsidRPr="000107A9" w:rsidRDefault="00C01E92" w:rsidP="00C01E92">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b/>
          <w:sz w:val="22"/>
          <w:szCs w:val="22"/>
        </w:rPr>
        <w:t>Additional costs: more detailed standards to enforce</w:t>
      </w:r>
    </w:p>
    <w:p w14:paraId="63A19C57"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In the base case, services have a general obligation to adequately supervise children and protect them from harm and hazards.</w:t>
      </w:r>
    </w:p>
    <w:p w14:paraId="49F7925E"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Under both options, specific staffing requirements are added to the regulatory system and therefore need to be monitored by the Department and its inspecting officers. This could increase the regulatory burden for the Department as officers have to ascertain whether services are complying with the detailed staffing requirements rather than just meeting the general obligations under the Act. </w:t>
      </w:r>
    </w:p>
    <w:p w14:paraId="39B6F50B" w14:textId="77777777" w:rsidR="00C01E92" w:rsidRPr="000107A9" w:rsidRDefault="00C01E92" w:rsidP="00C01E92">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b/>
          <w:sz w:val="22"/>
          <w:szCs w:val="22"/>
        </w:rPr>
        <w:t>Reduced costs: more efficient regulation; reduced risks for the Department</w:t>
      </w:r>
    </w:p>
    <w:p w14:paraId="3AE3791E"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On the other hand, the additional requirements in the regulations may make it easier for inspecting officers to ensure that services are meeting the general obligations under the Act because officers can assume that services compliant with the ratios, qualification requirements and minimum staff numbers are adequately protecting, supervising and educating children. The regulatory specifications may also ease the burden for the Department staff and inspectors needing to explain to services how they can and should meet their obligations under the Act, ultimately increasing regulatory efficiency. </w:t>
      </w:r>
    </w:p>
    <w:p w14:paraId="43AA50BC"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Including more staffing requirement detail may mitigate the risk of additional costs to the Department incurred through litigation. Providing more detailed guidance to services about how to properly supervise children and monitors services for compliance should, theoretically, lower the risk of legal culpability for any harm which may be caused to children. </w:t>
      </w:r>
    </w:p>
    <w:p w14:paraId="77E81828"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Additionally, the Department may realise savings associated with reduced complaints or concerns from parents or guardians flowing from the strengthened staffing requirements, but it is difficult to assess whether this impact would in fact occur. </w:t>
      </w:r>
    </w:p>
    <w:p w14:paraId="1DF3AAE6"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No significant variation in cost to the Department is expected between the two regulatory options.</w:t>
      </w:r>
    </w:p>
    <w:p w14:paraId="7C494EA7" w14:textId="77777777" w:rsidR="00493211" w:rsidRPr="00493211" w:rsidRDefault="00C01E92" w:rsidP="00493211">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_Ref24125349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br w:type="page"/>
      </w:r>
    </w:p>
    <w:p w14:paraId="27EFF07B" w14:textId="00A26462" w:rsidR="00C01E92" w:rsidRPr="000107A9" w:rsidRDefault="00493211" w:rsidP="00C01E92">
      <w:pPr>
        <w:pStyle w:val="EYBodytextwithparaspace"/>
        <w:spacing w:before="120" w:after="120"/>
        <w:rPr>
          <w:rFonts w:asciiTheme="minorHAnsi" w:hAnsiTheme="minorHAnsi" w:cstheme="minorHAnsi"/>
          <w:sz w:val="22"/>
          <w:szCs w:val="22"/>
        </w:rPr>
      </w:pPr>
      <w:r w:rsidRPr="00493211">
        <w:rPr>
          <w:rFonts w:asciiTheme="minorHAnsi" w:hAnsiTheme="minorHAnsi" w:cstheme="minorHAnsi"/>
          <w:sz w:val="22"/>
          <w:szCs w:val="22"/>
        </w:rPr>
        <w:lastRenderedPageBreak/>
        <w:t>Table</w:t>
      </w:r>
      <w:r w:rsidRPr="00D55F3A">
        <w:t xml:space="preserve"> </w:t>
      </w:r>
      <w:r>
        <w:rPr>
          <w:noProof/>
        </w:rPr>
        <w:t>40</w:t>
      </w:r>
      <w:r w:rsidR="00C01E92" w:rsidRPr="000107A9">
        <w:rPr>
          <w:rFonts w:asciiTheme="minorHAnsi" w:hAnsiTheme="minorHAnsi" w:cstheme="minorHAnsi"/>
          <w:sz w:val="22"/>
          <w:szCs w:val="22"/>
        </w:rPr>
        <w:fldChar w:fldCharType="end"/>
      </w:r>
      <w:r w:rsidR="00C01E92" w:rsidRPr="000107A9">
        <w:rPr>
          <w:rFonts w:asciiTheme="minorHAnsi" w:hAnsiTheme="minorHAnsi" w:cstheme="minorHAnsi"/>
          <w:sz w:val="22"/>
          <w:szCs w:val="22"/>
        </w:rPr>
        <w:t xml:space="preserve"> provides the scores given to Option C.1 Status Quo and Option C.2 Alignment against the cost to regulator criterion. The scores reflect the similar and minimal cost savings to the Department imposed by both options. </w:t>
      </w:r>
    </w:p>
    <w:p w14:paraId="76B7FF6F" w14:textId="77777777" w:rsidR="009F2454" w:rsidRDefault="009F2454">
      <w:pPr>
        <w:spacing w:after="0"/>
        <w:rPr>
          <w:rFonts w:ascii="Arial Narrow" w:eastAsia="Times New Roman" w:hAnsi="Arial Narrow" w:cs="Times New Roman"/>
          <w:bCs/>
          <w:color w:val="000000" w:themeColor="text1"/>
          <w:szCs w:val="18"/>
          <w:lang w:val="en-AU"/>
        </w:rPr>
      </w:pPr>
      <w:bookmarkStart w:id="227" w:name="_Ref24125349"/>
      <w:r>
        <w:br w:type="page"/>
      </w:r>
    </w:p>
    <w:p w14:paraId="3AE957A1" w14:textId="7357DF02" w:rsidR="00C01E92" w:rsidRPr="00D55F3A" w:rsidRDefault="00C01E92" w:rsidP="00D55F3A">
      <w:pPr>
        <w:pStyle w:val="Caption"/>
      </w:pPr>
      <w:bookmarkStart w:id="228" w:name="_Toc32592823"/>
      <w:r w:rsidRPr="00D55F3A">
        <w:lastRenderedPageBreak/>
        <w:t xml:space="preserve">Table </w:t>
      </w:r>
      <w:r w:rsidRPr="00D55F3A">
        <w:fldChar w:fldCharType="begin"/>
      </w:r>
      <w:r w:rsidRPr="00D55F3A">
        <w:instrText xml:space="preserve"> SEQ Table \* ARABIC </w:instrText>
      </w:r>
      <w:r w:rsidRPr="00D55F3A">
        <w:fldChar w:fldCharType="separate"/>
      </w:r>
      <w:r w:rsidR="00493211">
        <w:rPr>
          <w:noProof/>
        </w:rPr>
        <w:t>40</w:t>
      </w:r>
      <w:r w:rsidRPr="00D55F3A">
        <w:fldChar w:fldCharType="end"/>
      </w:r>
      <w:bookmarkEnd w:id="227"/>
      <w:r w:rsidRPr="00D55F3A">
        <w:t xml:space="preserve"> Staffing - costs to regulator</w:t>
      </w:r>
      <w:bookmarkEnd w:id="228"/>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664"/>
        <w:gridCol w:w="4284"/>
        <w:gridCol w:w="1224"/>
        <w:gridCol w:w="1224"/>
        <w:gridCol w:w="1226"/>
      </w:tblGrid>
      <w:tr w:rsidR="00C01E92" w:rsidRPr="00A0049E" w14:paraId="73952986" w14:textId="77777777" w:rsidTr="00961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pct"/>
            <w:tcBorders>
              <w:right w:val="none" w:sz="0" w:space="0" w:color="auto"/>
            </w:tcBorders>
          </w:tcPr>
          <w:p w14:paraId="24D39721" w14:textId="77777777" w:rsidR="00C01E92" w:rsidRPr="00A0049E" w:rsidRDefault="00C01E92" w:rsidP="00A0049E">
            <w:pPr>
              <w:spacing w:after="60"/>
              <w:rPr>
                <w:rStyle w:val="Strong"/>
                <w:rFonts w:cstheme="minorHAnsi"/>
                <w:b/>
                <w:bCs w:val="0"/>
                <w:szCs w:val="22"/>
              </w:rPr>
            </w:pPr>
            <w:r w:rsidRPr="00A0049E">
              <w:rPr>
                <w:rStyle w:val="Strong"/>
                <w:rFonts w:cstheme="minorHAnsi"/>
                <w:b/>
                <w:szCs w:val="22"/>
              </w:rPr>
              <w:t>Criterion</w:t>
            </w:r>
          </w:p>
        </w:tc>
        <w:tc>
          <w:tcPr>
            <w:tcW w:w="2226" w:type="pct"/>
            <w:tcBorders>
              <w:left w:val="none" w:sz="0" w:space="0" w:color="auto"/>
              <w:right w:val="none" w:sz="0" w:space="0" w:color="auto"/>
            </w:tcBorders>
          </w:tcPr>
          <w:p w14:paraId="64598615" w14:textId="77777777" w:rsidR="00C01E92" w:rsidRPr="00A0049E" w:rsidRDefault="00C01E92" w:rsidP="00A0049E">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bCs w:val="0"/>
                <w:szCs w:val="22"/>
              </w:rPr>
            </w:pPr>
            <w:r w:rsidRPr="00A0049E">
              <w:rPr>
                <w:rStyle w:val="Strong"/>
                <w:rFonts w:cstheme="minorHAnsi"/>
                <w:b/>
                <w:szCs w:val="22"/>
              </w:rPr>
              <w:t>Description</w:t>
            </w:r>
          </w:p>
        </w:tc>
        <w:tc>
          <w:tcPr>
            <w:tcW w:w="636" w:type="pct"/>
            <w:tcBorders>
              <w:left w:val="none" w:sz="0" w:space="0" w:color="auto"/>
              <w:right w:val="none" w:sz="0" w:space="0" w:color="auto"/>
            </w:tcBorders>
          </w:tcPr>
          <w:p w14:paraId="5979BD34" w14:textId="77777777" w:rsidR="00C01E92" w:rsidRPr="00A0049E" w:rsidRDefault="00C01E92" w:rsidP="00A0049E">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bCs w:val="0"/>
                <w:szCs w:val="22"/>
              </w:rPr>
            </w:pPr>
            <w:r w:rsidRPr="00A0049E">
              <w:rPr>
                <w:rStyle w:val="Strong"/>
                <w:rFonts w:cstheme="minorHAnsi"/>
                <w:b/>
                <w:szCs w:val="22"/>
              </w:rPr>
              <w:t>Weighting</w:t>
            </w:r>
          </w:p>
        </w:tc>
        <w:tc>
          <w:tcPr>
            <w:tcW w:w="636" w:type="pct"/>
            <w:tcBorders>
              <w:left w:val="none" w:sz="0" w:space="0" w:color="auto"/>
              <w:right w:val="none" w:sz="0" w:space="0" w:color="auto"/>
            </w:tcBorders>
          </w:tcPr>
          <w:p w14:paraId="2E5C4B1C" w14:textId="46CDFBF8" w:rsidR="00C01E92" w:rsidRPr="00A0049E" w:rsidRDefault="009619D6" w:rsidP="00A0049E">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bCs w:val="0"/>
                <w:szCs w:val="22"/>
              </w:rPr>
            </w:pPr>
            <w:r>
              <w:rPr>
                <w:rStyle w:val="Strong"/>
                <w:rFonts w:cstheme="minorHAnsi"/>
                <w:b/>
                <w:szCs w:val="22"/>
              </w:rPr>
              <w:t>Option C.1</w:t>
            </w:r>
          </w:p>
        </w:tc>
        <w:tc>
          <w:tcPr>
            <w:tcW w:w="637" w:type="pct"/>
            <w:tcBorders>
              <w:left w:val="none" w:sz="0" w:space="0" w:color="auto"/>
            </w:tcBorders>
          </w:tcPr>
          <w:p w14:paraId="25BA3522" w14:textId="05BC973A" w:rsidR="00C01E92" w:rsidRPr="00A0049E" w:rsidRDefault="009619D6" w:rsidP="00A0049E">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bCs w:val="0"/>
                <w:szCs w:val="22"/>
              </w:rPr>
            </w:pPr>
            <w:r>
              <w:rPr>
                <w:rStyle w:val="Strong"/>
                <w:rFonts w:cstheme="minorHAnsi"/>
                <w:b/>
                <w:szCs w:val="22"/>
              </w:rPr>
              <w:t>Option C.2</w:t>
            </w:r>
          </w:p>
        </w:tc>
      </w:tr>
      <w:tr w:rsidR="00C01E92" w:rsidRPr="000107A9" w14:paraId="54A0BB58" w14:textId="77777777" w:rsidTr="009619D6">
        <w:trPr>
          <w:trHeight w:val="358"/>
        </w:trPr>
        <w:tc>
          <w:tcPr>
            <w:cnfStyle w:val="001000000000" w:firstRow="0" w:lastRow="0" w:firstColumn="1" w:lastColumn="0" w:oddVBand="0" w:evenVBand="0" w:oddHBand="0" w:evenHBand="0" w:firstRowFirstColumn="0" w:firstRowLastColumn="0" w:lastRowFirstColumn="0" w:lastRowLastColumn="0"/>
            <w:tcW w:w="865" w:type="pct"/>
            <w:tcBorders>
              <w:bottom w:val="single" w:sz="4" w:space="0" w:color="004EA8" w:themeColor="accent1"/>
            </w:tcBorders>
          </w:tcPr>
          <w:p w14:paraId="3C66E128" w14:textId="77777777" w:rsidR="00C01E92" w:rsidRPr="000107A9" w:rsidRDefault="00C01E92" w:rsidP="00A0049E">
            <w:pPr>
              <w:spacing w:after="60"/>
              <w:rPr>
                <w:rFonts w:cstheme="minorHAnsi"/>
                <w:szCs w:val="22"/>
              </w:rPr>
            </w:pPr>
            <w:r w:rsidRPr="000107A9">
              <w:rPr>
                <w:rFonts w:cstheme="minorHAnsi"/>
                <w:szCs w:val="22"/>
              </w:rPr>
              <w:t>Cost to regulator</w:t>
            </w:r>
          </w:p>
        </w:tc>
        <w:tc>
          <w:tcPr>
            <w:tcW w:w="2226" w:type="pct"/>
            <w:tcBorders>
              <w:bottom w:val="single" w:sz="4" w:space="0" w:color="004EA8" w:themeColor="accent1"/>
            </w:tcBorders>
          </w:tcPr>
          <w:p w14:paraId="51D88F86" w14:textId="77777777" w:rsidR="00C01E92" w:rsidRPr="000107A9" w:rsidRDefault="00C01E92" w:rsidP="00A0049E">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Costs to government imposed by Regulations relating to staffing.</w:t>
            </w:r>
          </w:p>
        </w:tc>
        <w:tc>
          <w:tcPr>
            <w:tcW w:w="636" w:type="pct"/>
            <w:tcBorders>
              <w:bottom w:val="single" w:sz="4" w:space="0" w:color="004EA8" w:themeColor="accent1"/>
            </w:tcBorders>
          </w:tcPr>
          <w:p w14:paraId="7C06F945"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15%</w:t>
            </w:r>
          </w:p>
        </w:tc>
        <w:tc>
          <w:tcPr>
            <w:tcW w:w="636" w:type="pct"/>
            <w:tcBorders>
              <w:bottom w:val="single" w:sz="4" w:space="0" w:color="004EA8" w:themeColor="accent1"/>
            </w:tcBorders>
          </w:tcPr>
          <w:p w14:paraId="3295B3FE"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1</w:t>
            </w:r>
          </w:p>
        </w:tc>
        <w:tc>
          <w:tcPr>
            <w:tcW w:w="637" w:type="pct"/>
            <w:tcBorders>
              <w:bottom w:val="single" w:sz="4" w:space="0" w:color="004EA8" w:themeColor="accent1"/>
            </w:tcBorders>
          </w:tcPr>
          <w:p w14:paraId="3426EEB7"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1</w:t>
            </w:r>
          </w:p>
        </w:tc>
      </w:tr>
      <w:tr w:rsidR="00C01E92" w:rsidRPr="000107A9" w14:paraId="655D9414" w14:textId="77777777" w:rsidTr="009619D6">
        <w:trPr>
          <w:trHeight w:val="358"/>
        </w:trPr>
        <w:tc>
          <w:tcPr>
            <w:cnfStyle w:val="001000000000" w:firstRow="0" w:lastRow="0" w:firstColumn="1" w:lastColumn="0" w:oddVBand="0" w:evenVBand="0" w:oddHBand="0" w:evenHBand="0" w:firstRowFirstColumn="0" w:firstRowLastColumn="0" w:lastRowFirstColumn="0" w:lastRowLastColumn="0"/>
            <w:tcW w:w="865" w:type="pct"/>
            <w:tcBorders>
              <w:right w:val="nil"/>
            </w:tcBorders>
          </w:tcPr>
          <w:p w14:paraId="35400925" w14:textId="77777777" w:rsidR="00C01E92" w:rsidRPr="000107A9" w:rsidRDefault="00C01E92" w:rsidP="00A0049E">
            <w:pPr>
              <w:spacing w:after="60"/>
              <w:rPr>
                <w:rFonts w:cstheme="minorHAnsi"/>
                <w:b/>
                <w:szCs w:val="22"/>
              </w:rPr>
            </w:pPr>
            <w:r w:rsidRPr="000107A9">
              <w:rPr>
                <w:rFonts w:cstheme="minorHAnsi"/>
                <w:b/>
                <w:szCs w:val="22"/>
              </w:rPr>
              <w:t>Total</w:t>
            </w:r>
          </w:p>
        </w:tc>
        <w:tc>
          <w:tcPr>
            <w:tcW w:w="2226" w:type="pct"/>
            <w:tcBorders>
              <w:left w:val="nil"/>
              <w:right w:val="nil"/>
            </w:tcBorders>
          </w:tcPr>
          <w:p w14:paraId="74AB92AD" w14:textId="77777777" w:rsidR="00C01E92" w:rsidRPr="000107A9" w:rsidRDefault="00C01E92" w:rsidP="00A0049E">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36" w:type="pct"/>
            <w:tcBorders>
              <w:left w:val="nil"/>
              <w:right w:val="nil"/>
            </w:tcBorders>
          </w:tcPr>
          <w:p w14:paraId="7526E690"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36" w:type="pct"/>
            <w:tcBorders>
              <w:left w:val="nil"/>
              <w:right w:val="nil"/>
            </w:tcBorders>
          </w:tcPr>
          <w:p w14:paraId="70681BEB"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0107A9">
              <w:rPr>
                <w:rFonts w:cstheme="minorHAnsi"/>
                <w:b/>
                <w:szCs w:val="22"/>
              </w:rPr>
              <w:t>0.15</w:t>
            </w:r>
          </w:p>
        </w:tc>
        <w:tc>
          <w:tcPr>
            <w:tcW w:w="637" w:type="pct"/>
            <w:tcBorders>
              <w:left w:val="nil"/>
            </w:tcBorders>
          </w:tcPr>
          <w:p w14:paraId="6503FF14"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0107A9">
              <w:rPr>
                <w:rFonts w:cstheme="minorHAnsi"/>
                <w:b/>
                <w:szCs w:val="22"/>
              </w:rPr>
              <w:t>0.15</w:t>
            </w:r>
          </w:p>
        </w:tc>
      </w:tr>
    </w:tbl>
    <w:p w14:paraId="5206C018" w14:textId="39168C5C" w:rsidR="00C01E92" w:rsidRPr="000107A9" w:rsidRDefault="00B50BC1" w:rsidP="00EC0724">
      <w:pPr>
        <w:pStyle w:val="EYHeading4"/>
        <w:numPr>
          <w:ilvl w:val="3"/>
          <w:numId w:val="82"/>
        </w:numPr>
        <w:spacing w:before="240"/>
        <w:rPr>
          <w:rFonts w:asciiTheme="minorHAnsi" w:hAnsiTheme="minorHAnsi" w:cstheme="minorHAnsi"/>
          <w:szCs w:val="22"/>
        </w:rPr>
      </w:pPr>
      <w:r>
        <w:rPr>
          <w:rFonts w:asciiTheme="minorHAnsi" w:hAnsiTheme="minorHAnsi" w:cstheme="minorHAnsi"/>
          <w:szCs w:val="22"/>
        </w:rPr>
        <w:t>Safety, health and wellbeing of children</w:t>
      </w:r>
    </w:p>
    <w:p w14:paraId="68044A15"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Act requires services to protect children from harm and hazards but does not provide any specific guidance or standards as to how services should comply with this obligation. </w:t>
      </w:r>
    </w:p>
    <w:p w14:paraId="079B0104" w14:textId="055F5C8E"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Options D.1. Status Quo and D.2. Alignment both contain detailed requirements to supplement this provision in the Act. Both options are expected to at once increase and reduce regulatory costs compared to the base case in similar ways to those discussed in relation to the staffing options in section </w:t>
      </w: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_Ref23933964 \r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Pr>
          <w:rFonts w:asciiTheme="minorHAnsi" w:hAnsiTheme="minorHAnsi" w:cstheme="minorHAnsi"/>
          <w:sz w:val="22"/>
          <w:szCs w:val="22"/>
        </w:rPr>
        <w:t>6.2.2.3</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w:t>
      </w:r>
    </w:p>
    <w:p w14:paraId="6082B3D1" w14:textId="0FB9FAF6"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specific requirements imposed under both Option D.1 and Option D.2 result in additional inspection obligations for the Department officers compared to the base case, but also provide a clear means of assessing services’ capacity to protect children’s health, safety and welfare, and the other cost reductions discussed above flowing from easier or more straightforward regulation.</w:t>
      </w:r>
    </w:p>
    <w:p w14:paraId="11395011"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No significant variation in cost to the Department is expected between the two regulatory options.</w:t>
      </w:r>
    </w:p>
    <w:p w14:paraId="5EC1484F" w14:textId="4C8ADFAF"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_Ref24125606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 xml:space="preserve">Table </w:t>
      </w:r>
      <w:r w:rsidR="00493211" w:rsidRPr="00493211">
        <w:rPr>
          <w:rFonts w:asciiTheme="minorHAnsi" w:hAnsiTheme="minorHAnsi" w:cstheme="minorHAnsi"/>
          <w:noProof/>
          <w:sz w:val="22"/>
          <w:szCs w:val="22"/>
        </w:rPr>
        <w:t>41</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provides the scores given to Option D.1 Status Quo and Option D.2 Alignment against the cost to regulator criterion. The scores reflect the negligible impact on regulatory costs expected under both options. </w:t>
      </w:r>
    </w:p>
    <w:p w14:paraId="37FFD804" w14:textId="19EACBD1" w:rsidR="00C01E92" w:rsidRPr="00D55F3A" w:rsidRDefault="00C01E92" w:rsidP="00D55F3A">
      <w:pPr>
        <w:pStyle w:val="Caption"/>
      </w:pPr>
      <w:bookmarkStart w:id="229" w:name="_Ref24125606"/>
      <w:bookmarkStart w:id="230" w:name="_Toc32592824"/>
      <w:r w:rsidRPr="00D55F3A">
        <w:t xml:space="preserve">Table </w:t>
      </w:r>
      <w:r w:rsidRPr="00D55F3A">
        <w:fldChar w:fldCharType="begin"/>
      </w:r>
      <w:r w:rsidRPr="00D55F3A">
        <w:instrText xml:space="preserve"> SEQ Table \* ARABIC </w:instrText>
      </w:r>
      <w:r w:rsidRPr="00D55F3A">
        <w:fldChar w:fldCharType="separate"/>
      </w:r>
      <w:r w:rsidR="00493211">
        <w:rPr>
          <w:noProof/>
        </w:rPr>
        <w:t>41</w:t>
      </w:r>
      <w:r w:rsidRPr="00D55F3A">
        <w:fldChar w:fldCharType="end"/>
      </w:r>
      <w:bookmarkEnd w:id="229"/>
      <w:r w:rsidRPr="00D55F3A">
        <w:t xml:space="preserve"> </w:t>
      </w:r>
      <w:r w:rsidR="009F2454">
        <w:t>Safety, health and wellbeing of children</w:t>
      </w:r>
      <w:r w:rsidRPr="00D55F3A">
        <w:t xml:space="preserve"> - costs to regulator</w:t>
      </w:r>
      <w:bookmarkEnd w:id="230"/>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664"/>
        <w:gridCol w:w="4284"/>
        <w:gridCol w:w="1224"/>
        <w:gridCol w:w="1226"/>
        <w:gridCol w:w="1224"/>
      </w:tblGrid>
      <w:tr w:rsidR="00C01E92" w:rsidRPr="00A0049E" w14:paraId="12BF16F1" w14:textId="77777777" w:rsidTr="00961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pct"/>
            <w:tcBorders>
              <w:right w:val="none" w:sz="0" w:space="0" w:color="auto"/>
            </w:tcBorders>
          </w:tcPr>
          <w:p w14:paraId="6D0ED8B5" w14:textId="77777777" w:rsidR="00C01E92" w:rsidRPr="00A0049E" w:rsidRDefault="00C01E92" w:rsidP="00A0049E">
            <w:pPr>
              <w:spacing w:after="60"/>
              <w:rPr>
                <w:rStyle w:val="Strong"/>
                <w:rFonts w:cstheme="minorHAnsi"/>
                <w:b/>
                <w:bCs w:val="0"/>
                <w:szCs w:val="22"/>
              </w:rPr>
            </w:pPr>
            <w:r w:rsidRPr="00A0049E">
              <w:rPr>
                <w:rStyle w:val="Strong"/>
                <w:rFonts w:cstheme="minorHAnsi"/>
                <w:b/>
                <w:szCs w:val="22"/>
              </w:rPr>
              <w:t>Criterion</w:t>
            </w:r>
          </w:p>
        </w:tc>
        <w:tc>
          <w:tcPr>
            <w:tcW w:w="2226" w:type="pct"/>
            <w:tcBorders>
              <w:left w:val="none" w:sz="0" w:space="0" w:color="auto"/>
              <w:right w:val="none" w:sz="0" w:space="0" w:color="auto"/>
            </w:tcBorders>
          </w:tcPr>
          <w:p w14:paraId="6D9C8DFD" w14:textId="77777777" w:rsidR="00C01E92" w:rsidRPr="00A0049E" w:rsidRDefault="00C01E92" w:rsidP="00A0049E">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bCs w:val="0"/>
                <w:szCs w:val="22"/>
              </w:rPr>
            </w:pPr>
            <w:r w:rsidRPr="00A0049E">
              <w:rPr>
                <w:rStyle w:val="Strong"/>
                <w:rFonts w:cstheme="minorHAnsi"/>
                <w:b/>
                <w:szCs w:val="22"/>
              </w:rPr>
              <w:t>Description</w:t>
            </w:r>
          </w:p>
        </w:tc>
        <w:tc>
          <w:tcPr>
            <w:tcW w:w="636" w:type="pct"/>
            <w:tcBorders>
              <w:left w:val="none" w:sz="0" w:space="0" w:color="auto"/>
              <w:right w:val="none" w:sz="0" w:space="0" w:color="auto"/>
            </w:tcBorders>
          </w:tcPr>
          <w:p w14:paraId="2A001507" w14:textId="77777777" w:rsidR="00C01E92" w:rsidRPr="00A0049E" w:rsidRDefault="00C01E92" w:rsidP="00A0049E">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bCs w:val="0"/>
                <w:szCs w:val="22"/>
              </w:rPr>
            </w:pPr>
            <w:r w:rsidRPr="00A0049E">
              <w:rPr>
                <w:rStyle w:val="Strong"/>
                <w:rFonts w:cstheme="minorHAnsi"/>
                <w:b/>
                <w:szCs w:val="22"/>
              </w:rPr>
              <w:t>Weighting</w:t>
            </w:r>
          </w:p>
        </w:tc>
        <w:tc>
          <w:tcPr>
            <w:tcW w:w="637" w:type="pct"/>
            <w:tcBorders>
              <w:left w:val="none" w:sz="0" w:space="0" w:color="auto"/>
              <w:right w:val="none" w:sz="0" w:space="0" w:color="auto"/>
            </w:tcBorders>
          </w:tcPr>
          <w:p w14:paraId="60337998" w14:textId="331678BD" w:rsidR="00C01E92" w:rsidRPr="00A0049E" w:rsidRDefault="009619D6" w:rsidP="00A0049E">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bCs w:val="0"/>
                <w:szCs w:val="22"/>
              </w:rPr>
            </w:pPr>
            <w:r>
              <w:rPr>
                <w:rStyle w:val="Strong"/>
                <w:rFonts w:cstheme="minorHAnsi"/>
                <w:b/>
                <w:szCs w:val="22"/>
              </w:rPr>
              <w:t>Option D.1</w:t>
            </w:r>
          </w:p>
        </w:tc>
        <w:tc>
          <w:tcPr>
            <w:tcW w:w="637" w:type="pct"/>
            <w:tcBorders>
              <w:left w:val="none" w:sz="0" w:space="0" w:color="auto"/>
            </w:tcBorders>
          </w:tcPr>
          <w:p w14:paraId="31CCA412" w14:textId="3D9A4233" w:rsidR="00C01E92" w:rsidRPr="00A0049E" w:rsidRDefault="009619D6" w:rsidP="00A0049E">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bCs w:val="0"/>
                <w:szCs w:val="22"/>
              </w:rPr>
            </w:pPr>
            <w:r>
              <w:rPr>
                <w:rStyle w:val="Strong"/>
                <w:rFonts w:cstheme="minorHAnsi"/>
                <w:b/>
                <w:szCs w:val="22"/>
              </w:rPr>
              <w:t>Option D.2</w:t>
            </w:r>
          </w:p>
        </w:tc>
      </w:tr>
      <w:tr w:rsidR="00C01E92" w:rsidRPr="000107A9" w14:paraId="3187420A" w14:textId="77777777" w:rsidTr="009619D6">
        <w:trPr>
          <w:trHeight w:val="358"/>
        </w:trPr>
        <w:tc>
          <w:tcPr>
            <w:cnfStyle w:val="001000000000" w:firstRow="0" w:lastRow="0" w:firstColumn="1" w:lastColumn="0" w:oddVBand="0" w:evenVBand="0" w:oddHBand="0" w:evenHBand="0" w:firstRowFirstColumn="0" w:firstRowLastColumn="0" w:lastRowFirstColumn="0" w:lastRowLastColumn="0"/>
            <w:tcW w:w="865" w:type="pct"/>
            <w:tcBorders>
              <w:bottom w:val="single" w:sz="4" w:space="0" w:color="004EA8" w:themeColor="accent1"/>
            </w:tcBorders>
          </w:tcPr>
          <w:p w14:paraId="47DFCB34" w14:textId="77777777" w:rsidR="00C01E92" w:rsidRPr="000107A9" w:rsidRDefault="00C01E92" w:rsidP="00A0049E">
            <w:pPr>
              <w:spacing w:after="60"/>
              <w:rPr>
                <w:rFonts w:cstheme="minorHAnsi"/>
                <w:szCs w:val="22"/>
              </w:rPr>
            </w:pPr>
            <w:r w:rsidRPr="000107A9">
              <w:rPr>
                <w:rFonts w:cstheme="minorHAnsi"/>
                <w:szCs w:val="22"/>
              </w:rPr>
              <w:t>Cost to regulator</w:t>
            </w:r>
          </w:p>
        </w:tc>
        <w:tc>
          <w:tcPr>
            <w:tcW w:w="2226" w:type="pct"/>
            <w:tcBorders>
              <w:bottom w:val="single" w:sz="4" w:space="0" w:color="004EA8" w:themeColor="accent1"/>
            </w:tcBorders>
          </w:tcPr>
          <w:p w14:paraId="6F8377CF" w14:textId="26D7FEEF" w:rsidR="00C01E92" w:rsidRPr="000107A9" w:rsidRDefault="00C01E92" w:rsidP="009F2454">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 xml:space="preserve">Costs to government imposed by Regulations relating to </w:t>
            </w:r>
            <w:r w:rsidR="009F2454">
              <w:rPr>
                <w:rFonts w:cstheme="minorHAnsi"/>
                <w:szCs w:val="22"/>
              </w:rPr>
              <w:t>safety, health and wellbeing of children.</w:t>
            </w:r>
          </w:p>
        </w:tc>
        <w:tc>
          <w:tcPr>
            <w:tcW w:w="636" w:type="pct"/>
            <w:tcBorders>
              <w:bottom w:val="single" w:sz="4" w:space="0" w:color="004EA8" w:themeColor="accent1"/>
            </w:tcBorders>
          </w:tcPr>
          <w:p w14:paraId="21982BF3"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15%</w:t>
            </w:r>
          </w:p>
        </w:tc>
        <w:tc>
          <w:tcPr>
            <w:tcW w:w="637" w:type="pct"/>
            <w:tcBorders>
              <w:bottom w:val="single" w:sz="4" w:space="0" w:color="004EA8" w:themeColor="accent1"/>
            </w:tcBorders>
          </w:tcPr>
          <w:p w14:paraId="65DAC48B"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0</w:t>
            </w:r>
          </w:p>
        </w:tc>
        <w:tc>
          <w:tcPr>
            <w:tcW w:w="637" w:type="pct"/>
            <w:tcBorders>
              <w:bottom w:val="single" w:sz="4" w:space="0" w:color="004EA8" w:themeColor="accent1"/>
            </w:tcBorders>
          </w:tcPr>
          <w:p w14:paraId="14B2FC57"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0</w:t>
            </w:r>
          </w:p>
        </w:tc>
      </w:tr>
      <w:tr w:rsidR="00C01E92" w:rsidRPr="000107A9" w14:paraId="6FB4B847" w14:textId="77777777" w:rsidTr="009619D6">
        <w:trPr>
          <w:trHeight w:val="358"/>
        </w:trPr>
        <w:tc>
          <w:tcPr>
            <w:cnfStyle w:val="001000000000" w:firstRow="0" w:lastRow="0" w:firstColumn="1" w:lastColumn="0" w:oddVBand="0" w:evenVBand="0" w:oddHBand="0" w:evenHBand="0" w:firstRowFirstColumn="0" w:firstRowLastColumn="0" w:lastRowFirstColumn="0" w:lastRowLastColumn="0"/>
            <w:tcW w:w="865" w:type="pct"/>
            <w:tcBorders>
              <w:right w:val="nil"/>
            </w:tcBorders>
          </w:tcPr>
          <w:p w14:paraId="2CFD4875" w14:textId="77777777" w:rsidR="00C01E92" w:rsidRPr="000107A9" w:rsidRDefault="00C01E92" w:rsidP="00A0049E">
            <w:pPr>
              <w:spacing w:after="60"/>
              <w:rPr>
                <w:rFonts w:cstheme="minorHAnsi"/>
                <w:b/>
                <w:szCs w:val="22"/>
              </w:rPr>
            </w:pPr>
            <w:r w:rsidRPr="000107A9">
              <w:rPr>
                <w:rFonts w:cstheme="minorHAnsi"/>
                <w:b/>
                <w:szCs w:val="22"/>
              </w:rPr>
              <w:t>Total</w:t>
            </w:r>
          </w:p>
        </w:tc>
        <w:tc>
          <w:tcPr>
            <w:tcW w:w="2226" w:type="pct"/>
            <w:tcBorders>
              <w:left w:val="nil"/>
              <w:right w:val="nil"/>
            </w:tcBorders>
          </w:tcPr>
          <w:p w14:paraId="0BD18DA5" w14:textId="77777777" w:rsidR="00C01E92" w:rsidRPr="000107A9" w:rsidRDefault="00C01E92" w:rsidP="00A0049E">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36" w:type="pct"/>
            <w:tcBorders>
              <w:left w:val="nil"/>
              <w:right w:val="nil"/>
            </w:tcBorders>
          </w:tcPr>
          <w:p w14:paraId="01339DF4"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37" w:type="pct"/>
            <w:tcBorders>
              <w:left w:val="nil"/>
              <w:right w:val="nil"/>
            </w:tcBorders>
          </w:tcPr>
          <w:p w14:paraId="343F5728"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0107A9">
              <w:rPr>
                <w:rFonts w:cstheme="minorHAnsi"/>
                <w:b/>
                <w:szCs w:val="22"/>
              </w:rPr>
              <w:t>0</w:t>
            </w:r>
          </w:p>
        </w:tc>
        <w:tc>
          <w:tcPr>
            <w:tcW w:w="637" w:type="pct"/>
            <w:tcBorders>
              <w:left w:val="nil"/>
            </w:tcBorders>
          </w:tcPr>
          <w:p w14:paraId="7CFF783D"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0107A9">
              <w:rPr>
                <w:rFonts w:cstheme="minorHAnsi"/>
                <w:b/>
                <w:szCs w:val="22"/>
              </w:rPr>
              <w:t>0</w:t>
            </w:r>
          </w:p>
        </w:tc>
      </w:tr>
    </w:tbl>
    <w:p w14:paraId="030E649F" w14:textId="29BF6D15" w:rsidR="00C01E92" w:rsidRPr="000107A9" w:rsidRDefault="00C01E92" w:rsidP="00EC0724">
      <w:pPr>
        <w:pStyle w:val="EYHeading4"/>
        <w:numPr>
          <w:ilvl w:val="3"/>
          <w:numId w:val="82"/>
        </w:numPr>
        <w:spacing w:before="240"/>
        <w:rPr>
          <w:rFonts w:asciiTheme="minorHAnsi" w:hAnsiTheme="minorHAnsi" w:cstheme="minorHAnsi"/>
          <w:szCs w:val="22"/>
        </w:rPr>
      </w:pPr>
      <w:r w:rsidRPr="000107A9">
        <w:rPr>
          <w:rFonts w:asciiTheme="minorHAnsi" w:hAnsiTheme="minorHAnsi" w:cstheme="minorHAnsi"/>
          <w:szCs w:val="22"/>
        </w:rPr>
        <w:t>Equipment and facilities</w:t>
      </w:r>
    </w:p>
    <w:p w14:paraId="5A36DFBB" w14:textId="7D923574"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analysis described in relation to the</w:t>
      </w:r>
      <w:r w:rsidR="009619D6">
        <w:rPr>
          <w:rFonts w:asciiTheme="minorHAnsi" w:hAnsiTheme="minorHAnsi" w:cstheme="minorHAnsi"/>
          <w:sz w:val="22"/>
          <w:szCs w:val="22"/>
        </w:rPr>
        <w:t xml:space="preserve"> safety,</w:t>
      </w:r>
      <w:r w:rsidRPr="000107A9">
        <w:rPr>
          <w:rFonts w:asciiTheme="minorHAnsi" w:hAnsiTheme="minorHAnsi" w:cstheme="minorHAnsi"/>
          <w:sz w:val="22"/>
          <w:szCs w:val="22"/>
        </w:rPr>
        <w:t xml:space="preserve"> health and </w:t>
      </w:r>
      <w:r w:rsidR="009619D6">
        <w:rPr>
          <w:rFonts w:asciiTheme="minorHAnsi" w:hAnsiTheme="minorHAnsi" w:cstheme="minorHAnsi"/>
          <w:sz w:val="22"/>
          <w:szCs w:val="22"/>
        </w:rPr>
        <w:t>wellbeing of children</w:t>
      </w:r>
      <w:r w:rsidRPr="000107A9">
        <w:rPr>
          <w:rFonts w:asciiTheme="minorHAnsi" w:hAnsiTheme="minorHAnsi" w:cstheme="minorHAnsi"/>
          <w:sz w:val="22"/>
          <w:szCs w:val="22"/>
        </w:rPr>
        <w:t xml:space="preserve"> options also applies to the equipment and facilities options.</w:t>
      </w:r>
    </w:p>
    <w:p w14:paraId="0631FD14" w14:textId="365030B8"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While both options create a more detailed and therefore possibly more onerous regulatory burden, this increased detail also has the potential to make monitoring and enforcement of services’ general obligation under the Act more straightforward. This is because ascertaining whether services are providing facilities such as appropriate sleeping furniture and staff amenities, and sufficient space for children to play and learn in, is one way of determining whether services and their staff are able to adequately look after the children in their care (as required under the Act).</w:t>
      </w:r>
    </w:p>
    <w:p w14:paraId="46C6A136"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No significant variation in cost to the Department is expected between the two regulatory options, as they impose similar requirements.</w:t>
      </w:r>
    </w:p>
    <w:p w14:paraId="4D237041" w14:textId="7037373D"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_Ref24126821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 xml:space="preserve">Table </w:t>
      </w:r>
      <w:r w:rsidR="00493211" w:rsidRPr="00493211">
        <w:rPr>
          <w:rFonts w:asciiTheme="minorHAnsi" w:hAnsiTheme="minorHAnsi" w:cstheme="minorHAnsi"/>
          <w:noProof/>
          <w:sz w:val="22"/>
          <w:szCs w:val="22"/>
        </w:rPr>
        <w:t>42</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provides the scores given to Options E.1 Status Quo and E.2 Alignment against the cost to regulator criterion. The scores reflect the way that the possible increase and possible decrease </w:t>
      </w:r>
      <w:r w:rsidRPr="000107A9">
        <w:rPr>
          <w:rFonts w:asciiTheme="minorHAnsi" w:hAnsiTheme="minorHAnsi" w:cstheme="minorHAnsi"/>
          <w:sz w:val="22"/>
          <w:szCs w:val="22"/>
        </w:rPr>
        <w:lastRenderedPageBreak/>
        <w:t xml:space="preserve">in regulatory costs expected under both options counteract each other to result in minimal impacts to the Department costs overall. </w:t>
      </w:r>
    </w:p>
    <w:p w14:paraId="63964D12" w14:textId="3E0E7D55" w:rsidR="00C01E92" w:rsidRPr="00D55F3A" w:rsidRDefault="00C01E92" w:rsidP="00D55F3A">
      <w:pPr>
        <w:pStyle w:val="Caption"/>
      </w:pPr>
      <w:bookmarkStart w:id="231" w:name="_Ref24126821"/>
      <w:bookmarkStart w:id="232" w:name="_Toc32592825"/>
      <w:r w:rsidRPr="00D55F3A">
        <w:t xml:space="preserve">Table </w:t>
      </w:r>
      <w:r w:rsidRPr="00D55F3A">
        <w:fldChar w:fldCharType="begin"/>
      </w:r>
      <w:r w:rsidRPr="00D55F3A">
        <w:instrText xml:space="preserve"> SEQ Table \* ARABIC </w:instrText>
      </w:r>
      <w:r w:rsidRPr="00D55F3A">
        <w:fldChar w:fldCharType="separate"/>
      </w:r>
      <w:r w:rsidR="00493211">
        <w:rPr>
          <w:noProof/>
        </w:rPr>
        <w:t>42</w:t>
      </w:r>
      <w:r w:rsidRPr="00D55F3A">
        <w:fldChar w:fldCharType="end"/>
      </w:r>
      <w:bookmarkEnd w:id="231"/>
      <w:r w:rsidRPr="00D55F3A">
        <w:t xml:space="preserve"> Equipment and facilities - costs to regulator</w:t>
      </w:r>
      <w:bookmarkEnd w:id="232"/>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664"/>
        <w:gridCol w:w="4284"/>
        <w:gridCol w:w="1224"/>
        <w:gridCol w:w="1226"/>
        <w:gridCol w:w="1224"/>
      </w:tblGrid>
      <w:tr w:rsidR="00C01E92" w:rsidRPr="00A0049E" w14:paraId="1DEC4DE7" w14:textId="77777777" w:rsidTr="00961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pct"/>
            <w:tcBorders>
              <w:right w:val="none" w:sz="0" w:space="0" w:color="auto"/>
            </w:tcBorders>
          </w:tcPr>
          <w:p w14:paraId="1817951E" w14:textId="77777777" w:rsidR="00C01E92" w:rsidRPr="00A0049E" w:rsidRDefault="00C01E92" w:rsidP="00A0049E">
            <w:pPr>
              <w:spacing w:after="60"/>
              <w:rPr>
                <w:rStyle w:val="Strong"/>
                <w:rFonts w:cstheme="minorHAnsi"/>
                <w:b/>
                <w:bCs w:val="0"/>
                <w:szCs w:val="22"/>
              </w:rPr>
            </w:pPr>
            <w:r w:rsidRPr="00A0049E">
              <w:rPr>
                <w:rStyle w:val="Strong"/>
                <w:rFonts w:cstheme="minorHAnsi"/>
                <w:b/>
                <w:szCs w:val="22"/>
              </w:rPr>
              <w:t>Criterion</w:t>
            </w:r>
          </w:p>
        </w:tc>
        <w:tc>
          <w:tcPr>
            <w:tcW w:w="2226" w:type="pct"/>
            <w:tcBorders>
              <w:left w:val="none" w:sz="0" w:space="0" w:color="auto"/>
              <w:right w:val="none" w:sz="0" w:space="0" w:color="auto"/>
            </w:tcBorders>
          </w:tcPr>
          <w:p w14:paraId="5BC050C0" w14:textId="77777777" w:rsidR="00C01E92" w:rsidRPr="00A0049E" w:rsidRDefault="00C01E92" w:rsidP="00A0049E">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bCs w:val="0"/>
                <w:szCs w:val="22"/>
              </w:rPr>
            </w:pPr>
            <w:r w:rsidRPr="00A0049E">
              <w:rPr>
                <w:rStyle w:val="Strong"/>
                <w:rFonts w:cstheme="minorHAnsi"/>
                <w:b/>
                <w:szCs w:val="22"/>
              </w:rPr>
              <w:t>Description</w:t>
            </w:r>
          </w:p>
        </w:tc>
        <w:tc>
          <w:tcPr>
            <w:tcW w:w="636" w:type="pct"/>
            <w:tcBorders>
              <w:left w:val="none" w:sz="0" w:space="0" w:color="auto"/>
              <w:right w:val="none" w:sz="0" w:space="0" w:color="auto"/>
            </w:tcBorders>
          </w:tcPr>
          <w:p w14:paraId="7BE6C012" w14:textId="77777777" w:rsidR="00C01E92" w:rsidRPr="00A0049E" w:rsidRDefault="00C01E92" w:rsidP="00A0049E">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bCs w:val="0"/>
                <w:szCs w:val="22"/>
              </w:rPr>
            </w:pPr>
            <w:r w:rsidRPr="00A0049E">
              <w:rPr>
                <w:rStyle w:val="Strong"/>
                <w:rFonts w:cstheme="minorHAnsi"/>
                <w:b/>
                <w:szCs w:val="22"/>
              </w:rPr>
              <w:t>Weighting</w:t>
            </w:r>
          </w:p>
        </w:tc>
        <w:tc>
          <w:tcPr>
            <w:tcW w:w="637" w:type="pct"/>
            <w:tcBorders>
              <w:left w:val="none" w:sz="0" w:space="0" w:color="auto"/>
              <w:right w:val="none" w:sz="0" w:space="0" w:color="auto"/>
            </w:tcBorders>
          </w:tcPr>
          <w:p w14:paraId="5E636913" w14:textId="73A09167" w:rsidR="00C01E92" w:rsidRPr="00A0049E" w:rsidRDefault="00C01E92" w:rsidP="009619D6">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bCs w:val="0"/>
                <w:szCs w:val="22"/>
              </w:rPr>
            </w:pPr>
            <w:r w:rsidRPr="00A0049E">
              <w:rPr>
                <w:rStyle w:val="Strong"/>
                <w:rFonts w:cstheme="minorHAnsi"/>
                <w:b/>
                <w:szCs w:val="22"/>
              </w:rPr>
              <w:t>Option E.1</w:t>
            </w:r>
          </w:p>
        </w:tc>
        <w:tc>
          <w:tcPr>
            <w:tcW w:w="637" w:type="pct"/>
            <w:tcBorders>
              <w:left w:val="none" w:sz="0" w:space="0" w:color="auto"/>
            </w:tcBorders>
          </w:tcPr>
          <w:p w14:paraId="26C2E588" w14:textId="56260C5A" w:rsidR="00C01E92" w:rsidRPr="00A0049E" w:rsidRDefault="00C01E92" w:rsidP="009619D6">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bCs w:val="0"/>
                <w:szCs w:val="22"/>
              </w:rPr>
            </w:pPr>
            <w:r w:rsidRPr="00A0049E">
              <w:rPr>
                <w:rStyle w:val="Strong"/>
                <w:rFonts w:cstheme="minorHAnsi"/>
                <w:b/>
                <w:szCs w:val="22"/>
              </w:rPr>
              <w:t>Option E.2</w:t>
            </w:r>
          </w:p>
        </w:tc>
      </w:tr>
      <w:tr w:rsidR="00C01E92" w:rsidRPr="000107A9" w14:paraId="68C3CBD7" w14:textId="77777777" w:rsidTr="009619D6">
        <w:trPr>
          <w:trHeight w:val="358"/>
        </w:trPr>
        <w:tc>
          <w:tcPr>
            <w:cnfStyle w:val="001000000000" w:firstRow="0" w:lastRow="0" w:firstColumn="1" w:lastColumn="0" w:oddVBand="0" w:evenVBand="0" w:oddHBand="0" w:evenHBand="0" w:firstRowFirstColumn="0" w:firstRowLastColumn="0" w:lastRowFirstColumn="0" w:lastRowLastColumn="0"/>
            <w:tcW w:w="865" w:type="pct"/>
            <w:tcBorders>
              <w:bottom w:val="single" w:sz="4" w:space="0" w:color="004EA8" w:themeColor="accent1"/>
            </w:tcBorders>
          </w:tcPr>
          <w:p w14:paraId="0D7552F0" w14:textId="77777777" w:rsidR="00C01E92" w:rsidRPr="00816A6E" w:rsidRDefault="00C01E92" w:rsidP="00A0049E">
            <w:pPr>
              <w:spacing w:after="60"/>
              <w:rPr>
                <w:rFonts w:cstheme="minorHAnsi"/>
                <w:color w:val="004EA8"/>
                <w:szCs w:val="22"/>
              </w:rPr>
            </w:pPr>
            <w:r w:rsidRPr="00816A6E">
              <w:rPr>
                <w:rFonts w:cstheme="minorHAnsi"/>
                <w:color w:val="004EA8"/>
                <w:szCs w:val="22"/>
              </w:rPr>
              <w:t>Cost to regulator</w:t>
            </w:r>
          </w:p>
        </w:tc>
        <w:tc>
          <w:tcPr>
            <w:tcW w:w="2226" w:type="pct"/>
            <w:tcBorders>
              <w:bottom w:val="single" w:sz="4" w:space="0" w:color="004EA8" w:themeColor="accent1"/>
            </w:tcBorders>
          </w:tcPr>
          <w:p w14:paraId="68FB879E" w14:textId="77777777" w:rsidR="00C01E92" w:rsidRPr="000107A9" w:rsidRDefault="00C01E92" w:rsidP="00A0049E">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Costs to government imposed by Regulations relating to equipment and facilities.</w:t>
            </w:r>
          </w:p>
        </w:tc>
        <w:tc>
          <w:tcPr>
            <w:tcW w:w="636" w:type="pct"/>
            <w:tcBorders>
              <w:bottom w:val="single" w:sz="4" w:space="0" w:color="004EA8" w:themeColor="accent1"/>
            </w:tcBorders>
          </w:tcPr>
          <w:p w14:paraId="148EAEB7"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15%</w:t>
            </w:r>
          </w:p>
        </w:tc>
        <w:tc>
          <w:tcPr>
            <w:tcW w:w="637" w:type="pct"/>
            <w:tcBorders>
              <w:bottom w:val="single" w:sz="4" w:space="0" w:color="004EA8" w:themeColor="accent1"/>
            </w:tcBorders>
          </w:tcPr>
          <w:p w14:paraId="40D14EB0"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0</w:t>
            </w:r>
          </w:p>
        </w:tc>
        <w:tc>
          <w:tcPr>
            <w:tcW w:w="637" w:type="pct"/>
            <w:tcBorders>
              <w:bottom w:val="single" w:sz="4" w:space="0" w:color="004EA8" w:themeColor="accent1"/>
            </w:tcBorders>
          </w:tcPr>
          <w:p w14:paraId="38C49639"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0</w:t>
            </w:r>
          </w:p>
        </w:tc>
      </w:tr>
      <w:tr w:rsidR="00C01E92" w:rsidRPr="000107A9" w14:paraId="1278E303" w14:textId="77777777" w:rsidTr="009619D6">
        <w:trPr>
          <w:trHeight w:val="358"/>
        </w:trPr>
        <w:tc>
          <w:tcPr>
            <w:cnfStyle w:val="001000000000" w:firstRow="0" w:lastRow="0" w:firstColumn="1" w:lastColumn="0" w:oddVBand="0" w:evenVBand="0" w:oddHBand="0" w:evenHBand="0" w:firstRowFirstColumn="0" w:firstRowLastColumn="0" w:lastRowFirstColumn="0" w:lastRowLastColumn="0"/>
            <w:tcW w:w="865" w:type="pct"/>
            <w:tcBorders>
              <w:right w:val="nil"/>
            </w:tcBorders>
          </w:tcPr>
          <w:p w14:paraId="3A6FEDB8" w14:textId="77777777" w:rsidR="00C01E92" w:rsidRPr="00816A6E" w:rsidRDefault="00C01E92" w:rsidP="00A0049E">
            <w:pPr>
              <w:spacing w:after="60"/>
              <w:rPr>
                <w:rFonts w:cstheme="minorHAnsi"/>
                <w:color w:val="004EA8"/>
                <w:szCs w:val="22"/>
              </w:rPr>
            </w:pPr>
            <w:r w:rsidRPr="00816A6E">
              <w:rPr>
                <w:rFonts w:cstheme="minorHAnsi"/>
                <w:color w:val="004EA8"/>
                <w:szCs w:val="22"/>
              </w:rPr>
              <w:t>Total</w:t>
            </w:r>
          </w:p>
        </w:tc>
        <w:tc>
          <w:tcPr>
            <w:tcW w:w="2226" w:type="pct"/>
            <w:tcBorders>
              <w:left w:val="nil"/>
              <w:right w:val="nil"/>
            </w:tcBorders>
          </w:tcPr>
          <w:p w14:paraId="72FF73EC" w14:textId="77777777" w:rsidR="00C01E92" w:rsidRPr="000107A9" w:rsidRDefault="00C01E92" w:rsidP="00A0049E">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p>
        </w:tc>
        <w:tc>
          <w:tcPr>
            <w:tcW w:w="636" w:type="pct"/>
            <w:tcBorders>
              <w:left w:val="nil"/>
              <w:right w:val="nil"/>
            </w:tcBorders>
          </w:tcPr>
          <w:p w14:paraId="4D0F1AE5"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p>
        </w:tc>
        <w:tc>
          <w:tcPr>
            <w:tcW w:w="637" w:type="pct"/>
            <w:tcBorders>
              <w:left w:val="nil"/>
              <w:right w:val="nil"/>
            </w:tcBorders>
          </w:tcPr>
          <w:p w14:paraId="5787AE43"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0107A9">
              <w:rPr>
                <w:rFonts w:cstheme="minorHAnsi"/>
                <w:b/>
                <w:szCs w:val="22"/>
              </w:rPr>
              <w:t>0</w:t>
            </w:r>
          </w:p>
        </w:tc>
        <w:tc>
          <w:tcPr>
            <w:tcW w:w="637" w:type="pct"/>
            <w:tcBorders>
              <w:left w:val="nil"/>
            </w:tcBorders>
          </w:tcPr>
          <w:p w14:paraId="0B352FD6"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0107A9">
              <w:rPr>
                <w:rFonts w:cstheme="minorHAnsi"/>
                <w:b/>
                <w:szCs w:val="22"/>
              </w:rPr>
              <w:t>0</w:t>
            </w:r>
          </w:p>
        </w:tc>
      </w:tr>
    </w:tbl>
    <w:p w14:paraId="42A99B65" w14:textId="333795D6" w:rsidR="00C01E92" w:rsidRPr="000107A9" w:rsidRDefault="005A6B33" w:rsidP="00EC0724">
      <w:pPr>
        <w:pStyle w:val="EYHeading4"/>
        <w:numPr>
          <w:ilvl w:val="3"/>
          <w:numId w:val="82"/>
        </w:numPr>
        <w:spacing w:before="240"/>
        <w:rPr>
          <w:rFonts w:asciiTheme="minorHAnsi" w:hAnsiTheme="minorHAnsi" w:cstheme="minorHAnsi"/>
          <w:szCs w:val="22"/>
        </w:rPr>
      </w:pPr>
      <w:r>
        <w:rPr>
          <w:rFonts w:asciiTheme="minorHAnsi" w:hAnsiTheme="minorHAnsi" w:cstheme="minorHAnsi"/>
          <w:szCs w:val="22"/>
        </w:rPr>
        <w:t>Complaints and serious incidents</w:t>
      </w:r>
    </w:p>
    <w:p w14:paraId="7FBB3918"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Option F.1. Status Quo and Option F.2. Alignment may both lead to mild cost savings for the Department compared to the base case. </w:t>
      </w:r>
    </w:p>
    <w:p w14:paraId="4C8A51E4"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By requiring services to report complaints or other issues earlier, the Department is better placed to assess and respond as necessary, before situations could escalate and ultimately require more intensive intervention.</w:t>
      </w:r>
    </w:p>
    <w:p w14:paraId="7174818D"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No significant variation in cost to the Department is expected between the two regulatory options.</w:t>
      </w:r>
    </w:p>
    <w:p w14:paraId="1D9AE361" w14:textId="4007E6BE"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_Ref24126923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Table 43</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provides the scores given to Option F.1. Status Quo and Option F.2. Alignment against the cost to regulator criterion. </w:t>
      </w:r>
    </w:p>
    <w:p w14:paraId="5A11BC1B" w14:textId="1285964D" w:rsidR="00C01E92" w:rsidRPr="00D55F3A" w:rsidRDefault="00C01E92" w:rsidP="00D55F3A">
      <w:pPr>
        <w:pStyle w:val="Caption"/>
      </w:pPr>
      <w:bookmarkStart w:id="233" w:name="_Ref24126923"/>
      <w:bookmarkStart w:id="234" w:name="_Toc32592826"/>
      <w:r w:rsidRPr="00D55F3A">
        <w:t xml:space="preserve">Table </w:t>
      </w:r>
      <w:r w:rsidRPr="00D55F3A">
        <w:fldChar w:fldCharType="begin"/>
      </w:r>
      <w:r w:rsidRPr="00D55F3A">
        <w:instrText xml:space="preserve"> SEQ Table \* ARABIC </w:instrText>
      </w:r>
      <w:r w:rsidRPr="00D55F3A">
        <w:fldChar w:fldCharType="separate"/>
      </w:r>
      <w:r w:rsidR="00493211">
        <w:rPr>
          <w:noProof/>
        </w:rPr>
        <w:t>43</w:t>
      </w:r>
      <w:r w:rsidRPr="00D55F3A">
        <w:fldChar w:fldCharType="end"/>
      </w:r>
      <w:bookmarkEnd w:id="233"/>
      <w:r w:rsidRPr="00D55F3A">
        <w:t xml:space="preserve"> </w:t>
      </w:r>
      <w:r w:rsidR="005A6B33">
        <w:t>Complaints and serious incidents</w:t>
      </w:r>
      <w:r w:rsidRPr="00D55F3A">
        <w:t xml:space="preserve"> - costs to regulator</w:t>
      </w:r>
      <w:bookmarkEnd w:id="234"/>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662"/>
        <w:gridCol w:w="4288"/>
        <w:gridCol w:w="1224"/>
        <w:gridCol w:w="1224"/>
        <w:gridCol w:w="1224"/>
      </w:tblGrid>
      <w:tr w:rsidR="00C01E92" w:rsidRPr="00A0049E" w14:paraId="6805A69E" w14:textId="77777777" w:rsidTr="00961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pct"/>
            <w:tcBorders>
              <w:right w:val="none" w:sz="0" w:space="0" w:color="auto"/>
            </w:tcBorders>
          </w:tcPr>
          <w:p w14:paraId="756A36AA" w14:textId="77777777" w:rsidR="00C01E92" w:rsidRPr="00A0049E" w:rsidRDefault="00C01E92" w:rsidP="00A0049E">
            <w:pPr>
              <w:spacing w:after="60"/>
              <w:rPr>
                <w:rStyle w:val="Strong"/>
                <w:rFonts w:cstheme="minorHAnsi"/>
                <w:b/>
                <w:bCs w:val="0"/>
                <w:szCs w:val="22"/>
              </w:rPr>
            </w:pPr>
            <w:r w:rsidRPr="00A0049E">
              <w:rPr>
                <w:rStyle w:val="Strong"/>
                <w:rFonts w:cstheme="minorHAnsi"/>
                <w:b/>
                <w:szCs w:val="22"/>
              </w:rPr>
              <w:t>Criterion</w:t>
            </w:r>
          </w:p>
        </w:tc>
        <w:tc>
          <w:tcPr>
            <w:tcW w:w="2228" w:type="pct"/>
            <w:tcBorders>
              <w:left w:val="none" w:sz="0" w:space="0" w:color="auto"/>
              <w:right w:val="none" w:sz="0" w:space="0" w:color="auto"/>
            </w:tcBorders>
          </w:tcPr>
          <w:p w14:paraId="06C01651" w14:textId="77777777" w:rsidR="00C01E92" w:rsidRPr="00A0049E" w:rsidRDefault="00C01E92" w:rsidP="00A0049E">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bCs w:val="0"/>
                <w:szCs w:val="22"/>
              </w:rPr>
            </w:pPr>
            <w:r w:rsidRPr="00A0049E">
              <w:rPr>
                <w:rStyle w:val="Strong"/>
                <w:rFonts w:cstheme="minorHAnsi"/>
                <w:b/>
                <w:szCs w:val="22"/>
              </w:rPr>
              <w:t>Description</w:t>
            </w:r>
          </w:p>
        </w:tc>
        <w:tc>
          <w:tcPr>
            <w:tcW w:w="636" w:type="pct"/>
            <w:tcBorders>
              <w:left w:val="none" w:sz="0" w:space="0" w:color="auto"/>
              <w:right w:val="none" w:sz="0" w:space="0" w:color="auto"/>
            </w:tcBorders>
          </w:tcPr>
          <w:p w14:paraId="1224CCF6" w14:textId="77777777" w:rsidR="00C01E92" w:rsidRPr="00A0049E" w:rsidRDefault="00C01E92" w:rsidP="00A0049E">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bCs w:val="0"/>
                <w:szCs w:val="22"/>
              </w:rPr>
            </w:pPr>
            <w:r w:rsidRPr="00A0049E">
              <w:rPr>
                <w:rStyle w:val="Strong"/>
                <w:rFonts w:cstheme="minorHAnsi"/>
                <w:b/>
                <w:szCs w:val="22"/>
              </w:rPr>
              <w:t>Weighting</w:t>
            </w:r>
          </w:p>
        </w:tc>
        <w:tc>
          <w:tcPr>
            <w:tcW w:w="636" w:type="pct"/>
            <w:tcBorders>
              <w:left w:val="none" w:sz="0" w:space="0" w:color="auto"/>
              <w:right w:val="none" w:sz="0" w:space="0" w:color="auto"/>
            </w:tcBorders>
          </w:tcPr>
          <w:p w14:paraId="28D7C14D" w14:textId="050C4483" w:rsidR="00C01E92" w:rsidRPr="00A0049E" w:rsidRDefault="009619D6" w:rsidP="00A0049E">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bCs w:val="0"/>
                <w:szCs w:val="22"/>
              </w:rPr>
            </w:pPr>
            <w:r>
              <w:rPr>
                <w:rStyle w:val="Strong"/>
                <w:rFonts w:cstheme="minorHAnsi"/>
                <w:b/>
                <w:szCs w:val="22"/>
              </w:rPr>
              <w:t>Option F.1</w:t>
            </w:r>
          </w:p>
        </w:tc>
        <w:tc>
          <w:tcPr>
            <w:tcW w:w="636" w:type="pct"/>
            <w:tcBorders>
              <w:left w:val="none" w:sz="0" w:space="0" w:color="auto"/>
            </w:tcBorders>
          </w:tcPr>
          <w:p w14:paraId="781F68D5" w14:textId="7407EE9C" w:rsidR="00C01E92" w:rsidRPr="00A0049E" w:rsidRDefault="009619D6" w:rsidP="00A0049E">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bCs w:val="0"/>
                <w:szCs w:val="22"/>
              </w:rPr>
            </w:pPr>
            <w:r>
              <w:rPr>
                <w:rStyle w:val="Strong"/>
                <w:rFonts w:cstheme="minorHAnsi"/>
                <w:b/>
                <w:szCs w:val="22"/>
              </w:rPr>
              <w:t>Option F.2</w:t>
            </w:r>
          </w:p>
        </w:tc>
      </w:tr>
      <w:tr w:rsidR="00C01E92" w:rsidRPr="000107A9" w14:paraId="627A4CE3" w14:textId="77777777" w:rsidTr="009619D6">
        <w:trPr>
          <w:trHeight w:val="358"/>
        </w:trPr>
        <w:tc>
          <w:tcPr>
            <w:cnfStyle w:val="001000000000" w:firstRow="0" w:lastRow="0" w:firstColumn="1" w:lastColumn="0" w:oddVBand="0" w:evenVBand="0" w:oddHBand="0" w:evenHBand="0" w:firstRowFirstColumn="0" w:firstRowLastColumn="0" w:lastRowFirstColumn="0" w:lastRowLastColumn="0"/>
            <w:tcW w:w="864" w:type="pct"/>
            <w:tcBorders>
              <w:bottom w:val="single" w:sz="4" w:space="0" w:color="004EA8" w:themeColor="accent1"/>
            </w:tcBorders>
          </w:tcPr>
          <w:p w14:paraId="3BD5E353" w14:textId="77777777" w:rsidR="00C01E92" w:rsidRPr="00816A6E" w:rsidRDefault="00C01E92" w:rsidP="00A0049E">
            <w:pPr>
              <w:spacing w:after="60"/>
              <w:rPr>
                <w:rFonts w:cstheme="minorHAnsi"/>
                <w:color w:val="004EA8"/>
                <w:szCs w:val="22"/>
              </w:rPr>
            </w:pPr>
            <w:r w:rsidRPr="00816A6E">
              <w:rPr>
                <w:rFonts w:cstheme="minorHAnsi"/>
                <w:color w:val="004EA8"/>
                <w:szCs w:val="22"/>
              </w:rPr>
              <w:t>Cost to regulator</w:t>
            </w:r>
          </w:p>
        </w:tc>
        <w:tc>
          <w:tcPr>
            <w:tcW w:w="2228" w:type="pct"/>
            <w:tcBorders>
              <w:bottom w:val="single" w:sz="4" w:space="0" w:color="004EA8" w:themeColor="accent1"/>
            </w:tcBorders>
          </w:tcPr>
          <w:p w14:paraId="177EBE86" w14:textId="3241642B" w:rsidR="00C01E92" w:rsidRPr="000107A9" w:rsidRDefault="00C01E92" w:rsidP="00A0049E">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 xml:space="preserve">Costs to government imposed by Regulations relating to </w:t>
            </w:r>
            <w:r w:rsidR="005A6B33">
              <w:rPr>
                <w:rFonts w:cstheme="minorHAnsi"/>
                <w:szCs w:val="22"/>
              </w:rPr>
              <w:t>Complaints and serious incidents</w:t>
            </w:r>
            <w:r w:rsidRPr="000107A9">
              <w:rPr>
                <w:rFonts w:cstheme="minorHAnsi"/>
                <w:szCs w:val="22"/>
              </w:rPr>
              <w:t>.</w:t>
            </w:r>
          </w:p>
        </w:tc>
        <w:tc>
          <w:tcPr>
            <w:tcW w:w="636" w:type="pct"/>
            <w:tcBorders>
              <w:bottom w:val="single" w:sz="4" w:space="0" w:color="004EA8" w:themeColor="accent1"/>
            </w:tcBorders>
          </w:tcPr>
          <w:p w14:paraId="745FC636"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15%</w:t>
            </w:r>
          </w:p>
        </w:tc>
        <w:tc>
          <w:tcPr>
            <w:tcW w:w="636" w:type="pct"/>
            <w:tcBorders>
              <w:bottom w:val="single" w:sz="4" w:space="0" w:color="004EA8" w:themeColor="accent1"/>
            </w:tcBorders>
          </w:tcPr>
          <w:p w14:paraId="1943F3EA"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2</w:t>
            </w:r>
          </w:p>
        </w:tc>
        <w:tc>
          <w:tcPr>
            <w:tcW w:w="636" w:type="pct"/>
            <w:tcBorders>
              <w:bottom w:val="single" w:sz="4" w:space="0" w:color="004EA8" w:themeColor="accent1"/>
            </w:tcBorders>
          </w:tcPr>
          <w:p w14:paraId="5EF119DE"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2</w:t>
            </w:r>
          </w:p>
        </w:tc>
      </w:tr>
      <w:tr w:rsidR="00C01E92" w:rsidRPr="000107A9" w14:paraId="6C0313D0" w14:textId="77777777" w:rsidTr="009619D6">
        <w:trPr>
          <w:trHeight w:val="358"/>
        </w:trPr>
        <w:tc>
          <w:tcPr>
            <w:cnfStyle w:val="001000000000" w:firstRow="0" w:lastRow="0" w:firstColumn="1" w:lastColumn="0" w:oddVBand="0" w:evenVBand="0" w:oddHBand="0" w:evenHBand="0" w:firstRowFirstColumn="0" w:firstRowLastColumn="0" w:lastRowFirstColumn="0" w:lastRowLastColumn="0"/>
            <w:tcW w:w="864" w:type="pct"/>
            <w:tcBorders>
              <w:right w:val="nil"/>
            </w:tcBorders>
          </w:tcPr>
          <w:p w14:paraId="08E4883F" w14:textId="77777777" w:rsidR="00C01E92" w:rsidRPr="00816A6E" w:rsidRDefault="00C01E92" w:rsidP="00A0049E">
            <w:pPr>
              <w:spacing w:after="60"/>
              <w:rPr>
                <w:rFonts w:cstheme="minorHAnsi"/>
                <w:b/>
                <w:color w:val="004EA8"/>
                <w:szCs w:val="22"/>
              </w:rPr>
            </w:pPr>
            <w:r w:rsidRPr="00816A6E">
              <w:rPr>
                <w:rFonts w:cstheme="minorHAnsi"/>
                <w:b/>
                <w:color w:val="004EA8"/>
                <w:szCs w:val="22"/>
              </w:rPr>
              <w:t>Total</w:t>
            </w:r>
          </w:p>
        </w:tc>
        <w:tc>
          <w:tcPr>
            <w:tcW w:w="2228" w:type="pct"/>
            <w:tcBorders>
              <w:left w:val="nil"/>
              <w:right w:val="nil"/>
            </w:tcBorders>
          </w:tcPr>
          <w:p w14:paraId="424B7BF4" w14:textId="77777777" w:rsidR="00C01E92" w:rsidRPr="000107A9" w:rsidRDefault="00C01E92" w:rsidP="00A0049E">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36" w:type="pct"/>
            <w:tcBorders>
              <w:left w:val="nil"/>
              <w:right w:val="nil"/>
            </w:tcBorders>
          </w:tcPr>
          <w:p w14:paraId="64DF19C7"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36" w:type="pct"/>
            <w:tcBorders>
              <w:left w:val="nil"/>
              <w:right w:val="nil"/>
            </w:tcBorders>
          </w:tcPr>
          <w:p w14:paraId="5DECD4D6"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0107A9">
              <w:rPr>
                <w:rFonts w:cstheme="minorHAnsi"/>
                <w:b/>
                <w:szCs w:val="22"/>
              </w:rPr>
              <w:t>0.3</w:t>
            </w:r>
          </w:p>
        </w:tc>
        <w:tc>
          <w:tcPr>
            <w:tcW w:w="636" w:type="pct"/>
            <w:tcBorders>
              <w:left w:val="nil"/>
            </w:tcBorders>
          </w:tcPr>
          <w:p w14:paraId="61AE0502"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0107A9">
              <w:rPr>
                <w:rFonts w:cstheme="minorHAnsi"/>
                <w:b/>
                <w:szCs w:val="22"/>
              </w:rPr>
              <w:t>0.3</w:t>
            </w:r>
          </w:p>
        </w:tc>
      </w:tr>
    </w:tbl>
    <w:p w14:paraId="4D1BF697" w14:textId="77777777" w:rsidR="00C01E92" w:rsidRPr="000107A9" w:rsidRDefault="00C01E92" w:rsidP="00EC0724">
      <w:pPr>
        <w:pStyle w:val="EYHeading4"/>
        <w:numPr>
          <w:ilvl w:val="3"/>
          <w:numId w:val="82"/>
        </w:numPr>
        <w:spacing w:before="240"/>
        <w:rPr>
          <w:rFonts w:asciiTheme="minorHAnsi" w:hAnsiTheme="minorHAnsi" w:cstheme="minorHAnsi"/>
          <w:szCs w:val="22"/>
        </w:rPr>
      </w:pPr>
      <w:r w:rsidRPr="000107A9">
        <w:rPr>
          <w:rFonts w:asciiTheme="minorHAnsi" w:hAnsiTheme="minorHAnsi" w:cstheme="minorHAnsi"/>
          <w:szCs w:val="22"/>
        </w:rPr>
        <w:t>Registers and record-keeping</w:t>
      </w:r>
    </w:p>
    <w:p w14:paraId="44CFEB94" w14:textId="6388C9D4"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Act requires the Secretary to keep registers of approved providers and services. Under both options, the Regulations specify the details to be kept in the registers in relation to each provider and service. The cost to the Department in keeping the registers is negligible and would not vary significantly between the base case, Option G.1 Status Quo and Option G.2 Alignment.</w:t>
      </w:r>
    </w:p>
    <w:p w14:paraId="778D55BE"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Act also requires services to keep prescribed documents for inspection by the Department officers. This requirement can be expected to result in mild cost savings for the Department through facilitating more efficient inspection by the Department officers. </w:t>
      </w:r>
    </w:p>
    <w:p w14:paraId="041F5715"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No significant variation in cost to the Department is expected between the two regulatory options.</w:t>
      </w:r>
    </w:p>
    <w:p w14:paraId="2AB71CD0" w14:textId="77777777" w:rsidR="00493211" w:rsidRPr="00493211" w:rsidRDefault="00C01E92" w:rsidP="00493211">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_Ref24127007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br w:type="page"/>
      </w:r>
    </w:p>
    <w:p w14:paraId="415C7A40" w14:textId="1D0A5378" w:rsidR="00C01E92" w:rsidRPr="000107A9" w:rsidRDefault="00493211" w:rsidP="00C01E92">
      <w:pPr>
        <w:pStyle w:val="EYBodytextwithparaspace"/>
        <w:spacing w:before="120" w:after="120"/>
        <w:rPr>
          <w:rFonts w:asciiTheme="minorHAnsi" w:hAnsiTheme="minorHAnsi" w:cstheme="minorHAnsi"/>
          <w:sz w:val="22"/>
          <w:szCs w:val="22"/>
        </w:rPr>
      </w:pPr>
      <w:r w:rsidRPr="00493211">
        <w:rPr>
          <w:rFonts w:asciiTheme="minorHAnsi" w:hAnsiTheme="minorHAnsi" w:cstheme="minorHAnsi"/>
          <w:sz w:val="22"/>
          <w:szCs w:val="22"/>
        </w:rPr>
        <w:lastRenderedPageBreak/>
        <w:t>Table</w:t>
      </w:r>
      <w:r w:rsidRPr="000107A9">
        <w:t xml:space="preserve"> </w:t>
      </w:r>
      <w:r>
        <w:rPr>
          <w:noProof/>
        </w:rPr>
        <w:t>44</w:t>
      </w:r>
      <w:r w:rsidR="00C01E92" w:rsidRPr="000107A9">
        <w:rPr>
          <w:rFonts w:asciiTheme="minorHAnsi" w:hAnsiTheme="minorHAnsi" w:cstheme="minorHAnsi"/>
          <w:sz w:val="22"/>
          <w:szCs w:val="22"/>
        </w:rPr>
        <w:fldChar w:fldCharType="end"/>
      </w:r>
      <w:r w:rsidR="00C01E92" w:rsidRPr="000107A9">
        <w:rPr>
          <w:rFonts w:asciiTheme="minorHAnsi" w:hAnsiTheme="minorHAnsi" w:cstheme="minorHAnsi"/>
          <w:sz w:val="22"/>
          <w:szCs w:val="22"/>
        </w:rPr>
        <w:t xml:space="preserve"> provides the scores given to Option F.1 Status Quo and Option F.2 Alignment against the cost to regulator criterion.</w:t>
      </w:r>
    </w:p>
    <w:p w14:paraId="036858EE" w14:textId="77777777" w:rsidR="009F2454" w:rsidRDefault="009F2454">
      <w:pPr>
        <w:spacing w:after="0"/>
        <w:rPr>
          <w:rFonts w:ascii="Arial Narrow" w:eastAsia="Times New Roman" w:hAnsi="Arial Narrow" w:cs="Times New Roman"/>
          <w:bCs/>
          <w:color w:val="000000" w:themeColor="text1"/>
          <w:szCs w:val="18"/>
          <w:lang w:val="en-AU"/>
        </w:rPr>
      </w:pPr>
      <w:bookmarkStart w:id="235" w:name="_Ref24127007"/>
      <w:r>
        <w:br w:type="page"/>
      </w:r>
    </w:p>
    <w:p w14:paraId="13CAB6E1" w14:textId="7C22D69B" w:rsidR="00C01E92" w:rsidRPr="000107A9" w:rsidRDefault="00C01E92" w:rsidP="00F7569F">
      <w:pPr>
        <w:pStyle w:val="Caption"/>
      </w:pPr>
      <w:bookmarkStart w:id="236" w:name="_Toc32592827"/>
      <w:r w:rsidRPr="000107A9">
        <w:lastRenderedPageBreak/>
        <w:t xml:space="preserve">Table </w:t>
      </w:r>
      <w:r w:rsidRPr="000107A9">
        <w:fldChar w:fldCharType="begin"/>
      </w:r>
      <w:r w:rsidRPr="000107A9">
        <w:instrText xml:space="preserve"> SEQ Table \* ARABIC </w:instrText>
      </w:r>
      <w:r w:rsidRPr="000107A9">
        <w:fldChar w:fldCharType="separate"/>
      </w:r>
      <w:r w:rsidR="00493211">
        <w:rPr>
          <w:noProof/>
        </w:rPr>
        <w:t>44</w:t>
      </w:r>
      <w:r w:rsidRPr="000107A9">
        <w:fldChar w:fldCharType="end"/>
      </w:r>
      <w:bookmarkEnd w:id="235"/>
      <w:r w:rsidR="009F2454">
        <w:t xml:space="preserve"> Registers and</w:t>
      </w:r>
      <w:r w:rsidRPr="000107A9">
        <w:t xml:space="preserve"> record-keeping - costs to regulator</w:t>
      </w:r>
      <w:bookmarkEnd w:id="236"/>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662"/>
        <w:gridCol w:w="4288"/>
        <w:gridCol w:w="1224"/>
        <w:gridCol w:w="1224"/>
        <w:gridCol w:w="1224"/>
      </w:tblGrid>
      <w:tr w:rsidR="00C01E92" w:rsidRPr="000107A9" w14:paraId="29DF6C51" w14:textId="77777777" w:rsidTr="00961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pct"/>
            <w:tcBorders>
              <w:right w:val="none" w:sz="0" w:space="0" w:color="auto"/>
            </w:tcBorders>
          </w:tcPr>
          <w:p w14:paraId="62D6901B" w14:textId="77777777" w:rsidR="00C01E92" w:rsidRPr="00816A6E" w:rsidRDefault="00C01E92" w:rsidP="00A0049E">
            <w:pPr>
              <w:spacing w:after="60"/>
              <w:rPr>
                <w:rStyle w:val="Strong"/>
                <w:rFonts w:cstheme="minorHAnsi"/>
                <w:b/>
                <w:szCs w:val="22"/>
              </w:rPr>
            </w:pPr>
            <w:r w:rsidRPr="00816A6E">
              <w:rPr>
                <w:rStyle w:val="Strong"/>
                <w:rFonts w:cstheme="minorHAnsi"/>
                <w:b/>
                <w:szCs w:val="22"/>
              </w:rPr>
              <w:t>Criterion</w:t>
            </w:r>
          </w:p>
        </w:tc>
        <w:tc>
          <w:tcPr>
            <w:tcW w:w="2228" w:type="pct"/>
            <w:tcBorders>
              <w:left w:val="none" w:sz="0" w:space="0" w:color="auto"/>
              <w:right w:val="none" w:sz="0" w:space="0" w:color="auto"/>
            </w:tcBorders>
          </w:tcPr>
          <w:p w14:paraId="5C6348C1" w14:textId="77777777" w:rsidR="00C01E92" w:rsidRPr="00816A6E" w:rsidRDefault="00C01E92" w:rsidP="00A0049E">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816A6E">
              <w:rPr>
                <w:rStyle w:val="Strong"/>
                <w:rFonts w:cstheme="minorHAnsi"/>
                <w:b/>
                <w:szCs w:val="22"/>
              </w:rPr>
              <w:t>Description</w:t>
            </w:r>
          </w:p>
        </w:tc>
        <w:tc>
          <w:tcPr>
            <w:tcW w:w="636" w:type="pct"/>
            <w:tcBorders>
              <w:left w:val="none" w:sz="0" w:space="0" w:color="auto"/>
              <w:right w:val="none" w:sz="0" w:space="0" w:color="auto"/>
            </w:tcBorders>
          </w:tcPr>
          <w:p w14:paraId="67EAF1FF" w14:textId="77777777" w:rsidR="00C01E92" w:rsidRPr="00816A6E" w:rsidRDefault="00C01E92" w:rsidP="00A0049E">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816A6E">
              <w:rPr>
                <w:rStyle w:val="Strong"/>
                <w:rFonts w:cstheme="minorHAnsi"/>
                <w:b/>
                <w:szCs w:val="22"/>
              </w:rPr>
              <w:t>Weighting</w:t>
            </w:r>
          </w:p>
        </w:tc>
        <w:tc>
          <w:tcPr>
            <w:tcW w:w="636" w:type="pct"/>
            <w:tcBorders>
              <w:left w:val="none" w:sz="0" w:space="0" w:color="auto"/>
              <w:right w:val="none" w:sz="0" w:space="0" w:color="auto"/>
            </w:tcBorders>
          </w:tcPr>
          <w:p w14:paraId="3B52B454" w14:textId="43F810DB" w:rsidR="00C01E92" w:rsidRPr="00816A6E" w:rsidRDefault="00C01E92" w:rsidP="009619D6">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816A6E">
              <w:rPr>
                <w:rStyle w:val="Strong"/>
                <w:rFonts w:cstheme="minorHAnsi"/>
                <w:b/>
                <w:szCs w:val="22"/>
              </w:rPr>
              <w:t>Option G.1</w:t>
            </w:r>
          </w:p>
        </w:tc>
        <w:tc>
          <w:tcPr>
            <w:tcW w:w="636" w:type="pct"/>
            <w:tcBorders>
              <w:left w:val="none" w:sz="0" w:space="0" w:color="auto"/>
            </w:tcBorders>
          </w:tcPr>
          <w:p w14:paraId="6EDCDB8C" w14:textId="5150559E" w:rsidR="00C01E92" w:rsidRPr="00816A6E" w:rsidRDefault="00C01E92" w:rsidP="009619D6">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816A6E">
              <w:rPr>
                <w:rStyle w:val="Strong"/>
                <w:rFonts w:cstheme="minorHAnsi"/>
                <w:b/>
                <w:szCs w:val="22"/>
              </w:rPr>
              <w:t>Option G.2</w:t>
            </w:r>
          </w:p>
        </w:tc>
      </w:tr>
      <w:tr w:rsidR="00C01E92" w:rsidRPr="000107A9" w14:paraId="155BACB6" w14:textId="77777777" w:rsidTr="009619D6">
        <w:trPr>
          <w:trHeight w:val="358"/>
        </w:trPr>
        <w:tc>
          <w:tcPr>
            <w:cnfStyle w:val="001000000000" w:firstRow="0" w:lastRow="0" w:firstColumn="1" w:lastColumn="0" w:oddVBand="0" w:evenVBand="0" w:oddHBand="0" w:evenHBand="0" w:firstRowFirstColumn="0" w:firstRowLastColumn="0" w:lastRowFirstColumn="0" w:lastRowLastColumn="0"/>
            <w:tcW w:w="864" w:type="pct"/>
            <w:tcBorders>
              <w:bottom w:val="single" w:sz="4" w:space="0" w:color="004EA8" w:themeColor="accent1"/>
            </w:tcBorders>
          </w:tcPr>
          <w:p w14:paraId="7B4B2CF9" w14:textId="77777777" w:rsidR="00C01E92" w:rsidRPr="000107A9" w:rsidRDefault="00C01E92" w:rsidP="00A0049E">
            <w:pPr>
              <w:spacing w:after="60"/>
              <w:rPr>
                <w:rFonts w:cstheme="minorHAnsi"/>
                <w:szCs w:val="22"/>
              </w:rPr>
            </w:pPr>
            <w:r w:rsidRPr="000107A9">
              <w:rPr>
                <w:rFonts w:cstheme="minorHAnsi"/>
                <w:szCs w:val="22"/>
              </w:rPr>
              <w:t>Cost to regulator</w:t>
            </w:r>
          </w:p>
        </w:tc>
        <w:tc>
          <w:tcPr>
            <w:tcW w:w="2228" w:type="pct"/>
            <w:tcBorders>
              <w:bottom w:val="single" w:sz="4" w:space="0" w:color="004EA8" w:themeColor="accent1"/>
            </w:tcBorders>
          </w:tcPr>
          <w:p w14:paraId="0E094C96" w14:textId="77777777" w:rsidR="00C01E92" w:rsidRPr="000107A9" w:rsidRDefault="00C01E92" w:rsidP="00A0049E">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Costs to government imposed by Regulations relating to registers and record-keeping.</w:t>
            </w:r>
          </w:p>
        </w:tc>
        <w:tc>
          <w:tcPr>
            <w:tcW w:w="636" w:type="pct"/>
            <w:tcBorders>
              <w:bottom w:val="single" w:sz="4" w:space="0" w:color="004EA8" w:themeColor="accent1"/>
            </w:tcBorders>
          </w:tcPr>
          <w:p w14:paraId="15CBE159"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15%</w:t>
            </w:r>
          </w:p>
        </w:tc>
        <w:tc>
          <w:tcPr>
            <w:tcW w:w="636" w:type="pct"/>
            <w:tcBorders>
              <w:bottom w:val="single" w:sz="4" w:space="0" w:color="004EA8" w:themeColor="accent1"/>
            </w:tcBorders>
          </w:tcPr>
          <w:p w14:paraId="4990D86A"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3</w:t>
            </w:r>
          </w:p>
        </w:tc>
        <w:tc>
          <w:tcPr>
            <w:tcW w:w="636" w:type="pct"/>
            <w:tcBorders>
              <w:bottom w:val="single" w:sz="4" w:space="0" w:color="004EA8" w:themeColor="accent1"/>
            </w:tcBorders>
          </w:tcPr>
          <w:p w14:paraId="54CB467B"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3</w:t>
            </w:r>
          </w:p>
        </w:tc>
      </w:tr>
      <w:tr w:rsidR="00C01E92" w:rsidRPr="000107A9" w14:paraId="6CB2C73E" w14:textId="77777777" w:rsidTr="009619D6">
        <w:trPr>
          <w:trHeight w:val="358"/>
        </w:trPr>
        <w:tc>
          <w:tcPr>
            <w:cnfStyle w:val="001000000000" w:firstRow="0" w:lastRow="0" w:firstColumn="1" w:lastColumn="0" w:oddVBand="0" w:evenVBand="0" w:oddHBand="0" w:evenHBand="0" w:firstRowFirstColumn="0" w:firstRowLastColumn="0" w:lastRowFirstColumn="0" w:lastRowLastColumn="0"/>
            <w:tcW w:w="864" w:type="pct"/>
            <w:tcBorders>
              <w:right w:val="nil"/>
            </w:tcBorders>
          </w:tcPr>
          <w:p w14:paraId="78FD754A" w14:textId="77777777" w:rsidR="00C01E92" w:rsidRPr="000107A9" w:rsidRDefault="00C01E92" w:rsidP="00A0049E">
            <w:pPr>
              <w:spacing w:after="60"/>
              <w:rPr>
                <w:rFonts w:cstheme="minorHAnsi"/>
                <w:b/>
                <w:szCs w:val="22"/>
              </w:rPr>
            </w:pPr>
            <w:r w:rsidRPr="000107A9">
              <w:rPr>
                <w:rFonts w:cstheme="minorHAnsi"/>
                <w:b/>
                <w:szCs w:val="22"/>
              </w:rPr>
              <w:t>Total</w:t>
            </w:r>
          </w:p>
        </w:tc>
        <w:tc>
          <w:tcPr>
            <w:tcW w:w="2228" w:type="pct"/>
            <w:tcBorders>
              <w:left w:val="nil"/>
              <w:right w:val="nil"/>
            </w:tcBorders>
          </w:tcPr>
          <w:p w14:paraId="2E899A69" w14:textId="77777777" w:rsidR="00C01E92" w:rsidRPr="000107A9" w:rsidRDefault="00C01E92" w:rsidP="00A0049E">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36" w:type="pct"/>
            <w:tcBorders>
              <w:left w:val="nil"/>
              <w:right w:val="nil"/>
            </w:tcBorders>
          </w:tcPr>
          <w:p w14:paraId="6FF571CD"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36" w:type="pct"/>
            <w:tcBorders>
              <w:left w:val="nil"/>
              <w:right w:val="nil"/>
            </w:tcBorders>
          </w:tcPr>
          <w:p w14:paraId="361BC680"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0107A9">
              <w:rPr>
                <w:rFonts w:cstheme="minorHAnsi"/>
                <w:b/>
                <w:szCs w:val="22"/>
              </w:rPr>
              <w:t>0.45</w:t>
            </w:r>
          </w:p>
        </w:tc>
        <w:tc>
          <w:tcPr>
            <w:tcW w:w="636" w:type="pct"/>
            <w:tcBorders>
              <w:left w:val="nil"/>
            </w:tcBorders>
          </w:tcPr>
          <w:p w14:paraId="629AEE3F"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0107A9">
              <w:rPr>
                <w:rFonts w:cstheme="minorHAnsi"/>
                <w:b/>
                <w:szCs w:val="22"/>
              </w:rPr>
              <w:t>0.45</w:t>
            </w:r>
          </w:p>
        </w:tc>
      </w:tr>
    </w:tbl>
    <w:p w14:paraId="219285FE" w14:textId="3ABE6B93" w:rsidR="00C01E92" w:rsidRDefault="00C01E92" w:rsidP="00EC0724">
      <w:pPr>
        <w:pStyle w:val="EYHeading4"/>
        <w:numPr>
          <w:ilvl w:val="3"/>
          <w:numId w:val="82"/>
        </w:numPr>
        <w:spacing w:before="240"/>
        <w:rPr>
          <w:rFonts w:asciiTheme="minorHAnsi" w:hAnsiTheme="minorHAnsi" w:cstheme="minorHAnsi"/>
          <w:szCs w:val="22"/>
        </w:rPr>
      </w:pPr>
      <w:r w:rsidRPr="000107A9">
        <w:rPr>
          <w:rFonts w:asciiTheme="minorHAnsi" w:hAnsiTheme="minorHAnsi" w:cstheme="minorHAnsi"/>
          <w:szCs w:val="22"/>
        </w:rPr>
        <w:t>Fees</w:t>
      </w:r>
    </w:p>
    <w:p w14:paraId="2B6FC048" w14:textId="77777777" w:rsidR="00EC0724" w:rsidRDefault="00EC0724" w:rsidP="00EC0724">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Act requires certain applications to </w:t>
      </w:r>
      <w:r>
        <w:rPr>
          <w:rFonts w:asciiTheme="minorHAnsi" w:hAnsiTheme="minorHAnsi" w:cstheme="minorHAnsi"/>
          <w:sz w:val="22"/>
          <w:szCs w:val="22"/>
        </w:rPr>
        <w:t xml:space="preserve">be </w:t>
      </w:r>
      <w:r w:rsidRPr="000107A9">
        <w:rPr>
          <w:rFonts w:asciiTheme="minorHAnsi" w:hAnsiTheme="minorHAnsi" w:cstheme="minorHAnsi"/>
          <w:sz w:val="22"/>
          <w:szCs w:val="22"/>
        </w:rPr>
        <w:t>accompan</w:t>
      </w:r>
      <w:r>
        <w:rPr>
          <w:rFonts w:asciiTheme="minorHAnsi" w:hAnsiTheme="minorHAnsi" w:cstheme="minorHAnsi"/>
          <w:sz w:val="22"/>
          <w:szCs w:val="22"/>
        </w:rPr>
        <w:t>ied b</w:t>
      </w:r>
      <w:r w:rsidRPr="000107A9">
        <w:rPr>
          <w:rFonts w:asciiTheme="minorHAnsi" w:hAnsiTheme="minorHAnsi" w:cstheme="minorHAnsi"/>
          <w:sz w:val="22"/>
          <w:szCs w:val="22"/>
        </w:rPr>
        <w:t xml:space="preserve">y the </w:t>
      </w:r>
      <w:r>
        <w:rPr>
          <w:rFonts w:asciiTheme="minorHAnsi" w:hAnsiTheme="minorHAnsi" w:cstheme="minorHAnsi"/>
          <w:sz w:val="22"/>
          <w:szCs w:val="22"/>
        </w:rPr>
        <w:t>prescribed fee, paid to the Regulator.</w:t>
      </w:r>
    </w:p>
    <w:p w14:paraId="79305322" w14:textId="77777777" w:rsidR="00EC0724" w:rsidRDefault="00EC0724" w:rsidP="00EC0724">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Both Option H.1. Status Quo and Option H.2. Alignment are considered to </w:t>
      </w:r>
      <w:r w:rsidRPr="0070517B">
        <w:rPr>
          <w:rFonts w:asciiTheme="minorHAnsi" w:hAnsiTheme="minorHAnsi" w:cstheme="minorHAnsi"/>
          <w:b/>
          <w:sz w:val="22"/>
          <w:szCs w:val="22"/>
        </w:rPr>
        <w:t>reduce costs</w:t>
      </w:r>
      <w:r w:rsidRPr="000107A9">
        <w:rPr>
          <w:rFonts w:asciiTheme="minorHAnsi" w:hAnsiTheme="minorHAnsi" w:cstheme="minorHAnsi"/>
          <w:sz w:val="22"/>
          <w:szCs w:val="22"/>
        </w:rPr>
        <w:t xml:space="preserve"> for the </w:t>
      </w:r>
      <w:r>
        <w:rPr>
          <w:rFonts w:asciiTheme="minorHAnsi" w:hAnsiTheme="minorHAnsi" w:cstheme="minorHAnsi"/>
          <w:sz w:val="22"/>
          <w:szCs w:val="22"/>
        </w:rPr>
        <w:t>regulator</w:t>
      </w:r>
      <w:r w:rsidRPr="000107A9">
        <w:rPr>
          <w:rFonts w:asciiTheme="minorHAnsi" w:hAnsiTheme="minorHAnsi" w:cstheme="minorHAnsi"/>
          <w:sz w:val="22"/>
          <w:szCs w:val="22"/>
        </w:rPr>
        <w:t xml:space="preserve"> </w:t>
      </w:r>
      <w:r>
        <w:rPr>
          <w:rFonts w:asciiTheme="minorHAnsi" w:hAnsiTheme="minorHAnsi" w:cstheme="minorHAnsi"/>
          <w:sz w:val="22"/>
          <w:szCs w:val="22"/>
        </w:rPr>
        <w:t>relative</w:t>
      </w:r>
      <w:r w:rsidRPr="000107A9">
        <w:rPr>
          <w:rFonts w:asciiTheme="minorHAnsi" w:hAnsiTheme="minorHAnsi" w:cstheme="minorHAnsi"/>
          <w:sz w:val="22"/>
          <w:szCs w:val="22"/>
        </w:rPr>
        <w:t xml:space="preserve"> to the </w:t>
      </w:r>
      <w:r>
        <w:rPr>
          <w:rFonts w:asciiTheme="minorHAnsi" w:hAnsiTheme="minorHAnsi" w:cstheme="minorHAnsi"/>
          <w:sz w:val="22"/>
          <w:szCs w:val="22"/>
        </w:rPr>
        <w:t>Base Case. The cost reduction is achieved by the Regulations stipulating the specific fee unit of each activity, making the requirement and value clear and transparent, as opposed to the regulator spending time and resources in providing verbal and/or written guidance to service providers in response to the limited direction of the Act alone.</w:t>
      </w:r>
    </w:p>
    <w:p w14:paraId="4DF23C68" w14:textId="29917F84" w:rsidR="00EC0724" w:rsidRDefault="00EC0724" w:rsidP="00EC0724">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t xml:space="preserve">As shown in the table below, the </w:t>
      </w:r>
      <w:r w:rsidRPr="008E72F8">
        <w:rPr>
          <w:rFonts w:asciiTheme="minorHAnsi" w:hAnsiTheme="minorHAnsi" w:cstheme="minorHAnsi"/>
          <w:b/>
          <w:sz w:val="22"/>
          <w:szCs w:val="22"/>
        </w:rPr>
        <w:t>H.2 Alignment</w:t>
      </w:r>
      <w:r>
        <w:rPr>
          <w:rFonts w:asciiTheme="minorHAnsi" w:hAnsiTheme="minorHAnsi" w:cstheme="minorHAnsi"/>
          <w:sz w:val="22"/>
          <w:szCs w:val="22"/>
        </w:rPr>
        <w:t xml:space="preserve"> option scores better than </w:t>
      </w:r>
      <w:r w:rsidRPr="008E72F8">
        <w:rPr>
          <w:rFonts w:asciiTheme="minorHAnsi" w:hAnsiTheme="minorHAnsi" w:cstheme="minorHAnsi"/>
          <w:b/>
          <w:sz w:val="22"/>
          <w:szCs w:val="22"/>
        </w:rPr>
        <w:t>H.1 Status Quo</w:t>
      </w:r>
      <w:r>
        <w:rPr>
          <w:rFonts w:asciiTheme="minorHAnsi" w:hAnsiTheme="minorHAnsi" w:cstheme="minorHAnsi"/>
          <w:sz w:val="22"/>
          <w:szCs w:val="22"/>
        </w:rPr>
        <w:t xml:space="preserve"> option due to the streamlined nature of the proposed fee structure, which includes a reduction in the number of applications that </w:t>
      </w:r>
      <w:r w:rsidR="004B5680">
        <w:rPr>
          <w:rFonts w:asciiTheme="minorHAnsi" w:hAnsiTheme="minorHAnsi" w:cstheme="minorHAnsi"/>
          <w:sz w:val="22"/>
          <w:szCs w:val="22"/>
        </w:rPr>
        <w:t>incur</w:t>
      </w:r>
      <w:r>
        <w:rPr>
          <w:rFonts w:asciiTheme="minorHAnsi" w:hAnsiTheme="minorHAnsi" w:cstheme="minorHAnsi"/>
          <w:sz w:val="22"/>
          <w:szCs w:val="22"/>
        </w:rPr>
        <w:t xml:space="preserve"> a fee, the static value of fees regardless of service type or size, and the introduction of an annual service fee across all services payable on invoice in place of the added time and resource required to rev</w:t>
      </w:r>
      <w:r w:rsidR="004B5680">
        <w:rPr>
          <w:rFonts w:asciiTheme="minorHAnsi" w:hAnsiTheme="minorHAnsi" w:cstheme="minorHAnsi"/>
          <w:sz w:val="22"/>
          <w:szCs w:val="22"/>
        </w:rPr>
        <w:t>iew and process licence renewal applications</w:t>
      </w:r>
      <w:r>
        <w:rPr>
          <w:rFonts w:asciiTheme="minorHAnsi" w:hAnsiTheme="minorHAnsi" w:cstheme="minorHAnsi"/>
          <w:sz w:val="22"/>
          <w:szCs w:val="22"/>
        </w:rPr>
        <w:t xml:space="preserve"> periodically.</w:t>
      </w:r>
    </w:p>
    <w:p w14:paraId="610441C3" w14:textId="77777777" w:rsidR="00EC0724" w:rsidRDefault="00EC0724" w:rsidP="00EC0724">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t xml:space="preserve">Overall, the Alignment option is expected to </w:t>
      </w:r>
      <w:r w:rsidRPr="000107A9">
        <w:rPr>
          <w:rFonts w:asciiTheme="minorHAnsi" w:hAnsiTheme="minorHAnsi" w:cstheme="minorHAnsi"/>
          <w:sz w:val="22"/>
          <w:szCs w:val="22"/>
        </w:rPr>
        <w:t xml:space="preserve">have a stronger positive effect </w:t>
      </w:r>
      <w:r>
        <w:rPr>
          <w:rFonts w:asciiTheme="minorHAnsi" w:hAnsiTheme="minorHAnsi" w:cstheme="minorHAnsi"/>
          <w:sz w:val="22"/>
          <w:szCs w:val="22"/>
        </w:rPr>
        <w:t>for the regulator in terms of time and resources.</w:t>
      </w:r>
    </w:p>
    <w:p w14:paraId="7B5BC9D3" w14:textId="6F46CD65" w:rsidR="00EC0724" w:rsidRPr="000107A9" w:rsidRDefault="00EC0724" w:rsidP="00EC0724">
      <w:pPr>
        <w:pStyle w:val="Caption"/>
      </w:pPr>
      <w:bookmarkStart w:id="237" w:name="_Ref24541146"/>
      <w:bookmarkStart w:id="238" w:name="_Toc31124388"/>
      <w:bookmarkStart w:id="239" w:name="_Toc32592828"/>
      <w:r w:rsidRPr="000107A9">
        <w:t xml:space="preserve">Table </w:t>
      </w:r>
      <w:r>
        <w:fldChar w:fldCharType="begin"/>
      </w:r>
      <w:r>
        <w:instrText xml:space="preserve"> SEQ Table \* ARABIC </w:instrText>
      </w:r>
      <w:r>
        <w:fldChar w:fldCharType="separate"/>
      </w:r>
      <w:r w:rsidR="00493211">
        <w:rPr>
          <w:noProof/>
        </w:rPr>
        <w:t>45</w:t>
      </w:r>
      <w:r>
        <w:rPr>
          <w:noProof/>
        </w:rPr>
        <w:fldChar w:fldCharType="end"/>
      </w:r>
      <w:bookmarkEnd w:id="237"/>
      <w:r w:rsidRPr="000107A9">
        <w:t xml:space="preserve"> Fees - costs to regulator</w:t>
      </w:r>
      <w:bookmarkEnd w:id="238"/>
      <w:bookmarkEnd w:id="239"/>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664"/>
        <w:gridCol w:w="4284"/>
        <w:gridCol w:w="1224"/>
        <w:gridCol w:w="1226"/>
        <w:gridCol w:w="1224"/>
      </w:tblGrid>
      <w:tr w:rsidR="00EC0724" w:rsidRPr="00B50BC1" w14:paraId="75D55D82" w14:textId="77777777" w:rsidTr="00961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pct"/>
            <w:tcBorders>
              <w:right w:val="none" w:sz="0" w:space="0" w:color="auto"/>
            </w:tcBorders>
          </w:tcPr>
          <w:p w14:paraId="0B5AAAC0" w14:textId="77777777" w:rsidR="00EC0724" w:rsidRPr="00B50BC1" w:rsidRDefault="00EC0724" w:rsidP="00E548CB">
            <w:pPr>
              <w:rPr>
                <w:rStyle w:val="Strong"/>
                <w:rFonts w:cstheme="minorHAnsi"/>
                <w:b/>
                <w:szCs w:val="22"/>
              </w:rPr>
            </w:pPr>
            <w:r w:rsidRPr="00B50BC1">
              <w:rPr>
                <w:rStyle w:val="Strong"/>
                <w:rFonts w:cstheme="minorHAnsi"/>
                <w:b/>
                <w:szCs w:val="22"/>
              </w:rPr>
              <w:t>Criterion</w:t>
            </w:r>
          </w:p>
        </w:tc>
        <w:tc>
          <w:tcPr>
            <w:tcW w:w="2226" w:type="pct"/>
            <w:tcBorders>
              <w:left w:val="none" w:sz="0" w:space="0" w:color="auto"/>
              <w:right w:val="none" w:sz="0" w:space="0" w:color="auto"/>
            </w:tcBorders>
          </w:tcPr>
          <w:p w14:paraId="30554E69" w14:textId="77777777" w:rsidR="00EC0724" w:rsidRPr="00B50BC1" w:rsidRDefault="00EC0724" w:rsidP="00E548CB">
            <w:pP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B50BC1">
              <w:rPr>
                <w:rStyle w:val="Strong"/>
                <w:rFonts w:cstheme="minorHAnsi"/>
                <w:b/>
                <w:szCs w:val="22"/>
              </w:rPr>
              <w:t>Description</w:t>
            </w:r>
          </w:p>
        </w:tc>
        <w:tc>
          <w:tcPr>
            <w:tcW w:w="636" w:type="pct"/>
            <w:tcBorders>
              <w:left w:val="none" w:sz="0" w:space="0" w:color="auto"/>
              <w:right w:val="none" w:sz="0" w:space="0" w:color="auto"/>
            </w:tcBorders>
          </w:tcPr>
          <w:p w14:paraId="53ADD0A2" w14:textId="77777777" w:rsidR="00EC0724" w:rsidRPr="00B50BC1" w:rsidRDefault="00EC0724" w:rsidP="00E548CB">
            <w:pPr>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B50BC1">
              <w:rPr>
                <w:rStyle w:val="Strong"/>
                <w:rFonts w:cstheme="minorHAnsi"/>
                <w:b/>
                <w:szCs w:val="22"/>
              </w:rPr>
              <w:t>Weighting</w:t>
            </w:r>
          </w:p>
        </w:tc>
        <w:tc>
          <w:tcPr>
            <w:tcW w:w="637" w:type="pct"/>
            <w:tcBorders>
              <w:left w:val="none" w:sz="0" w:space="0" w:color="auto"/>
              <w:right w:val="none" w:sz="0" w:space="0" w:color="auto"/>
            </w:tcBorders>
          </w:tcPr>
          <w:p w14:paraId="4E29C36C" w14:textId="150B54CE" w:rsidR="00EC0724" w:rsidRPr="00B50BC1" w:rsidRDefault="00EC0724" w:rsidP="009619D6">
            <w:pPr>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B50BC1">
              <w:rPr>
                <w:rStyle w:val="Strong"/>
                <w:rFonts w:cstheme="minorHAnsi"/>
                <w:b/>
                <w:szCs w:val="22"/>
              </w:rPr>
              <w:t>Option H.1</w:t>
            </w:r>
          </w:p>
        </w:tc>
        <w:tc>
          <w:tcPr>
            <w:tcW w:w="637" w:type="pct"/>
            <w:tcBorders>
              <w:left w:val="none" w:sz="0" w:space="0" w:color="auto"/>
            </w:tcBorders>
          </w:tcPr>
          <w:p w14:paraId="333AE7A4" w14:textId="67D1C600" w:rsidR="00EC0724" w:rsidRPr="00B50BC1" w:rsidRDefault="00EC0724" w:rsidP="009619D6">
            <w:pPr>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B50BC1">
              <w:rPr>
                <w:rStyle w:val="Strong"/>
                <w:rFonts w:cstheme="minorHAnsi"/>
                <w:b/>
                <w:szCs w:val="22"/>
              </w:rPr>
              <w:t>Option H.2</w:t>
            </w:r>
          </w:p>
        </w:tc>
      </w:tr>
      <w:tr w:rsidR="00EC0724" w:rsidRPr="000107A9" w14:paraId="77DB53EF" w14:textId="77777777" w:rsidTr="009619D6">
        <w:trPr>
          <w:trHeight w:val="358"/>
        </w:trPr>
        <w:tc>
          <w:tcPr>
            <w:cnfStyle w:val="001000000000" w:firstRow="0" w:lastRow="0" w:firstColumn="1" w:lastColumn="0" w:oddVBand="0" w:evenVBand="0" w:oddHBand="0" w:evenHBand="0" w:firstRowFirstColumn="0" w:firstRowLastColumn="0" w:lastRowFirstColumn="0" w:lastRowLastColumn="0"/>
            <w:tcW w:w="865" w:type="pct"/>
            <w:tcBorders>
              <w:bottom w:val="single" w:sz="4" w:space="0" w:color="004EA8" w:themeColor="accent1"/>
            </w:tcBorders>
          </w:tcPr>
          <w:p w14:paraId="157149C0" w14:textId="77777777" w:rsidR="00EC0724" w:rsidRPr="000107A9" w:rsidRDefault="00EC0724" w:rsidP="00E548CB">
            <w:pPr>
              <w:rPr>
                <w:rFonts w:cstheme="minorHAnsi"/>
                <w:szCs w:val="22"/>
              </w:rPr>
            </w:pPr>
            <w:r w:rsidRPr="000107A9">
              <w:rPr>
                <w:rFonts w:cstheme="minorHAnsi"/>
                <w:szCs w:val="22"/>
              </w:rPr>
              <w:t>Cost to regulator</w:t>
            </w:r>
          </w:p>
        </w:tc>
        <w:tc>
          <w:tcPr>
            <w:tcW w:w="2226" w:type="pct"/>
            <w:tcBorders>
              <w:bottom w:val="single" w:sz="4" w:space="0" w:color="004EA8" w:themeColor="accent1"/>
            </w:tcBorders>
          </w:tcPr>
          <w:p w14:paraId="3627189A" w14:textId="77777777" w:rsidR="00EC0724" w:rsidRPr="000107A9" w:rsidRDefault="00EC0724" w:rsidP="00E548CB">
            <w:pPr>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Costs to government imposed by Regulations relating to fees.</w:t>
            </w:r>
          </w:p>
        </w:tc>
        <w:tc>
          <w:tcPr>
            <w:tcW w:w="636" w:type="pct"/>
            <w:tcBorders>
              <w:bottom w:val="single" w:sz="4" w:space="0" w:color="004EA8" w:themeColor="accent1"/>
            </w:tcBorders>
          </w:tcPr>
          <w:p w14:paraId="14E79B39" w14:textId="77777777" w:rsidR="00EC0724" w:rsidRPr="000107A9" w:rsidRDefault="00EC0724" w:rsidP="00E548CB">
            <w:pPr>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15%</w:t>
            </w:r>
          </w:p>
        </w:tc>
        <w:tc>
          <w:tcPr>
            <w:tcW w:w="637" w:type="pct"/>
            <w:tcBorders>
              <w:bottom w:val="single" w:sz="4" w:space="0" w:color="004EA8" w:themeColor="accent1"/>
            </w:tcBorders>
          </w:tcPr>
          <w:p w14:paraId="143A93EE" w14:textId="77777777" w:rsidR="00EC0724" w:rsidRPr="000107A9" w:rsidRDefault="00EC0724" w:rsidP="00E548CB">
            <w:pPr>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2</w:t>
            </w:r>
          </w:p>
        </w:tc>
        <w:tc>
          <w:tcPr>
            <w:tcW w:w="637" w:type="pct"/>
            <w:tcBorders>
              <w:bottom w:val="single" w:sz="4" w:space="0" w:color="004EA8" w:themeColor="accent1"/>
            </w:tcBorders>
          </w:tcPr>
          <w:p w14:paraId="2649CA1C" w14:textId="77777777" w:rsidR="00EC0724" w:rsidRPr="000107A9" w:rsidRDefault="00EC0724" w:rsidP="00E548CB">
            <w:pPr>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3</w:t>
            </w:r>
          </w:p>
        </w:tc>
      </w:tr>
      <w:tr w:rsidR="00EC0724" w:rsidRPr="000107A9" w14:paraId="72418F65" w14:textId="77777777" w:rsidTr="009619D6">
        <w:trPr>
          <w:trHeight w:val="358"/>
        </w:trPr>
        <w:tc>
          <w:tcPr>
            <w:cnfStyle w:val="001000000000" w:firstRow="0" w:lastRow="0" w:firstColumn="1" w:lastColumn="0" w:oddVBand="0" w:evenVBand="0" w:oddHBand="0" w:evenHBand="0" w:firstRowFirstColumn="0" w:firstRowLastColumn="0" w:lastRowFirstColumn="0" w:lastRowLastColumn="0"/>
            <w:tcW w:w="865" w:type="pct"/>
            <w:tcBorders>
              <w:right w:val="nil"/>
            </w:tcBorders>
          </w:tcPr>
          <w:p w14:paraId="342FE7C5" w14:textId="77777777" w:rsidR="00EC0724" w:rsidRPr="000107A9" w:rsidRDefault="00EC0724" w:rsidP="00E548CB">
            <w:pPr>
              <w:rPr>
                <w:rFonts w:cstheme="minorHAnsi"/>
                <w:b/>
                <w:szCs w:val="22"/>
              </w:rPr>
            </w:pPr>
            <w:r w:rsidRPr="000107A9">
              <w:rPr>
                <w:rFonts w:cstheme="minorHAnsi"/>
                <w:b/>
                <w:szCs w:val="22"/>
              </w:rPr>
              <w:t>Total</w:t>
            </w:r>
          </w:p>
        </w:tc>
        <w:tc>
          <w:tcPr>
            <w:tcW w:w="2226" w:type="pct"/>
            <w:tcBorders>
              <w:left w:val="nil"/>
              <w:right w:val="nil"/>
            </w:tcBorders>
          </w:tcPr>
          <w:p w14:paraId="2CDB326E" w14:textId="77777777" w:rsidR="00EC0724" w:rsidRPr="000107A9" w:rsidRDefault="00EC0724" w:rsidP="00E548CB">
            <w:pP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36" w:type="pct"/>
            <w:tcBorders>
              <w:left w:val="nil"/>
              <w:right w:val="nil"/>
            </w:tcBorders>
          </w:tcPr>
          <w:p w14:paraId="702A72D6" w14:textId="77777777" w:rsidR="00EC0724" w:rsidRPr="000107A9" w:rsidRDefault="00EC0724" w:rsidP="00E548CB">
            <w:pPr>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37" w:type="pct"/>
            <w:tcBorders>
              <w:left w:val="nil"/>
              <w:right w:val="nil"/>
            </w:tcBorders>
          </w:tcPr>
          <w:p w14:paraId="27846385" w14:textId="77777777" w:rsidR="00EC0724" w:rsidRPr="000107A9" w:rsidRDefault="00EC0724" w:rsidP="00E548CB">
            <w:pPr>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0107A9">
              <w:rPr>
                <w:rFonts w:cstheme="minorHAnsi"/>
                <w:b/>
                <w:szCs w:val="22"/>
              </w:rPr>
              <w:t>0.3</w:t>
            </w:r>
          </w:p>
        </w:tc>
        <w:tc>
          <w:tcPr>
            <w:tcW w:w="637" w:type="pct"/>
            <w:tcBorders>
              <w:left w:val="nil"/>
            </w:tcBorders>
          </w:tcPr>
          <w:p w14:paraId="1CEAAED3" w14:textId="77777777" w:rsidR="00EC0724" w:rsidRPr="000107A9" w:rsidRDefault="00EC0724" w:rsidP="00E548CB">
            <w:pPr>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0107A9">
              <w:rPr>
                <w:rFonts w:cstheme="minorHAnsi"/>
                <w:b/>
                <w:szCs w:val="22"/>
              </w:rPr>
              <w:t>0.45</w:t>
            </w:r>
          </w:p>
        </w:tc>
      </w:tr>
    </w:tbl>
    <w:p w14:paraId="0D2106B6" w14:textId="1C0BF942" w:rsidR="00C01E92" w:rsidRPr="000107A9" w:rsidRDefault="00C01E92" w:rsidP="00EC0724">
      <w:pPr>
        <w:pStyle w:val="EYHeading4"/>
        <w:numPr>
          <w:ilvl w:val="3"/>
          <w:numId w:val="82"/>
        </w:numPr>
        <w:spacing w:before="240"/>
        <w:rPr>
          <w:rFonts w:asciiTheme="minorHAnsi" w:hAnsiTheme="minorHAnsi" w:cstheme="minorHAnsi"/>
          <w:szCs w:val="22"/>
        </w:rPr>
      </w:pPr>
      <w:r w:rsidRPr="000107A9">
        <w:rPr>
          <w:rFonts w:asciiTheme="minorHAnsi" w:hAnsiTheme="minorHAnsi" w:cstheme="minorHAnsi"/>
          <w:szCs w:val="22"/>
        </w:rPr>
        <w:t xml:space="preserve">Exemptions </w:t>
      </w:r>
      <w:r w:rsidR="00215B6D">
        <w:rPr>
          <w:rFonts w:asciiTheme="minorHAnsi" w:hAnsiTheme="minorHAnsi" w:cstheme="minorHAnsi"/>
          <w:szCs w:val="22"/>
        </w:rPr>
        <w:t>or</w:t>
      </w:r>
      <w:r w:rsidRPr="000107A9">
        <w:rPr>
          <w:rFonts w:asciiTheme="minorHAnsi" w:hAnsiTheme="minorHAnsi" w:cstheme="minorHAnsi"/>
          <w:szCs w:val="22"/>
        </w:rPr>
        <w:t xml:space="preserve"> waivers</w:t>
      </w:r>
    </w:p>
    <w:p w14:paraId="470B2ABD"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Act provides that approved providers can apply for a waiver exempting a service from complying with the prescribed Regulations. The Act provides that applications must be accompanied by the prescribed information.</w:t>
      </w:r>
    </w:p>
    <w:p w14:paraId="12737E76" w14:textId="6BAF49E1"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Under Option I.1Status Quo, the Regulations are silent as to waivers or exemptions. This option would impose increased costs relative to the base case through the increased administrative burden for the Department needing to respond to enquiries from providers, clarify the scope of possible waivers and provide guidance as to the information needed to accompany applications. There may also be increased regulatory costs for the Department flowing from greater need for compliance activities should providers operate in a non-compliant way rather than seeking an exemption or waiver.</w:t>
      </w:r>
    </w:p>
    <w:p w14:paraId="73C73A9F" w14:textId="75447D4A"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lastRenderedPageBreak/>
        <w:t xml:space="preserve">Under Option I.2 Alignment, the proposed Regulations outline the information to be provided with waiver applications, resulting in a cost saving compared to the base case and Option I.2 through the reduced administrative burden associated with clearer regulatory guidance for providers. </w:t>
      </w:r>
    </w:p>
    <w:p w14:paraId="3D20EA16" w14:textId="078FF916"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_Ref27742959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 xml:space="preserve">Table </w:t>
      </w:r>
      <w:r w:rsidR="00493211" w:rsidRPr="00493211">
        <w:rPr>
          <w:rFonts w:asciiTheme="minorHAnsi" w:hAnsiTheme="minorHAnsi" w:cstheme="minorHAnsi"/>
          <w:noProof/>
          <w:sz w:val="22"/>
          <w:szCs w:val="22"/>
        </w:rPr>
        <w:t>46</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provides the scores given to Option I.1 and Option I.2 against the cost to regulator criterion.</w:t>
      </w:r>
    </w:p>
    <w:p w14:paraId="32C11F71" w14:textId="470BC693" w:rsidR="00C01E92" w:rsidRPr="000107A9" w:rsidRDefault="00C01E92" w:rsidP="00F7569F">
      <w:pPr>
        <w:pStyle w:val="Caption"/>
      </w:pPr>
      <w:bookmarkStart w:id="240" w:name="_Ref27742959"/>
      <w:bookmarkStart w:id="241" w:name="_Toc32592829"/>
      <w:r w:rsidRPr="000107A9">
        <w:t xml:space="preserve">Table </w:t>
      </w:r>
      <w:r w:rsidRPr="000107A9">
        <w:fldChar w:fldCharType="begin"/>
      </w:r>
      <w:r w:rsidRPr="000107A9">
        <w:instrText xml:space="preserve"> SEQ Table \* ARABIC </w:instrText>
      </w:r>
      <w:r w:rsidRPr="000107A9">
        <w:fldChar w:fldCharType="separate"/>
      </w:r>
      <w:r w:rsidR="00493211">
        <w:rPr>
          <w:noProof/>
        </w:rPr>
        <w:t>46</w:t>
      </w:r>
      <w:r w:rsidRPr="000107A9">
        <w:fldChar w:fldCharType="end"/>
      </w:r>
      <w:bookmarkEnd w:id="240"/>
      <w:r w:rsidRPr="000107A9">
        <w:t xml:space="preserve"> Exemptions </w:t>
      </w:r>
      <w:r w:rsidR="00215B6D">
        <w:t>or</w:t>
      </w:r>
      <w:r w:rsidRPr="000107A9">
        <w:t xml:space="preserve"> waivers - costs to regulator</w:t>
      </w:r>
      <w:bookmarkEnd w:id="241"/>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696"/>
        <w:gridCol w:w="4253"/>
        <w:gridCol w:w="1278"/>
        <w:gridCol w:w="1135"/>
        <w:gridCol w:w="1260"/>
      </w:tblGrid>
      <w:tr w:rsidR="00215B6D" w:rsidRPr="000107A9" w14:paraId="25A1EAC0" w14:textId="77777777" w:rsidTr="00215B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Borders>
              <w:right w:val="single" w:sz="4" w:space="0" w:color="004EA8" w:themeColor="accent1"/>
            </w:tcBorders>
          </w:tcPr>
          <w:p w14:paraId="35DFF689" w14:textId="77777777" w:rsidR="00215B6D" w:rsidRPr="00816A6E" w:rsidRDefault="00215B6D" w:rsidP="00A0049E">
            <w:pPr>
              <w:spacing w:after="60"/>
              <w:rPr>
                <w:rStyle w:val="Strong"/>
                <w:rFonts w:cstheme="minorHAnsi"/>
                <w:b/>
                <w:szCs w:val="22"/>
              </w:rPr>
            </w:pPr>
            <w:r w:rsidRPr="00816A6E">
              <w:rPr>
                <w:rStyle w:val="Strong"/>
                <w:rFonts w:cstheme="minorHAnsi"/>
                <w:b/>
                <w:szCs w:val="22"/>
              </w:rPr>
              <w:t>Criterion</w:t>
            </w:r>
          </w:p>
        </w:tc>
        <w:tc>
          <w:tcPr>
            <w:tcW w:w="2210" w:type="pct"/>
            <w:tcBorders>
              <w:left w:val="single" w:sz="4" w:space="0" w:color="004EA8" w:themeColor="accent1"/>
              <w:right w:val="single" w:sz="4" w:space="0" w:color="004EA8" w:themeColor="accent1"/>
            </w:tcBorders>
          </w:tcPr>
          <w:p w14:paraId="6C01C05B" w14:textId="7C481FBE" w:rsidR="00215B6D" w:rsidRPr="00816A6E" w:rsidRDefault="00215B6D" w:rsidP="00A0049E">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816A6E">
              <w:rPr>
                <w:rStyle w:val="Strong"/>
                <w:rFonts w:cstheme="minorHAnsi"/>
                <w:b/>
                <w:szCs w:val="22"/>
              </w:rPr>
              <w:t>Description</w:t>
            </w:r>
          </w:p>
        </w:tc>
        <w:tc>
          <w:tcPr>
            <w:tcW w:w="664" w:type="pct"/>
            <w:tcBorders>
              <w:left w:val="single" w:sz="4" w:space="0" w:color="004EA8" w:themeColor="accent1"/>
              <w:right w:val="single" w:sz="4" w:space="0" w:color="004EA8" w:themeColor="accent1"/>
            </w:tcBorders>
          </w:tcPr>
          <w:p w14:paraId="1A3D540E" w14:textId="77777777" w:rsidR="00215B6D" w:rsidRPr="00816A6E" w:rsidRDefault="00215B6D" w:rsidP="00A0049E">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816A6E">
              <w:rPr>
                <w:rStyle w:val="Strong"/>
                <w:rFonts w:cstheme="minorHAnsi"/>
                <w:b/>
                <w:szCs w:val="22"/>
              </w:rPr>
              <w:t>Weighting</w:t>
            </w:r>
          </w:p>
        </w:tc>
        <w:tc>
          <w:tcPr>
            <w:tcW w:w="590" w:type="pct"/>
            <w:tcBorders>
              <w:left w:val="single" w:sz="4" w:space="0" w:color="004EA8" w:themeColor="accent1"/>
              <w:right w:val="single" w:sz="4" w:space="0" w:color="004EA8" w:themeColor="accent1"/>
            </w:tcBorders>
          </w:tcPr>
          <w:p w14:paraId="3DCE4D44" w14:textId="2B1A33E9" w:rsidR="00215B6D" w:rsidRPr="00816A6E" w:rsidRDefault="00215B6D" w:rsidP="009619D6">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816A6E">
              <w:rPr>
                <w:rStyle w:val="Strong"/>
                <w:rFonts w:cstheme="minorHAnsi"/>
                <w:b/>
                <w:szCs w:val="22"/>
              </w:rPr>
              <w:t xml:space="preserve">Option </w:t>
            </w:r>
            <w:r>
              <w:rPr>
                <w:rStyle w:val="Strong"/>
                <w:rFonts w:cstheme="minorHAnsi"/>
                <w:b/>
                <w:szCs w:val="22"/>
              </w:rPr>
              <w:t>I</w:t>
            </w:r>
            <w:r w:rsidRPr="00816A6E">
              <w:rPr>
                <w:rStyle w:val="Strong"/>
                <w:rFonts w:cstheme="minorHAnsi"/>
                <w:b/>
                <w:szCs w:val="22"/>
              </w:rPr>
              <w:t>.1</w:t>
            </w:r>
          </w:p>
        </w:tc>
        <w:tc>
          <w:tcPr>
            <w:tcW w:w="655" w:type="pct"/>
            <w:tcBorders>
              <w:left w:val="single" w:sz="4" w:space="0" w:color="004EA8" w:themeColor="accent1"/>
            </w:tcBorders>
          </w:tcPr>
          <w:p w14:paraId="2E76FBAD" w14:textId="555AD008" w:rsidR="00215B6D" w:rsidRPr="00816A6E" w:rsidRDefault="00215B6D" w:rsidP="009619D6">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816A6E">
              <w:rPr>
                <w:rStyle w:val="Strong"/>
                <w:rFonts w:cstheme="minorHAnsi"/>
                <w:b/>
                <w:szCs w:val="22"/>
              </w:rPr>
              <w:t xml:space="preserve">Option </w:t>
            </w:r>
            <w:r>
              <w:rPr>
                <w:rStyle w:val="Strong"/>
                <w:rFonts w:cstheme="minorHAnsi"/>
                <w:b/>
                <w:szCs w:val="22"/>
              </w:rPr>
              <w:t>I</w:t>
            </w:r>
            <w:r w:rsidRPr="00816A6E">
              <w:rPr>
                <w:rStyle w:val="Strong"/>
                <w:rFonts w:cstheme="minorHAnsi"/>
                <w:b/>
                <w:szCs w:val="22"/>
              </w:rPr>
              <w:t>.2</w:t>
            </w:r>
          </w:p>
        </w:tc>
      </w:tr>
      <w:tr w:rsidR="00215B6D" w:rsidRPr="000107A9" w14:paraId="22E04FC1" w14:textId="77777777" w:rsidTr="00215B6D">
        <w:trPr>
          <w:trHeight w:val="358"/>
        </w:trPr>
        <w:tc>
          <w:tcPr>
            <w:cnfStyle w:val="001000000000" w:firstRow="0" w:lastRow="0" w:firstColumn="1" w:lastColumn="0" w:oddVBand="0" w:evenVBand="0" w:oddHBand="0" w:evenHBand="0" w:firstRowFirstColumn="0" w:firstRowLastColumn="0" w:lastRowFirstColumn="0" w:lastRowLastColumn="0"/>
            <w:tcW w:w="881" w:type="pct"/>
          </w:tcPr>
          <w:p w14:paraId="4FB7857E" w14:textId="77777777" w:rsidR="00215B6D" w:rsidRPr="000107A9" w:rsidRDefault="00215B6D" w:rsidP="00A0049E">
            <w:pPr>
              <w:spacing w:after="60"/>
              <w:rPr>
                <w:rFonts w:cstheme="minorHAnsi"/>
                <w:szCs w:val="22"/>
              </w:rPr>
            </w:pPr>
            <w:r w:rsidRPr="000107A9">
              <w:rPr>
                <w:rFonts w:cstheme="minorHAnsi"/>
                <w:szCs w:val="22"/>
              </w:rPr>
              <w:t>Cost to regulator</w:t>
            </w:r>
          </w:p>
        </w:tc>
        <w:tc>
          <w:tcPr>
            <w:tcW w:w="2210" w:type="pct"/>
          </w:tcPr>
          <w:p w14:paraId="4E890006" w14:textId="1F0FF6AD" w:rsidR="00215B6D" w:rsidRPr="000107A9" w:rsidRDefault="00215B6D" w:rsidP="00215B6D">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 xml:space="preserve">Costs to government imposed by Regulations relating to </w:t>
            </w:r>
            <w:r>
              <w:rPr>
                <w:rFonts w:cstheme="minorHAnsi"/>
                <w:szCs w:val="22"/>
              </w:rPr>
              <w:t>exemptions or waivers</w:t>
            </w:r>
            <w:r w:rsidRPr="000107A9">
              <w:rPr>
                <w:rFonts w:cstheme="minorHAnsi"/>
                <w:szCs w:val="22"/>
              </w:rPr>
              <w:t>.</w:t>
            </w:r>
          </w:p>
        </w:tc>
        <w:tc>
          <w:tcPr>
            <w:tcW w:w="664" w:type="pct"/>
          </w:tcPr>
          <w:p w14:paraId="78D2CA6E" w14:textId="77777777" w:rsidR="00215B6D" w:rsidRPr="000107A9" w:rsidRDefault="00215B6D"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15%</w:t>
            </w:r>
          </w:p>
        </w:tc>
        <w:tc>
          <w:tcPr>
            <w:tcW w:w="590" w:type="pct"/>
          </w:tcPr>
          <w:p w14:paraId="49ACDF83" w14:textId="77777777" w:rsidR="00215B6D" w:rsidRPr="000107A9" w:rsidRDefault="00215B6D"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-1</w:t>
            </w:r>
          </w:p>
        </w:tc>
        <w:tc>
          <w:tcPr>
            <w:tcW w:w="655" w:type="pct"/>
          </w:tcPr>
          <w:p w14:paraId="080780AE" w14:textId="77777777" w:rsidR="00215B6D" w:rsidRPr="000107A9" w:rsidRDefault="00215B6D"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2</w:t>
            </w:r>
          </w:p>
        </w:tc>
      </w:tr>
      <w:tr w:rsidR="00215B6D" w:rsidRPr="000107A9" w14:paraId="7367C21F" w14:textId="77777777" w:rsidTr="00215B6D">
        <w:trPr>
          <w:trHeight w:val="358"/>
        </w:trPr>
        <w:tc>
          <w:tcPr>
            <w:cnfStyle w:val="001000000000" w:firstRow="0" w:lastRow="0" w:firstColumn="1" w:lastColumn="0" w:oddVBand="0" w:evenVBand="0" w:oddHBand="0" w:evenHBand="0" w:firstRowFirstColumn="0" w:firstRowLastColumn="0" w:lastRowFirstColumn="0" w:lastRowLastColumn="0"/>
            <w:tcW w:w="881" w:type="pct"/>
          </w:tcPr>
          <w:p w14:paraId="12606FF7" w14:textId="77777777" w:rsidR="00215B6D" w:rsidRPr="000107A9" w:rsidRDefault="00215B6D" w:rsidP="00EC0724">
            <w:pPr>
              <w:spacing w:after="60"/>
              <w:rPr>
                <w:rFonts w:cstheme="minorHAnsi"/>
                <w:b/>
                <w:szCs w:val="22"/>
              </w:rPr>
            </w:pPr>
            <w:r w:rsidRPr="000107A9">
              <w:rPr>
                <w:rFonts w:cstheme="minorHAnsi"/>
                <w:b/>
                <w:szCs w:val="22"/>
              </w:rPr>
              <w:t>Total</w:t>
            </w:r>
          </w:p>
        </w:tc>
        <w:tc>
          <w:tcPr>
            <w:tcW w:w="2210" w:type="pct"/>
          </w:tcPr>
          <w:p w14:paraId="18B409D6" w14:textId="0AA08C7F" w:rsidR="00215B6D" w:rsidRPr="000107A9" w:rsidRDefault="00215B6D" w:rsidP="00EC0724">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64" w:type="pct"/>
          </w:tcPr>
          <w:p w14:paraId="4DEA0592" w14:textId="77777777" w:rsidR="00215B6D" w:rsidRPr="000107A9" w:rsidRDefault="00215B6D" w:rsidP="00EC0724">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590" w:type="pct"/>
          </w:tcPr>
          <w:p w14:paraId="25E4A009" w14:textId="77777777" w:rsidR="00215B6D" w:rsidRPr="000107A9" w:rsidRDefault="00215B6D" w:rsidP="00EC0724">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0107A9">
              <w:rPr>
                <w:rFonts w:cstheme="minorHAnsi"/>
                <w:b/>
                <w:szCs w:val="22"/>
              </w:rPr>
              <w:t>-0.15</w:t>
            </w:r>
          </w:p>
        </w:tc>
        <w:tc>
          <w:tcPr>
            <w:tcW w:w="655" w:type="pct"/>
          </w:tcPr>
          <w:p w14:paraId="4EDC459F" w14:textId="77777777" w:rsidR="00215B6D" w:rsidRPr="000107A9" w:rsidRDefault="00215B6D" w:rsidP="00EC0724">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0107A9">
              <w:rPr>
                <w:rFonts w:cstheme="minorHAnsi"/>
                <w:b/>
                <w:szCs w:val="22"/>
              </w:rPr>
              <w:t>0.3</w:t>
            </w:r>
          </w:p>
        </w:tc>
      </w:tr>
    </w:tbl>
    <w:p w14:paraId="6E8F0589" w14:textId="269C173A" w:rsidR="00C01E92" w:rsidRPr="000107A9" w:rsidRDefault="00816A6E" w:rsidP="00A87A06">
      <w:pPr>
        <w:pStyle w:val="Heading2"/>
      </w:pPr>
      <w:bookmarkStart w:id="242" w:name="_Hlk27741295"/>
      <w:bookmarkStart w:id="243" w:name="_Toc30669619"/>
      <w:bookmarkStart w:id="244" w:name="_Toc32936891"/>
      <w:r>
        <w:t xml:space="preserve">6.3 </w:t>
      </w:r>
      <w:r w:rsidR="00C01E92" w:rsidRPr="000107A9">
        <w:t>Benefits</w:t>
      </w:r>
      <w:bookmarkEnd w:id="242"/>
      <w:bookmarkEnd w:id="243"/>
      <w:bookmarkEnd w:id="244"/>
    </w:p>
    <w:p w14:paraId="7FD456B8"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This section assesses the ‘Status Quo’ and ‘alignment’ options against the two benefits criteria:</w:t>
      </w:r>
    </w:p>
    <w:p w14:paraId="100FDE16" w14:textId="77777777" w:rsidR="00C01E92" w:rsidRPr="000107A9" w:rsidRDefault="00C01E92" w:rsidP="002806C5">
      <w:pPr>
        <w:pStyle w:val="EYBulletedText2"/>
        <w:numPr>
          <w:ilvl w:val="0"/>
          <w:numId w:val="68"/>
        </w:numPr>
        <w:spacing w:before="120" w:after="120"/>
        <w:rPr>
          <w:rFonts w:asciiTheme="minorHAnsi" w:hAnsiTheme="minorHAnsi" w:cstheme="minorHAnsi"/>
          <w:sz w:val="22"/>
          <w:szCs w:val="22"/>
        </w:rPr>
      </w:pPr>
      <w:r w:rsidRPr="000107A9">
        <w:rPr>
          <w:rFonts w:asciiTheme="minorHAnsi" w:hAnsiTheme="minorHAnsi" w:cstheme="minorHAnsi"/>
          <w:b/>
          <w:sz w:val="22"/>
          <w:szCs w:val="22"/>
        </w:rPr>
        <w:t>Safety</w:t>
      </w:r>
      <w:r w:rsidRPr="000107A9">
        <w:rPr>
          <w:rFonts w:asciiTheme="minorHAnsi" w:hAnsiTheme="minorHAnsi" w:cstheme="minorHAnsi"/>
          <w:sz w:val="22"/>
          <w:szCs w:val="22"/>
        </w:rPr>
        <w:t xml:space="preserve"> – effectiveness of the option in ensuring the safety, health and wellbeing of children attending children’s services</w:t>
      </w:r>
    </w:p>
    <w:p w14:paraId="4BC7B49A" w14:textId="77777777" w:rsidR="00C01E92" w:rsidRPr="000107A9" w:rsidRDefault="00C01E92" w:rsidP="002806C5">
      <w:pPr>
        <w:pStyle w:val="EYBulletedText2"/>
        <w:numPr>
          <w:ilvl w:val="0"/>
          <w:numId w:val="68"/>
        </w:numPr>
        <w:spacing w:before="120" w:after="120"/>
        <w:rPr>
          <w:rFonts w:asciiTheme="minorHAnsi" w:hAnsiTheme="minorHAnsi" w:cstheme="minorHAnsi"/>
          <w:sz w:val="22"/>
          <w:szCs w:val="22"/>
        </w:rPr>
      </w:pPr>
      <w:r w:rsidRPr="000107A9">
        <w:rPr>
          <w:rFonts w:asciiTheme="minorHAnsi" w:hAnsiTheme="minorHAnsi" w:cstheme="minorHAnsi"/>
          <w:b/>
          <w:sz w:val="22"/>
          <w:szCs w:val="22"/>
        </w:rPr>
        <w:t xml:space="preserve">Quality </w:t>
      </w:r>
      <w:r w:rsidRPr="000107A9">
        <w:rPr>
          <w:rFonts w:asciiTheme="minorHAnsi" w:hAnsiTheme="minorHAnsi" w:cstheme="minorHAnsi"/>
          <w:sz w:val="22"/>
          <w:szCs w:val="22"/>
        </w:rPr>
        <w:t>– effectiveness of the option in improving children’s educational and developmental outcomes and lifting the broader quality of the sector.</w:t>
      </w:r>
    </w:p>
    <w:p w14:paraId="47686424" w14:textId="4BB543A1" w:rsidR="00C01E92" w:rsidRPr="000107A9" w:rsidRDefault="00816A6E" w:rsidP="00816A6E">
      <w:pPr>
        <w:pStyle w:val="Heading3"/>
      </w:pPr>
      <w:bookmarkStart w:id="245" w:name="_Ref23165110"/>
      <w:bookmarkStart w:id="246" w:name="_Toc32936892"/>
      <w:r>
        <w:t xml:space="preserve">6.3.1 </w:t>
      </w:r>
      <w:r w:rsidR="00C01E92" w:rsidRPr="000107A9">
        <w:t>Health, safety and wellbeing of children</w:t>
      </w:r>
      <w:bookmarkEnd w:id="245"/>
      <w:bookmarkEnd w:id="246"/>
    </w:p>
    <w:p w14:paraId="0AD69E03"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This criterion reflects the responsibility children’s services take on for the physical and psychological welfare of children left in their care, and the overarching obligation of government to protect children as vulnerable members of society. This criterion measures each option’s effectiveness in ensuring the primary purpose of the Act: protecting the safety, health and wellbeing of children. </w:t>
      </w:r>
    </w:p>
    <w:p w14:paraId="66787FE7"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Aside from meeting obligations to a vulnerable segment of society, ensuring that children attending services remain safe and well has two other key benefits.</w:t>
      </w:r>
    </w:p>
    <w:p w14:paraId="37CF9E34"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First, the provision of safe children’s services potentially bolsters </w:t>
      </w:r>
      <w:r w:rsidRPr="000107A9">
        <w:rPr>
          <w:rFonts w:asciiTheme="minorHAnsi" w:hAnsiTheme="minorHAnsi" w:cstheme="minorHAnsi"/>
          <w:b/>
          <w:sz w:val="22"/>
          <w:szCs w:val="22"/>
        </w:rPr>
        <w:t>parental confidence</w:t>
      </w:r>
      <w:r w:rsidRPr="000107A9">
        <w:rPr>
          <w:rFonts w:asciiTheme="minorHAnsi" w:hAnsiTheme="minorHAnsi" w:cstheme="minorHAnsi"/>
          <w:sz w:val="22"/>
          <w:szCs w:val="22"/>
        </w:rPr>
        <w:t xml:space="preserve"> that their children will remain healthy and well in their absence. This means that parents may be better placed to re-enter or remain in the workforce, pursue their outside-of-work interests and activities. </w:t>
      </w:r>
    </w:p>
    <w:p w14:paraId="32F51033"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Secondly, healthy and safe </w:t>
      </w:r>
      <w:r w:rsidRPr="000107A9">
        <w:rPr>
          <w:rFonts w:asciiTheme="minorHAnsi" w:hAnsiTheme="minorHAnsi" w:cstheme="minorHAnsi"/>
          <w:b/>
          <w:sz w:val="22"/>
          <w:szCs w:val="22"/>
        </w:rPr>
        <w:t>children are better able to engage</w:t>
      </w:r>
      <w:r w:rsidRPr="000107A9">
        <w:rPr>
          <w:rFonts w:asciiTheme="minorHAnsi" w:hAnsiTheme="minorHAnsi" w:cstheme="minorHAnsi"/>
          <w:sz w:val="22"/>
          <w:szCs w:val="22"/>
        </w:rPr>
        <w:t xml:space="preserve"> in interactions with educators and peers, and educational programs that are beneficial for developmental outcomes (supporting research provided in section 2). </w:t>
      </w:r>
    </w:p>
    <w:p w14:paraId="7E7B5029" w14:textId="2870AB50" w:rsidR="00C01E92" w:rsidRPr="000107A9" w:rsidRDefault="00816A6E" w:rsidP="00816A6E">
      <w:pPr>
        <w:pStyle w:val="Heading3"/>
      </w:pPr>
      <w:bookmarkStart w:id="247" w:name="_Ref23168327"/>
      <w:bookmarkStart w:id="248" w:name="_Toc32936893"/>
      <w:r>
        <w:t xml:space="preserve">6.3.2 </w:t>
      </w:r>
      <w:r w:rsidR="00C01E92" w:rsidRPr="000107A9">
        <w:t>Quality of service and the broader sector</w:t>
      </w:r>
      <w:bookmarkEnd w:id="247"/>
      <w:bookmarkEnd w:id="248"/>
    </w:p>
    <w:p w14:paraId="5BBF3AB7"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This criterion reflects the Act’s other legislative purposes to improve educational and developmental outcomes for children and to promote the continuous improvement of the children’s services sector. Regulation designed to improve the quality of early childhood education and care has benefits for individual children attending services and for the sector as a whole.</w:t>
      </w:r>
    </w:p>
    <w:p w14:paraId="523C6834"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years from birth to age five have been identified as the most important developmental period during childhood, and research shows that brain development in these early years ‘lays the foundation for language development, literacy acquisition, cognitive processes, emotional </w:t>
      </w:r>
      <w:r w:rsidRPr="000107A9">
        <w:rPr>
          <w:rFonts w:asciiTheme="minorHAnsi" w:hAnsiTheme="minorHAnsi" w:cstheme="minorHAnsi"/>
          <w:sz w:val="22"/>
          <w:szCs w:val="22"/>
        </w:rPr>
        <w:lastRenderedPageBreak/>
        <w:t>development, self-regulation and problem-solving skills, and has a lasting impact on health, future learning and life success’.</w:t>
      </w:r>
      <w:r w:rsidRPr="00816A6E">
        <w:rPr>
          <w:rStyle w:val="FootnoteReference"/>
          <w:rFonts w:asciiTheme="minorHAnsi" w:hAnsiTheme="minorHAnsi" w:cstheme="minorHAnsi"/>
          <w:color w:val="auto"/>
          <w:sz w:val="22"/>
          <w:szCs w:val="22"/>
        </w:rPr>
        <w:footnoteReference w:id="61"/>
      </w:r>
      <w:r w:rsidRPr="00816A6E">
        <w:rPr>
          <w:rFonts w:asciiTheme="minorHAnsi" w:hAnsiTheme="minorHAnsi" w:cstheme="minorHAnsi"/>
          <w:sz w:val="22"/>
          <w:szCs w:val="22"/>
        </w:rPr>
        <w:t xml:space="preserve"> </w:t>
      </w:r>
    </w:p>
    <w:p w14:paraId="7276780B"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‘quality’ of an early childhood education and care service relates to its ability to encourage the healthy development of children during this crucial period. </w:t>
      </w:r>
    </w:p>
    <w:p w14:paraId="45E82014"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Various aspects of a service can be indicators of the quality of service it provides. These include:</w:t>
      </w:r>
    </w:p>
    <w:p w14:paraId="75237043" w14:textId="77777777" w:rsidR="00C01E92" w:rsidRPr="000107A9" w:rsidRDefault="00C01E92" w:rsidP="002806C5">
      <w:pPr>
        <w:pStyle w:val="EYBulletnoparaspace"/>
        <w:numPr>
          <w:ilvl w:val="0"/>
          <w:numId w:val="69"/>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level of individualised attention paid to children and stimulating interactions between educators and children</w:t>
      </w:r>
    </w:p>
    <w:p w14:paraId="6B96A1BD" w14:textId="77777777" w:rsidR="00C01E92" w:rsidRPr="000107A9" w:rsidRDefault="00C01E92" w:rsidP="002806C5">
      <w:pPr>
        <w:pStyle w:val="EYBulletnoparaspace"/>
        <w:numPr>
          <w:ilvl w:val="0"/>
          <w:numId w:val="69"/>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strength of educational programs provided to children</w:t>
      </w:r>
    </w:p>
    <w:p w14:paraId="0CC7C2FA" w14:textId="77777777" w:rsidR="00C01E92" w:rsidRPr="000107A9" w:rsidRDefault="00C01E92" w:rsidP="002806C5">
      <w:pPr>
        <w:pStyle w:val="EYBulletnoparaspace"/>
        <w:numPr>
          <w:ilvl w:val="0"/>
          <w:numId w:val="69"/>
        </w:numPr>
        <w:spacing w:before="120" w:after="120"/>
        <w:contextualSpacing w:val="0"/>
        <w:rPr>
          <w:rFonts w:asciiTheme="minorHAnsi" w:hAnsiTheme="minorHAnsi" w:cstheme="minorHAnsi"/>
          <w:sz w:val="22"/>
          <w:szCs w:val="22"/>
        </w:rPr>
      </w:pPr>
      <w:proofErr w:type="gramStart"/>
      <w:r w:rsidRPr="000107A9">
        <w:rPr>
          <w:rFonts w:asciiTheme="minorHAnsi" w:hAnsiTheme="minorHAnsi" w:cstheme="minorHAnsi"/>
          <w:sz w:val="22"/>
          <w:szCs w:val="22"/>
        </w:rPr>
        <w:t>physical</w:t>
      </w:r>
      <w:proofErr w:type="gramEnd"/>
      <w:r w:rsidRPr="000107A9">
        <w:rPr>
          <w:rFonts w:asciiTheme="minorHAnsi" w:hAnsiTheme="minorHAnsi" w:cstheme="minorHAnsi"/>
          <w:sz w:val="22"/>
          <w:szCs w:val="22"/>
        </w:rPr>
        <w:t xml:space="preserve"> environment provided for children in which to play and learn.</w:t>
      </w:r>
    </w:p>
    <w:p w14:paraId="668FB946" w14:textId="77777777" w:rsidR="00C01E92" w:rsidRPr="00816A6E"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For example, services with higher staff to child ratios may be considered of ‘higher quality’ because children can receive more individualised attention and engage in more of the ‘serve and response’ interactions with adults shown to be essential for healthy development.</w:t>
      </w:r>
      <w:r w:rsidRPr="00816A6E">
        <w:rPr>
          <w:rStyle w:val="FootnoteReference"/>
          <w:rFonts w:asciiTheme="minorHAnsi" w:hAnsiTheme="minorHAnsi" w:cstheme="minorHAnsi"/>
          <w:color w:val="auto"/>
          <w:sz w:val="22"/>
          <w:szCs w:val="22"/>
        </w:rPr>
        <w:footnoteReference w:id="62"/>
      </w:r>
      <w:r w:rsidRPr="00816A6E">
        <w:rPr>
          <w:rFonts w:asciiTheme="minorHAnsi" w:hAnsiTheme="minorHAnsi" w:cstheme="minorHAnsi"/>
          <w:sz w:val="22"/>
          <w:szCs w:val="22"/>
        </w:rPr>
        <w:t xml:space="preserve"> </w:t>
      </w:r>
      <w:r w:rsidRPr="000107A9">
        <w:rPr>
          <w:rFonts w:asciiTheme="minorHAnsi" w:hAnsiTheme="minorHAnsi" w:cstheme="minorHAnsi"/>
          <w:sz w:val="22"/>
          <w:szCs w:val="22"/>
        </w:rPr>
        <w:t xml:space="preserve">This effect is </w:t>
      </w:r>
      <w:r w:rsidRPr="00816A6E">
        <w:rPr>
          <w:rFonts w:asciiTheme="minorHAnsi" w:hAnsiTheme="minorHAnsi" w:cstheme="minorHAnsi"/>
          <w:sz w:val="22"/>
          <w:szCs w:val="22"/>
        </w:rPr>
        <w:t>heightened if the staff hold qualifications in early childhood education and care, as qualified staff are better equipped to engage in interactions with children designed to promote their social and cognitive development. Research referred to in NQF performance reports, indicates that stimulating environments lead to more positive cognitive and social outcomes for children.</w:t>
      </w:r>
      <w:r w:rsidRPr="00816A6E">
        <w:rPr>
          <w:rStyle w:val="FootnoteReference"/>
          <w:rFonts w:asciiTheme="minorHAnsi" w:hAnsiTheme="minorHAnsi" w:cstheme="minorHAnsi"/>
          <w:color w:val="auto"/>
          <w:sz w:val="22"/>
          <w:szCs w:val="22"/>
        </w:rPr>
        <w:footnoteReference w:id="63"/>
      </w:r>
      <w:r w:rsidRPr="00816A6E">
        <w:rPr>
          <w:rFonts w:asciiTheme="minorHAnsi" w:hAnsiTheme="minorHAnsi" w:cstheme="minorHAnsi"/>
          <w:sz w:val="22"/>
          <w:szCs w:val="22"/>
        </w:rPr>
        <w:t xml:space="preserve"> </w:t>
      </w:r>
    </w:p>
    <w:p w14:paraId="32C3A512" w14:textId="77777777" w:rsidR="00C01E92" w:rsidRPr="00816A6E" w:rsidRDefault="00C01E92" w:rsidP="00C01E92">
      <w:pPr>
        <w:pStyle w:val="EYBodytextwithparaspace"/>
        <w:spacing w:before="120" w:after="120"/>
        <w:rPr>
          <w:rFonts w:asciiTheme="minorHAnsi" w:hAnsiTheme="minorHAnsi" w:cstheme="minorHAnsi"/>
          <w:sz w:val="22"/>
          <w:szCs w:val="22"/>
        </w:rPr>
      </w:pPr>
      <w:r w:rsidRPr="00816A6E">
        <w:rPr>
          <w:rFonts w:asciiTheme="minorHAnsi" w:hAnsiTheme="minorHAnsi" w:cstheme="minorHAnsi"/>
          <w:sz w:val="22"/>
          <w:szCs w:val="22"/>
        </w:rPr>
        <w:t>Conversely, low-quality care has been associated with no benefits or even detrimental effects on children’s learning and development.</w:t>
      </w:r>
      <w:r w:rsidRPr="00816A6E">
        <w:rPr>
          <w:rStyle w:val="FootnoteReference"/>
          <w:rFonts w:asciiTheme="minorHAnsi" w:hAnsiTheme="minorHAnsi" w:cstheme="minorHAnsi"/>
          <w:color w:val="auto"/>
          <w:sz w:val="22"/>
          <w:szCs w:val="22"/>
        </w:rPr>
        <w:footnoteReference w:id="64"/>
      </w:r>
    </w:p>
    <w:p w14:paraId="16A079EF"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An increasing focus on quality in the early childhood sector, especially since the decision to develop and implement the NQF, has highlighted the value of regulatory oversight to drive quality improvements and, therefore, to ensure developmental outcomes for all children attending all services – including occasional care – across the sector. Regulatory intervention through imposing and, where appropriate and necessary, increasing quality standards is particularly important where other market factors which could otherwise drive improvement – such as parent choice – are limited by high demand or lack of availability. This may be especially true for occasional care services operating in rural or remote areas, where the children’s services market is likely to be considerably smaller than that of more urban regions. </w:t>
      </w:r>
    </w:p>
    <w:p w14:paraId="257289DC" w14:textId="621E4C0E" w:rsidR="00C01E92" w:rsidRPr="000107A9" w:rsidRDefault="00C01E92" w:rsidP="002806C5">
      <w:pPr>
        <w:pStyle w:val="Heading3"/>
        <w:numPr>
          <w:ilvl w:val="2"/>
          <w:numId w:val="83"/>
        </w:numPr>
      </w:pPr>
      <w:bookmarkStart w:id="249" w:name="_Toc32936894"/>
      <w:r w:rsidRPr="000107A9">
        <w:t>Benefits analysis</w:t>
      </w:r>
      <w:bookmarkEnd w:id="249"/>
    </w:p>
    <w:p w14:paraId="361F9410" w14:textId="06843D70" w:rsidR="00C01E92" w:rsidRPr="000107A9" w:rsidRDefault="00816A6E" w:rsidP="00816A6E">
      <w:pPr>
        <w:pStyle w:val="EYHeading4"/>
        <w:numPr>
          <w:ilvl w:val="0"/>
          <w:numId w:val="0"/>
        </w:numPr>
        <w:spacing w:before="120"/>
        <w:ind w:left="851" w:hanging="851"/>
        <w:rPr>
          <w:rFonts w:asciiTheme="minorHAnsi" w:hAnsiTheme="minorHAnsi" w:cstheme="minorHAnsi"/>
          <w:szCs w:val="22"/>
        </w:rPr>
      </w:pPr>
      <w:r>
        <w:rPr>
          <w:rFonts w:asciiTheme="minorHAnsi" w:hAnsiTheme="minorHAnsi" w:cstheme="minorHAnsi"/>
          <w:szCs w:val="22"/>
        </w:rPr>
        <w:t xml:space="preserve">6.3.3.1 </w:t>
      </w:r>
      <w:r w:rsidR="00C01E92" w:rsidRPr="000107A9">
        <w:rPr>
          <w:rFonts w:asciiTheme="minorHAnsi" w:hAnsiTheme="minorHAnsi" w:cstheme="minorHAnsi"/>
          <w:szCs w:val="22"/>
        </w:rPr>
        <w:t>Approval applications</w:t>
      </w:r>
    </w:p>
    <w:p w14:paraId="74800D2A" w14:textId="77777777" w:rsidR="00C01E92" w:rsidRPr="000107A9" w:rsidRDefault="00C01E92" w:rsidP="00C01E92">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b/>
          <w:sz w:val="22"/>
          <w:szCs w:val="22"/>
        </w:rPr>
        <w:t>Option A.2. Alignment</w:t>
      </w:r>
    </w:p>
    <w:p w14:paraId="6F85FEEA" w14:textId="77777777" w:rsidR="00C01E92" w:rsidRPr="000107A9" w:rsidRDefault="00C01E92" w:rsidP="00C01E92">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sz w:val="22"/>
          <w:szCs w:val="22"/>
        </w:rPr>
        <w:t xml:space="preserve">Under this option, the proposed Regulations provide information to prospective and current service providers regarding the applications to obtain, vary and voluntarily suspend provider approvals and service approvals that may be made under the Act. Under the base case, no regulatory detail would be provided to support these provisions. The information required under Option A.2. Alignment is not substantively different from that currently required by the Regulations. However, in relation to initial approvals, the prescribed documents are required at different stages of the process. There are also grounds for refusal of a service approval specified in the proposed Regulations, which is a new addition compared to the current Regulations. </w:t>
      </w:r>
    </w:p>
    <w:p w14:paraId="5F376FDC" w14:textId="77777777" w:rsidR="00206AFA" w:rsidRDefault="00206AFA">
      <w:pPr>
        <w:spacing w:after="0"/>
        <w:rPr>
          <w:rStyle w:val="Strong"/>
          <w:rFonts w:cstheme="minorHAnsi"/>
          <w:b w:val="0"/>
          <w:i/>
          <w:szCs w:val="22"/>
        </w:rPr>
      </w:pPr>
      <w:r>
        <w:rPr>
          <w:rStyle w:val="Strong"/>
          <w:rFonts w:cstheme="minorHAnsi"/>
          <w:b w:val="0"/>
          <w:i/>
          <w:szCs w:val="22"/>
        </w:rPr>
        <w:br w:type="page"/>
      </w:r>
    </w:p>
    <w:p w14:paraId="190B6F90" w14:textId="6567EE8C" w:rsidR="00C01E92" w:rsidRPr="00816A6E" w:rsidRDefault="00C01E92" w:rsidP="00C01E92">
      <w:pPr>
        <w:spacing w:before="120"/>
        <w:rPr>
          <w:rStyle w:val="Strong"/>
          <w:rFonts w:cstheme="minorHAnsi"/>
          <w:b w:val="0"/>
          <w:i/>
          <w:szCs w:val="22"/>
        </w:rPr>
      </w:pPr>
      <w:r w:rsidRPr="00816A6E">
        <w:rPr>
          <w:rStyle w:val="Strong"/>
          <w:rFonts w:cstheme="minorHAnsi"/>
          <w:b w:val="0"/>
          <w:i/>
          <w:szCs w:val="22"/>
        </w:rPr>
        <w:lastRenderedPageBreak/>
        <w:t>Initial approvals</w:t>
      </w:r>
    </w:p>
    <w:p w14:paraId="66C39CA9" w14:textId="522F0B30"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approval system is designed to ensure that only fit and proper applicants operating out of appropriate premises are legally permitted to provide services. The proposed Regulations in relation to initial applications for provider and service approvals are more effective than the base case because they ensure that prospective providers submit details relevant to their ability to keep children safe alongside their approval applications. Requiring prospective providers to compile and submit these documents enables the Secretary to make well-informed decisions about applicants and premises, about whether to provide approval and whether it is necessary to place any conditions on a service approval. This, in turn, ensures that the approval system is able to fulfil its regulatory function of keeping children safe, with the flow-on benefits discussed in section </w:t>
      </w: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_Ref23165110 \r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Pr>
          <w:rFonts w:asciiTheme="minorHAnsi" w:hAnsiTheme="minorHAnsi" w:cstheme="minorHAnsi"/>
          <w:sz w:val="22"/>
          <w:szCs w:val="22"/>
        </w:rPr>
        <w:t>0</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above. </w:t>
      </w:r>
    </w:p>
    <w:p w14:paraId="795DFCD2" w14:textId="77777777" w:rsidR="00C01E92" w:rsidRPr="00816A6E" w:rsidRDefault="00C01E92" w:rsidP="00C01E92">
      <w:pPr>
        <w:pStyle w:val="EYBodytextwithparaspace"/>
        <w:spacing w:before="120" w:after="120"/>
        <w:rPr>
          <w:rStyle w:val="Strong"/>
          <w:rFonts w:asciiTheme="minorHAnsi" w:hAnsiTheme="minorHAnsi" w:cstheme="minorHAnsi"/>
          <w:b w:val="0"/>
          <w:sz w:val="22"/>
          <w:szCs w:val="22"/>
        </w:rPr>
      </w:pPr>
      <w:r w:rsidRPr="00816A6E">
        <w:rPr>
          <w:rStyle w:val="Strong"/>
          <w:rFonts w:asciiTheme="minorHAnsi" w:hAnsiTheme="minorHAnsi" w:cstheme="minorHAnsi"/>
          <w:b w:val="0"/>
          <w:sz w:val="22"/>
          <w:szCs w:val="22"/>
        </w:rPr>
        <w:t>It could also be said that proposed Regulations provide an educational benefit to new or returning providers by raising awareness through the new approvals process of the facilities, environmental quality controls and operating features necessary to keep children attending services safe and well.</w:t>
      </w:r>
    </w:p>
    <w:p w14:paraId="25B9070A" w14:textId="77777777" w:rsidR="00C01E92" w:rsidRPr="00816A6E" w:rsidRDefault="00C01E92" w:rsidP="00C01E92">
      <w:pPr>
        <w:pStyle w:val="EYBodytextwithparaspace"/>
        <w:spacing w:before="120" w:after="120"/>
        <w:rPr>
          <w:rStyle w:val="Strong"/>
          <w:rFonts w:asciiTheme="minorHAnsi" w:hAnsiTheme="minorHAnsi" w:cstheme="minorHAnsi"/>
          <w:b w:val="0"/>
          <w:i/>
          <w:sz w:val="22"/>
          <w:szCs w:val="22"/>
        </w:rPr>
      </w:pPr>
      <w:r w:rsidRPr="00816A6E">
        <w:rPr>
          <w:rStyle w:val="Strong"/>
          <w:rFonts w:asciiTheme="minorHAnsi" w:hAnsiTheme="minorHAnsi" w:cstheme="minorHAnsi"/>
          <w:b w:val="0"/>
          <w:i/>
          <w:sz w:val="22"/>
          <w:szCs w:val="22"/>
        </w:rPr>
        <w:t>Applications to transfer</w:t>
      </w:r>
    </w:p>
    <w:p w14:paraId="464FE320" w14:textId="77777777" w:rsidR="00C01E92" w:rsidRPr="00816A6E" w:rsidRDefault="00C01E92" w:rsidP="00C01E92">
      <w:pPr>
        <w:pStyle w:val="EYBodytextwithparaspace"/>
        <w:spacing w:before="120" w:after="120"/>
        <w:rPr>
          <w:rStyle w:val="Strong"/>
          <w:rFonts w:asciiTheme="minorHAnsi" w:hAnsiTheme="minorHAnsi" w:cstheme="minorHAnsi"/>
          <w:b w:val="0"/>
          <w:sz w:val="22"/>
          <w:szCs w:val="22"/>
        </w:rPr>
      </w:pPr>
      <w:r w:rsidRPr="00816A6E">
        <w:rPr>
          <w:rStyle w:val="Strong"/>
          <w:rFonts w:asciiTheme="minorHAnsi" w:hAnsiTheme="minorHAnsi" w:cstheme="minorHAnsi"/>
          <w:b w:val="0"/>
          <w:sz w:val="22"/>
          <w:szCs w:val="22"/>
        </w:rPr>
        <w:t>In relation to applications to transfer approvals in the event of the death or incapacitation of the approved provider, the proposed Regulations are more effective than the base case because they limit the period for which the executor or legal guardian of the former approver is permitted to hold the approval (to 6 months). This ensures that third parties who may not have the necessary expertise to properly operate a children’s service are not permitted to do so for longer than is necessary to make appropriate transfer or closure arrangements.</w:t>
      </w:r>
    </w:p>
    <w:p w14:paraId="01C909F6" w14:textId="77777777" w:rsidR="00C01E92" w:rsidRPr="00816A6E" w:rsidRDefault="00C01E92" w:rsidP="00C01E92">
      <w:pPr>
        <w:pStyle w:val="EYBodytextwithparaspace"/>
        <w:spacing w:before="120" w:after="120"/>
        <w:rPr>
          <w:rStyle w:val="Strong"/>
          <w:rFonts w:asciiTheme="minorHAnsi" w:hAnsiTheme="minorHAnsi" w:cstheme="minorHAnsi"/>
          <w:b w:val="0"/>
          <w:sz w:val="22"/>
          <w:szCs w:val="22"/>
        </w:rPr>
      </w:pPr>
      <w:r w:rsidRPr="00816A6E">
        <w:rPr>
          <w:rStyle w:val="Strong"/>
          <w:rFonts w:asciiTheme="minorHAnsi" w:hAnsiTheme="minorHAnsi" w:cstheme="minorHAnsi"/>
          <w:b w:val="0"/>
          <w:i/>
          <w:sz w:val="22"/>
          <w:szCs w:val="22"/>
        </w:rPr>
        <w:t>Applications to vary</w:t>
      </w:r>
    </w:p>
    <w:p w14:paraId="188FD2D9" w14:textId="77777777" w:rsidR="00C01E92" w:rsidRPr="00816A6E" w:rsidRDefault="00C01E92" w:rsidP="00C01E92">
      <w:pPr>
        <w:pStyle w:val="EYBodytextwithparaspace"/>
        <w:spacing w:before="120" w:after="120"/>
        <w:rPr>
          <w:rStyle w:val="Strong"/>
          <w:rFonts w:asciiTheme="minorHAnsi" w:hAnsiTheme="minorHAnsi" w:cstheme="minorHAnsi"/>
          <w:b w:val="0"/>
          <w:bCs w:val="0"/>
          <w:sz w:val="22"/>
          <w:szCs w:val="22"/>
        </w:rPr>
      </w:pPr>
      <w:r w:rsidRPr="00816A6E">
        <w:rPr>
          <w:rStyle w:val="Strong"/>
          <w:rFonts w:asciiTheme="minorHAnsi" w:hAnsiTheme="minorHAnsi" w:cstheme="minorHAnsi"/>
          <w:b w:val="0"/>
          <w:sz w:val="22"/>
          <w:szCs w:val="22"/>
        </w:rPr>
        <w:t xml:space="preserve">The proposed Regulations provide guidance as to the information to be included in applications to amend provider and service approvals, notably the reasons for and details of the requested variation. This aspect of the option does not have any significant impact on the safety, health and wellbeing of children. </w:t>
      </w:r>
    </w:p>
    <w:p w14:paraId="60989650" w14:textId="77777777" w:rsidR="00C01E92" w:rsidRPr="00816A6E" w:rsidRDefault="00C01E92" w:rsidP="00C01E92">
      <w:pPr>
        <w:pStyle w:val="EYBodytextwithparaspace"/>
        <w:spacing w:before="120" w:after="120"/>
        <w:rPr>
          <w:rFonts w:asciiTheme="minorHAnsi" w:hAnsiTheme="minorHAnsi" w:cstheme="minorHAnsi"/>
          <w:sz w:val="22"/>
          <w:szCs w:val="22"/>
        </w:rPr>
      </w:pPr>
      <w:r w:rsidRPr="00816A6E">
        <w:rPr>
          <w:rFonts w:asciiTheme="minorHAnsi" w:hAnsiTheme="minorHAnsi" w:cstheme="minorHAnsi"/>
          <w:i/>
          <w:sz w:val="22"/>
          <w:szCs w:val="22"/>
        </w:rPr>
        <w:t>Applications for voluntary suspension</w:t>
      </w:r>
    </w:p>
    <w:p w14:paraId="58CB76D8" w14:textId="77777777" w:rsidR="00C01E92" w:rsidRPr="00816A6E" w:rsidRDefault="00C01E92" w:rsidP="00C01E92">
      <w:pPr>
        <w:pStyle w:val="EYBodytextwithparaspace"/>
        <w:spacing w:before="120" w:after="120"/>
        <w:rPr>
          <w:rStyle w:val="Strong"/>
          <w:rFonts w:asciiTheme="minorHAnsi" w:hAnsiTheme="minorHAnsi" w:cstheme="minorHAnsi"/>
          <w:b w:val="0"/>
          <w:sz w:val="22"/>
          <w:szCs w:val="22"/>
        </w:rPr>
      </w:pPr>
      <w:r w:rsidRPr="00816A6E">
        <w:rPr>
          <w:rStyle w:val="Strong"/>
          <w:rFonts w:asciiTheme="minorHAnsi" w:hAnsiTheme="minorHAnsi" w:cstheme="minorHAnsi"/>
          <w:b w:val="0"/>
          <w:sz w:val="22"/>
          <w:szCs w:val="22"/>
        </w:rPr>
        <w:t>The proposed Regulations regarding voluntary suspension of provider and service approvals support sections of the Act designed to create a compliance flexibility for non-compliant providers to temporarily cease operating without giving up their provider and service approvals.</w:t>
      </w:r>
      <w:r w:rsidRPr="00816A6E">
        <w:rPr>
          <w:rStyle w:val="FootnoteReference"/>
          <w:rFonts w:asciiTheme="minorHAnsi" w:hAnsiTheme="minorHAnsi" w:cstheme="minorHAnsi"/>
          <w:bCs/>
          <w:color w:val="auto"/>
          <w:sz w:val="22"/>
          <w:szCs w:val="22"/>
        </w:rPr>
        <w:footnoteReference w:id="65"/>
      </w:r>
      <w:r w:rsidRPr="00816A6E">
        <w:rPr>
          <w:rStyle w:val="Strong"/>
          <w:rFonts w:asciiTheme="minorHAnsi" w:hAnsiTheme="minorHAnsi" w:cstheme="minorHAnsi"/>
          <w:b w:val="0"/>
          <w:sz w:val="22"/>
          <w:szCs w:val="22"/>
        </w:rPr>
        <w:t xml:space="preserve"> The information prescribed in the proposed Regulations includes reasons for the suspension, the provider’s intentions for each service during and after the suspension, and a statement indicating that parents have been notified (a separate requirement under the Act</w:t>
      </w:r>
      <w:r w:rsidRPr="00816A6E">
        <w:rPr>
          <w:rStyle w:val="FootnoteReference"/>
          <w:rFonts w:asciiTheme="minorHAnsi" w:hAnsiTheme="minorHAnsi" w:cstheme="minorHAnsi"/>
          <w:bCs/>
          <w:color w:val="auto"/>
          <w:sz w:val="22"/>
          <w:szCs w:val="22"/>
        </w:rPr>
        <w:footnoteReference w:id="66"/>
      </w:r>
      <w:r w:rsidRPr="00816A6E">
        <w:rPr>
          <w:rStyle w:val="Strong"/>
          <w:rFonts w:asciiTheme="minorHAnsi" w:hAnsiTheme="minorHAnsi" w:cstheme="minorHAnsi"/>
          <w:b w:val="0"/>
          <w:sz w:val="22"/>
          <w:szCs w:val="22"/>
        </w:rPr>
        <w:t>).</w:t>
      </w:r>
    </w:p>
    <w:p w14:paraId="109B1902" w14:textId="77777777" w:rsidR="00C01E92" w:rsidRPr="00816A6E" w:rsidRDefault="00C01E92" w:rsidP="00C01E92">
      <w:pPr>
        <w:pStyle w:val="EYBodytextwithparaspace"/>
        <w:spacing w:before="120" w:after="120"/>
        <w:rPr>
          <w:rStyle w:val="Strong"/>
          <w:rFonts w:asciiTheme="minorHAnsi" w:hAnsiTheme="minorHAnsi" w:cstheme="minorHAnsi"/>
          <w:b w:val="0"/>
          <w:sz w:val="22"/>
          <w:szCs w:val="22"/>
        </w:rPr>
      </w:pPr>
      <w:r w:rsidRPr="00816A6E">
        <w:rPr>
          <w:rStyle w:val="Strong"/>
          <w:rFonts w:asciiTheme="minorHAnsi" w:hAnsiTheme="minorHAnsi" w:cstheme="minorHAnsi"/>
          <w:b w:val="0"/>
          <w:sz w:val="22"/>
          <w:szCs w:val="22"/>
        </w:rPr>
        <w:t xml:space="preserve">This option is more effective than the base case because it ensures that the Department is made aware of the reasons for the application for voluntary suspension, including any situation which may endanger children and require regulatory intervention. </w:t>
      </w:r>
    </w:p>
    <w:p w14:paraId="291B21B8" w14:textId="77777777" w:rsidR="00C01E92" w:rsidRPr="00816A6E" w:rsidRDefault="00C01E92" w:rsidP="00C01E92">
      <w:pPr>
        <w:pStyle w:val="EYBodytextwithparaspace"/>
        <w:spacing w:before="120" w:after="120"/>
        <w:rPr>
          <w:rStyle w:val="Strong"/>
          <w:rFonts w:asciiTheme="minorHAnsi" w:hAnsiTheme="minorHAnsi" w:cstheme="minorHAnsi"/>
          <w:b w:val="0"/>
          <w:sz w:val="22"/>
          <w:szCs w:val="22"/>
        </w:rPr>
      </w:pPr>
      <w:r w:rsidRPr="00816A6E">
        <w:rPr>
          <w:rStyle w:val="Strong"/>
          <w:rFonts w:asciiTheme="minorHAnsi" w:hAnsiTheme="minorHAnsi" w:cstheme="minorHAnsi"/>
          <w:b w:val="0"/>
          <w:i/>
          <w:sz w:val="22"/>
          <w:szCs w:val="22"/>
        </w:rPr>
        <w:t>Conditions</w:t>
      </w:r>
    </w:p>
    <w:p w14:paraId="10E947F8" w14:textId="7BD91986" w:rsidR="00C01E92" w:rsidRPr="00816A6E" w:rsidRDefault="00C01E92" w:rsidP="00C01E92">
      <w:pPr>
        <w:pStyle w:val="EYBodytextwithparaspace"/>
        <w:spacing w:before="120" w:after="120"/>
        <w:rPr>
          <w:rStyle w:val="Strong"/>
          <w:rFonts w:asciiTheme="minorHAnsi" w:hAnsiTheme="minorHAnsi" w:cstheme="minorHAnsi"/>
          <w:b w:val="0"/>
          <w:sz w:val="22"/>
          <w:szCs w:val="22"/>
        </w:rPr>
      </w:pPr>
      <w:r w:rsidRPr="00816A6E">
        <w:rPr>
          <w:rStyle w:val="Strong"/>
          <w:rFonts w:asciiTheme="minorHAnsi" w:hAnsiTheme="minorHAnsi" w:cstheme="minorHAnsi"/>
          <w:b w:val="0"/>
          <w:sz w:val="22"/>
          <w:szCs w:val="22"/>
        </w:rPr>
        <w:t>The proposed Regulations state that service approvals are granted subject to the conditions that providers hold the prescribed insurance and are legally entitled to occupy the proposed premises. The requirement to hold insurance may not have a directly protective effect for children attending services but may result in improved or less costly medical treatment for any children harmed as a result of incidents occurring at services, improving their long-term wellbeing</w:t>
      </w:r>
      <w:r w:rsidR="00206AFA" w:rsidRPr="00206AFA">
        <w:rPr>
          <w:rStyle w:val="Strong"/>
          <w:rFonts w:asciiTheme="minorHAnsi" w:hAnsiTheme="minorHAnsi" w:cstheme="minorHAnsi"/>
          <w:b w:val="0"/>
          <w:sz w:val="22"/>
          <w:szCs w:val="22"/>
        </w:rPr>
        <w:t xml:space="preserve">. </w:t>
      </w:r>
      <w:r w:rsidRPr="00816A6E">
        <w:rPr>
          <w:rStyle w:val="Strong"/>
          <w:rFonts w:asciiTheme="minorHAnsi" w:hAnsiTheme="minorHAnsi" w:cstheme="minorHAnsi"/>
          <w:b w:val="0"/>
          <w:sz w:val="22"/>
          <w:szCs w:val="22"/>
        </w:rPr>
        <w:t xml:space="preserve">The condition relating to legal occupation of premises is not expected to have any material consequence for the safety of </w:t>
      </w:r>
      <w:r w:rsidRPr="00816A6E">
        <w:rPr>
          <w:rStyle w:val="Strong"/>
          <w:rFonts w:asciiTheme="minorHAnsi" w:hAnsiTheme="minorHAnsi" w:cstheme="minorHAnsi"/>
          <w:b w:val="0"/>
          <w:sz w:val="22"/>
          <w:szCs w:val="22"/>
        </w:rPr>
        <w:lastRenderedPageBreak/>
        <w:t>children attending services because, realistically, a service would not be evicted from a premises while children were present.</w:t>
      </w:r>
    </w:p>
    <w:p w14:paraId="5CE9977A" w14:textId="77777777" w:rsidR="00C01E92" w:rsidRPr="000107A9" w:rsidRDefault="00C01E92" w:rsidP="00C01E92">
      <w:pPr>
        <w:pStyle w:val="EYBodytextwithparaspace"/>
        <w:spacing w:before="120" w:after="120"/>
        <w:rPr>
          <w:rFonts w:asciiTheme="minorHAnsi" w:hAnsiTheme="minorHAnsi" w:cstheme="minorHAnsi"/>
          <w:i/>
          <w:sz w:val="22"/>
          <w:szCs w:val="22"/>
        </w:rPr>
      </w:pPr>
      <w:r w:rsidRPr="000107A9">
        <w:rPr>
          <w:rFonts w:asciiTheme="minorHAnsi" w:hAnsiTheme="minorHAnsi" w:cstheme="minorHAnsi"/>
          <w:i/>
          <w:sz w:val="22"/>
          <w:szCs w:val="22"/>
        </w:rPr>
        <w:t>Initial applications</w:t>
      </w:r>
    </w:p>
    <w:p w14:paraId="086508C7"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proposed Regulations are more effective than the base case for reasons similar to those discussed in relation to the safety criterion: requiring applicants to provide information such as plans of the proposed service premises and the qualifications of the nominated supervisor enables the Secretary to make appropriate approval decisions, ensuring that minimum standards can be met by all entrants to the children’s services sector or, if necessary, that the duration for which services can provide education and care is limited according to the quality of service they propose to provide. </w:t>
      </w:r>
    </w:p>
    <w:p w14:paraId="270E6B86" w14:textId="77777777" w:rsidR="00C01E92" w:rsidRPr="00816A6E" w:rsidRDefault="00C01E92" w:rsidP="00C01E92">
      <w:pPr>
        <w:pStyle w:val="EYBodytextwithparaspace"/>
        <w:spacing w:before="120" w:after="120"/>
        <w:rPr>
          <w:rStyle w:val="Strong"/>
          <w:rFonts w:asciiTheme="minorHAnsi" w:hAnsiTheme="minorHAnsi" w:cstheme="minorHAnsi"/>
          <w:b w:val="0"/>
          <w:sz w:val="22"/>
          <w:szCs w:val="22"/>
        </w:rPr>
      </w:pPr>
      <w:r w:rsidRPr="00816A6E">
        <w:rPr>
          <w:rFonts w:asciiTheme="minorHAnsi" w:hAnsiTheme="minorHAnsi" w:cstheme="minorHAnsi"/>
          <w:sz w:val="22"/>
          <w:szCs w:val="22"/>
        </w:rPr>
        <w:t xml:space="preserve">The proposed Regulations also </w:t>
      </w:r>
      <w:r w:rsidRPr="00816A6E">
        <w:rPr>
          <w:rStyle w:val="Strong"/>
          <w:rFonts w:asciiTheme="minorHAnsi" w:hAnsiTheme="minorHAnsi" w:cstheme="minorHAnsi"/>
          <w:b w:val="0"/>
          <w:sz w:val="22"/>
          <w:szCs w:val="22"/>
        </w:rPr>
        <w:t xml:space="preserve">encourage higher quality services than the base case (of no Regulations) because they provide an initial opportunity for applicants to understand and demonstrate their capacity to provide the quality of service expected under the regulatory framework. This is particularly true of the regulations requiring applicants to provide a statement that the prescribed policies have been prepared. </w:t>
      </w:r>
    </w:p>
    <w:p w14:paraId="6F3FB41E" w14:textId="77777777" w:rsidR="00C01E92" w:rsidRPr="00816A6E" w:rsidRDefault="00C01E92" w:rsidP="00C01E92">
      <w:pPr>
        <w:pStyle w:val="EYBodytextwithparaspace"/>
        <w:spacing w:before="120" w:after="120"/>
        <w:rPr>
          <w:rStyle w:val="Strong"/>
          <w:rFonts w:asciiTheme="minorHAnsi" w:hAnsiTheme="minorHAnsi" w:cstheme="minorHAnsi"/>
          <w:b w:val="0"/>
          <w:sz w:val="22"/>
          <w:szCs w:val="22"/>
        </w:rPr>
      </w:pPr>
      <w:r w:rsidRPr="00816A6E">
        <w:rPr>
          <w:rStyle w:val="Strong"/>
          <w:rFonts w:asciiTheme="minorHAnsi" w:hAnsiTheme="minorHAnsi" w:cstheme="minorHAnsi"/>
          <w:b w:val="0"/>
          <w:i/>
          <w:sz w:val="22"/>
          <w:szCs w:val="22"/>
        </w:rPr>
        <w:t>Applications for voluntary suspension</w:t>
      </w:r>
    </w:p>
    <w:p w14:paraId="79EDC4D4" w14:textId="77777777" w:rsidR="00C01E92" w:rsidRPr="00816A6E" w:rsidRDefault="00C01E92" w:rsidP="00C01E92">
      <w:pPr>
        <w:pStyle w:val="EYBodytextwithparaspace"/>
        <w:spacing w:before="120" w:after="120"/>
        <w:rPr>
          <w:rStyle w:val="Strong"/>
          <w:rFonts w:asciiTheme="minorHAnsi" w:hAnsiTheme="minorHAnsi" w:cstheme="minorHAnsi"/>
          <w:b w:val="0"/>
          <w:sz w:val="22"/>
          <w:szCs w:val="22"/>
        </w:rPr>
      </w:pPr>
      <w:r w:rsidRPr="00816A6E">
        <w:rPr>
          <w:rStyle w:val="Strong"/>
          <w:rFonts w:asciiTheme="minorHAnsi" w:hAnsiTheme="minorHAnsi" w:cstheme="minorHAnsi"/>
          <w:b w:val="0"/>
          <w:sz w:val="22"/>
          <w:szCs w:val="22"/>
        </w:rPr>
        <w:t xml:space="preserve">This option is slightly more effective than the base case in ensuring the quality of children’s services insofar as the guidance to providers seeking to temporarily suspend their services facilitates the services ceasing operation for the period they are unable to meet the service quality requirements in the Act or Regulations.  </w:t>
      </w:r>
    </w:p>
    <w:p w14:paraId="31A4E271" w14:textId="77777777" w:rsidR="00C01E92" w:rsidRPr="00816A6E" w:rsidRDefault="00C01E92" w:rsidP="00C01E92">
      <w:pPr>
        <w:pStyle w:val="EYBodytextwithparaspace"/>
        <w:spacing w:before="120" w:after="120"/>
        <w:rPr>
          <w:rStyle w:val="Strong"/>
          <w:rFonts w:asciiTheme="minorHAnsi" w:hAnsiTheme="minorHAnsi" w:cstheme="minorHAnsi"/>
          <w:b w:val="0"/>
          <w:sz w:val="22"/>
          <w:szCs w:val="22"/>
        </w:rPr>
      </w:pPr>
      <w:r w:rsidRPr="00816A6E">
        <w:rPr>
          <w:rStyle w:val="Strong"/>
          <w:rFonts w:asciiTheme="minorHAnsi" w:hAnsiTheme="minorHAnsi" w:cstheme="minorHAnsi"/>
          <w:b w:val="0"/>
          <w:i/>
          <w:sz w:val="22"/>
          <w:szCs w:val="22"/>
        </w:rPr>
        <w:t>Applications for variation</w:t>
      </w:r>
    </w:p>
    <w:p w14:paraId="1D8FD268" w14:textId="77777777" w:rsidR="00C01E92" w:rsidRPr="00816A6E" w:rsidRDefault="00C01E92" w:rsidP="00C01E92">
      <w:pPr>
        <w:pStyle w:val="EYBodytextwithparaspace"/>
        <w:spacing w:before="120" w:after="120"/>
        <w:rPr>
          <w:rStyle w:val="Strong"/>
          <w:rFonts w:asciiTheme="minorHAnsi" w:hAnsiTheme="minorHAnsi" w:cstheme="minorHAnsi"/>
          <w:b w:val="0"/>
          <w:bCs w:val="0"/>
          <w:sz w:val="22"/>
          <w:szCs w:val="22"/>
        </w:rPr>
      </w:pPr>
      <w:r w:rsidRPr="00816A6E">
        <w:rPr>
          <w:rStyle w:val="Strong"/>
          <w:rFonts w:asciiTheme="minorHAnsi" w:hAnsiTheme="minorHAnsi" w:cstheme="minorHAnsi"/>
          <w:b w:val="0"/>
          <w:sz w:val="22"/>
          <w:szCs w:val="22"/>
        </w:rPr>
        <w:t>This aspect of the option does not have any real impact on the quality of services provided to children or the broader sector because the prescribed information to be included in applications does not relate to the quality of service provided.</w:t>
      </w:r>
    </w:p>
    <w:p w14:paraId="3187B2F4" w14:textId="77777777" w:rsidR="00C01E92" w:rsidRPr="00816A6E" w:rsidRDefault="00C01E92" w:rsidP="00C01E92">
      <w:pPr>
        <w:pStyle w:val="EYBodytextwithparaspace"/>
        <w:spacing w:before="120" w:after="120"/>
        <w:rPr>
          <w:rStyle w:val="Strong"/>
          <w:rFonts w:asciiTheme="minorHAnsi" w:hAnsiTheme="minorHAnsi" w:cstheme="minorHAnsi"/>
          <w:b w:val="0"/>
          <w:i/>
          <w:sz w:val="22"/>
          <w:szCs w:val="22"/>
        </w:rPr>
      </w:pPr>
      <w:r w:rsidRPr="00816A6E">
        <w:rPr>
          <w:rStyle w:val="Strong"/>
          <w:rFonts w:asciiTheme="minorHAnsi" w:hAnsiTheme="minorHAnsi" w:cstheme="minorHAnsi"/>
          <w:b w:val="0"/>
          <w:i/>
          <w:sz w:val="22"/>
          <w:szCs w:val="22"/>
        </w:rPr>
        <w:t>Conditions</w:t>
      </w:r>
    </w:p>
    <w:p w14:paraId="3DE905F2" w14:textId="77777777" w:rsidR="00C01E92" w:rsidRPr="00816A6E" w:rsidRDefault="00C01E92" w:rsidP="00C01E92">
      <w:pPr>
        <w:pStyle w:val="EYBodytextwithparaspace"/>
        <w:spacing w:before="120" w:after="120"/>
        <w:rPr>
          <w:rStyle w:val="Strong"/>
          <w:rFonts w:asciiTheme="minorHAnsi" w:hAnsiTheme="minorHAnsi" w:cstheme="minorHAnsi"/>
          <w:b w:val="0"/>
          <w:bCs w:val="0"/>
          <w:sz w:val="22"/>
          <w:szCs w:val="22"/>
        </w:rPr>
      </w:pPr>
      <w:r w:rsidRPr="00816A6E">
        <w:rPr>
          <w:rStyle w:val="Strong"/>
          <w:rFonts w:asciiTheme="minorHAnsi" w:hAnsiTheme="minorHAnsi" w:cstheme="minorHAnsi"/>
          <w:b w:val="0"/>
          <w:sz w:val="22"/>
          <w:szCs w:val="22"/>
        </w:rPr>
        <w:t>The proposed Regulations relating to the insurance and legal occupation conditions on service approvals are not expected to have any material impact on the quality of service provided to children because these conditions do not relate to service quality.</w:t>
      </w:r>
    </w:p>
    <w:p w14:paraId="2F95DD72" w14:textId="661B2B45"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_Ref24444431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Table 47</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provides the score given to Option A.2. Alignment against the two benefits criteria.</w:t>
      </w:r>
    </w:p>
    <w:p w14:paraId="235D31A9" w14:textId="25801093" w:rsidR="00C01E92" w:rsidRPr="000107A9" w:rsidRDefault="00C01E92" w:rsidP="00F7569F">
      <w:pPr>
        <w:pStyle w:val="Caption"/>
      </w:pPr>
      <w:bookmarkStart w:id="250" w:name="_Ref24444431"/>
      <w:bookmarkStart w:id="251" w:name="_Toc32592830"/>
      <w:r w:rsidRPr="000107A9">
        <w:t xml:space="preserve">Table </w:t>
      </w:r>
      <w:r w:rsidRPr="000107A9">
        <w:fldChar w:fldCharType="begin"/>
      </w:r>
      <w:r w:rsidRPr="000107A9">
        <w:instrText xml:space="preserve"> SEQ Table \* ARABIC </w:instrText>
      </w:r>
      <w:r w:rsidRPr="000107A9">
        <w:fldChar w:fldCharType="separate"/>
      </w:r>
      <w:r w:rsidR="00493211">
        <w:rPr>
          <w:noProof/>
        </w:rPr>
        <w:t>47</w:t>
      </w:r>
      <w:r w:rsidRPr="000107A9">
        <w:fldChar w:fldCharType="end"/>
      </w:r>
      <w:bookmarkEnd w:id="250"/>
      <w:r w:rsidRPr="000107A9">
        <w:t xml:space="preserve"> Approval application - benefits score</w:t>
      </w:r>
      <w:bookmarkEnd w:id="251"/>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671"/>
        <w:gridCol w:w="5127"/>
        <w:gridCol w:w="1411"/>
        <w:gridCol w:w="1413"/>
      </w:tblGrid>
      <w:tr w:rsidR="00C01E92" w:rsidRPr="00A0049E" w14:paraId="69FFC569" w14:textId="77777777" w:rsidTr="006A6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9" w:type="pct"/>
            <w:tcBorders>
              <w:right w:val="none" w:sz="0" w:space="0" w:color="auto"/>
            </w:tcBorders>
          </w:tcPr>
          <w:p w14:paraId="4946F2AA" w14:textId="77777777" w:rsidR="00C01E92" w:rsidRPr="00A0049E" w:rsidRDefault="00C01E92" w:rsidP="00A0049E">
            <w:pPr>
              <w:spacing w:after="60"/>
              <w:rPr>
                <w:rStyle w:val="Strong"/>
                <w:rFonts w:cstheme="minorHAnsi"/>
                <w:b/>
                <w:szCs w:val="22"/>
              </w:rPr>
            </w:pPr>
            <w:r w:rsidRPr="00A0049E">
              <w:rPr>
                <w:rFonts w:cstheme="minorHAnsi"/>
                <w:szCs w:val="22"/>
              </w:rPr>
              <w:br w:type="page"/>
            </w:r>
            <w:r w:rsidRPr="00A0049E">
              <w:rPr>
                <w:rStyle w:val="Strong"/>
                <w:rFonts w:cstheme="minorHAnsi"/>
                <w:b/>
                <w:szCs w:val="22"/>
              </w:rPr>
              <w:t>Criterion</w:t>
            </w:r>
          </w:p>
        </w:tc>
        <w:tc>
          <w:tcPr>
            <w:tcW w:w="2663" w:type="pct"/>
            <w:tcBorders>
              <w:left w:val="none" w:sz="0" w:space="0" w:color="auto"/>
              <w:right w:val="none" w:sz="0" w:space="0" w:color="auto"/>
            </w:tcBorders>
          </w:tcPr>
          <w:p w14:paraId="41D84E88" w14:textId="77777777" w:rsidR="00C01E92" w:rsidRPr="00A0049E" w:rsidRDefault="00C01E92" w:rsidP="00A0049E">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0049E">
              <w:rPr>
                <w:rStyle w:val="Strong"/>
                <w:rFonts w:cstheme="minorHAnsi"/>
                <w:b/>
                <w:szCs w:val="22"/>
              </w:rPr>
              <w:t>Description</w:t>
            </w:r>
          </w:p>
        </w:tc>
        <w:tc>
          <w:tcPr>
            <w:tcW w:w="733" w:type="pct"/>
            <w:tcBorders>
              <w:left w:val="none" w:sz="0" w:space="0" w:color="auto"/>
              <w:right w:val="none" w:sz="0" w:space="0" w:color="auto"/>
            </w:tcBorders>
          </w:tcPr>
          <w:p w14:paraId="22498B07" w14:textId="77777777" w:rsidR="00C01E92" w:rsidRPr="00A0049E" w:rsidRDefault="00C01E92" w:rsidP="00A0049E">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0049E">
              <w:rPr>
                <w:rStyle w:val="Strong"/>
                <w:rFonts w:cstheme="minorHAnsi"/>
                <w:b/>
                <w:szCs w:val="22"/>
              </w:rPr>
              <w:t>Weighting</w:t>
            </w:r>
          </w:p>
        </w:tc>
        <w:tc>
          <w:tcPr>
            <w:tcW w:w="734" w:type="pct"/>
            <w:tcBorders>
              <w:left w:val="none" w:sz="0" w:space="0" w:color="auto"/>
            </w:tcBorders>
          </w:tcPr>
          <w:p w14:paraId="7A675A4A" w14:textId="22034AA3" w:rsidR="00C01E92" w:rsidRPr="00A0049E" w:rsidRDefault="00A7508F" w:rsidP="00A0049E">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Pr>
                <w:rStyle w:val="Strong"/>
                <w:rFonts w:cstheme="minorHAnsi"/>
                <w:b/>
                <w:szCs w:val="22"/>
              </w:rPr>
              <w:t>Option A</w:t>
            </w:r>
            <w:r w:rsidR="00C01E92" w:rsidRPr="00A0049E">
              <w:rPr>
                <w:rStyle w:val="Strong"/>
                <w:rFonts w:cstheme="minorHAnsi"/>
                <w:b/>
                <w:szCs w:val="22"/>
              </w:rPr>
              <w:t>.2.</w:t>
            </w:r>
          </w:p>
        </w:tc>
      </w:tr>
      <w:tr w:rsidR="00C01E92" w:rsidRPr="000107A9" w14:paraId="4B7826B2" w14:textId="77777777" w:rsidTr="006A6478">
        <w:trPr>
          <w:trHeight w:val="358"/>
        </w:trPr>
        <w:tc>
          <w:tcPr>
            <w:cnfStyle w:val="001000000000" w:firstRow="0" w:lastRow="0" w:firstColumn="1" w:lastColumn="0" w:oddVBand="0" w:evenVBand="0" w:oddHBand="0" w:evenHBand="0" w:firstRowFirstColumn="0" w:firstRowLastColumn="0" w:lastRowFirstColumn="0" w:lastRowLastColumn="0"/>
            <w:tcW w:w="869" w:type="pct"/>
            <w:tcBorders>
              <w:bottom w:val="single" w:sz="4" w:space="0" w:color="004EA8" w:themeColor="accent1"/>
            </w:tcBorders>
          </w:tcPr>
          <w:p w14:paraId="14454927" w14:textId="77777777" w:rsidR="00C01E92" w:rsidRPr="006A6478" w:rsidRDefault="00C01E92" w:rsidP="00A0049E">
            <w:pPr>
              <w:spacing w:after="60"/>
              <w:rPr>
                <w:rFonts w:cstheme="minorHAnsi"/>
                <w:szCs w:val="22"/>
              </w:rPr>
            </w:pPr>
            <w:r w:rsidRPr="006A6478">
              <w:rPr>
                <w:rFonts w:cstheme="minorHAnsi"/>
                <w:szCs w:val="22"/>
              </w:rPr>
              <w:t>Safety</w:t>
            </w:r>
          </w:p>
        </w:tc>
        <w:tc>
          <w:tcPr>
            <w:tcW w:w="2663" w:type="pct"/>
            <w:tcBorders>
              <w:bottom w:val="single" w:sz="4" w:space="0" w:color="004EA8" w:themeColor="accent1"/>
            </w:tcBorders>
          </w:tcPr>
          <w:p w14:paraId="4114283F" w14:textId="77777777" w:rsidR="00C01E92" w:rsidRPr="000107A9" w:rsidRDefault="00C01E92" w:rsidP="00A0049E">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Effectiveness of information provided in the Regulations regarding the process of applying for provider and service approvals in protecting the health, safety and wellbeing of children.</w:t>
            </w:r>
          </w:p>
        </w:tc>
        <w:tc>
          <w:tcPr>
            <w:tcW w:w="733" w:type="pct"/>
            <w:tcBorders>
              <w:bottom w:val="single" w:sz="4" w:space="0" w:color="004EA8" w:themeColor="accent1"/>
            </w:tcBorders>
          </w:tcPr>
          <w:p w14:paraId="3D58D2E0"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30%</w:t>
            </w:r>
          </w:p>
        </w:tc>
        <w:tc>
          <w:tcPr>
            <w:tcW w:w="734" w:type="pct"/>
            <w:tcBorders>
              <w:bottom w:val="single" w:sz="4" w:space="0" w:color="004EA8" w:themeColor="accent1"/>
            </w:tcBorders>
          </w:tcPr>
          <w:p w14:paraId="139EBAFD"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6</w:t>
            </w:r>
          </w:p>
        </w:tc>
      </w:tr>
      <w:tr w:rsidR="00A7508F" w:rsidRPr="000107A9" w14:paraId="65F51603" w14:textId="77777777" w:rsidTr="006A6478">
        <w:trPr>
          <w:trHeight w:val="358"/>
        </w:trPr>
        <w:tc>
          <w:tcPr>
            <w:cnfStyle w:val="001000000000" w:firstRow="0" w:lastRow="0" w:firstColumn="1" w:lastColumn="0" w:oddVBand="0" w:evenVBand="0" w:oddHBand="0" w:evenHBand="0" w:firstRowFirstColumn="0" w:firstRowLastColumn="0" w:lastRowFirstColumn="0" w:lastRowLastColumn="0"/>
            <w:tcW w:w="869" w:type="pct"/>
            <w:tcBorders>
              <w:right w:val="nil"/>
            </w:tcBorders>
          </w:tcPr>
          <w:p w14:paraId="118E276A" w14:textId="29B7DC3A" w:rsidR="00A7508F" w:rsidRPr="00816A6E" w:rsidRDefault="006A6478" w:rsidP="00A0049E">
            <w:pPr>
              <w:spacing w:after="60"/>
              <w:rPr>
                <w:rFonts w:cstheme="minorHAnsi"/>
                <w:b/>
                <w:szCs w:val="22"/>
              </w:rPr>
            </w:pPr>
            <w:r>
              <w:rPr>
                <w:rFonts w:cstheme="minorHAnsi"/>
                <w:b/>
                <w:szCs w:val="22"/>
              </w:rPr>
              <w:t>Total</w:t>
            </w:r>
          </w:p>
        </w:tc>
        <w:tc>
          <w:tcPr>
            <w:tcW w:w="2663" w:type="pct"/>
            <w:tcBorders>
              <w:left w:val="nil"/>
              <w:right w:val="nil"/>
            </w:tcBorders>
          </w:tcPr>
          <w:p w14:paraId="158AC8EE" w14:textId="77777777" w:rsidR="00A7508F" w:rsidRPr="000107A9" w:rsidRDefault="00A7508F" w:rsidP="00A0049E">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p>
        </w:tc>
        <w:tc>
          <w:tcPr>
            <w:tcW w:w="733" w:type="pct"/>
            <w:tcBorders>
              <w:left w:val="nil"/>
              <w:right w:val="nil"/>
            </w:tcBorders>
          </w:tcPr>
          <w:p w14:paraId="084B0784" w14:textId="77777777" w:rsidR="00A7508F" w:rsidRPr="000107A9" w:rsidRDefault="00A7508F"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p>
        </w:tc>
        <w:tc>
          <w:tcPr>
            <w:tcW w:w="734" w:type="pct"/>
            <w:tcBorders>
              <w:left w:val="nil"/>
            </w:tcBorders>
          </w:tcPr>
          <w:p w14:paraId="416BF725" w14:textId="1B254E62" w:rsidR="00A7508F" w:rsidRPr="006A6478" w:rsidRDefault="006A6478"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1.8</w:t>
            </w:r>
          </w:p>
        </w:tc>
      </w:tr>
      <w:tr w:rsidR="00C01E92" w:rsidRPr="000107A9" w14:paraId="08603683" w14:textId="77777777" w:rsidTr="006A6478">
        <w:trPr>
          <w:trHeight w:val="358"/>
        </w:trPr>
        <w:tc>
          <w:tcPr>
            <w:cnfStyle w:val="001000000000" w:firstRow="0" w:lastRow="0" w:firstColumn="1" w:lastColumn="0" w:oddVBand="0" w:evenVBand="0" w:oddHBand="0" w:evenHBand="0" w:firstRowFirstColumn="0" w:firstRowLastColumn="0" w:lastRowFirstColumn="0" w:lastRowLastColumn="0"/>
            <w:tcW w:w="869" w:type="pct"/>
            <w:tcBorders>
              <w:bottom w:val="single" w:sz="4" w:space="0" w:color="004EA8" w:themeColor="accent1"/>
            </w:tcBorders>
          </w:tcPr>
          <w:p w14:paraId="5B7149A3" w14:textId="77777777" w:rsidR="00C01E92" w:rsidRPr="006A6478" w:rsidRDefault="00C01E92" w:rsidP="00A0049E">
            <w:pPr>
              <w:spacing w:after="60"/>
              <w:rPr>
                <w:rFonts w:cstheme="minorHAnsi"/>
                <w:szCs w:val="22"/>
              </w:rPr>
            </w:pPr>
            <w:r w:rsidRPr="006A6478">
              <w:rPr>
                <w:rFonts w:cstheme="minorHAnsi"/>
                <w:szCs w:val="22"/>
              </w:rPr>
              <w:t>Quality</w:t>
            </w:r>
          </w:p>
        </w:tc>
        <w:tc>
          <w:tcPr>
            <w:tcW w:w="2663" w:type="pct"/>
            <w:tcBorders>
              <w:bottom w:val="single" w:sz="4" w:space="0" w:color="004EA8" w:themeColor="accent1"/>
            </w:tcBorders>
          </w:tcPr>
          <w:p w14:paraId="2422DD4A" w14:textId="77777777" w:rsidR="00C01E92" w:rsidRPr="000107A9" w:rsidRDefault="00C01E92" w:rsidP="00A0049E">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Effectiveness of information provided in the Regulations regarding approval processes in promoting the educational and developmental outcomes of children and the development of the children’s services sector.</w:t>
            </w:r>
          </w:p>
        </w:tc>
        <w:tc>
          <w:tcPr>
            <w:tcW w:w="733" w:type="pct"/>
            <w:tcBorders>
              <w:bottom w:val="single" w:sz="4" w:space="0" w:color="004EA8" w:themeColor="accent1"/>
            </w:tcBorders>
          </w:tcPr>
          <w:p w14:paraId="68902903"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20%</w:t>
            </w:r>
          </w:p>
        </w:tc>
        <w:tc>
          <w:tcPr>
            <w:tcW w:w="734" w:type="pct"/>
            <w:tcBorders>
              <w:bottom w:val="single" w:sz="4" w:space="0" w:color="004EA8" w:themeColor="accent1"/>
            </w:tcBorders>
          </w:tcPr>
          <w:p w14:paraId="7D823CB7" w14:textId="77777777" w:rsidR="00C01E92" w:rsidRPr="000107A9"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0107A9">
              <w:rPr>
                <w:rFonts w:cstheme="minorHAnsi"/>
                <w:szCs w:val="22"/>
              </w:rPr>
              <w:t>6</w:t>
            </w:r>
          </w:p>
        </w:tc>
      </w:tr>
      <w:tr w:rsidR="00A7508F" w:rsidRPr="000107A9" w14:paraId="2CF2AE14" w14:textId="77777777" w:rsidTr="006A6478">
        <w:trPr>
          <w:trHeight w:val="358"/>
        </w:trPr>
        <w:tc>
          <w:tcPr>
            <w:cnfStyle w:val="001000000000" w:firstRow="0" w:lastRow="0" w:firstColumn="1" w:lastColumn="0" w:oddVBand="0" w:evenVBand="0" w:oddHBand="0" w:evenHBand="0" w:firstRowFirstColumn="0" w:firstRowLastColumn="0" w:lastRowFirstColumn="0" w:lastRowLastColumn="0"/>
            <w:tcW w:w="869" w:type="pct"/>
            <w:tcBorders>
              <w:right w:val="nil"/>
            </w:tcBorders>
          </w:tcPr>
          <w:p w14:paraId="448275A1" w14:textId="442E736A" w:rsidR="00A7508F" w:rsidRPr="00816A6E" w:rsidRDefault="006A6478" w:rsidP="00A0049E">
            <w:pPr>
              <w:spacing w:after="60"/>
              <w:rPr>
                <w:rFonts w:cstheme="minorHAnsi"/>
                <w:b/>
                <w:szCs w:val="22"/>
              </w:rPr>
            </w:pPr>
            <w:r>
              <w:rPr>
                <w:rFonts w:cstheme="minorHAnsi"/>
                <w:b/>
                <w:szCs w:val="22"/>
              </w:rPr>
              <w:t>Total</w:t>
            </w:r>
          </w:p>
        </w:tc>
        <w:tc>
          <w:tcPr>
            <w:tcW w:w="2663" w:type="pct"/>
            <w:tcBorders>
              <w:left w:val="nil"/>
              <w:right w:val="nil"/>
            </w:tcBorders>
          </w:tcPr>
          <w:p w14:paraId="5BE78631" w14:textId="77777777" w:rsidR="00A7508F" w:rsidRPr="000107A9" w:rsidRDefault="00A7508F" w:rsidP="00A0049E">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p>
        </w:tc>
        <w:tc>
          <w:tcPr>
            <w:tcW w:w="733" w:type="pct"/>
            <w:tcBorders>
              <w:left w:val="nil"/>
              <w:right w:val="nil"/>
            </w:tcBorders>
          </w:tcPr>
          <w:p w14:paraId="5C13FB70" w14:textId="77777777" w:rsidR="00A7508F" w:rsidRPr="000107A9" w:rsidRDefault="00A7508F"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p>
        </w:tc>
        <w:tc>
          <w:tcPr>
            <w:tcW w:w="734" w:type="pct"/>
            <w:tcBorders>
              <w:left w:val="nil"/>
            </w:tcBorders>
          </w:tcPr>
          <w:p w14:paraId="05A1D846" w14:textId="482AD78E" w:rsidR="00A7508F" w:rsidRPr="000107A9" w:rsidRDefault="006A6478"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1.2</w:t>
            </w:r>
          </w:p>
        </w:tc>
      </w:tr>
    </w:tbl>
    <w:p w14:paraId="383D2313" w14:textId="435F0A86" w:rsidR="00C01E92" w:rsidRPr="000107A9" w:rsidRDefault="00C01E92" w:rsidP="002806C5">
      <w:pPr>
        <w:pStyle w:val="EYHeading4"/>
        <w:numPr>
          <w:ilvl w:val="3"/>
          <w:numId w:val="83"/>
        </w:numPr>
        <w:spacing w:before="120"/>
        <w:rPr>
          <w:rFonts w:asciiTheme="minorHAnsi" w:hAnsiTheme="minorHAnsi" w:cstheme="minorHAnsi"/>
          <w:szCs w:val="22"/>
        </w:rPr>
      </w:pPr>
      <w:r w:rsidRPr="000107A9">
        <w:rPr>
          <w:rFonts w:asciiTheme="minorHAnsi" w:hAnsiTheme="minorHAnsi" w:cstheme="minorHAnsi"/>
          <w:szCs w:val="22"/>
        </w:rPr>
        <w:lastRenderedPageBreak/>
        <w:t xml:space="preserve">Service approval </w:t>
      </w:r>
      <w:r w:rsidR="009F2454">
        <w:rPr>
          <w:rFonts w:asciiTheme="minorHAnsi" w:hAnsiTheme="minorHAnsi" w:cstheme="minorHAnsi"/>
          <w:szCs w:val="22"/>
        </w:rPr>
        <w:t>types</w:t>
      </w:r>
    </w:p>
    <w:p w14:paraId="1C776D0A" w14:textId="7A172644"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Two options with respect to service </w:t>
      </w:r>
      <w:r w:rsidR="009F2454">
        <w:rPr>
          <w:rFonts w:asciiTheme="minorHAnsi" w:hAnsiTheme="minorHAnsi" w:cstheme="minorHAnsi"/>
          <w:sz w:val="22"/>
          <w:szCs w:val="22"/>
        </w:rPr>
        <w:t>approval types</w:t>
      </w:r>
      <w:r w:rsidRPr="000107A9">
        <w:rPr>
          <w:rFonts w:asciiTheme="minorHAnsi" w:hAnsiTheme="minorHAnsi" w:cstheme="minorHAnsi"/>
          <w:sz w:val="22"/>
          <w:szCs w:val="22"/>
        </w:rPr>
        <w:t xml:space="preserve"> are assessed in this section: Status Quo and alignment. Under the Act, prospective providers must apply for service approvals and approvals are granted subject to conditions, but no </w:t>
      </w:r>
      <w:r w:rsidR="00B71093">
        <w:rPr>
          <w:rFonts w:asciiTheme="minorHAnsi" w:hAnsiTheme="minorHAnsi" w:cstheme="minorHAnsi"/>
          <w:sz w:val="22"/>
          <w:szCs w:val="22"/>
        </w:rPr>
        <w:t>service approval types</w:t>
      </w:r>
      <w:r w:rsidRPr="000107A9">
        <w:rPr>
          <w:rFonts w:asciiTheme="minorHAnsi" w:hAnsiTheme="minorHAnsi" w:cstheme="minorHAnsi"/>
          <w:sz w:val="22"/>
          <w:szCs w:val="22"/>
        </w:rPr>
        <w:t xml:space="preserve"> are specified, meaning that no </w:t>
      </w:r>
      <w:r w:rsidR="00B71093">
        <w:rPr>
          <w:rFonts w:asciiTheme="minorHAnsi" w:hAnsiTheme="minorHAnsi" w:cstheme="minorHAnsi"/>
          <w:sz w:val="22"/>
          <w:szCs w:val="22"/>
        </w:rPr>
        <w:t>service approval types</w:t>
      </w:r>
      <w:r w:rsidRPr="000107A9">
        <w:rPr>
          <w:rFonts w:asciiTheme="minorHAnsi" w:hAnsiTheme="minorHAnsi" w:cstheme="minorHAnsi"/>
          <w:sz w:val="22"/>
          <w:szCs w:val="22"/>
        </w:rPr>
        <w:t xml:space="preserve"> would exist in the base case. </w:t>
      </w:r>
    </w:p>
    <w:p w14:paraId="2C9EEA02" w14:textId="2FD4935F" w:rsidR="00C01E92" w:rsidRPr="000107A9" w:rsidRDefault="006A6478" w:rsidP="00C01E92">
      <w:pPr>
        <w:pStyle w:val="EYBodytextwithparaspace"/>
        <w:spacing w:before="120" w:after="120"/>
        <w:rPr>
          <w:rFonts w:asciiTheme="minorHAnsi" w:hAnsiTheme="minorHAnsi" w:cstheme="minorHAnsi"/>
          <w:b/>
          <w:sz w:val="22"/>
          <w:szCs w:val="22"/>
        </w:rPr>
      </w:pPr>
      <w:r>
        <w:rPr>
          <w:rFonts w:asciiTheme="minorHAnsi" w:hAnsiTheme="minorHAnsi" w:cstheme="minorHAnsi"/>
          <w:b/>
          <w:sz w:val="22"/>
          <w:szCs w:val="22"/>
        </w:rPr>
        <w:t>Option B.1. Status Quo</w:t>
      </w:r>
    </w:p>
    <w:p w14:paraId="67840C3E" w14:textId="77777777" w:rsidR="00C01E92" w:rsidRPr="000107A9" w:rsidRDefault="00C01E92" w:rsidP="00C01E92">
      <w:pPr>
        <w:pStyle w:val="EYBodytextwithparaspace"/>
        <w:spacing w:before="120" w:after="120"/>
        <w:rPr>
          <w:rFonts w:asciiTheme="minorHAnsi" w:hAnsiTheme="minorHAnsi" w:cstheme="minorHAnsi"/>
          <w:bCs/>
          <w:sz w:val="22"/>
          <w:szCs w:val="22"/>
        </w:rPr>
      </w:pPr>
      <w:r w:rsidRPr="000107A9">
        <w:rPr>
          <w:rFonts w:asciiTheme="minorHAnsi" w:hAnsiTheme="minorHAnsi" w:cstheme="minorHAnsi"/>
          <w:sz w:val="22"/>
          <w:szCs w:val="22"/>
        </w:rPr>
        <w:t xml:space="preserve">Under this option, the Regulations prescribe seven licence types and impose different staffing and other operating conditions on each licence type. </w:t>
      </w:r>
      <w:r w:rsidRPr="000107A9">
        <w:rPr>
          <w:rFonts w:asciiTheme="minorHAnsi" w:hAnsiTheme="minorHAnsi" w:cstheme="minorHAnsi"/>
          <w:bCs/>
          <w:sz w:val="22"/>
          <w:szCs w:val="22"/>
        </w:rPr>
        <w:t xml:space="preserve">This option is mildly more effective than the base case, as assessed against both the safety and quality criteria. </w:t>
      </w:r>
    </w:p>
    <w:p w14:paraId="73C2190C" w14:textId="25ABFE61" w:rsidR="00C01E92" w:rsidRPr="00A87CDF" w:rsidRDefault="00C01E92" w:rsidP="00C01E92">
      <w:pPr>
        <w:pStyle w:val="EYBodytextwithparaspace"/>
        <w:spacing w:before="120" w:after="120"/>
        <w:rPr>
          <w:rStyle w:val="Strong"/>
          <w:rFonts w:asciiTheme="minorHAnsi" w:hAnsiTheme="minorHAnsi" w:cstheme="minorHAnsi"/>
          <w:b w:val="0"/>
          <w:sz w:val="22"/>
          <w:szCs w:val="22"/>
        </w:rPr>
      </w:pPr>
      <w:r w:rsidRPr="00A87CDF">
        <w:rPr>
          <w:rFonts w:asciiTheme="minorHAnsi" w:hAnsiTheme="minorHAnsi" w:cstheme="minorHAnsi"/>
          <w:bCs/>
          <w:sz w:val="22"/>
          <w:szCs w:val="22"/>
        </w:rPr>
        <w:t>Under</w:t>
      </w:r>
      <w:r w:rsidRPr="00A87CDF">
        <w:rPr>
          <w:rStyle w:val="Strong"/>
          <w:rFonts w:asciiTheme="minorHAnsi" w:hAnsiTheme="minorHAnsi" w:cstheme="minorHAnsi"/>
          <w:b w:val="0"/>
          <w:sz w:val="22"/>
          <w:szCs w:val="22"/>
        </w:rPr>
        <w:t xml:space="preserve"> the Act, service approvals are granted subject to any conditions prescribed by the Regulations.</w:t>
      </w:r>
      <w:r w:rsidRPr="00A87CDF">
        <w:rPr>
          <w:rStyle w:val="FootnoteReference"/>
          <w:rFonts w:asciiTheme="minorHAnsi" w:hAnsiTheme="minorHAnsi" w:cstheme="minorHAnsi"/>
          <w:bCs/>
          <w:color w:val="auto"/>
          <w:sz w:val="22"/>
          <w:szCs w:val="22"/>
        </w:rPr>
        <w:footnoteReference w:id="67"/>
      </w:r>
      <w:r w:rsidRPr="00A87CDF">
        <w:rPr>
          <w:rStyle w:val="Strong"/>
          <w:rFonts w:asciiTheme="minorHAnsi" w:hAnsiTheme="minorHAnsi" w:cstheme="minorHAnsi"/>
          <w:b w:val="0"/>
          <w:sz w:val="22"/>
          <w:szCs w:val="22"/>
        </w:rPr>
        <w:t xml:space="preserve"> The main role played by the licence types in the current Regulations is creating a mechanism for the Department to categorise services and apply appropriate operating conditions and limitations across all services within each category. Service approval </w:t>
      </w:r>
      <w:r w:rsidR="00B71093">
        <w:rPr>
          <w:rStyle w:val="Strong"/>
          <w:rFonts w:asciiTheme="minorHAnsi" w:hAnsiTheme="minorHAnsi" w:cstheme="minorHAnsi"/>
          <w:b w:val="0"/>
          <w:sz w:val="22"/>
          <w:szCs w:val="22"/>
        </w:rPr>
        <w:t>types</w:t>
      </w:r>
      <w:r w:rsidRPr="00A87CDF">
        <w:rPr>
          <w:rStyle w:val="Strong"/>
          <w:rFonts w:asciiTheme="minorHAnsi" w:hAnsiTheme="minorHAnsi" w:cstheme="minorHAnsi"/>
          <w:b w:val="0"/>
          <w:sz w:val="22"/>
          <w:szCs w:val="22"/>
        </w:rPr>
        <w:t xml:space="preserve"> automatically ensure that all services operating for particular durations with particular traits are required to provide education and care to children at the standard suitable for that category. </w:t>
      </w:r>
    </w:p>
    <w:p w14:paraId="7847E1C9" w14:textId="415714E7" w:rsidR="00C01E92" w:rsidRPr="00A87CDF" w:rsidRDefault="00C01E92" w:rsidP="00C01E92">
      <w:pPr>
        <w:pStyle w:val="EYBodytextwithparaspace"/>
        <w:spacing w:before="120" w:after="120"/>
        <w:rPr>
          <w:rStyle w:val="Strong"/>
          <w:rFonts w:asciiTheme="minorHAnsi" w:hAnsiTheme="minorHAnsi" w:cstheme="minorHAnsi"/>
          <w:b w:val="0"/>
          <w:sz w:val="22"/>
          <w:szCs w:val="22"/>
        </w:rPr>
      </w:pPr>
      <w:r w:rsidRPr="00A87CDF">
        <w:rPr>
          <w:rFonts w:asciiTheme="minorHAnsi" w:hAnsiTheme="minorHAnsi" w:cstheme="minorHAnsi"/>
          <w:bCs/>
          <w:sz w:val="22"/>
          <w:szCs w:val="22"/>
        </w:rPr>
        <w:t>Both</w:t>
      </w:r>
      <w:r w:rsidRPr="00A87CDF">
        <w:rPr>
          <w:rStyle w:val="Strong"/>
          <w:rFonts w:asciiTheme="minorHAnsi" w:hAnsiTheme="minorHAnsi" w:cstheme="minorHAnsi"/>
          <w:b w:val="0"/>
          <w:sz w:val="22"/>
          <w:szCs w:val="22"/>
        </w:rPr>
        <w:t xml:space="preserve"> regulatory options are slightly more effective than the base case because they enable more efficient regulation of the sector. The Department staff are readily able to place and identify operating conditions on a service approval and assess compliance with those conditions. As the service </w:t>
      </w:r>
      <w:r w:rsidR="00B71093">
        <w:rPr>
          <w:rStyle w:val="Strong"/>
          <w:rFonts w:asciiTheme="minorHAnsi" w:hAnsiTheme="minorHAnsi" w:cstheme="minorHAnsi"/>
          <w:b w:val="0"/>
          <w:sz w:val="22"/>
          <w:szCs w:val="22"/>
        </w:rPr>
        <w:t>approval types</w:t>
      </w:r>
      <w:r w:rsidRPr="00A87CDF">
        <w:rPr>
          <w:rStyle w:val="Strong"/>
          <w:rFonts w:asciiTheme="minorHAnsi" w:hAnsiTheme="minorHAnsi" w:cstheme="minorHAnsi"/>
          <w:b w:val="0"/>
          <w:sz w:val="22"/>
          <w:szCs w:val="22"/>
        </w:rPr>
        <w:t xml:space="preserve"> are differentiated in ways relevant to the health, safety and wellbeing of children and the quality of service (for example, the duration for which children may be cared for at a service), enabling the Department staff to more efficiently assess compliance with category conditions makes Option B.1 and B.2 somewhat more effective than the base case. </w:t>
      </w:r>
    </w:p>
    <w:p w14:paraId="78ADC2BE" w14:textId="4810A36F" w:rsidR="00C01E92" w:rsidRPr="00A87CDF" w:rsidRDefault="00C01E92" w:rsidP="00C01E92">
      <w:pPr>
        <w:pStyle w:val="EYBodytextwithparaspace"/>
        <w:spacing w:before="120" w:after="120"/>
        <w:rPr>
          <w:rStyle w:val="Strong"/>
          <w:rFonts w:asciiTheme="minorHAnsi" w:hAnsiTheme="minorHAnsi" w:cstheme="minorHAnsi"/>
          <w:b w:val="0"/>
          <w:sz w:val="22"/>
          <w:szCs w:val="22"/>
        </w:rPr>
      </w:pPr>
      <w:r w:rsidRPr="00A87CDF">
        <w:rPr>
          <w:rStyle w:val="Strong"/>
          <w:rFonts w:asciiTheme="minorHAnsi" w:hAnsiTheme="minorHAnsi" w:cstheme="minorHAnsi"/>
          <w:b w:val="0"/>
          <w:sz w:val="22"/>
          <w:szCs w:val="22"/>
        </w:rPr>
        <w:t xml:space="preserve">Additionally, the service </w:t>
      </w:r>
      <w:r w:rsidR="00B71093">
        <w:rPr>
          <w:rStyle w:val="Strong"/>
          <w:rFonts w:asciiTheme="minorHAnsi" w:hAnsiTheme="minorHAnsi" w:cstheme="minorHAnsi"/>
          <w:b w:val="0"/>
          <w:sz w:val="22"/>
          <w:szCs w:val="22"/>
        </w:rPr>
        <w:t>approval types</w:t>
      </w:r>
      <w:r w:rsidRPr="00A87CDF">
        <w:rPr>
          <w:rStyle w:val="Strong"/>
          <w:rFonts w:asciiTheme="minorHAnsi" w:hAnsiTheme="minorHAnsi" w:cstheme="minorHAnsi"/>
          <w:b w:val="0"/>
          <w:sz w:val="22"/>
          <w:szCs w:val="22"/>
        </w:rPr>
        <w:t xml:space="preserve"> may mean that applicants can readily identify the conditions applying to the type of service they wish to operate (as set out in other parts of the Regulations). This could assist providers in ensuring that their services meet the minimum protective and quality standards deemed necessary for their type of service. However, it is not clear that having conditions attach to approval </w:t>
      </w:r>
      <w:r w:rsidR="00B71093">
        <w:rPr>
          <w:rStyle w:val="Strong"/>
          <w:rFonts w:asciiTheme="minorHAnsi" w:hAnsiTheme="minorHAnsi" w:cstheme="minorHAnsi"/>
          <w:b w:val="0"/>
          <w:sz w:val="22"/>
          <w:szCs w:val="22"/>
        </w:rPr>
        <w:t>types</w:t>
      </w:r>
      <w:r w:rsidRPr="00A87CDF">
        <w:rPr>
          <w:rStyle w:val="Strong"/>
          <w:rFonts w:asciiTheme="minorHAnsi" w:hAnsiTheme="minorHAnsi" w:cstheme="minorHAnsi"/>
          <w:b w:val="0"/>
          <w:sz w:val="22"/>
          <w:szCs w:val="22"/>
        </w:rPr>
        <w:t xml:space="preserve"> would be a more effective way of achieving this outcome than each specific approval being granted subject to equivalent conditions. </w:t>
      </w:r>
    </w:p>
    <w:p w14:paraId="3D14F46D" w14:textId="77777777" w:rsidR="00C01E92" w:rsidRPr="00A87CDF" w:rsidRDefault="00C01E92" w:rsidP="00C01E92">
      <w:pPr>
        <w:pStyle w:val="EYBodytextwithparaspace"/>
        <w:spacing w:before="120" w:after="120"/>
        <w:rPr>
          <w:rStyle w:val="Strong"/>
          <w:rFonts w:asciiTheme="minorHAnsi" w:hAnsiTheme="minorHAnsi" w:cstheme="minorHAnsi"/>
          <w:b w:val="0"/>
          <w:sz w:val="22"/>
          <w:szCs w:val="22"/>
        </w:rPr>
      </w:pPr>
      <w:r w:rsidRPr="00A87CDF">
        <w:rPr>
          <w:rStyle w:val="Strong"/>
          <w:rFonts w:asciiTheme="minorHAnsi" w:hAnsiTheme="minorHAnsi" w:cstheme="minorHAnsi"/>
          <w:b w:val="0"/>
          <w:sz w:val="22"/>
          <w:szCs w:val="22"/>
        </w:rPr>
        <w:t xml:space="preserve">There may be a slight additional benefit in relation to driving quality improvements across the sector through the relatively </w:t>
      </w:r>
      <w:r w:rsidRPr="00A87CDF">
        <w:rPr>
          <w:rFonts w:asciiTheme="minorHAnsi" w:hAnsiTheme="minorHAnsi" w:cstheme="minorHAnsi"/>
          <w:bCs/>
          <w:sz w:val="22"/>
          <w:szCs w:val="22"/>
        </w:rPr>
        <w:t>minimal</w:t>
      </w:r>
      <w:r w:rsidRPr="00A87CDF">
        <w:rPr>
          <w:rStyle w:val="Strong"/>
          <w:rFonts w:asciiTheme="minorHAnsi" w:hAnsiTheme="minorHAnsi" w:cstheme="minorHAnsi"/>
          <w:b w:val="0"/>
          <w:sz w:val="22"/>
          <w:szCs w:val="22"/>
        </w:rPr>
        <w:t xml:space="preserve"> regulatory reform of amending conditions for a particular service category, the Department can make changes to lift quality in multiple services. </w:t>
      </w:r>
    </w:p>
    <w:p w14:paraId="67F1C7BF" w14:textId="4102B09B" w:rsidR="00C01E92" w:rsidRPr="000107A9" w:rsidRDefault="00C01E92" w:rsidP="00C01E92">
      <w:pPr>
        <w:pStyle w:val="EYBodytextwithparaspace"/>
        <w:spacing w:before="120" w:after="120"/>
        <w:rPr>
          <w:rFonts w:asciiTheme="minorHAnsi" w:hAnsiTheme="minorHAnsi" w:cstheme="minorHAnsi"/>
          <w:bCs/>
          <w:sz w:val="22"/>
          <w:szCs w:val="22"/>
        </w:rPr>
      </w:pPr>
      <w:r w:rsidRPr="000107A9">
        <w:rPr>
          <w:rFonts w:asciiTheme="minorHAnsi" w:hAnsiTheme="minorHAnsi" w:cstheme="minorHAnsi"/>
          <w:bCs/>
          <w:sz w:val="22"/>
          <w:szCs w:val="22"/>
        </w:rPr>
        <w:t xml:space="preserve">The capacity for the service approval </w:t>
      </w:r>
      <w:r w:rsidR="00B71093">
        <w:rPr>
          <w:rFonts w:asciiTheme="minorHAnsi" w:hAnsiTheme="minorHAnsi" w:cstheme="minorHAnsi"/>
          <w:bCs/>
          <w:sz w:val="22"/>
          <w:szCs w:val="22"/>
        </w:rPr>
        <w:t>types</w:t>
      </w:r>
      <w:r w:rsidRPr="000107A9">
        <w:rPr>
          <w:rFonts w:asciiTheme="minorHAnsi" w:hAnsiTheme="minorHAnsi" w:cstheme="minorHAnsi"/>
          <w:bCs/>
          <w:sz w:val="22"/>
          <w:szCs w:val="22"/>
        </w:rPr>
        <w:t xml:space="preserve"> to facilitate more efficient regulation and to educate applicants about the </w:t>
      </w:r>
      <w:r w:rsidRPr="000107A9">
        <w:rPr>
          <w:rFonts w:asciiTheme="minorHAnsi" w:hAnsiTheme="minorHAnsi" w:cstheme="minorHAnsi"/>
          <w:sz w:val="22"/>
          <w:szCs w:val="22"/>
        </w:rPr>
        <w:t>operating</w:t>
      </w:r>
      <w:r w:rsidRPr="000107A9">
        <w:rPr>
          <w:rFonts w:asciiTheme="minorHAnsi" w:hAnsiTheme="minorHAnsi" w:cstheme="minorHAnsi"/>
          <w:bCs/>
          <w:sz w:val="22"/>
          <w:szCs w:val="22"/>
        </w:rPr>
        <w:t xml:space="preserve"> requirements for different types of service mean that Option B.1 would be mildly more effective relative to the base case in achieving the safety and quality benefits. </w:t>
      </w:r>
    </w:p>
    <w:p w14:paraId="4188D589" w14:textId="77777777" w:rsidR="00C01E92" w:rsidRPr="000107A9" w:rsidRDefault="00C01E92" w:rsidP="00C01E92">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b/>
          <w:sz w:val="22"/>
          <w:szCs w:val="22"/>
        </w:rPr>
        <w:t>Option B.2. Alignment</w:t>
      </w:r>
    </w:p>
    <w:p w14:paraId="3974B8DE" w14:textId="1CA1D5C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proposed Regulations prescribe two </w:t>
      </w:r>
      <w:r w:rsidR="00B71093">
        <w:rPr>
          <w:rFonts w:asciiTheme="minorHAnsi" w:hAnsiTheme="minorHAnsi" w:cstheme="minorHAnsi"/>
          <w:sz w:val="22"/>
          <w:szCs w:val="22"/>
        </w:rPr>
        <w:t>service approval types</w:t>
      </w:r>
      <w:r w:rsidRPr="000107A9">
        <w:rPr>
          <w:rFonts w:asciiTheme="minorHAnsi" w:hAnsiTheme="minorHAnsi" w:cstheme="minorHAnsi"/>
          <w:sz w:val="22"/>
          <w:szCs w:val="22"/>
        </w:rPr>
        <w:t xml:space="preserve">. The ‘Occasional Care’ </w:t>
      </w:r>
      <w:r w:rsidR="00B71093">
        <w:rPr>
          <w:rFonts w:asciiTheme="minorHAnsi" w:hAnsiTheme="minorHAnsi" w:cstheme="minorHAnsi"/>
          <w:sz w:val="22"/>
          <w:szCs w:val="22"/>
        </w:rPr>
        <w:t>service approval type</w:t>
      </w:r>
      <w:r w:rsidRPr="000107A9">
        <w:rPr>
          <w:rFonts w:asciiTheme="minorHAnsi" w:hAnsiTheme="minorHAnsi" w:cstheme="minorHAnsi"/>
          <w:sz w:val="22"/>
          <w:szCs w:val="22"/>
        </w:rPr>
        <w:t xml:space="preserve"> includes the current Standard, Short-term type 1, Limited Hours type 2 and School Holidays Care licence </w:t>
      </w:r>
      <w:r w:rsidR="00B71093">
        <w:rPr>
          <w:rFonts w:asciiTheme="minorHAnsi" w:hAnsiTheme="minorHAnsi" w:cstheme="minorHAnsi"/>
          <w:sz w:val="22"/>
          <w:szCs w:val="22"/>
        </w:rPr>
        <w:t>types</w:t>
      </w:r>
      <w:r w:rsidRPr="000107A9">
        <w:rPr>
          <w:rFonts w:asciiTheme="minorHAnsi" w:hAnsiTheme="minorHAnsi" w:cstheme="minorHAnsi"/>
          <w:sz w:val="22"/>
          <w:szCs w:val="22"/>
        </w:rPr>
        <w:t xml:space="preserve">. The ‘Limited Hours’ </w:t>
      </w:r>
      <w:r w:rsidR="00B71093">
        <w:rPr>
          <w:rFonts w:asciiTheme="minorHAnsi" w:hAnsiTheme="minorHAnsi" w:cstheme="minorHAnsi"/>
          <w:sz w:val="22"/>
          <w:szCs w:val="22"/>
        </w:rPr>
        <w:t>service approval type</w:t>
      </w:r>
      <w:r w:rsidRPr="000107A9">
        <w:rPr>
          <w:rFonts w:asciiTheme="minorHAnsi" w:hAnsiTheme="minorHAnsi" w:cstheme="minorHAnsi"/>
          <w:sz w:val="22"/>
          <w:szCs w:val="22"/>
        </w:rPr>
        <w:t xml:space="preserve"> includes the current Limited Hours type 1 and Short-term type 2 licences. </w:t>
      </w:r>
    </w:p>
    <w:p w14:paraId="64D0BF92" w14:textId="196F3D2D" w:rsidR="00C01E92" w:rsidRPr="00DB4C0F" w:rsidRDefault="00C01E92" w:rsidP="00C01E92">
      <w:pPr>
        <w:pStyle w:val="EYBodytextwithparaspace"/>
        <w:spacing w:before="120" w:after="120"/>
        <w:rPr>
          <w:rFonts w:asciiTheme="minorHAnsi" w:hAnsiTheme="minorHAnsi" w:cstheme="minorHAnsi"/>
          <w:bCs/>
          <w:sz w:val="22"/>
          <w:szCs w:val="22"/>
        </w:rPr>
      </w:pPr>
      <w:r w:rsidRPr="00DB4C0F">
        <w:rPr>
          <w:rFonts w:asciiTheme="minorHAnsi" w:hAnsiTheme="minorHAnsi" w:cstheme="minorHAnsi"/>
          <w:bCs/>
          <w:sz w:val="22"/>
          <w:szCs w:val="22"/>
        </w:rPr>
        <w:t xml:space="preserve">The alignment option has similar beneficial effects described in relation </w:t>
      </w:r>
      <w:r w:rsidR="00537722">
        <w:rPr>
          <w:rFonts w:asciiTheme="minorHAnsi" w:hAnsiTheme="minorHAnsi" w:cstheme="minorHAnsi"/>
          <w:bCs/>
          <w:sz w:val="22"/>
          <w:szCs w:val="22"/>
        </w:rPr>
        <w:t>to the Status Quo option above.</w:t>
      </w:r>
    </w:p>
    <w:p w14:paraId="37522E4A" w14:textId="5C8D2C72" w:rsidR="00C01E92" w:rsidRPr="00DB4C0F" w:rsidRDefault="00C01E92" w:rsidP="00C01E92">
      <w:pPr>
        <w:pStyle w:val="EYBodytextwithparaspace"/>
        <w:spacing w:before="120" w:after="120"/>
        <w:rPr>
          <w:rStyle w:val="Strong"/>
          <w:rFonts w:asciiTheme="minorHAnsi" w:hAnsiTheme="minorHAnsi" w:cstheme="minorHAnsi"/>
          <w:b w:val="0"/>
          <w:sz w:val="22"/>
          <w:szCs w:val="22"/>
        </w:rPr>
      </w:pPr>
      <w:r w:rsidRPr="00DB4C0F">
        <w:rPr>
          <w:rFonts w:asciiTheme="minorHAnsi" w:hAnsiTheme="minorHAnsi" w:cstheme="minorHAnsi"/>
          <w:bCs/>
          <w:sz w:val="22"/>
          <w:szCs w:val="22"/>
        </w:rPr>
        <w:t>However, the proposed Regulations regarding the two service approval</w:t>
      </w:r>
      <w:r w:rsidR="00B71093">
        <w:rPr>
          <w:rFonts w:asciiTheme="minorHAnsi" w:hAnsiTheme="minorHAnsi" w:cstheme="minorHAnsi"/>
          <w:bCs/>
          <w:sz w:val="22"/>
          <w:szCs w:val="22"/>
        </w:rPr>
        <w:t xml:space="preserve"> types</w:t>
      </w:r>
      <w:r w:rsidRPr="00DB4C0F">
        <w:rPr>
          <w:rFonts w:asciiTheme="minorHAnsi" w:hAnsiTheme="minorHAnsi" w:cstheme="minorHAnsi"/>
          <w:bCs/>
          <w:sz w:val="22"/>
          <w:szCs w:val="22"/>
        </w:rPr>
        <w:t xml:space="preserve"> – Occasional Care and Limited Hours – may</w:t>
      </w:r>
      <w:r w:rsidRPr="00DB4C0F">
        <w:rPr>
          <w:rStyle w:val="Strong"/>
          <w:rFonts w:asciiTheme="minorHAnsi" w:hAnsiTheme="minorHAnsi" w:cstheme="minorHAnsi"/>
          <w:b w:val="0"/>
          <w:sz w:val="22"/>
          <w:szCs w:val="22"/>
        </w:rPr>
        <w:t xml:space="preserve"> be more effective than the current Regulations as they provide a clearer </w:t>
      </w:r>
      <w:r w:rsidRPr="00DB4C0F">
        <w:rPr>
          <w:rStyle w:val="Strong"/>
          <w:rFonts w:asciiTheme="minorHAnsi" w:hAnsiTheme="minorHAnsi" w:cstheme="minorHAnsi"/>
          <w:b w:val="0"/>
          <w:sz w:val="22"/>
          <w:szCs w:val="22"/>
        </w:rPr>
        <w:lastRenderedPageBreak/>
        <w:t xml:space="preserve">and more straightforward way for applicants to understand the conditions applying to the type of service they wish to operate and for the Secretary to determine the conditions which should apply to each prospective service. </w:t>
      </w:r>
    </w:p>
    <w:p w14:paraId="66C69616" w14:textId="51DE9F8E" w:rsidR="00C01E92" w:rsidRPr="00DB4C0F" w:rsidRDefault="00C01E92" w:rsidP="00C01E92">
      <w:pPr>
        <w:pStyle w:val="EYBodytextwithparaspace"/>
        <w:spacing w:before="120" w:after="120"/>
        <w:rPr>
          <w:rStyle w:val="Strong"/>
          <w:rFonts w:asciiTheme="minorHAnsi" w:hAnsiTheme="minorHAnsi" w:cstheme="minorHAnsi"/>
          <w:b w:val="0"/>
          <w:sz w:val="22"/>
          <w:szCs w:val="22"/>
        </w:rPr>
      </w:pPr>
      <w:r w:rsidRPr="00DB4C0F">
        <w:rPr>
          <w:rStyle w:val="Strong"/>
          <w:rFonts w:asciiTheme="minorHAnsi" w:hAnsiTheme="minorHAnsi" w:cstheme="minorHAnsi"/>
          <w:b w:val="0"/>
          <w:sz w:val="22"/>
          <w:szCs w:val="22"/>
        </w:rPr>
        <w:t xml:space="preserve">The current seven licence types are overly specific and the differing conditions of each licence type can cause confusion for service providers. Streamlining the </w:t>
      </w:r>
      <w:r w:rsidR="00B71093">
        <w:rPr>
          <w:rStyle w:val="Strong"/>
          <w:rFonts w:asciiTheme="minorHAnsi" w:hAnsiTheme="minorHAnsi" w:cstheme="minorHAnsi"/>
          <w:b w:val="0"/>
          <w:sz w:val="22"/>
          <w:szCs w:val="22"/>
        </w:rPr>
        <w:t>types</w:t>
      </w:r>
      <w:r w:rsidRPr="00DB4C0F">
        <w:rPr>
          <w:rStyle w:val="Strong"/>
          <w:rFonts w:asciiTheme="minorHAnsi" w:hAnsiTheme="minorHAnsi" w:cstheme="minorHAnsi"/>
          <w:b w:val="0"/>
          <w:sz w:val="22"/>
          <w:szCs w:val="22"/>
        </w:rPr>
        <w:t xml:space="preserve"> means that service providers will be better able to understand and comply with the conditions attaching to their service approval and, therefore, to operate in a way that protects the </w:t>
      </w:r>
      <w:r w:rsidR="00B71093">
        <w:rPr>
          <w:rStyle w:val="Strong"/>
          <w:rFonts w:asciiTheme="minorHAnsi" w:hAnsiTheme="minorHAnsi" w:cstheme="minorHAnsi"/>
          <w:b w:val="0"/>
          <w:sz w:val="22"/>
          <w:szCs w:val="22"/>
        </w:rPr>
        <w:t xml:space="preserve">safety, </w:t>
      </w:r>
      <w:r w:rsidRPr="00DB4C0F">
        <w:rPr>
          <w:rStyle w:val="Strong"/>
          <w:rFonts w:asciiTheme="minorHAnsi" w:hAnsiTheme="minorHAnsi" w:cstheme="minorHAnsi"/>
          <w:b w:val="0"/>
          <w:sz w:val="22"/>
          <w:szCs w:val="22"/>
        </w:rPr>
        <w:t xml:space="preserve">health and wellbeing of children in their care and deliver quality services to children. </w:t>
      </w:r>
    </w:p>
    <w:p w14:paraId="6B78B596" w14:textId="7D381439"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_Ref24542292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 xml:space="preserve">Table </w:t>
      </w:r>
      <w:r w:rsidR="00493211" w:rsidRPr="00493211">
        <w:rPr>
          <w:rFonts w:asciiTheme="minorHAnsi" w:hAnsiTheme="minorHAnsi" w:cstheme="minorHAnsi"/>
          <w:noProof/>
          <w:sz w:val="22"/>
          <w:szCs w:val="22"/>
        </w:rPr>
        <w:t>48</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provides the scores given to Option B.1 and Option B.2 against the two benefits criteria.</w:t>
      </w:r>
    </w:p>
    <w:p w14:paraId="10DB3567" w14:textId="751904AD" w:rsidR="00C01E92" w:rsidRPr="000107A9" w:rsidRDefault="00C01E92" w:rsidP="00F7569F">
      <w:pPr>
        <w:pStyle w:val="Caption"/>
      </w:pPr>
      <w:bookmarkStart w:id="252" w:name="_Ref24542292"/>
      <w:bookmarkStart w:id="253" w:name="_Toc32592831"/>
      <w:r w:rsidRPr="000107A9">
        <w:t xml:space="preserve">Table </w:t>
      </w:r>
      <w:r w:rsidRPr="000107A9">
        <w:fldChar w:fldCharType="begin"/>
      </w:r>
      <w:r w:rsidRPr="000107A9">
        <w:instrText xml:space="preserve"> SEQ Table \* ARABIC </w:instrText>
      </w:r>
      <w:r w:rsidRPr="000107A9">
        <w:fldChar w:fldCharType="separate"/>
      </w:r>
      <w:r w:rsidR="00493211">
        <w:rPr>
          <w:noProof/>
        </w:rPr>
        <w:t>48</w:t>
      </w:r>
      <w:r w:rsidRPr="000107A9">
        <w:fldChar w:fldCharType="end"/>
      </w:r>
      <w:bookmarkEnd w:id="252"/>
      <w:r w:rsidRPr="000107A9">
        <w:t xml:space="preserve"> Service approval</w:t>
      </w:r>
      <w:r w:rsidR="009F2454">
        <w:t xml:space="preserve"> types</w:t>
      </w:r>
      <w:r w:rsidRPr="000107A9">
        <w:t>– benefits scores</w:t>
      </w:r>
      <w:bookmarkEnd w:id="253"/>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464"/>
        <w:gridCol w:w="4204"/>
        <w:gridCol w:w="1318"/>
        <w:gridCol w:w="1318"/>
        <w:gridCol w:w="1318"/>
      </w:tblGrid>
      <w:tr w:rsidR="00C01E92" w:rsidRPr="00A0049E" w14:paraId="32CDB2A3" w14:textId="77777777" w:rsidTr="006A6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pct"/>
            <w:tcBorders>
              <w:right w:val="none" w:sz="0" w:space="0" w:color="auto"/>
            </w:tcBorders>
          </w:tcPr>
          <w:p w14:paraId="449C7846" w14:textId="77777777" w:rsidR="00C01E92" w:rsidRPr="00A0049E" w:rsidRDefault="00C01E92" w:rsidP="00A0049E">
            <w:pPr>
              <w:spacing w:after="60"/>
              <w:rPr>
                <w:rStyle w:val="Strong"/>
                <w:rFonts w:cstheme="minorHAnsi"/>
                <w:b/>
                <w:szCs w:val="22"/>
              </w:rPr>
            </w:pPr>
            <w:r w:rsidRPr="00A0049E">
              <w:rPr>
                <w:rStyle w:val="Strong"/>
                <w:rFonts w:cstheme="minorHAnsi"/>
                <w:b/>
                <w:szCs w:val="22"/>
              </w:rPr>
              <w:t>Criterion</w:t>
            </w:r>
          </w:p>
        </w:tc>
        <w:tc>
          <w:tcPr>
            <w:tcW w:w="2184" w:type="pct"/>
            <w:tcBorders>
              <w:left w:val="none" w:sz="0" w:space="0" w:color="auto"/>
              <w:right w:val="none" w:sz="0" w:space="0" w:color="auto"/>
            </w:tcBorders>
          </w:tcPr>
          <w:p w14:paraId="41BEF6B0" w14:textId="77777777" w:rsidR="00C01E92" w:rsidRPr="00A0049E" w:rsidRDefault="00C01E92" w:rsidP="00A0049E">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0049E">
              <w:rPr>
                <w:rStyle w:val="Strong"/>
                <w:rFonts w:cstheme="minorHAnsi"/>
                <w:b/>
                <w:szCs w:val="22"/>
              </w:rPr>
              <w:t>Description</w:t>
            </w:r>
          </w:p>
        </w:tc>
        <w:tc>
          <w:tcPr>
            <w:tcW w:w="685" w:type="pct"/>
            <w:tcBorders>
              <w:left w:val="none" w:sz="0" w:space="0" w:color="auto"/>
              <w:right w:val="none" w:sz="0" w:space="0" w:color="auto"/>
            </w:tcBorders>
          </w:tcPr>
          <w:p w14:paraId="560A8EEF" w14:textId="77777777" w:rsidR="00C01E92" w:rsidRPr="00A0049E" w:rsidRDefault="00C01E92" w:rsidP="00A0049E">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0049E">
              <w:rPr>
                <w:rStyle w:val="Strong"/>
                <w:rFonts w:cstheme="minorHAnsi"/>
                <w:b/>
                <w:szCs w:val="22"/>
              </w:rPr>
              <w:t>Weighting</w:t>
            </w:r>
          </w:p>
        </w:tc>
        <w:tc>
          <w:tcPr>
            <w:tcW w:w="685" w:type="pct"/>
            <w:tcBorders>
              <w:left w:val="none" w:sz="0" w:space="0" w:color="auto"/>
              <w:right w:val="none" w:sz="0" w:space="0" w:color="auto"/>
            </w:tcBorders>
          </w:tcPr>
          <w:p w14:paraId="6E1A4E39" w14:textId="77777777" w:rsidR="00C01E92" w:rsidRPr="00A0049E" w:rsidRDefault="00C01E92" w:rsidP="00A0049E">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0049E">
              <w:rPr>
                <w:rStyle w:val="Strong"/>
                <w:rFonts w:cstheme="minorHAnsi"/>
                <w:b/>
                <w:szCs w:val="22"/>
              </w:rPr>
              <w:t>Option B.1.</w:t>
            </w:r>
          </w:p>
        </w:tc>
        <w:tc>
          <w:tcPr>
            <w:tcW w:w="685" w:type="pct"/>
            <w:tcBorders>
              <w:left w:val="none" w:sz="0" w:space="0" w:color="auto"/>
            </w:tcBorders>
          </w:tcPr>
          <w:p w14:paraId="0237D407" w14:textId="77777777" w:rsidR="00C01E92" w:rsidRPr="00A0049E" w:rsidRDefault="00C01E92" w:rsidP="00A0049E">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0049E">
              <w:rPr>
                <w:rStyle w:val="Strong"/>
                <w:rFonts w:cstheme="minorHAnsi"/>
                <w:b/>
                <w:szCs w:val="22"/>
              </w:rPr>
              <w:t>Option B.2.</w:t>
            </w:r>
          </w:p>
        </w:tc>
      </w:tr>
      <w:tr w:rsidR="00C01E92" w:rsidRPr="00A0049E" w14:paraId="0BDC5F2F" w14:textId="77777777" w:rsidTr="006A6478">
        <w:trPr>
          <w:trHeight w:val="358"/>
        </w:trPr>
        <w:tc>
          <w:tcPr>
            <w:cnfStyle w:val="001000000000" w:firstRow="0" w:lastRow="0" w:firstColumn="1" w:lastColumn="0" w:oddVBand="0" w:evenVBand="0" w:oddHBand="0" w:evenHBand="0" w:firstRowFirstColumn="0" w:firstRowLastColumn="0" w:lastRowFirstColumn="0" w:lastRowLastColumn="0"/>
            <w:tcW w:w="760" w:type="pct"/>
            <w:tcBorders>
              <w:bottom w:val="single" w:sz="4" w:space="0" w:color="004EA8" w:themeColor="accent1"/>
            </w:tcBorders>
          </w:tcPr>
          <w:p w14:paraId="184AE37F" w14:textId="77777777" w:rsidR="00C01E92" w:rsidRPr="00A0049E" w:rsidRDefault="00C01E92" w:rsidP="00A0049E">
            <w:pPr>
              <w:spacing w:after="60"/>
              <w:rPr>
                <w:rFonts w:cstheme="minorHAnsi"/>
                <w:szCs w:val="22"/>
              </w:rPr>
            </w:pPr>
            <w:r w:rsidRPr="00A0049E">
              <w:rPr>
                <w:rFonts w:cstheme="minorHAnsi"/>
                <w:szCs w:val="22"/>
              </w:rPr>
              <w:t>Safety</w:t>
            </w:r>
          </w:p>
        </w:tc>
        <w:tc>
          <w:tcPr>
            <w:tcW w:w="2184" w:type="pct"/>
            <w:tcBorders>
              <w:bottom w:val="single" w:sz="4" w:space="0" w:color="004EA8" w:themeColor="accent1"/>
            </w:tcBorders>
          </w:tcPr>
          <w:p w14:paraId="0C06462C" w14:textId="0672CCCA" w:rsidR="00C01E92" w:rsidRPr="00A0049E" w:rsidRDefault="00C01E92" w:rsidP="009F2454">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 xml:space="preserve">Effectiveness of the proposed Regulations’ service </w:t>
            </w:r>
            <w:r w:rsidR="009F2454">
              <w:rPr>
                <w:rFonts w:cstheme="minorHAnsi"/>
                <w:szCs w:val="22"/>
              </w:rPr>
              <w:t>approval types</w:t>
            </w:r>
            <w:r w:rsidRPr="00A0049E">
              <w:rPr>
                <w:rFonts w:cstheme="minorHAnsi"/>
                <w:szCs w:val="22"/>
              </w:rPr>
              <w:t xml:space="preserve"> in protecting the health, safety and wellbeing of children.</w:t>
            </w:r>
          </w:p>
        </w:tc>
        <w:tc>
          <w:tcPr>
            <w:tcW w:w="685" w:type="pct"/>
            <w:tcBorders>
              <w:bottom w:val="single" w:sz="4" w:space="0" w:color="004EA8" w:themeColor="accent1"/>
            </w:tcBorders>
          </w:tcPr>
          <w:p w14:paraId="67BEC0F3"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30%</w:t>
            </w:r>
          </w:p>
        </w:tc>
        <w:tc>
          <w:tcPr>
            <w:tcW w:w="685" w:type="pct"/>
            <w:tcBorders>
              <w:bottom w:val="single" w:sz="4" w:space="0" w:color="004EA8" w:themeColor="accent1"/>
            </w:tcBorders>
          </w:tcPr>
          <w:p w14:paraId="1BFD289C"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1</w:t>
            </w:r>
          </w:p>
        </w:tc>
        <w:tc>
          <w:tcPr>
            <w:tcW w:w="685" w:type="pct"/>
            <w:tcBorders>
              <w:bottom w:val="single" w:sz="4" w:space="0" w:color="004EA8" w:themeColor="accent1"/>
            </w:tcBorders>
          </w:tcPr>
          <w:p w14:paraId="5A0BA596"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2</w:t>
            </w:r>
          </w:p>
        </w:tc>
      </w:tr>
      <w:tr w:rsidR="006A6478" w:rsidRPr="006A6478" w14:paraId="3965AAA1" w14:textId="77777777" w:rsidTr="006A6478">
        <w:trPr>
          <w:trHeight w:val="358"/>
        </w:trPr>
        <w:tc>
          <w:tcPr>
            <w:cnfStyle w:val="001000000000" w:firstRow="0" w:lastRow="0" w:firstColumn="1" w:lastColumn="0" w:oddVBand="0" w:evenVBand="0" w:oddHBand="0" w:evenHBand="0" w:firstRowFirstColumn="0" w:firstRowLastColumn="0" w:lastRowFirstColumn="0" w:lastRowLastColumn="0"/>
            <w:tcW w:w="760" w:type="pct"/>
            <w:tcBorders>
              <w:bottom w:val="single" w:sz="4" w:space="0" w:color="004EA8" w:themeColor="accent1"/>
              <w:right w:val="nil"/>
            </w:tcBorders>
          </w:tcPr>
          <w:p w14:paraId="55419AB5" w14:textId="6CDC88BA" w:rsidR="006A6478" w:rsidRPr="006A6478" w:rsidRDefault="006A6478" w:rsidP="00A0049E">
            <w:pPr>
              <w:spacing w:after="60"/>
              <w:rPr>
                <w:rFonts w:cstheme="minorHAnsi"/>
                <w:b/>
                <w:szCs w:val="22"/>
              </w:rPr>
            </w:pPr>
            <w:r w:rsidRPr="006A6478">
              <w:rPr>
                <w:rFonts w:cstheme="minorHAnsi"/>
                <w:b/>
                <w:szCs w:val="22"/>
              </w:rPr>
              <w:t>Total</w:t>
            </w:r>
          </w:p>
        </w:tc>
        <w:tc>
          <w:tcPr>
            <w:tcW w:w="2184" w:type="pct"/>
            <w:tcBorders>
              <w:left w:val="nil"/>
              <w:bottom w:val="single" w:sz="4" w:space="0" w:color="004EA8" w:themeColor="accent1"/>
              <w:right w:val="nil"/>
            </w:tcBorders>
          </w:tcPr>
          <w:p w14:paraId="50D90691" w14:textId="77777777" w:rsidR="006A6478" w:rsidRPr="006A6478" w:rsidRDefault="006A6478" w:rsidP="00A0049E">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85" w:type="pct"/>
            <w:tcBorders>
              <w:left w:val="nil"/>
              <w:bottom w:val="single" w:sz="4" w:space="0" w:color="004EA8" w:themeColor="accent1"/>
              <w:right w:val="nil"/>
            </w:tcBorders>
          </w:tcPr>
          <w:p w14:paraId="30DDC956" w14:textId="77777777" w:rsidR="006A6478" w:rsidRPr="006A6478" w:rsidRDefault="006A6478"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85" w:type="pct"/>
            <w:tcBorders>
              <w:left w:val="nil"/>
              <w:bottom w:val="single" w:sz="4" w:space="0" w:color="004EA8" w:themeColor="accent1"/>
              <w:right w:val="nil"/>
            </w:tcBorders>
          </w:tcPr>
          <w:p w14:paraId="4781A7DB" w14:textId="716B5740" w:rsidR="006A6478" w:rsidRPr="006A6478" w:rsidRDefault="006A6478"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0.3</w:t>
            </w:r>
          </w:p>
        </w:tc>
        <w:tc>
          <w:tcPr>
            <w:tcW w:w="685" w:type="pct"/>
            <w:tcBorders>
              <w:left w:val="nil"/>
              <w:bottom w:val="single" w:sz="4" w:space="0" w:color="004EA8" w:themeColor="accent1"/>
            </w:tcBorders>
          </w:tcPr>
          <w:p w14:paraId="54115E90" w14:textId="2670A226" w:rsidR="006A6478" w:rsidRPr="006A6478" w:rsidRDefault="006A6478"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0.6</w:t>
            </w:r>
          </w:p>
        </w:tc>
      </w:tr>
      <w:tr w:rsidR="00C01E92" w:rsidRPr="00A0049E" w14:paraId="6CCAD2D5" w14:textId="77777777" w:rsidTr="006A6478">
        <w:trPr>
          <w:trHeight w:val="358"/>
        </w:trPr>
        <w:tc>
          <w:tcPr>
            <w:cnfStyle w:val="001000000000" w:firstRow="0" w:lastRow="0" w:firstColumn="1" w:lastColumn="0" w:oddVBand="0" w:evenVBand="0" w:oddHBand="0" w:evenHBand="0" w:firstRowFirstColumn="0" w:firstRowLastColumn="0" w:lastRowFirstColumn="0" w:lastRowLastColumn="0"/>
            <w:tcW w:w="760" w:type="pct"/>
            <w:tcBorders>
              <w:bottom w:val="single" w:sz="4" w:space="0" w:color="004EA8" w:themeColor="accent1"/>
            </w:tcBorders>
          </w:tcPr>
          <w:p w14:paraId="203C52F0" w14:textId="77777777" w:rsidR="00C01E92" w:rsidRPr="00A0049E" w:rsidRDefault="00C01E92" w:rsidP="00A0049E">
            <w:pPr>
              <w:spacing w:after="60"/>
              <w:rPr>
                <w:rFonts w:cstheme="minorHAnsi"/>
                <w:szCs w:val="22"/>
              </w:rPr>
            </w:pPr>
            <w:r w:rsidRPr="00A0049E">
              <w:rPr>
                <w:rFonts w:cstheme="minorHAnsi"/>
                <w:szCs w:val="22"/>
              </w:rPr>
              <w:t>Quality</w:t>
            </w:r>
          </w:p>
        </w:tc>
        <w:tc>
          <w:tcPr>
            <w:tcW w:w="2184" w:type="pct"/>
            <w:tcBorders>
              <w:bottom w:val="single" w:sz="4" w:space="0" w:color="004EA8" w:themeColor="accent1"/>
            </w:tcBorders>
          </w:tcPr>
          <w:p w14:paraId="454671E4" w14:textId="17E272CA" w:rsidR="00C01E92" w:rsidRPr="00A0049E" w:rsidRDefault="00C01E92" w:rsidP="009F2454">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 xml:space="preserve">Effectiveness of the proposed Regulations’ service </w:t>
            </w:r>
            <w:r w:rsidR="009F2454">
              <w:rPr>
                <w:rFonts w:cstheme="minorHAnsi"/>
                <w:szCs w:val="22"/>
              </w:rPr>
              <w:t>approval types</w:t>
            </w:r>
            <w:r w:rsidRPr="00A0049E">
              <w:rPr>
                <w:rFonts w:cstheme="minorHAnsi"/>
                <w:szCs w:val="22"/>
              </w:rPr>
              <w:t xml:space="preserve"> in promoting the educational and developmental outcomes of children and the development of the children’s services sector.</w:t>
            </w:r>
          </w:p>
        </w:tc>
        <w:tc>
          <w:tcPr>
            <w:tcW w:w="685" w:type="pct"/>
            <w:tcBorders>
              <w:bottom w:val="single" w:sz="4" w:space="0" w:color="004EA8" w:themeColor="accent1"/>
            </w:tcBorders>
          </w:tcPr>
          <w:p w14:paraId="3A8C1437"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20%</w:t>
            </w:r>
          </w:p>
        </w:tc>
        <w:tc>
          <w:tcPr>
            <w:tcW w:w="685" w:type="pct"/>
            <w:tcBorders>
              <w:bottom w:val="single" w:sz="4" w:space="0" w:color="004EA8" w:themeColor="accent1"/>
            </w:tcBorders>
          </w:tcPr>
          <w:p w14:paraId="2AF05A66"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2</w:t>
            </w:r>
          </w:p>
        </w:tc>
        <w:tc>
          <w:tcPr>
            <w:tcW w:w="685" w:type="pct"/>
            <w:tcBorders>
              <w:bottom w:val="single" w:sz="4" w:space="0" w:color="004EA8" w:themeColor="accent1"/>
            </w:tcBorders>
          </w:tcPr>
          <w:p w14:paraId="61C8BB6B"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3</w:t>
            </w:r>
          </w:p>
        </w:tc>
      </w:tr>
      <w:tr w:rsidR="00C01E92" w:rsidRPr="00A0049E" w14:paraId="4E6E5CA6" w14:textId="77777777" w:rsidTr="006A6478">
        <w:trPr>
          <w:trHeight w:val="358"/>
        </w:trPr>
        <w:tc>
          <w:tcPr>
            <w:cnfStyle w:val="001000000000" w:firstRow="0" w:lastRow="0" w:firstColumn="1" w:lastColumn="0" w:oddVBand="0" w:evenVBand="0" w:oddHBand="0" w:evenHBand="0" w:firstRowFirstColumn="0" w:firstRowLastColumn="0" w:lastRowFirstColumn="0" w:lastRowLastColumn="0"/>
            <w:tcW w:w="760" w:type="pct"/>
            <w:tcBorders>
              <w:right w:val="nil"/>
            </w:tcBorders>
          </w:tcPr>
          <w:p w14:paraId="3C0722DA" w14:textId="77777777" w:rsidR="00C01E92" w:rsidRPr="00A0049E" w:rsidRDefault="00C01E92" w:rsidP="00A0049E">
            <w:pPr>
              <w:spacing w:after="60"/>
              <w:rPr>
                <w:rFonts w:cstheme="minorHAnsi"/>
                <w:b/>
                <w:szCs w:val="22"/>
              </w:rPr>
            </w:pPr>
            <w:r w:rsidRPr="00A0049E">
              <w:rPr>
                <w:rFonts w:cstheme="minorHAnsi"/>
                <w:b/>
                <w:szCs w:val="22"/>
              </w:rPr>
              <w:t>Total</w:t>
            </w:r>
          </w:p>
        </w:tc>
        <w:tc>
          <w:tcPr>
            <w:tcW w:w="2184" w:type="pct"/>
            <w:tcBorders>
              <w:left w:val="nil"/>
              <w:right w:val="nil"/>
            </w:tcBorders>
          </w:tcPr>
          <w:p w14:paraId="78D0C734" w14:textId="77777777" w:rsidR="00C01E92" w:rsidRPr="00A0049E" w:rsidRDefault="00C01E92" w:rsidP="00A0049E">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85" w:type="pct"/>
            <w:tcBorders>
              <w:left w:val="nil"/>
              <w:right w:val="nil"/>
            </w:tcBorders>
          </w:tcPr>
          <w:p w14:paraId="7C771710"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85" w:type="pct"/>
            <w:tcBorders>
              <w:left w:val="nil"/>
              <w:right w:val="nil"/>
            </w:tcBorders>
          </w:tcPr>
          <w:p w14:paraId="7FBCC6B5" w14:textId="039EC822" w:rsidR="00C01E92" w:rsidRPr="00A0049E" w:rsidRDefault="006A6478"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0.4</w:t>
            </w:r>
          </w:p>
        </w:tc>
        <w:tc>
          <w:tcPr>
            <w:tcW w:w="685" w:type="pct"/>
            <w:tcBorders>
              <w:left w:val="nil"/>
            </w:tcBorders>
          </w:tcPr>
          <w:p w14:paraId="081FFE60" w14:textId="1FFE8EC2" w:rsidR="00C01E92" w:rsidRPr="00A0049E" w:rsidRDefault="006A6478"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0.6</w:t>
            </w:r>
          </w:p>
        </w:tc>
      </w:tr>
    </w:tbl>
    <w:p w14:paraId="7AE539D9" w14:textId="77777777" w:rsidR="00C01E92" w:rsidRPr="000107A9" w:rsidRDefault="00C01E92" w:rsidP="002806C5">
      <w:pPr>
        <w:pStyle w:val="EYHeading4"/>
        <w:numPr>
          <w:ilvl w:val="3"/>
          <w:numId w:val="83"/>
        </w:numPr>
        <w:spacing w:before="120"/>
        <w:rPr>
          <w:rFonts w:asciiTheme="minorHAnsi" w:hAnsiTheme="minorHAnsi" w:cstheme="minorHAnsi"/>
          <w:szCs w:val="22"/>
        </w:rPr>
      </w:pPr>
      <w:r w:rsidRPr="000107A9">
        <w:rPr>
          <w:rFonts w:asciiTheme="minorHAnsi" w:hAnsiTheme="minorHAnsi" w:cstheme="minorHAnsi"/>
          <w:szCs w:val="22"/>
        </w:rPr>
        <w:t>Staffing</w:t>
      </w:r>
    </w:p>
    <w:p w14:paraId="46E9291A"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Act requires service providers to ensure that whenever children are being cared for or educated by a service, the number of staff is not less than the prescribed number. The Act also requires services to ensure that children are adequately supervised at all times. </w:t>
      </w:r>
    </w:p>
    <w:p w14:paraId="79DA9A3E"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Under both Option C.1. Status Quo and Option C.2. Alignment, the Regulations set minimum staff numbers, qualifications and ratios to support these provisions of the Act. In the base case, no such regulatory detail would be provided.</w:t>
      </w:r>
    </w:p>
    <w:p w14:paraId="525C2785" w14:textId="77777777" w:rsidR="00C01E92" w:rsidRPr="000107A9" w:rsidRDefault="00C01E92" w:rsidP="00C01E92">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b/>
          <w:sz w:val="22"/>
          <w:szCs w:val="22"/>
        </w:rPr>
        <w:t>Option C.1. Status Quo</w:t>
      </w:r>
    </w:p>
    <w:p w14:paraId="346501D8" w14:textId="5BD241A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current Regulations set minimum staff numbers, qualifications and ratios for the seven licence types as detailed in section</w:t>
      </w:r>
      <w:r w:rsidR="00BB7C65">
        <w:rPr>
          <w:rFonts w:asciiTheme="minorHAnsi" w:hAnsiTheme="minorHAnsi" w:cstheme="minorHAnsi"/>
          <w:sz w:val="22"/>
          <w:szCs w:val="22"/>
        </w:rPr>
        <w:t xml:space="preserve"> 6.2.1.3</w:t>
      </w:r>
      <w:r w:rsidRPr="000107A9">
        <w:rPr>
          <w:rFonts w:asciiTheme="minorHAnsi" w:hAnsiTheme="minorHAnsi" w:cstheme="minorHAnsi"/>
          <w:sz w:val="22"/>
          <w:szCs w:val="22"/>
        </w:rPr>
        <w:t xml:space="preserve">. This section assesses the benefits of these requirements being continued in the new Regulations. </w:t>
      </w:r>
    </w:p>
    <w:p w14:paraId="215D11DA"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Educator to child ratios protect the health, safety and wellbeing of children attending children’s services through reducing the stress placed on staff members, allowing for the development of stronger relationships between staff and children, ensuring that children are adequately supervised and facilitating swift responses to any situations or incidents posing risks to children. Meanwhile, better qualified educators are better equipped to handle and avoid risks to children.</w:t>
      </w:r>
    </w:p>
    <w:p w14:paraId="0A82A321"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In the base case scenario, two key consequences would flow from the Regulations around educator/child ratios and minimum staff numbers not being remade:</w:t>
      </w:r>
    </w:p>
    <w:p w14:paraId="50B8CEAD" w14:textId="77777777" w:rsidR="00C01E92" w:rsidRPr="000107A9" w:rsidRDefault="00C01E92" w:rsidP="002806C5">
      <w:pPr>
        <w:pStyle w:val="EYBulletnoparaspace"/>
        <w:numPr>
          <w:ilvl w:val="0"/>
          <w:numId w:val="70"/>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the Department would have to find other ways of disseminating information about acceptable staffing numbers, and</w:t>
      </w:r>
    </w:p>
    <w:p w14:paraId="5CDDAAB2" w14:textId="77777777" w:rsidR="00C01E92" w:rsidRPr="000107A9" w:rsidRDefault="00C01E92" w:rsidP="002806C5">
      <w:pPr>
        <w:pStyle w:val="EYBulletnoparaspace"/>
        <w:numPr>
          <w:ilvl w:val="0"/>
          <w:numId w:val="70"/>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lastRenderedPageBreak/>
        <w:t>Complying with these standards may not be mandatory.</w:t>
      </w:r>
    </w:p>
    <w:p w14:paraId="3EEA656D"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In the base case, although services would still employ staff to care for children, they may not implement the same staffing levels as imposed by the Regulations, meaning that staff may be less able to adequately supervise children and mitigate risks to their safety. </w:t>
      </w:r>
    </w:p>
    <w:p w14:paraId="4141DC9E"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Consequently, the Status Quo option is more effective than the base case for two main reasons:</w:t>
      </w:r>
    </w:p>
    <w:p w14:paraId="16B960F5" w14:textId="77777777" w:rsidR="00C01E92" w:rsidRPr="000107A9" w:rsidRDefault="00C01E92" w:rsidP="002806C5">
      <w:pPr>
        <w:pStyle w:val="EYBulletnoparaspace"/>
        <w:numPr>
          <w:ilvl w:val="0"/>
          <w:numId w:val="71"/>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The Regulations clearly specify staffing requirements for each type of service so that services understand what they need to do to adequately supervise children and keep them safe</w:t>
      </w:r>
    </w:p>
    <w:p w14:paraId="60C95C63" w14:textId="77777777" w:rsidR="00C01E92" w:rsidRPr="000107A9" w:rsidRDefault="00C01E92" w:rsidP="002806C5">
      <w:pPr>
        <w:pStyle w:val="EYBulletnoparaspace"/>
        <w:numPr>
          <w:ilvl w:val="0"/>
          <w:numId w:val="71"/>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 xml:space="preserve">Staffing numbers fall within the scope of the regulatory regime and therefore subject to the Act’s monitoring and enforcement mechanisms. This means that the Department officers are empowered to investigate non-compliance and issue responses, such as compliance notices, as necessary to protect children’s safety. </w:t>
      </w:r>
    </w:p>
    <w:p w14:paraId="27EA2373"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Ensuring children are adequately supervised by qualified educators can be expected to be more effective in achieving the benefits of keeping children attending services healthy and well. </w:t>
      </w:r>
    </w:p>
    <w:p w14:paraId="37EBA877" w14:textId="41268191"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As discussed, research shows that higher numbers of better qualified staff are strongly associated with improved social and developmental outcomes for children, as educators are better able to involve children, stimulate interactions and use a range of strategies to support their learning. </w:t>
      </w:r>
    </w:p>
    <w:p w14:paraId="66AAAB4E"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Under this option, the Regulations provide for staff to child ratios and qualifications, setting minimum quality standards for services across the sector. </w:t>
      </w:r>
    </w:p>
    <w:p w14:paraId="3C7AB384"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Without Regulations, the Department would have to find other ways to inform services of these standards, and the specific ratios and qualification requirements may not be subject to the oversight and regulatory mandate of the Department. The option is more effective than the base case because services are clearly informed of the quality at which they must operate, and any non-compliance can be monitored and rectified through the Department intervention where necessary. </w:t>
      </w:r>
    </w:p>
    <w:p w14:paraId="4A45A32C"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Setting minimum standards in relation to staffing matters also encourages the broader development of the sector by providing services with a clear path to improved quality and differentiation in the market: employing more, better qualified staff than the legislated minimum. </w:t>
      </w:r>
    </w:p>
    <w:p w14:paraId="6C91AF1D"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b/>
          <w:sz w:val="22"/>
          <w:szCs w:val="22"/>
        </w:rPr>
        <w:t>Option C.2. Alignment</w:t>
      </w:r>
    </w:p>
    <w:p w14:paraId="2BF7ED76"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overall effect of the changes imposed in the proposed Regulations is that staff to child ratios would be strengthened, the mix of qualified staff would be simplified and staff who are actively working towards or about to commence studying could be counted in the ratios as if they have that qualification. </w:t>
      </w:r>
    </w:p>
    <w:p w14:paraId="615DA081"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Under this option, the Regulations also require that at least one educator is on duty whenever children are in attendance.</w:t>
      </w:r>
    </w:p>
    <w:p w14:paraId="335F86BD"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Under this option, staff to child ratios are strengthened to align with the NQF, where appropriate, and the proportion of Diploma-level educators has been slightly raised. Given the benefits associated with higher staff to child ratios and better qualified staff, this option therefore realises and exceeds the benefits of the Status Quo option in comparison to the base case and would be more effective in relation to both criteria. However, the ability for staff to be ‘actively working towards’ their qualifications creates the possibility that some staff will be less qualified, moderating the impact of these changes in relation to service quality.</w:t>
      </w:r>
    </w:p>
    <w:p w14:paraId="72C0C8E3"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Option C.2. Alignment also incorporates added flexibility for services in meeting the staff to child ratios and minimum staff number requirements by allowing services to include staff who are actively working towards and/or in the three months prior to commencing qualifications in ratios, and through amending the minimum number of staff. This is likely to encourage greater </w:t>
      </w:r>
      <w:r w:rsidRPr="000107A9">
        <w:rPr>
          <w:rFonts w:asciiTheme="minorHAnsi" w:hAnsiTheme="minorHAnsi" w:cstheme="minorHAnsi"/>
          <w:sz w:val="22"/>
          <w:szCs w:val="22"/>
        </w:rPr>
        <w:lastRenderedPageBreak/>
        <w:t xml:space="preserve">compliance with the regulatory requirements, consequently, maintaining children’s safety and service quality at an acceptable level. </w:t>
      </w:r>
    </w:p>
    <w:p w14:paraId="68E7B090" w14:textId="00599F62"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_Ref24541295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Table 49</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provides the score given to Option C.1 and Option C.2 against the two benefits criteria.</w:t>
      </w:r>
    </w:p>
    <w:p w14:paraId="1B6D6725" w14:textId="6CCE5DDA" w:rsidR="00C01E92" w:rsidRPr="000107A9" w:rsidRDefault="00C01E92" w:rsidP="00F7569F">
      <w:pPr>
        <w:pStyle w:val="Caption"/>
      </w:pPr>
      <w:bookmarkStart w:id="254" w:name="_Ref24541295"/>
      <w:bookmarkStart w:id="255" w:name="_Toc32592832"/>
      <w:r w:rsidRPr="000107A9">
        <w:t xml:space="preserve">Table </w:t>
      </w:r>
      <w:r w:rsidRPr="000107A9">
        <w:fldChar w:fldCharType="begin"/>
      </w:r>
      <w:r w:rsidRPr="000107A9">
        <w:instrText xml:space="preserve"> SEQ Table \* ARABIC </w:instrText>
      </w:r>
      <w:r w:rsidRPr="000107A9">
        <w:fldChar w:fldCharType="separate"/>
      </w:r>
      <w:r w:rsidR="00493211">
        <w:rPr>
          <w:noProof/>
        </w:rPr>
        <w:t>49</w:t>
      </w:r>
      <w:r w:rsidRPr="000107A9">
        <w:fldChar w:fldCharType="end"/>
      </w:r>
      <w:bookmarkEnd w:id="254"/>
      <w:r w:rsidRPr="000107A9">
        <w:t xml:space="preserve"> Staffing - benefits scores</w:t>
      </w:r>
      <w:bookmarkEnd w:id="255"/>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463"/>
        <w:gridCol w:w="4343"/>
        <w:gridCol w:w="1272"/>
        <w:gridCol w:w="1272"/>
        <w:gridCol w:w="1272"/>
      </w:tblGrid>
      <w:tr w:rsidR="00C01E92" w:rsidRPr="00A0049E" w14:paraId="65FDFC96" w14:textId="77777777" w:rsidTr="006A6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pct"/>
            <w:tcBorders>
              <w:right w:val="none" w:sz="0" w:space="0" w:color="auto"/>
            </w:tcBorders>
          </w:tcPr>
          <w:p w14:paraId="4F1AC052" w14:textId="77777777" w:rsidR="00C01E92" w:rsidRPr="00A0049E" w:rsidRDefault="00C01E92" w:rsidP="00A0049E">
            <w:pPr>
              <w:spacing w:after="60"/>
              <w:rPr>
                <w:rStyle w:val="Strong"/>
                <w:rFonts w:cstheme="minorHAnsi"/>
                <w:b/>
                <w:szCs w:val="22"/>
              </w:rPr>
            </w:pPr>
            <w:r w:rsidRPr="00A0049E">
              <w:rPr>
                <w:rStyle w:val="Strong"/>
                <w:rFonts w:cstheme="minorHAnsi"/>
                <w:b/>
                <w:szCs w:val="22"/>
              </w:rPr>
              <w:t>Criterion</w:t>
            </w:r>
          </w:p>
        </w:tc>
        <w:tc>
          <w:tcPr>
            <w:tcW w:w="2257" w:type="pct"/>
            <w:tcBorders>
              <w:left w:val="none" w:sz="0" w:space="0" w:color="auto"/>
              <w:right w:val="none" w:sz="0" w:space="0" w:color="auto"/>
            </w:tcBorders>
          </w:tcPr>
          <w:p w14:paraId="5050E760" w14:textId="77777777" w:rsidR="00C01E92" w:rsidRPr="00A0049E" w:rsidRDefault="00C01E92" w:rsidP="00A0049E">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0049E">
              <w:rPr>
                <w:rStyle w:val="Strong"/>
                <w:rFonts w:cstheme="minorHAnsi"/>
                <w:b/>
                <w:szCs w:val="22"/>
              </w:rPr>
              <w:t>Description</w:t>
            </w:r>
          </w:p>
        </w:tc>
        <w:tc>
          <w:tcPr>
            <w:tcW w:w="661" w:type="pct"/>
            <w:tcBorders>
              <w:left w:val="none" w:sz="0" w:space="0" w:color="auto"/>
              <w:right w:val="none" w:sz="0" w:space="0" w:color="auto"/>
            </w:tcBorders>
          </w:tcPr>
          <w:p w14:paraId="4AC922B2" w14:textId="77777777" w:rsidR="00C01E92" w:rsidRPr="00A0049E" w:rsidRDefault="00C01E92" w:rsidP="00A0049E">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0049E">
              <w:rPr>
                <w:rStyle w:val="Strong"/>
                <w:rFonts w:cstheme="minorHAnsi"/>
                <w:b/>
                <w:szCs w:val="22"/>
              </w:rPr>
              <w:t>Weighting</w:t>
            </w:r>
          </w:p>
        </w:tc>
        <w:tc>
          <w:tcPr>
            <w:tcW w:w="661" w:type="pct"/>
            <w:tcBorders>
              <w:left w:val="none" w:sz="0" w:space="0" w:color="auto"/>
              <w:right w:val="none" w:sz="0" w:space="0" w:color="auto"/>
            </w:tcBorders>
          </w:tcPr>
          <w:p w14:paraId="2144D1D2" w14:textId="77777777" w:rsidR="00C01E92" w:rsidRPr="00A0049E" w:rsidRDefault="00C01E92" w:rsidP="00A0049E">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0049E">
              <w:rPr>
                <w:rStyle w:val="Strong"/>
                <w:rFonts w:cstheme="minorHAnsi"/>
                <w:b/>
                <w:szCs w:val="22"/>
              </w:rPr>
              <w:t>Option C.1.</w:t>
            </w:r>
          </w:p>
        </w:tc>
        <w:tc>
          <w:tcPr>
            <w:tcW w:w="661" w:type="pct"/>
            <w:tcBorders>
              <w:left w:val="none" w:sz="0" w:space="0" w:color="auto"/>
            </w:tcBorders>
          </w:tcPr>
          <w:p w14:paraId="68321FE2" w14:textId="77777777" w:rsidR="00C01E92" w:rsidRPr="00A0049E" w:rsidRDefault="00C01E92" w:rsidP="00A0049E">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0049E">
              <w:rPr>
                <w:rStyle w:val="Strong"/>
                <w:rFonts w:cstheme="minorHAnsi"/>
                <w:b/>
                <w:szCs w:val="22"/>
              </w:rPr>
              <w:t>Option C.2.</w:t>
            </w:r>
          </w:p>
        </w:tc>
      </w:tr>
      <w:tr w:rsidR="00C01E92" w:rsidRPr="00A0049E" w14:paraId="7C81DD2D" w14:textId="77777777" w:rsidTr="006A6478">
        <w:trPr>
          <w:trHeight w:val="358"/>
        </w:trPr>
        <w:tc>
          <w:tcPr>
            <w:cnfStyle w:val="001000000000" w:firstRow="0" w:lastRow="0" w:firstColumn="1" w:lastColumn="0" w:oddVBand="0" w:evenVBand="0" w:oddHBand="0" w:evenHBand="0" w:firstRowFirstColumn="0" w:firstRowLastColumn="0" w:lastRowFirstColumn="0" w:lastRowLastColumn="0"/>
            <w:tcW w:w="760" w:type="pct"/>
            <w:tcBorders>
              <w:bottom w:val="single" w:sz="4" w:space="0" w:color="004EA8" w:themeColor="accent1"/>
            </w:tcBorders>
          </w:tcPr>
          <w:p w14:paraId="5BCFFE60" w14:textId="77777777" w:rsidR="00C01E92" w:rsidRPr="00A0049E" w:rsidRDefault="00C01E92" w:rsidP="00A0049E">
            <w:pPr>
              <w:spacing w:after="60"/>
              <w:rPr>
                <w:rFonts w:cstheme="minorHAnsi"/>
                <w:szCs w:val="22"/>
              </w:rPr>
            </w:pPr>
            <w:r w:rsidRPr="00A0049E">
              <w:rPr>
                <w:rFonts w:cstheme="minorHAnsi"/>
                <w:szCs w:val="22"/>
              </w:rPr>
              <w:t>Safety</w:t>
            </w:r>
          </w:p>
        </w:tc>
        <w:tc>
          <w:tcPr>
            <w:tcW w:w="2257" w:type="pct"/>
            <w:tcBorders>
              <w:bottom w:val="single" w:sz="4" w:space="0" w:color="004EA8" w:themeColor="accent1"/>
            </w:tcBorders>
          </w:tcPr>
          <w:p w14:paraId="555E9AB1" w14:textId="77777777" w:rsidR="00C01E92" w:rsidRPr="00A0049E" w:rsidRDefault="00C01E92" w:rsidP="00A0049E">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Effectiveness of the proposed Regulations around staffing requirements in protecting the health, safety and wellbeing of children.</w:t>
            </w:r>
          </w:p>
        </w:tc>
        <w:tc>
          <w:tcPr>
            <w:tcW w:w="661" w:type="pct"/>
            <w:tcBorders>
              <w:bottom w:val="single" w:sz="4" w:space="0" w:color="004EA8" w:themeColor="accent1"/>
            </w:tcBorders>
          </w:tcPr>
          <w:p w14:paraId="29614EC5"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30%</w:t>
            </w:r>
          </w:p>
        </w:tc>
        <w:tc>
          <w:tcPr>
            <w:tcW w:w="661" w:type="pct"/>
            <w:tcBorders>
              <w:bottom w:val="single" w:sz="4" w:space="0" w:color="004EA8" w:themeColor="accent1"/>
            </w:tcBorders>
          </w:tcPr>
          <w:p w14:paraId="1517A693"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8</w:t>
            </w:r>
          </w:p>
        </w:tc>
        <w:tc>
          <w:tcPr>
            <w:tcW w:w="661" w:type="pct"/>
            <w:tcBorders>
              <w:bottom w:val="single" w:sz="4" w:space="0" w:color="004EA8" w:themeColor="accent1"/>
            </w:tcBorders>
          </w:tcPr>
          <w:p w14:paraId="475E020F"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9</w:t>
            </w:r>
          </w:p>
        </w:tc>
      </w:tr>
      <w:tr w:rsidR="006A6478" w:rsidRPr="006A6478" w14:paraId="00A7768D" w14:textId="77777777" w:rsidTr="006A6478">
        <w:trPr>
          <w:trHeight w:val="358"/>
        </w:trPr>
        <w:tc>
          <w:tcPr>
            <w:cnfStyle w:val="001000000000" w:firstRow="0" w:lastRow="0" w:firstColumn="1" w:lastColumn="0" w:oddVBand="0" w:evenVBand="0" w:oddHBand="0" w:evenHBand="0" w:firstRowFirstColumn="0" w:firstRowLastColumn="0" w:lastRowFirstColumn="0" w:lastRowLastColumn="0"/>
            <w:tcW w:w="760" w:type="pct"/>
            <w:tcBorders>
              <w:bottom w:val="single" w:sz="4" w:space="0" w:color="004EA8" w:themeColor="accent1"/>
              <w:right w:val="nil"/>
            </w:tcBorders>
          </w:tcPr>
          <w:p w14:paraId="4A9E01F2" w14:textId="0328D89F" w:rsidR="006A6478" w:rsidRPr="006A6478" w:rsidRDefault="006A6478" w:rsidP="00A0049E">
            <w:pPr>
              <w:spacing w:after="60"/>
              <w:rPr>
                <w:rFonts w:cstheme="minorHAnsi"/>
                <w:b/>
                <w:szCs w:val="22"/>
              </w:rPr>
            </w:pPr>
            <w:r w:rsidRPr="006A6478">
              <w:rPr>
                <w:rFonts w:cstheme="minorHAnsi"/>
                <w:b/>
                <w:szCs w:val="22"/>
              </w:rPr>
              <w:t>Total</w:t>
            </w:r>
          </w:p>
        </w:tc>
        <w:tc>
          <w:tcPr>
            <w:tcW w:w="2257" w:type="pct"/>
            <w:tcBorders>
              <w:left w:val="nil"/>
              <w:bottom w:val="single" w:sz="4" w:space="0" w:color="004EA8" w:themeColor="accent1"/>
              <w:right w:val="nil"/>
            </w:tcBorders>
          </w:tcPr>
          <w:p w14:paraId="2ABD7D74" w14:textId="77777777" w:rsidR="006A6478" w:rsidRPr="006A6478" w:rsidRDefault="006A6478" w:rsidP="00A0049E">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61" w:type="pct"/>
            <w:tcBorders>
              <w:left w:val="nil"/>
              <w:bottom w:val="single" w:sz="4" w:space="0" w:color="004EA8" w:themeColor="accent1"/>
              <w:right w:val="nil"/>
            </w:tcBorders>
          </w:tcPr>
          <w:p w14:paraId="42828B21" w14:textId="77777777" w:rsidR="006A6478" w:rsidRPr="006A6478" w:rsidRDefault="006A6478"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61" w:type="pct"/>
            <w:tcBorders>
              <w:left w:val="nil"/>
              <w:bottom w:val="single" w:sz="4" w:space="0" w:color="004EA8" w:themeColor="accent1"/>
              <w:right w:val="nil"/>
            </w:tcBorders>
          </w:tcPr>
          <w:p w14:paraId="25204F7A" w14:textId="366C6E44" w:rsidR="006A6478" w:rsidRPr="006A6478" w:rsidRDefault="006A6478"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2.4</w:t>
            </w:r>
          </w:p>
        </w:tc>
        <w:tc>
          <w:tcPr>
            <w:tcW w:w="661" w:type="pct"/>
            <w:tcBorders>
              <w:left w:val="nil"/>
              <w:bottom w:val="single" w:sz="4" w:space="0" w:color="004EA8" w:themeColor="accent1"/>
            </w:tcBorders>
          </w:tcPr>
          <w:p w14:paraId="6395B0AB" w14:textId="6A25B0C6" w:rsidR="006A6478" w:rsidRPr="006A6478" w:rsidRDefault="006A6478"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2.7</w:t>
            </w:r>
          </w:p>
        </w:tc>
      </w:tr>
      <w:tr w:rsidR="00C01E92" w:rsidRPr="00A0049E" w14:paraId="1193A49B" w14:textId="77777777" w:rsidTr="006A6478">
        <w:trPr>
          <w:trHeight w:val="358"/>
        </w:trPr>
        <w:tc>
          <w:tcPr>
            <w:cnfStyle w:val="001000000000" w:firstRow="0" w:lastRow="0" w:firstColumn="1" w:lastColumn="0" w:oddVBand="0" w:evenVBand="0" w:oddHBand="0" w:evenHBand="0" w:firstRowFirstColumn="0" w:firstRowLastColumn="0" w:lastRowFirstColumn="0" w:lastRowLastColumn="0"/>
            <w:tcW w:w="760" w:type="pct"/>
            <w:tcBorders>
              <w:bottom w:val="single" w:sz="4" w:space="0" w:color="004EA8" w:themeColor="accent1"/>
            </w:tcBorders>
          </w:tcPr>
          <w:p w14:paraId="1D0EFE7C" w14:textId="77777777" w:rsidR="00C01E92" w:rsidRPr="00A0049E" w:rsidRDefault="00C01E92" w:rsidP="00A0049E">
            <w:pPr>
              <w:spacing w:after="60"/>
              <w:rPr>
                <w:rFonts w:cstheme="minorHAnsi"/>
                <w:szCs w:val="22"/>
              </w:rPr>
            </w:pPr>
            <w:r w:rsidRPr="00A0049E">
              <w:rPr>
                <w:rFonts w:cstheme="minorHAnsi"/>
                <w:szCs w:val="22"/>
              </w:rPr>
              <w:t>Quality</w:t>
            </w:r>
          </w:p>
        </w:tc>
        <w:tc>
          <w:tcPr>
            <w:tcW w:w="2257" w:type="pct"/>
            <w:tcBorders>
              <w:bottom w:val="single" w:sz="4" w:space="0" w:color="004EA8" w:themeColor="accent1"/>
            </w:tcBorders>
          </w:tcPr>
          <w:p w14:paraId="6345ADB1" w14:textId="77777777" w:rsidR="00C01E92" w:rsidRPr="00A0049E" w:rsidRDefault="00C01E92" w:rsidP="00A0049E">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Effectiveness of the proposed Regulations around staffing requirements in promoting the educational and developmental outcomes of children and the development of the children’s services sector.</w:t>
            </w:r>
          </w:p>
        </w:tc>
        <w:tc>
          <w:tcPr>
            <w:tcW w:w="661" w:type="pct"/>
            <w:tcBorders>
              <w:bottom w:val="single" w:sz="4" w:space="0" w:color="004EA8" w:themeColor="accent1"/>
            </w:tcBorders>
          </w:tcPr>
          <w:p w14:paraId="0325468E"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20%</w:t>
            </w:r>
          </w:p>
        </w:tc>
        <w:tc>
          <w:tcPr>
            <w:tcW w:w="661" w:type="pct"/>
            <w:tcBorders>
              <w:bottom w:val="single" w:sz="4" w:space="0" w:color="004EA8" w:themeColor="accent1"/>
            </w:tcBorders>
          </w:tcPr>
          <w:p w14:paraId="4810749A"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7</w:t>
            </w:r>
          </w:p>
        </w:tc>
        <w:tc>
          <w:tcPr>
            <w:tcW w:w="661" w:type="pct"/>
            <w:tcBorders>
              <w:bottom w:val="single" w:sz="4" w:space="0" w:color="004EA8" w:themeColor="accent1"/>
            </w:tcBorders>
          </w:tcPr>
          <w:p w14:paraId="3A560892"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8</w:t>
            </w:r>
          </w:p>
        </w:tc>
      </w:tr>
      <w:tr w:rsidR="00C01E92" w:rsidRPr="00A0049E" w14:paraId="3F9D6DA9" w14:textId="77777777" w:rsidTr="006A6478">
        <w:trPr>
          <w:trHeight w:val="358"/>
        </w:trPr>
        <w:tc>
          <w:tcPr>
            <w:cnfStyle w:val="001000000000" w:firstRow="0" w:lastRow="0" w:firstColumn="1" w:lastColumn="0" w:oddVBand="0" w:evenVBand="0" w:oddHBand="0" w:evenHBand="0" w:firstRowFirstColumn="0" w:firstRowLastColumn="0" w:lastRowFirstColumn="0" w:lastRowLastColumn="0"/>
            <w:tcW w:w="760" w:type="pct"/>
            <w:tcBorders>
              <w:right w:val="nil"/>
            </w:tcBorders>
          </w:tcPr>
          <w:p w14:paraId="681E806F" w14:textId="77777777" w:rsidR="00C01E92" w:rsidRPr="00A0049E" w:rsidRDefault="00C01E92" w:rsidP="00A0049E">
            <w:pPr>
              <w:spacing w:after="60"/>
              <w:rPr>
                <w:rFonts w:cstheme="minorHAnsi"/>
                <w:b/>
                <w:szCs w:val="22"/>
              </w:rPr>
            </w:pPr>
            <w:r w:rsidRPr="00A0049E">
              <w:rPr>
                <w:rFonts w:cstheme="minorHAnsi"/>
                <w:b/>
                <w:szCs w:val="22"/>
              </w:rPr>
              <w:t>Total</w:t>
            </w:r>
          </w:p>
        </w:tc>
        <w:tc>
          <w:tcPr>
            <w:tcW w:w="2257" w:type="pct"/>
            <w:tcBorders>
              <w:left w:val="nil"/>
              <w:right w:val="nil"/>
            </w:tcBorders>
          </w:tcPr>
          <w:p w14:paraId="75321004" w14:textId="77777777" w:rsidR="00C01E92" w:rsidRPr="00A0049E" w:rsidRDefault="00C01E92" w:rsidP="00A0049E">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61" w:type="pct"/>
            <w:tcBorders>
              <w:left w:val="nil"/>
              <w:right w:val="nil"/>
            </w:tcBorders>
          </w:tcPr>
          <w:p w14:paraId="1C9D66A9"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61" w:type="pct"/>
            <w:tcBorders>
              <w:left w:val="nil"/>
              <w:right w:val="nil"/>
            </w:tcBorders>
          </w:tcPr>
          <w:p w14:paraId="5D7828F3" w14:textId="4B810D3F" w:rsidR="00C01E92" w:rsidRPr="00A0049E" w:rsidRDefault="006A6478"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1.4</w:t>
            </w:r>
          </w:p>
        </w:tc>
        <w:tc>
          <w:tcPr>
            <w:tcW w:w="661" w:type="pct"/>
            <w:tcBorders>
              <w:left w:val="nil"/>
            </w:tcBorders>
          </w:tcPr>
          <w:p w14:paraId="65C7DE06" w14:textId="273E2993" w:rsidR="00C01E92" w:rsidRPr="00A0049E" w:rsidRDefault="006A6478"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1.6</w:t>
            </w:r>
          </w:p>
        </w:tc>
      </w:tr>
    </w:tbl>
    <w:p w14:paraId="1584D24D" w14:textId="77777777" w:rsidR="00C01E92" w:rsidRPr="000107A9" w:rsidRDefault="00C01E92" w:rsidP="002806C5">
      <w:pPr>
        <w:pStyle w:val="EYHeading4"/>
        <w:numPr>
          <w:ilvl w:val="3"/>
          <w:numId w:val="83"/>
        </w:numPr>
        <w:spacing w:before="120"/>
        <w:rPr>
          <w:rFonts w:asciiTheme="minorHAnsi" w:hAnsiTheme="minorHAnsi" w:cstheme="minorHAnsi"/>
          <w:szCs w:val="22"/>
        </w:rPr>
      </w:pPr>
      <w:r w:rsidRPr="000107A9">
        <w:rPr>
          <w:rFonts w:asciiTheme="minorHAnsi" w:hAnsiTheme="minorHAnsi" w:cstheme="minorHAnsi"/>
          <w:szCs w:val="22"/>
        </w:rPr>
        <w:t>Safety, health and wellbeing of children</w:t>
      </w:r>
    </w:p>
    <w:p w14:paraId="238488A6"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As noted above, the Act includes a general obligation on providers to protect children in their care from harm and hazards, which would apply under the base case, while Option D.1. Status Quo and Option D.2. Alignment outline specific requirements in relation to children’s safety and wellbeing. </w:t>
      </w:r>
    </w:p>
    <w:p w14:paraId="2E7B1662" w14:textId="77777777" w:rsidR="00C01E92" w:rsidRPr="000107A9" w:rsidRDefault="00C01E92" w:rsidP="00C01E92">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b/>
          <w:sz w:val="22"/>
          <w:szCs w:val="22"/>
        </w:rPr>
        <w:t>Option D.1. Status Quo</w:t>
      </w:r>
    </w:p>
    <w:p w14:paraId="43166B6B"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Under this option, the Regulations include standalone requirements designed to promote the health and welfare of children attending services, along with detail to support provisions of the Act.</w:t>
      </w:r>
    </w:p>
    <w:p w14:paraId="4BF39E7D"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Regulations impose a comprehensive range of safety, health and wellbeing requirements on services, covering matters from staff having access to a telephone, to anaphylaxis management policies to the circumstances in which children can leave services. Many of these regulations are standalone provisions; that is, they do not support any specific provision in the Act other than services’ general obligation to protect children in their care. </w:t>
      </w:r>
    </w:p>
    <w:p w14:paraId="5C13FCF9"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Regulations provide considerable detail as to how the safety, health and wellbeing of children attending services can and should be protected. They provide guidance to providers about meeting their responsibilities and, as complying with Regulations is mandatory, ensures these protective actions are taken. This means that this option is more effective than the base case, because even if the Department found other means to inform service providers of the appropriate steps to take to protect children, taking these specific protective steps would not be legally required, and investigating and responding to any failure to do so would not necessarily be within the Department’s regulatory authority. These factors mean that children would be at higher risk of harm than under the Status Quo option. </w:t>
      </w:r>
    </w:p>
    <w:p w14:paraId="7F16959B" w14:textId="38BFBBE6" w:rsidR="00C01E92"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These Regulations are designed specifically to protect the safety, health and wellbeing of children attending care. They have negligible impact on the quality of service or development of the broader sector relative to the base case. </w:t>
      </w:r>
    </w:p>
    <w:p w14:paraId="20765884" w14:textId="77777777" w:rsidR="00C01E92" w:rsidRPr="000107A9" w:rsidRDefault="00C01E92" w:rsidP="00C01E92">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b/>
          <w:sz w:val="22"/>
          <w:szCs w:val="22"/>
        </w:rPr>
        <w:t>Option D.2. Alignment</w:t>
      </w:r>
    </w:p>
    <w:p w14:paraId="772E8782"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Under this option, services are required to abide by the same regulatory requirements as outlined in option D.1. Status Quo with one substantive change: only one staff member on the premises is </w:t>
      </w:r>
      <w:r w:rsidRPr="000107A9">
        <w:rPr>
          <w:rFonts w:asciiTheme="minorHAnsi" w:hAnsiTheme="minorHAnsi" w:cstheme="minorHAnsi"/>
          <w:sz w:val="22"/>
          <w:szCs w:val="22"/>
        </w:rPr>
        <w:lastRenderedPageBreak/>
        <w:t>required to currently hold first aid, anaphylaxis management and asthma treatment certifications, as opposed to all staff counted in the staff to child ratios.</w:t>
      </w:r>
    </w:p>
    <w:p w14:paraId="4F1171F9"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This change is designed to reduce regulatory burden on providers. Under this option, approved providers are also required to take reasonable steps to ensure that staff interact with children in ways likely to improve their self-esteem and ability to express themselves, amongst other developmental outcomes, and to provide opportunities for children to build relationships with each other and with service staff. The proposed Regulations also prescribe certain circumstances requiring notification to the Department, including risks to the health, safety and wellbeing of children and instances or allegations of abuse of a child attending the service.</w:t>
      </w:r>
    </w:p>
    <w:p w14:paraId="33D722D5"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proposed Regulations are almost as effective as the Status Quo because they impose almost all the same requirements. The change from all staff members holding current first aid and other health certificates to only one on the premises has the potential to be slightly less effective in protecting the safety, health and welfare of children because there may be occasions where that staff member is temporarily unavailable (going to the bathroom, buying lunch, etc.) when an incident occurs. However, most services would already be complying with the current requirement of all staff having had the relevant training, and as most Certificate III or equivalent qualifications include emergency first aid training, the likelihood of no staff present at a service being able to administer basic first aid is quite low. In addition, refresher training is necessary to maintain currency.</w:t>
      </w:r>
    </w:p>
    <w:p w14:paraId="5F601853"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On the other hand, the proposed Regulations may be more effective than the Status Quo because they stipulate that services must notify the Department of risks arising to children and any instances of abuse, amongst other circumstances. Although services are required under the Act to notify the Department of any serious incidents, this additional regulatory detail and obligation may prompt swifter and more comprehensive notifications to the Department, allowing for speedier regulatory intervention to protect children from harm, if necessary. </w:t>
      </w:r>
    </w:p>
    <w:p w14:paraId="70D359E6"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proposed Regulations may slightly improve the quality of children’s services by providing more detail around what is considered a quality interaction and emphasising the importance of children being given opportunities to build relationships with others, which may have an educational impact on the sector. Creating a positive obligation for approved providers in relation to these elements of service delivery may also lead to improved quality as providers take extra steps to ensure quality interactions and opportunities for relationship-building are provided.</w:t>
      </w:r>
    </w:p>
    <w:p w14:paraId="772CC509" w14:textId="68309B90"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_Ref24470314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noProof/>
          <w:sz w:val="22"/>
          <w:szCs w:val="22"/>
        </w:rPr>
        <w:t>Table 50</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provides the scores given to Option D.1 and Option D.2 against the two benefits criteria. Although it is less effective than Option D.1., this option is considered to be more effective than the base case because almost all the same health and welfare requirements are imposed.</w:t>
      </w:r>
    </w:p>
    <w:p w14:paraId="0B8FED79" w14:textId="264D7F0D" w:rsidR="00C01E92" w:rsidRPr="000107A9" w:rsidRDefault="00C01E92" w:rsidP="00F7569F">
      <w:pPr>
        <w:pStyle w:val="Caption"/>
      </w:pPr>
      <w:bookmarkStart w:id="256" w:name="_Ref24470314"/>
      <w:bookmarkStart w:id="257" w:name="_Toc32592833"/>
      <w:r w:rsidRPr="000107A9">
        <w:t xml:space="preserve">Table </w:t>
      </w:r>
      <w:r w:rsidRPr="000107A9">
        <w:fldChar w:fldCharType="begin"/>
      </w:r>
      <w:r w:rsidRPr="000107A9">
        <w:instrText xml:space="preserve"> SEQ Table \* ARABIC </w:instrText>
      </w:r>
      <w:r w:rsidRPr="000107A9">
        <w:fldChar w:fldCharType="separate"/>
      </w:r>
      <w:r w:rsidR="00493211">
        <w:rPr>
          <w:noProof/>
        </w:rPr>
        <w:t>50</w:t>
      </w:r>
      <w:r w:rsidRPr="000107A9">
        <w:fldChar w:fldCharType="end"/>
      </w:r>
      <w:bookmarkEnd w:id="256"/>
      <w:r w:rsidRPr="000107A9">
        <w:t xml:space="preserve"> </w:t>
      </w:r>
      <w:r w:rsidR="009F2454">
        <w:t>Safety, health and wellbeing</w:t>
      </w:r>
      <w:r w:rsidRPr="000107A9">
        <w:t xml:space="preserve"> - benefits scores</w:t>
      </w:r>
      <w:bookmarkEnd w:id="257"/>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463"/>
        <w:gridCol w:w="4343"/>
        <w:gridCol w:w="1272"/>
        <w:gridCol w:w="1272"/>
        <w:gridCol w:w="1272"/>
      </w:tblGrid>
      <w:tr w:rsidR="00C01E92" w:rsidRPr="00A0049E" w14:paraId="7BE48725" w14:textId="77777777" w:rsidTr="00094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pct"/>
            <w:tcBorders>
              <w:right w:val="none" w:sz="0" w:space="0" w:color="auto"/>
            </w:tcBorders>
          </w:tcPr>
          <w:p w14:paraId="2B95F088" w14:textId="77777777" w:rsidR="00C01E92" w:rsidRPr="00A0049E" w:rsidRDefault="00C01E92" w:rsidP="00A0049E">
            <w:pPr>
              <w:spacing w:after="60"/>
              <w:rPr>
                <w:rStyle w:val="Strong"/>
                <w:rFonts w:cstheme="minorHAnsi"/>
                <w:b/>
                <w:szCs w:val="22"/>
              </w:rPr>
            </w:pPr>
            <w:r w:rsidRPr="00A0049E">
              <w:rPr>
                <w:rStyle w:val="Strong"/>
                <w:rFonts w:cstheme="minorHAnsi"/>
                <w:b/>
                <w:szCs w:val="22"/>
              </w:rPr>
              <w:t>Criterion</w:t>
            </w:r>
          </w:p>
        </w:tc>
        <w:tc>
          <w:tcPr>
            <w:tcW w:w="2257" w:type="pct"/>
            <w:tcBorders>
              <w:left w:val="none" w:sz="0" w:space="0" w:color="auto"/>
              <w:right w:val="none" w:sz="0" w:space="0" w:color="auto"/>
            </w:tcBorders>
          </w:tcPr>
          <w:p w14:paraId="32396660" w14:textId="77777777" w:rsidR="00C01E92" w:rsidRPr="00A0049E" w:rsidRDefault="00C01E92" w:rsidP="00A0049E">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0049E">
              <w:rPr>
                <w:rStyle w:val="Strong"/>
                <w:rFonts w:cstheme="minorHAnsi"/>
                <w:b/>
                <w:szCs w:val="22"/>
              </w:rPr>
              <w:t>Description</w:t>
            </w:r>
          </w:p>
        </w:tc>
        <w:tc>
          <w:tcPr>
            <w:tcW w:w="661" w:type="pct"/>
            <w:tcBorders>
              <w:left w:val="none" w:sz="0" w:space="0" w:color="auto"/>
              <w:right w:val="none" w:sz="0" w:space="0" w:color="auto"/>
            </w:tcBorders>
          </w:tcPr>
          <w:p w14:paraId="5F1949F7" w14:textId="77777777" w:rsidR="00C01E92" w:rsidRPr="00A0049E" w:rsidRDefault="00C01E92" w:rsidP="00A0049E">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0049E">
              <w:rPr>
                <w:rStyle w:val="Strong"/>
                <w:rFonts w:cstheme="minorHAnsi"/>
                <w:b/>
                <w:szCs w:val="22"/>
              </w:rPr>
              <w:t>Weighting</w:t>
            </w:r>
          </w:p>
        </w:tc>
        <w:tc>
          <w:tcPr>
            <w:tcW w:w="661" w:type="pct"/>
            <w:tcBorders>
              <w:left w:val="none" w:sz="0" w:space="0" w:color="auto"/>
              <w:right w:val="none" w:sz="0" w:space="0" w:color="auto"/>
            </w:tcBorders>
          </w:tcPr>
          <w:p w14:paraId="68376172" w14:textId="77777777" w:rsidR="00C01E92" w:rsidRPr="00A0049E" w:rsidRDefault="00C01E92" w:rsidP="00A0049E">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0049E">
              <w:rPr>
                <w:rStyle w:val="Strong"/>
                <w:rFonts w:cstheme="minorHAnsi"/>
                <w:b/>
                <w:szCs w:val="22"/>
              </w:rPr>
              <w:t>Option D.1.</w:t>
            </w:r>
          </w:p>
        </w:tc>
        <w:tc>
          <w:tcPr>
            <w:tcW w:w="661" w:type="pct"/>
            <w:tcBorders>
              <w:left w:val="none" w:sz="0" w:space="0" w:color="auto"/>
            </w:tcBorders>
          </w:tcPr>
          <w:p w14:paraId="2FA22EA7" w14:textId="77777777" w:rsidR="00C01E92" w:rsidRPr="00A0049E" w:rsidRDefault="00C01E92" w:rsidP="00A0049E">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0049E">
              <w:rPr>
                <w:rStyle w:val="Strong"/>
                <w:rFonts w:cstheme="minorHAnsi"/>
                <w:b/>
                <w:szCs w:val="22"/>
              </w:rPr>
              <w:t>Option D.2.</w:t>
            </w:r>
          </w:p>
        </w:tc>
      </w:tr>
      <w:tr w:rsidR="00C01E92" w:rsidRPr="00A0049E" w14:paraId="3FFC52A6" w14:textId="77777777" w:rsidTr="00094D42">
        <w:trPr>
          <w:trHeight w:val="358"/>
        </w:trPr>
        <w:tc>
          <w:tcPr>
            <w:cnfStyle w:val="001000000000" w:firstRow="0" w:lastRow="0" w:firstColumn="1" w:lastColumn="0" w:oddVBand="0" w:evenVBand="0" w:oddHBand="0" w:evenHBand="0" w:firstRowFirstColumn="0" w:firstRowLastColumn="0" w:lastRowFirstColumn="0" w:lastRowLastColumn="0"/>
            <w:tcW w:w="760" w:type="pct"/>
            <w:tcBorders>
              <w:bottom w:val="single" w:sz="4" w:space="0" w:color="004EA8" w:themeColor="accent1"/>
            </w:tcBorders>
          </w:tcPr>
          <w:p w14:paraId="0921856A" w14:textId="77777777" w:rsidR="00C01E92" w:rsidRPr="00A0049E" w:rsidRDefault="00C01E92" w:rsidP="00A0049E">
            <w:pPr>
              <w:spacing w:after="60"/>
              <w:rPr>
                <w:rFonts w:cstheme="minorHAnsi"/>
                <w:szCs w:val="22"/>
              </w:rPr>
            </w:pPr>
            <w:r w:rsidRPr="00A0049E">
              <w:rPr>
                <w:rFonts w:cstheme="minorHAnsi"/>
                <w:szCs w:val="22"/>
              </w:rPr>
              <w:t>Safety</w:t>
            </w:r>
          </w:p>
        </w:tc>
        <w:tc>
          <w:tcPr>
            <w:tcW w:w="2257" w:type="pct"/>
            <w:tcBorders>
              <w:bottom w:val="single" w:sz="4" w:space="0" w:color="004EA8" w:themeColor="accent1"/>
            </w:tcBorders>
          </w:tcPr>
          <w:p w14:paraId="6607E76E" w14:textId="3B7FD570" w:rsidR="00C01E92" w:rsidRPr="00A0049E" w:rsidRDefault="00C01E92" w:rsidP="00B50BC1">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 xml:space="preserve">Effectiveness of the proposed Regulations around health and welfare requirements in protecting the </w:t>
            </w:r>
            <w:r w:rsidR="00B50BC1">
              <w:rPr>
                <w:rFonts w:cstheme="minorHAnsi"/>
                <w:szCs w:val="22"/>
              </w:rPr>
              <w:t xml:space="preserve">safety, </w:t>
            </w:r>
            <w:r w:rsidRPr="00A0049E">
              <w:rPr>
                <w:rFonts w:cstheme="minorHAnsi"/>
                <w:szCs w:val="22"/>
              </w:rPr>
              <w:t>health and wellbeing of children.</w:t>
            </w:r>
          </w:p>
        </w:tc>
        <w:tc>
          <w:tcPr>
            <w:tcW w:w="661" w:type="pct"/>
            <w:tcBorders>
              <w:bottom w:val="single" w:sz="4" w:space="0" w:color="004EA8" w:themeColor="accent1"/>
            </w:tcBorders>
          </w:tcPr>
          <w:p w14:paraId="58466271"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30%</w:t>
            </w:r>
          </w:p>
        </w:tc>
        <w:tc>
          <w:tcPr>
            <w:tcW w:w="661" w:type="pct"/>
            <w:tcBorders>
              <w:bottom w:val="single" w:sz="4" w:space="0" w:color="004EA8" w:themeColor="accent1"/>
            </w:tcBorders>
          </w:tcPr>
          <w:p w14:paraId="1F3B7014"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5.5</w:t>
            </w:r>
          </w:p>
        </w:tc>
        <w:tc>
          <w:tcPr>
            <w:tcW w:w="661" w:type="pct"/>
            <w:tcBorders>
              <w:bottom w:val="single" w:sz="4" w:space="0" w:color="004EA8" w:themeColor="accent1"/>
            </w:tcBorders>
          </w:tcPr>
          <w:p w14:paraId="46477FBD"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7</w:t>
            </w:r>
          </w:p>
        </w:tc>
      </w:tr>
      <w:tr w:rsidR="006A6478" w:rsidRPr="00094D42" w14:paraId="495E6306" w14:textId="77777777" w:rsidTr="00094D42">
        <w:trPr>
          <w:trHeight w:val="358"/>
        </w:trPr>
        <w:tc>
          <w:tcPr>
            <w:cnfStyle w:val="001000000000" w:firstRow="0" w:lastRow="0" w:firstColumn="1" w:lastColumn="0" w:oddVBand="0" w:evenVBand="0" w:oddHBand="0" w:evenHBand="0" w:firstRowFirstColumn="0" w:firstRowLastColumn="0" w:lastRowFirstColumn="0" w:lastRowLastColumn="0"/>
            <w:tcW w:w="760" w:type="pct"/>
            <w:tcBorders>
              <w:bottom w:val="single" w:sz="4" w:space="0" w:color="004EA8" w:themeColor="accent1"/>
              <w:right w:val="nil"/>
            </w:tcBorders>
          </w:tcPr>
          <w:p w14:paraId="2AC34F75" w14:textId="72BD1113" w:rsidR="006A6478" w:rsidRPr="00094D42" w:rsidRDefault="00094D42" w:rsidP="00A0049E">
            <w:pPr>
              <w:spacing w:after="60"/>
              <w:rPr>
                <w:rFonts w:cstheme="minorHAnsi"/>
                <w:b/>
                <w:szCs w:val="22"/>
              </w:rPr>
            </w:pPr>
            <w:r w:rsidRPr="00094D42">
              <w:rPr>
                <w:rFonts w:cstheme="minorHAnsi"/>
                <w:b/>
                <w:szCs w:val="22"/>
              </w:rPr>
              <w:t>Total</w:t>
            </w:r>
          </w:p>
        </w:tc>
        <w:tc>
          <w:tcPr>
            <w:tcW w:w="2257" w:type="pct"/>
            <w:tcBorders>
              <w:left w:val="nil"/>
              <w:bottom w:val="single" w:sz="4" w:space="0" w:color="004EA8" w:themeColor="accent1"/>
              <w:right w:val="nil"/>
            </w:tcBorders>
          </w:tcPr>
          <w:p w14:paraId="21CBF520" w14:textId="77777777" w:rsidR="006A6478" w:rsidRPr="00094D42" w:rsidRDefault="006A6478" w:rsidP="00A0049E">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61" w:type="pct"/>
            <w:tcBorders>
              <w:left w:val="nil"/>
              <w:bottom w:val="single" w:sz="4" w:space="0" w:color="004EA8" w:themeColor="accent1"/>
              <w:right w:val="nil"/>
            </w:tcBorders>
          </w:tcPr>
          <w:p w14:paraId="28879A41" w14:textId="77777777" w:rsidR="006A6478" w:rsidRPr="00094D42" w:rsidRDefault="006A6478"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61" w:type="pct"/>
            <w:tcBorders>
              <w:left w:val="nil"/>
              <w:bottom w:val="single" w:sz="4" w:space="0" w:color="004EA8" w:themeColor="accent1"/>
              <w:right w:val="nil"/>
            </w:tcBorders>
          </w:tcPr>
          <w:p w14:paraId="753569FB" w14:textId="73D6DBA6" w:rsidR="006A6478" w:rsidRPr="00094D42" w:rsidRDefault="00094D4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1.65</w:t>
            </w:r>
          </w:p>
        </w:tc>
        <w:tc>
          <w:tcPr>
            <w:tcW w:w="661" w:type="pct"/>
            <w:tcBorders>
              <w:left w:val="nil"/>
              <w:bottom w:val="single" w:sz="4" w:space="0" w:color="004EA8" w:themeColor="accent1"/>
            </w:tcBorders>
          </w:tcPr>
          <w:p w14:paraId="1D2FAF22" w14:textId="5A1FCAE5" w:rsidR="006A6478" w:rsidRPr="00094D42" w:rsidRDefault="00094D4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2.1</w:t>
            </w:r>
          </w:p>
        </w:tc>
      </w:tr>
      <w:tr w:rsidR="00C01E92" w:rsidRPr="00A0049E" w14:paraId="6AF6523B" w14:textId="77777777" w:rsidTr="00094D42">
        <w:trPr>
          <w:trHeight w:val="358"/>
        </w:trPr>
        <w:tc>
          <w:tcPr>
            <w:cnfStyle w:val="001000000000" w:firstRow="0" w:lastRow="0" w:firstColumn="1" w:lastColumn="0" w:oddVBand="0" w:evenVBand="0" w:oddHBand="0" w:evenHBand="0" w:firstRowFirstColumn="0" w:firstRowLastColumn="0" w:lastRowFirstColumn="0" w:lastRowLastColumn="0"/>
            <w:tcW w:w="760" w:type="pct"/>
            <w:tcBorders>
              <w:bottom w:val="single" w:sz="4" w:space="0" w:color="004EA8" w:themeColor="accent1"/>
            </w:tcBorders>
          </w:tcPr>
          <w:p w14:paraId="4DFB6DBD" w14:textId="77777777" w:rsidR="00C01E92" w:rsidRPr="00A0049E" w:rsidRDefault="00C01E92" w:rsidP="00A0049E">
            <w:pPr>
              <w:spacing w:after="60"/>
              <w:rPr>
                <w:rFonts w:cstheme="minorHAnsi"/>
                <w:szCs w:val="22"/>
              </w:rPr>
            </w:pPr>
            <w:r w:rsidRPr="00A0049E">
              <w:rPr>
                <w:rFonts w:cstheme="minorHAnsi"/>
                <w:szCs w:val="22"/>
              </w:rPr>
              <w:t>Quality</w:t>
            </w:r>
          </w:p>
        </w:tc>
        <w:tc>
          <w:tcPr>
            <w:tcW w:w="2257" w:type="pct"/>
            <w:tcBorders>
              <w:bottom w:val="single" w:sz="4" w:space="0" w:color="004EA8" w:themeColor="accent1"/>
            </w:tcBorders>
          </w:tcPr>
          <w:p w14:paraId="41ADD7C8" w14:textId="77777777" w:rsidR="00C01E92" w:rsidRPr="00A0049E" w:rsidRDefault="00C01E92" w:rsidP="00A0049E">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 xml:space="preserve">Effectiveness of the proposed Regulations around health and welfare requirements in promoting the educational and developmental outcomes of </w:t>
            </w:r>
            <w:r w:rsidRPr="00A0049E">
              <w:rPr>
                <w:rFonts w:cstheme="minorHAnsi"/>
                <w:szCs w:val="22"/>
              </w:rPr>
              <w:lastRenderedPageBreak/>
              <w:t>children and the development of the children’s services sector.</w:t>
            </w:r>
          </w:p>
        </w:tc>
        <w:tc>
          <w:tcPr>
            <w:tcW w:w="661" w:type="pct"/>
            <w:tcBorders>
              <w:bottom w:val="single" w:sz="4" w:space="0" w:color="004EA8" w:themeColor="accent1"/>
            </w:tcBorders>
          </w:tcPr>
          <w:p w14:paraId="453BF19E"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lastRenderedPageBreak/>
              <w:t>20%</w:t>
            </w:r>
          </w:p>
        </w:tc>
        <w:tc>
          <w:tcPr>
            <w:tcW w:w="661" w:type="pct"/>
            <w:tcBorders>
              <w:bottom w:val="single" w:sz="4" w:space="0" w:color="004EA8" w:themeColor="accent1"/>
            </w:tcBorders>
          </w:tcPr>
          <w:p w14:paraId="27B10BB3"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0</w:t>
            </w:r>
          </w:p>
        </w:tc>
        <w:tc>
          <w:tcPr>
            <w:tcW w:w="661" w:type="pct"/>
            <w:tcBorders>
              <w:bottom w:val="single" w:sz="4" w:space="0" w:color="004EA8" w:themeColor="accent1"/>
            </w:tcBorders>
          </w:tcPr>
          <w:p w14:paraId="4E1A8893"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1</w:t>
            </w:r>
          </w:p>
        </w:tc>
      </w:tr>
      <w:tr w:rsidR="00C01E92" w:rsidRPr="00A0049E" w14:paraId="6D945092" w14:textId="77777777" w:rsidTr="00094D42">
        <w:trPr>
          <w:trHeight w:val="358"/>
        </w:trPr>
        <w:tc>
          <w:tcPr>
            <w:cnfStyle w:val="001000000000" w:firstRow="0" w:lastRow="0" w:firstColumn="1" w:lastColumn="0" w:oddVBand="0" w:evenVBand="0" w:oddHBand="0" w:evenHBand="0" w:firstRowFirstColumn="0" w:firstRowLastColumn="0" w:lastRowFirstColumn="0" w:lastRowLastColumn="0"/>
            <w:tcW w:w="760" w:type="pct"/>
            <w:tcBorders>
              <w:right w:val="nil"/>
            </w:tcBorders>
          </w:tcPr>
          <w:p w14:paraId="06BD91AE" w14:textId="77777777" w:rsidR="00C01E92" w:rsidRPr="00A0049E" w:rsidRDefault="00C01E92" w:rsidP="00A0049E">
            <w:pPr>
              <w:spacing w:after="60"/>
              <w:rPr>
                <w:rFonts w:cstheme="minorHAnsi"/>
                <w:b/>
                <w:szCs w:val="22"/>
              </w:rPr>
            </w:pPr>
            <w:r w:rsidRPr="00A0049E">
              <w:rPr>
                <w:rFonts w:cstheme="minorHAnsi"/>
                <w:b/>
                <w:szCs w:val="22"/>
              </w:rPr>
              <w:t>Total</w:t>
            </w:r>
          </w:p>
        </w:tc>
        <w:tc>
          <w:tcPr>
            <w:tcW w:w="2257" w:type="pct"/>
            <w:tcBorders>
              <w:left w:val="nil"/>
              <w:right w:val="nil"/>
            </w:tcBorders>
          </w:tcPr>
          <w:p w14:paraId="318A7796" w14:textId="77777777" w:rsidR="00C01E92" w:rsidRPr="00A0049E" w:rsidRDefault="00C01E92" w:rsidP="00A0049E">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61" w:type="pct"/>
            <w:tcBorders>
              <w:left w:val="nil"/>
              <w:right w:val="nil"/>
            </w:tcBorders>
          </w:tcPr>
          <w:p w14:paraId="281A71E3"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61" w:type="pct"/>
            <w:tcBorders>
              <w:left w:val="nil"/>
              <w:right w:val="nil"/>
            </w:tcBorders>
          </w:tcPr>
          <w:p w14:paraId="198FD461" w14:textId="34BCE04B" w:rsidR="00C01E92" w:rsidRPr="00A0049E" w:rsidRDefault="00094D4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0</w:t>
            </w:r>
          </w:p>
        </w:tc>
        <w:tc>
          <w:tcPr>
            <w:tcW w:w="661" w:type="pct"/>
            <w:tcBorders>
              <w:left w:val="nil"/>
            </w:tcBorders>
          </w:tcPr>
          <w:p w14:paraId="3DD34895" w14:textId="3F4E38B0" w:rsidR="00C01E92" w:rsidRPr="00A0049E" w:rsidRDefault="00094D4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0.2</w:t>
            </w:r>
          </w:p>
        </w:tc>
      </w:tr>
    </w:tbl>
    <w:p w14:paraId="6DE3E613" w14:textId="77777777" w:rsidR="00C01E92" w:rsidRPr="000107A9" w:rsidRDefault="00C01E92" w:rsidP="002806C5">
      <w:pPr>
        <w:pStyle w:val="EYHeading4"/>
        <w:numPr>
          <w:ilvl w:val="3"/>
          <w:numId w:val="83"/>
        </w:numPr>
        <w:spacing w:before="120"/>
        <w:rPr>
          <w:rFonts w:asciiTheme="minorHAnsi" w:hAnsiTheme="minorHAnsi" w:cstheme="minorHAnsi"/>
          <w:szCs w:val="22"/>
        </w:rPr>
      </w:pPr>
      <w:r w:rsidRPr="000107A9">
        <w:rPr>
          <w:rFonts w:asciiTheme="minorHAnsi" w:hAnsiTheme="minorHAnsi" w:cstheme="minorHAnsi"/>
          <w:szCs w:val="22"/>
        </w:rPr>
        <w:t>Equipment and facilities</w:t>
      </w:r>
    </w:p>
    <w:p w14:paraId="5AFE5C9D" w14:textId="047F8F39"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Act does not provide for any equipment or facilities-related requirements, meaning that no such obligations would be imposed in the base case. Both Option E.1 Status Quo and Option E.2 Alignment would require services to provide certain equipment and facilities designed to ensure children’s safety is protected and appropriate educational programs can be delivered. Both options are therefore considered to be more effective than the base case. </w:t>
      </w:r>
    </w:p>
    <w:p w14:paraId="6B33DAA9"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b/>
          <w:sz w:val="22"/>
          <w:szCs w:val="22"/>
        </w:rPr>
        <w:t>E.1. Status Quo</w:t>
      </w:r>
    </w:p>
    <w:p w14:paraId="3F586740"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Under this option, the Regulations include standalone requirements designed to ensure that services provide adequate equipment and facilities to enable children to be properly cared for. </w:t>
      </w:r>
    </w:p>
    <w:p w14:paraId="21BEA107"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Regulations currently impose requirements that are not replicated in the Act. This means that, in the base case, there would be no requirement to provide facilities like children’s rooms, child-appropriate toilets and handwashing facilities and outdoor space. While services may nonetheless provide these facilities, in the base case doing so would not be mandatory. </w:t>
      </w:r>
    </w:p>
    <w:p w14:paraId="29345140" w14:textId="5329393D"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Sufficient indoor and outdoor space, and care-related facilities, assist services to meet children’s hygiene needs and to ensure that children have sufficient room to play and learn, both factors directly relevant to children’s safety, health and wellbeing. Similar to Option D.1 in relation to safety, health and wellbeing regulations, these regulations are more effective in protecting the health and safety of children attending services because they clearly specify to services the operating standards necessary to keep children safe and bring these standards within the Department’s regulatory oversight, enabling enforcement action where necessary to protect children. </w:t>
      </w:r>
    </w:p>
    <w:p w14:paraId="571DD792"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Further, providing for facilities for staff to prepare food and rest is likely to contribute to their wellbeing in the workplace, with flow-on benefits to their capacity to look after and protect the children in their care. </w:t>
      </w:r>
    </w:p>
    <w:p w14:paraId="2EE3D548" w14:textId="5E8DCFF1"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These factors mean that the Status Quo option is more effective than the base case in realising the outcomes associated with protecting children’s</w:t>
      </w:r>
      <w:r w:rsidR="00B50BC1">
        <w:rPr>
          <w:rFonts w:asciiTheme="minorHAnsi" w:hAnsiTheme="minorHAnsi" w:cstheme="minorHAnsi"/>
          <w:sz w:val="22"/>
          <w:szCs w:val="22"/>
        </w:rPr>
        <w:t xml:space="preserve"> safety, health and wellbeing.</w:t>
      </w:r>
    </w:p>
    <w:p w14:paraId="614A4868"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Most of the requirements imposed under the Status Quo option are designed to further the safety objective of the Act rather than to promote the quality of children’s services. However, the requirements to provide a certain amount of indoor and outdoor space per child, and to ensure that children have access to equipment appropriate for their educational or recreational program, reflect the importance of engaging physical environments and educational programs to children’s learning and development. Unlike some of the other equipment and facilities requirements, outdoor space is not necessarily expected to be provided to children by services in the base case scenario. Providing for these matters in the Regulations means that these standards are compulsory across the sector and the Department can monitor compliance to maintain quality across all children’s services. </w:t>
      </w:r>
    </w:p>
    <w:p w14:paraId="79C8AF72"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Regulations providing for staff facilities may also, similar to the safety criterion above, better enable staff to provide quality education and care to children through providing an improved working environment. </w:t>
      </w:r>
    </w:p>
    <w:p w14:paraId="7F9820AE" w14:textId="77777777" w:rsidR="00040B1D" w:rsidRDefault="00040B1D">
      <w:pPr>
        <w:spacing w:after="0"/>
        <w:rPr>
          <w:rFonts w:eastAsia="Times New Roman" w:cstheme="minorHAnsi"/>
          <w:b/>
          <w:szCs w:val="22"/>
          <w:lang w:val="en-AU"/>
        </w:rPr>
      </w:pPr>
      <w:r>
        <w:rPr>
          <w:rFonts w:cstheme="minorHAnsi"/>
          <w:b/>
          <w:szCs w:val="22"/>
        </w:rPr>
        <w:br w:type="page"/>
      </w:r>
    </w:p>
    <w:p w14:paraId="22FF974F" w14:textId="0EAC35C9"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b/>
          <w:sz w:val="22"/>
          <w:szCs w:val="22"/>
        </w:rPr>
        <w:lastRenderedPageBreak/>
        <w:t>E.2. Alignment</w:t>
      </w:r>
    </w:p>
    <w:p w14:paraId="425C84F2" w14:textId="6FF0C60C"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Under this option, the Regulations include the same standalone requirements as outlined in Option E.1., with two changes: Occasional Care services must provide at least 7 square metres of outdoor space per child and services must either have access to laundry facilities or ma</w:t>
      </w:r>
      <w:r w:rsidR="00B50BC1">
        <w:rPr>
          <w:rFonts w:asciiTheme="minorHAnsi" w:hAnsiTheme="minorHAnsi" w:cstheme="minorHAnsi"/>
          <w:sz w:val="22"/>
          <w:szCs w:val="22"/>
        </w:rPr>
        <w:t>ke other laundry arrangements.</w:t>
      </w:r>
    </w:p>
    <w:p w14:paraId="294497D9" w14:textId="446D5269"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Option E.2 is expected to have broadly the same benefits in relation to children’s safety as Option E.1 because most of the requirements under the proposed Regulations in relation to equipment and facilities are the same as those in the current Regulations. </w:t>
      </w:r>
    </w:p>
    <w:p w14:paraId="47823387"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addition of the laundry requirement could be more effective in protecting the health and welfare of children by specifically imposing a mandatory requirement for soiled nappies, etc., to be dealt with hygienically but, as with many of the requirements discussed above, it is highly likely that services would already have such facilities under the base case. </w:t>
      </w:r>
    </w:p>
    <w:p w14:paraId="68FF97C2"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increased outdoor space requirement may ensure that children have more space to play and learn in, improving their emotional and physical wellbeing.</w:t>
      </w:r>
    </w:p>
    <w:p w14:paraId="306DE5E3" w14:textId="55B659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Overall, Option E.2 is considered to be slightly more effective in protecting the safety, health and wellbeing of children compared to Option E.1 and much more effective than the base case.</w:t>
      </w:r>
    </w:p>
    <w:p w14:paraId="72D49BDC"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Increasing the amount of outdoor space to be provided for each child may raise the quality of children’s services through ensuring children have access to more space in which to learn and play with their peers. </w:t>
      </w:r>
    </w:p>
    <w:p w14:paraId="616C3AE9"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Regulations providing for staff facilities may also, similar to the safety criterion above, better enable staff to provide quality education and care to children through providing an improved working environment. </w:t>
      </w:r>
    </w:p>
    <w:p w14:paraId="101CF475" w14:textId="22189FA5"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_Ref24545115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noProof/>
          <w:sz w:val="22"/>
          <w:szCs w:val="22"/>
        </w:rPr>
        <w:t>Table 51</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provides the scores given to Option E.1 and Option E.2 against the two benefits criteria.</w:t>
      </w:r>
    </w:p>
    <w:p w14:paraId="41DAF0FD" w14:textId="7A4FAE64" w:rsidR="00C01E92" w:rsidRPr="000107A9" w:rsidRDefault="00C01E92" w:rsidP="00F7569F">
      <w:pPr>
        <w:pStyle w:val="Caption"/>
      </w:pPr>
      <w:bookmarkStart w:id="258" w:name="_Ref24545115"/>
      <w:bookmarkStart w:id="259" w:name="_Toc32592834"/>
      <w:r w:rsidRPr="000107A9">
        <w:t xml:space="preserve">Table </w:t>
      </w:r>
      <w:r w:rsidRPr="000107A9">
        <w:fldChar w:fldCharType="begin"/>
      </w:r>
      <w:r w:rsidRPr="000107A9">
        <w:instrText xml:space="preserve"> SEQ Table \* ARABIC </w:instrText>
      </w:r>
      <w:r w:rsidRPr="000107A9">
        <w:fldChar w:fldCharType="separate"/>
      </w:r>
      <w:r w:rsidR="00493211">
        <w:rPr>
          <w:noProof/>
        </w:rPr>
        <w:t>51</w:t>
      </w:r>
      <w:r w:rsidRPr="000107A9">
        <w:fldChar w:fldCharType="end"/>
      </w:r>
      <w:bookmarkEnd w:id="258"/>
      <w:r w:rsidRPr="000107A9">
        <w:t xml:space="preserve"> </w:t>
      </w:r>
      <w:r w:rsidR="009F2454">
        <w:t xml:space="preserve">Equipment and facilities </w:t>
      </w:r>
      <w:r w:rsidRPr="000107A9">
        <w:t>- benefits score</w:t>
      </w:r>
      <w:bookmarkEnd w:id="259"/>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463"/>
        <w:gridCol w:w="4343"/>
        <w:gridCol w:w="1272"/>
        <w:gridCol w:w="1272"/>
        <w:gridCol w:w="1272"/>
      </w:tblGrid>
      <w:tr w:rsidR="00C01E92" w:rsidRPr="00A0049E" w14:paraId="63458494" w14:textId="77777777" w:rsidTr="005A6B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pct"/>
            <w:tcBorders>
              <w:right w:val="none" w:sz="0" w:space="0" w:color="auto"/>
            </w:tcBorders>
          </w:tcPr>
          <w:p w14:paraId="075BF481" w14:textId="77777777" w:rsidR="00C01E92" w:rsidRPr="00A0049E" w:rsidRDefault="00C01E92" w:rsidP="00A0049E">
            <w:pPr>
              <w:spacing w:after="60"/>
              <w:rPr>
                <w:rStyle w:val="Strong"/>
                <w:rFonts w:cstheme="minorHAnsi"/>
                <w:b/>
                <w:szCs w:val="22"/>
              </w:rPr>
            </w:pPr>
            <w:r w:rsidRPr="00A0049E">
              <w:rPr>
                <w:rStyle w:val="Strong"/>
                <w:rFonts w:cstheme="minorHAnsi"/>
                <w:b/>
                <w:szCs w:val="22"/>
              </w:rPr>
              <w:t>Criterion</w:t>
            </w:r>
          </w:p>
        </w:tc>
        <w:tc>
          <w:tcPr>
            <w:tcW w:w="2257" w:type="pct"/>
            <w:tcBorders>
              <w:left w:val="none" w:sz="0" w:space="0" w:color="auto"/>
              <w:right w:val="none" w:sz="0" w:space="0" w:color="auto"/>
            </w:tcBorders>
          </w:tcPr>
          <w:p w14:paraId="6DBF9D20" w14:textId="77777777" w:rsidR="00C01E92" w:rsidRPr="00A0049E" w:rsidRDefault="00C01E92" w:rsidP="00A0049E">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0049E">
              <w:rPr>
                <w:rStyle w:val="Strong"/>
                <w:rFonts w:cstheme="minorHAnsi"/>
                <w:b/>
                <w:szCs w:val="22"/>
              </w:rPr>
              <w:t>Description</w:t>
            </w:r>
          </w:p>
        </w:tc>
        <w:tc>
          <w:tcPr>
            <w:tcW w:w="661" w:type="pct"/>
            <w:tcBorders>
              <w:left w:val="none" w:sz="0" w:space="0" w:color="auto"/>
              <w:right w:val="none" w:sz="0" w:space="0" w:color="auto"/>
            </w:tcBorders>
          </w:tcPr>
          <w:p w14:paraId="6AFBD187" w14:textId="77777777" w:rsidR="00C01E92" w:rsidRPr="00A0049E" w:rsidRDefault="00C01E92" w:rsidP="00A0049E">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0049E">
              <w:rPr>
                <w:rStyle w:val="Strong"/>
                <w:rFonts w:cstheme="minorHAnsi"/>
                <w:b/>
                <w:szCs w:val="22"/>
              </w:rPr>
              <w:t>Weighting</w:t>
            </w:r>
          </w:p>
        </w:tc>
        <w:tc>
          <w:tcPr>
            <w:tcW w:w="661" w:type="pct"/>
            <w:tcBorders>
              <w:left w:val="none" w:sz="0" w:space="0" w:color="auto"/>
              <w:right w:val="none" w:sz="0" w:space="0" w:color="auto"/>
            </w:tcBorders>
          </w:tcPr>
          <w:p w14:paraId="59A22074" w14:textId="77777777" w:rsidR="00C01E92" w:rsidRPr="00A0049E" w:rsidRDefault="00C01E92" w:rsidP="00A0049E">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0049E">
              <w:rPr>
                <w:rStyle w:val="Strong"/>
                <w:rFonts w:cstheme="minorHAnsi"/>
                <w:b/>
                <w:szCs w:val="22"/>
              </w:rPr>
              <w:t>Option E.1.</w:t>
            </w:r>
          </w:p>
        </w:tc>
        <w:tc>
          <w:tcPr>
            <w:tcW w:w="661" w:type="pct"/>
            <w:tcBorders>
              <w:left w:val="none" w:sz="0" w:space="0" w:color="auto"/>
            </w:tcBorders>
          </w:tcPr>
          <w:p w14:paraId="3BC3D815" w14:textId="77777777" w:rsidR="00C01E92" w:rsidRPr="00A0049E" w:rsidRDefault="00C01E92" w:rsidP="00A0049E">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0049E">
              <w:rPr>
                <w:rStyle w:val="Strong"/>
                <w:rFonts w:cstheme="minorHAnsi"/>
                <w:b/>
                <w:szCs w:val="22"/>
              </w:rPr>
              <w:t>Option E.2.</w:t>
            </w:r>
          </w:p>
        </w:tc>
      </w:tr>
      <w:tr w:rsidR="00C01E92" w:rsidRPr="00A0049E" w14:paraId="117AF7E3" w14:textId="77777777" w:rsidTr="00094D42">
        <w:trPr>
          <w:trHeight w:val="358"/>
        </w:trPr>
        <w:tc>
          <w:tcPr>
            <w:cnfStyle w:val="001000000000" w:firstRow="0" w:lastRow="0" w:firstColumn="1" w:lastColumn="0" w:oddVBand="0" w:evenVBand="0" w:oddHBand="0" w:evenHBand="0" w:firstRowFirstColumn="0" w:firstRowLastColumn="0" w:lastRowFirstColumn="0" w:lastRowLastColumn="0"/>
            <w:tcW w:w="760" w:type="pct"/>
            <w:tcBorders>
              <w:bottom w:val="single" w:sz="4" w:space="0" w:color="004EA8" w:themeColor="accent1"/>
            </w:tcBorders>
          </w:tcPr>
          <w:p w14:paraId="7CFC11A1" w14:textId="77777777" w:rsidR="00C01E92" w:rsidRPr="00A0049E" w:rsidRDefault="00C01E92" w:rsidP="00A0049E">
            <w:pPr>
              <w:spacing w:after="60"/>
              <w:rPr>
                <w:rFonts w:cstheme="minorHAnsi"/>
                <w:szCs w:val="22"/>
              </w:rPr>
            </w:pPr>
            <w:r w:rsidRPr="00A0049E">
              <w:rPr>
                <w:rFonts w:cstheme="minorHAnsi"/>
                <w:szCs w:val="22"/>
              </w:rPr>
              <w:t>Safety</w:t>
            </w:r>
          </w:p>
        </w:tc>
        <w:tc>
          <w:tcPr>
            <w:tcW w:w="2257" w:type="pct"/>
            <w:tcBorders>
              <w:bottom w:val="single" w:sz="4" w:space="0" w:color="004EA8" w:themeColor="accent1"/>
            </w:tcBorders>
          </w:tcPr>
          <w:p w14:paraId="6D3D54F5" w14:textId="3C2C10DA" w:rsidR="00C01E92" w:rsidRPr="00A0049E" w:rsidRDefault="00C01E92" w:rsidP="00B50BC1">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Effectiveness of the Regulations around equipment and facilities requirements i</w:t>
            </w:r>
            <w:r w:rsidR="00B50BC1">
              <w:rPr>
                <w:rFonts w:cstheme="minorHAnsi"/>
                <w:szCs w:val="22"/>
              </w:rPr>
              <w:t xml:space="preserve">n protecting the safety, health </w:t>
            </w:r>
            <w:r w:rsidRPr="00A0049E">
              <w:rPr>
                <w:rFonts w:cstheme="minorHAnsi"/>
                <w:szCs w:val="22"/>
              </w:rPr>
              <w:t>and wellbeing of children.</w:t>
            </w:r>
          </w:p>
        </w:tc>
        <w:tc>
          <w:tcPr>
            <w:tcW w:w="661" w:type="pct"/>
            <w:tcBorders>
              <w:bottom w:val="single" w:sz="4" w:space="0" w:color="004EA8" w:themeColor="accent1"/>
            </w:tcBorders>
          </w:tcPr>
          <w:p w14:paraId="64F1246D"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30%</w:t>
            </w:r>
          </w:p>
        </w:tc>
        <w:tc>
          <w:tcPr>
            <w:tcW w:w="661" w:type="pct"/>
            <w:tcBorders>
              <w:bottom w:val="single" w:sz="4" w:space="0" w:color="004EA8" w:themeColor="accent1"/>
            </w:tcBorders>
          </w:tcPr>
          <w:p w14:paraId="120F5952"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6</w:t>
            </w:r>
          </w:p>
        </w:tc>
        <w:tc>
          <w:tcPr>
            <w:tcW w:w="661" w:type="pct"/>
            <w:tcBorders>
              <w:bottom w:val="single" w:sz="4" w:space="0" w:color="004EA8" w:themeColor="accent1"/>
            </w:tcBorders>
          </w:tcPr>
          <w:p w14:paraId="71E24B98"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7</w:t>
            </w:r>
          </w:p>
        </w:tc>
      </w:tr>
      <w:tr w:rsidR="00094D42" w:rsidRPr="00094D42" w14:paraId="1FF30F32" w14:textId="77777777" w:rsidTr="00094D42">
        <w:trPr>
          <w:trHeight w:val="358"/>
        </w:trPr>
        <w:tc>
          <w:tcPr>
            <w:cnfStyle w:val="001000000000" w:firstRow="0" w:lastRow="0" w:firstColumn="1" w:lastColumn="0" w:oddVBand="0" w:evenVBand="0" w:oddHBand="0" w:evenHBand="0" w:firstRowFirstColumn="0" w:firstRowLastColumn="0" w:lastRowFirstColumn="0" w:lastRowLastColumn="0"/>
            <w:tcW w:w="760" w:type="pct"/>
            <w:tcBorders>
              <w:right w:val="nil"/>
            </w:tcBorders>
          </w:tcPr>
          <w:p w14:paraId="437C630B" w14:textId="60F7C577" w:rsidR="00094D42" w:rsidRPr="00094D42" w:rsidRDefault="00094D42" w:rsidP="00A0049E">
            <w:pPr>
              <w:spacing w:after="60"/>
              <w:rPr>
                <w:rFonts w:cstheme="minorHAnsi"/>
                <w:b/>
                <w:szCs w:val="22"/>
              </w:rPr>
            </w:pPr>
            <w:r w:rsidRPr="00094D42">
              <w:rPr>
                <w:rFonts w:cstheme="minorHAnsi"/>
                <w:b/>
                <w:szCs w:val="22"/>
              </w:rPr>
              <w:t>Total</w:t>
            </w:r>
          </w:p>
        </w:tc>
        <w:tc>
          <w:tcPr>
            <w:tcW w:w="2257" w:type="pct"/>
            <w:tcBorders>
              <w:left w:val="nil"/>
              <w:right w:val="nil"/>
            </w:tcBorders>
          </w:tcPr>
          <w:p w14:paraId="15F06860" w14:textId="77777777" w:rsidR="00094D42" w:rsidRPr="00094D42" w:rsidRDefault="00094D42" w:rsidP="00B50BC1">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61" w:type="pct"/>
            <w:tcBorders>
              <w:left w:val="nil"/>
              <w:right w:val="nil"/>
            </w:tcBorders>
          </w:tcPr>
          <w:p w14:paraId="42E0FA60" w14:textId="77777777" w:rsidR="00094D42" w:rsidRPr="00094D42" w:rsidRDefault="00094D4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61" w:type="pct"/>
            <w:tcBorders>
              <w:left w:val="nil"/>
              <w:right w:val="nil"/>
            </w:tcBorders>
          </w:tcPr>
          <w:p w14:paraId="4BF20400" w14:textId="30AD891D" w:rsidR="00094D42" w:rsidRPr="00094D42" w:rsidRDefault="00094D4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1.8</w:t>
            </w:r>
          </w:p>
        </w:tc>
        <w:tc>
          <w:tcPr>
            <w:tcW w:w="661" w:type="pct"/>
            <w:tcBorders>
              <w:left w:val="nil"/>
            </w:tcBorders>
          </w:tcPr>
          <w:p w14:paraId="1E9046A6" w14:textId="6132423C" w:rsidR="00094D42" w:rsidRPr="00094D42" w:rsidRDefault="00094D4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2.1</w:t>
            </w:r>
          </w:p>
        </w:tc>
      </w:tr>
      <w:tr w:rsidR="00C01E92" w:rsidRPr="00A0049E" w14:paraId="3ED70DBC" w14:textId="77777777" w:rsidTr="005A6B33">
        <w:trPr>
          <w:trHeight w:val="358"/>
        </w:trPr>
        <w:tc>
          <w:tcPr>
            <w:cnfStyle w:val="001000000000" w:firstRow="0" w:lastRow="0" w:firstColumn="1" w:lastColumn="0" w:oddVBand="0" w:evenVBand="0" w:oddHBand="0" w:evenHBand="0" w:firstRowFirstColumn="0" w:firstRowLastColumn="0" w:lastRowFirstColumn="0" w:lastRowLastColumn="0"/>
            <w:tcW w:w="760" w:type="pct"/>
            <w:tcBorders>
              <w:bottom w:val="single" w:sz="4" w:space="0" w:color="004EA8" w:themeColor="accent1"/>
            </w:tcBorders>
          </w:tcPr>
          <w:p w14:paraId="35848812" w14:textId="77777777" w:rsidR="00C01E92" w:rsidRPr="00A0049E" w:rsidRDefault="00C01E92" w:rsidP="00A0049E">
            <w:pPr>
              <w:spacing w:after="60"/>
              <w:rPr>
                <w:rFonts w:cstheme="minorHAnsi"/>
                <w:szCs w:val="22"/>
              </w:rPr>
            </w:pPr>
            <w:r w:rsidRPr="00A0049E">
              <w:rPr>
                <w:rFonts w:cstheme="minorHAnsi"/>
                <w:szCs w:val="22"/>
              </w:rPr>
              <w:t>Quality</w:t>
            </w:r>
          </w:p>
        </w:tc>
        <w:tc>
          <w:tcPr>
            <w:tcW w:w="2257" w:type="pct"/>
            <w:tcBorders>
              <w:bottom w:val="single" w:sz="4" w:space="0" w:color="004EA8" w:themeColor="accent1"/>
            </w:tcBorders>
          </w:tcPr>
          <w:p w14:paraId="3864F4C1" w14:textId="77777777" w:rsidR="00C01E92" w:rsidRPr="00A0049E" w:rsidRDefault="00C01E92" w:rsidP="00A0049E">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Effectiveness of the Regulations around equipment and facilities requirements in promoting the educational and developmental outcomes of children and the development of the children’s services sector.</w:t>
            </w:r>
          </w:p>
        </w:tc>
        <w:tc>
          <w:tcPr>
            <w:tcW w:w="661" w:type="pct"/>
            <w:tcBorders>
              <w:bottom w:val="single" w:sz="4" w:space="0" w:color="004EA8" w:themeColor="accent1"/>
            </w:tcBorders>
          </w:tcPr>
          <w:p w14:paraId="140E5E44"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20%</w:t>
            </w:r>
          </w:p>
        </w:tc>
        <w:tc>
          <w:tcPr>
            <w:tcW w:w="661" w:type="pct"/>
            <w:tcBorders>
              <w:bottom w:val="single" w:sz="4" w:space="0" w:color="004EA8" w:themeColor="accent1"/>
            </w:tcBorders>
          </w:tcPr>
          <w:p w14:paraId="06431B7E"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3</w:t>
            </w:r>
          </w:p>
        </w:tc>
        <w:tc>
          <w:tcPr>
            <w:tcW w:w="661" w:type="pct"/>
            <w:tcBorders>
              <w:bottom w:val="single" w:sz="4" w:space="0" w:color="004EA8" w:themeColor="accent1"/>
            </w:tcBorders>
          </w:tcPr>
          <w:p w14:paraId="57825A82"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4</w:t>
            </w:r>
          </w:p>
        </w:tc>
      </w:tr>
      <w:tr w:rsidR="00C01E92" w:rsidRPr="00A0049E" w14:paraId="069C56A8" w14:textId="77777777" w:rsidTr="005A6B33">
        <w:trPr>
          <w:trHeight w:val="358"/>
        </w:trPr>
        <w:tc>
          <w:tcPr>
            <w:cnfStyle w:val="001000000000" w:firstRow="0" w:lastRow="0" w:firstColumn="1" w:lastColumn="0" w:oddVBand="0" w:evenVBand="0" w:oddHBand="0" w:evenHBand="0" w:firstRowFirstColumn="0" w:firstRowLastColumn="0" w:lastRowFirstColumn="0" w:lastRowLastColumn="0"/>
            <w:tcW w:w="760" w:type="pct"/>
            <w:tcBorders>
              <w:right w:val="nil"/>
            </w:tcBorders>
          </w:tcPr>
          <w:p w14:paraId="5B36BD56" w14:textId="77777777" w:rsidR="00C01E92" w:rsidRPr="00A0049E" w:rsidRDefault="00C01E92" w:rsidP="00A0049E">
            <w:pPr>
              <w:spacing w:after="60"/>
              <w:rPr>
                <w:rFonts w:cstheme="minorHAnsi"/>
                <w:b/>
                <w:szCs w:val="22"/>
              </w:rPr>
            </w:pPr>
            <w:r w:rsidRPr="00A0049E">
              <w:rPr>
                <w:rFonts w:cstheme="minorHAnsi"/>
                <w:b/>
                <w:szCs w:val="22"/>
              </w:rPr>
              <w:t>Total</w:t>
            </w:r>
          </w:p>
        </w:tc>
        <w:tc>
          <w:tcPr>
            <w:tcW w:w="2257" w:type="pct"/>
            <w:tcBorders>
              <w:left w:val="nil"/>
              <w:right w:val="nil"/>
            </w:tcBorders>
          </w:tcPr>
          <w:p w14:paraId="5E0A767D" w14:textId="77777777" w:rsidR="00C01E92" w:rsidRPr="00A0049E" w:rsidRDefault="00C01E92" w:rsidP="00A0049E">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61" w:type="pct"/>
            <w:tcBorders>
              <w:left w:val="nil"/>
              <w:right w:val="nil"/>
            </w:tcBorders>
          </w:tcPr>
          <w:p w14:paraId="527088FA"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61" w:type="pct"/>
            <w:tcBorders>
              <w:left w:val="nil"/>
              <w:right w:val="nil"/>
            </w:tcBorders>
          </w:tcPr>
          <w:p w14:paraId="4243CA6B" w14:textId="0C9870F8" w:rsidR="00C01E92" w:rsidRPr="00A0049E" w:rsidRDefault="00094D4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0.6</w:t>
            </w:r>
          </w:p>
        </w:tc>
        <w:tc>
          <w:tcPr>
            <w:tcW w:w="661" w:type="pct"/>
            <w:tcBorders>
              <w:left w:val="nil"/>
            </w:tcBorders>
          </w:tcPr>
          <w:p w14:paraId="3DB93E6B" w14:textId="606CDA4A" w:rsidR="00C01E92" w:rsidRPr="00A0049E" w:rsidRDefault="00094D4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0.8</w:t>
            </w:r>
          </w:p>
        </w:tc>
      </w:tr>
    </w:tbl>
    <w:p w14:paraId="36B51EF5" w14:textId="1ECC947B" w:rsidR="00C01E92" w:rsidRPr="000107A9" w:rsidRDefault="005A6B33" w:rsidP="002806C5">
      <w:pPr>
        <w:pStyle w:val="EYHeading4"/>
        <w:numPr>
          <w:ilvl w:val="3"/>
          <w:numId w:val="83"/>
        </w:numPr>
        <w:spacing w:before="120"/>
        <w:rPr>
          <w:rFonts w:asciiTheme="minorHAnsi" w:hAnsiTheme="minorHAnsi" w:cstheme="minorHAnsi"/>
          <w:szCs w:val="22"/>
        </w:rPr>
      </w:pPr>
      <w:r>
        <w:rPr>
          <w:rFonts w:asciiTheme="minorHAnsi" w:hAnsiTheme="minorHAnsi" w:cstheme="minorHAnsi"/>
          <w:szCs w:val="22"/>
        </w:rPr>
        <w:t>Complaints and serious incidents</w:t>
      </w:r>
    </w:p>
    <w:p w14:paraId="5D71721F" w14:textId="36F47D2A"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Act requires providers to notify the Secretary of complaints in relation to any serious incidents, contraventions of the Act or other prescribed matters, while both regulatory options place time limits on how long services are permitted to delay before completing these notifications. While the obligation to notify the Secretary would remain under the base case, there would not</w:t>
      </w:r>
      <w:r w:rsidR="00BB7C65">
        <w:rPr>
          <w:rFonts w:asciiTheme="minorHAnsi" w:hAnsiTheme="minorHAnsi" w:cstheme="minorHAnsi"/>
          <w:sz w:val="22"/>
          <w:szCs w:val="22"/>
        </w:rPr>
        <w:t xml:space="preserve"> be any timeframe for doing so.</w:t>
      </w:r>
    </w:p>
    <w:p w14:paraId="6433F649"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b/>
          <w:sz w:val="22"/>
          <w:szCs w:val="22"/>
        </w:rPr>
        <w:lastRenderedPageBreak/>
        <w:t>F.1. Status Quo</w:t>
      </w:r>
    </w:p>
    <w:p w14:paraId="127D910C"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current Regulations with respect to complaints are more effective under both criteria than the base case. In requiring services to quickly and sensitively deal with, and notify the Secretary of, complaints, they increase the likelihood of any risks to children being dealt with swiftly and appropriately, thus protecting children from danger or further harm, or of any quality-related contravention of the Act being rectified. In the base case, services would still be required to notify the Secretary of complaints but there would be no time period or manner of doing so specified, meaning that there could be delays before the Secretary becomes aware of possible risks to children or substandard quality services, and can intervene to rectify them.  </w:t>
      </w:r>
    </w:p>
    <w:p w14:paraId="76323CCB" w14:textId="77777777" w:rsidR="00C01E92" w:rsidRPr="000107A9" w:rsidRDefault="00C01E92" w:rsidP="00C01E92">
      <w:pPr>
        <w:spacing w:before="120"/>
        <w:rPr>
          <w:rFonts w:cstheme="minorHAnsi"/>
          <w:b/>
          <w:szCs w:val="22"/>
        </w:rPr>
      </w:pPr>
      <w:r w:rsidRPr="000107A9">
        <w:rPr>
          <w:rFonts w:cstheme="minorHAnsi"/>
          <w:b/>
          <w:szCs w:val="22"/>
        </w:rPr>
        <w:t>F.2. Alignment</w:t>
      </w:r>
    </w:p>
    <w:p w14:paraId="1093D9B0" w14:textId="685BBD04" w:rsidR="00C01E92" w:rsidRPr="000107A9" w:rsidRDefault="00C01E92" w:rsidP="00C01E92">
      <w:pPr>
        <w:spacing w:before="120"/>
        <w:rPr>
          <w:rFonts w:cstheme="minorHAnsi"/>
          <w:szCs w:val="22"/>
        </w:rPr>
      </w:pPr>
      <w:r w:rsidRPr="000107A9">
        <w:rPr>
          <w:rFonts w:cstheme="minorHAnsi"/>
          <w:szCs w:val="22"/>
        </w:rPr>
        <w:t>The proposed Regulations are somewhat more effective than the base case for the same reasons as Option F.1 because this option also imposes a timeframe on the notification of complaints. There is no requirement under this option for complaints to be dealt with ‘discreetly’, but this is considered to have only negligible consequences for the health and safety of children or the quality of services.</w:t>
      </w:r>
    </w:p>
    <w:p w14:paraId="1312E6D8" w14:textId="4D55FF01" w:rsidR="00C01E92" w:rsidRPr="000107A9" w:rsidRDefault="00C01E92" w:rsidP="00C01E92">
      <w:pPr>
        <w:spacing w:before="120"/>
        <w:rPr>
          <w:rFonts w:cstheme="minorHAnsi"/>
          <w:szCs w:val="22"/>
        </w:rPr>
      </w:pPr>
      <w:r w:rsidRPr="000107A9">
        <w:rPr>
          <w:rFonts w:cstheme="minorHAnsi"/>
          <w:szCs w:val="22"/>
        </w:rPr>
        <w:fldChar w:fldCharType="begin"/>
      </w:r>
      <w:r w:rsidRPr="000107A9">
        <w:rPr>
          <w:rFonts w:cstheme="minorHAnsi"/>
          <w:szCs w:val="22"/>
        </w:rPr>
        <w:instrText xml:space="preserve"> REF _Ref24470500 \h  \* MERGEFORMAT </w:instrText>
      </w:r>
      <w:r w:rsidRPr="000107A9">
        <w:rPr>
          <w:rFonts w:cstheme="minorHAnsi"/>
          <w:szCs w:val="22"/>
        </w:rPr>
      </w:r>
      <w:r w:rsidRPr="000107A9">
        <w:rPr>
          <w:rFonts w:cstheme="minorHAnsi"/>
          <w:szCs w:val="22"/>
        </w:rPr>
        <w:fldChar w:fldCharType="separate"/>
      </w:r>
      <w:r w:rsidR="00493211" w:rsidRPr="00493211">
        <w:rPr>
          <w:rFonts w:cstheme="minorHAnsi"/>
          <w:noProof/>
          <w:szCs w:val="22"/>
        </w:rPr>
        <w:t>Table</w:t>
      </w:r>
      <w:r w:rsidR="00493211" w:rsidRPr="000107A9">
        <w:t xml:space="preserve"> </w:t>
      </w:r>
      <w:r w:rsidR="00493211">
        <w:rPr>
          <w:noProof/>
        </w:rPr>
        <w:t>52</w:t>
      </w:r>
      <w:r w:rsidRPr="000107A9">
        <w:rPr>
          <w:rFonts w:cstheme="minorHAnsi"/>
          <w:szCs w:val="22"/>
        </w:rPr>
        <w:fldChar w:fldCharType="end"/>
      </w:r>
      <w:r w:rsidR="00A02E87">
        <w:rPr>
          <w:rFonts w:cstheme="minorHAnsi"/>
          <w:szCs w:val="22"/>
        </w:rPr>
        <w:t>52</w:t>
      </w:r>
      <w:r w:rsidRPr="000107A9">
        <w:rPr>
          <w:rFonts w:cstheme="minorHAnsi"/>
          <w:szCs w:val="22"/>
        </w:rPr>
        <w:t xml:space="preserve"> provides the scores given to Option F.1 and Option F.2 against the two benefits criteria. </w:t>
      </w:r>
    </w:p>
    <w:p w14:paraId="572EAD43" w14:textId="567B92C2" w:rsidR="00C01E92" w:rsidRPr="000107A9" w:rsidRDefault="00C01E92" w:rsidP="00F7569F">
      <w:pPr>
        <w:pStyle w:val="Caption"/>
      </w:pPr>
      <w:bookmarkStart w:id="260" w:name="_Ref24470500"/>
      <w:bookmarkStart w:id="261" w:name="_Toc32592835"/>
      <w:r w:rsidRPr="000107A9">
        <w:t xml:space="preserve">Table </w:t>
      </w:r>
      <w:r w:rsidRPr="000107A9">
        <w:fldChar w:fldCharType="begin"/>
      </w:r>
      <w:r w:rsidRPr="000107A9">
        <w:instrText xml:space="preserve"> SEQ Table \* ARABIC </w:instrText>
      </w:r>
      <w:r w:rsidRPr="000107A9">
        <w:fldChar w:fldCharType="separate"/>
      </w:r>
      <w:r w:rsidR="00493211">
        <w:rPr>
          <w:noProof/>
        </w:rPr>
        <w:t>52</w:t>
      </w:r>
      <w:r w:rsidRPr="000107A9">
        <w:fldChar w:fldCharType="end"/>
      </w:r>
      <w:bookmarkEnd w:id="260"/>
      <w:r w:rsidRPr="000107A9">
        <w:t xml:space="preserve"> </w:t>
      </w:r>
      <w:r w:rsidR="005A6B33">
        <w:t>Complaints and serious incidents</w:t>
      </w:r>
      <w:r w:rsidRPr="000107A9">
        <w:t xml:space="preserve"> - benefits scores</w:t>
      </w:r>
      <w:bookmarkEnd w:id="261"/>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463"/>
        <w:gridCol w:w="4343"/>
        <w:gridCol w:w="1272"/>
        <w:gridCol w:w="1272"/>
        <w:gridCol w:w="1272"/>
      </w:tblGrid>
      <w:tr w:rsidR="00C01E92" w:rsidRPr="00A0049E" w14:paraId="395FE82D" w14:textId="77777777" w:rsidTr="005A6B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pct"/>
            <w:tcBorders>
              <w:right w:val="none" w:sz="0" w:space="0" w:color="auto"/>
            </w:tcBorders>
          </w:tcPr>
          <w:p w14:paraId="34B9C999" w14:textId="77777777" w:rsidR="00C01E92" w:rsidRPr="00A0049E" w:rsidRDefault="00C01E92" w:rsidP="00A0049E">
            <w:pPr>
              <w:spacing w:after="60"/>
              <w:rPr>
                <w:rStyle w:val="Strong"/>
                <w:rFonts w:cstheme="minorHAnsi"/>
                <w:b/>
                <w:szCs w:val="22"/>
              </w:rPr>
            </w:pPr>
            <w:r w:rsidRPr="00A0049E">
              <w:rPr>
                <w:rStyle w:val="Strong"/>
                <w:rFonts w:cstheme="minorHAnsi"/>
                <w:b/>
                <w:szCs w:val="22"/>
              </w:rPr>
              <w:t>Criterion</w:t>
            </w:r>
          </w:p>
        </w:tc>
        <w:tc>
          <w:tcPr>
            <w:tcW w:w="2257" w:type="pct"/>
            <w:tcBorders>
              <w:left w:val="none" w:sz="0" w:space="0" w:color="auto"/>
              <w:right w:val="none" w:sz="0" w:space="0" w:color="auto"/>
            </w:tcBorders>
          </w:tcPr>
          <w:p w14:paraId="5677D1F7" w14:textId="77777777" w:rsidR="00C01E92" w:rsidRPr="00A0049E" w:rsidRDefault="00C01E92" w:rsidP="00A0049E">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0049E">
              <w:rPr>
                <w:rStyle w:val="Strong"/>
                <w:rFonts w:cstheme="minorHAnsi"/>
                <w:b/>
                <w:szCs w:val="22"/>
              </w:rPr>
              <w:t>Description</w:t>
            </w:r>
          </w:p>
        </w:tc>
        <w:tc>
          <w:tcPr>
            <w:tcW w:w="661" w:type="pct"/>
            <w:tcBorders>
              <w:left w:val="none" w:sz="0" w:space="0" w:color="auto"/>
              <w:right w:val="none" w:sz="0" w:space="0" w:color="auto"/>
            </w:tcBorders>
          </w:tcPr>
          <w:p w14:paraId="4DBED356" w14:textId="77777777" w:rsidR="00C01E92" w:rsidRPr="00A0049E" w:rsidRDefault="00C01E92" w:rsidP="00A0049E">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0049E">
              <w:rPr>
                <w:rStyle w:val="Strong"/>
                <w:rFonts w:cstheme="minorHAnsi"/>
                <w:b/>
                <w:szCs w:val="22"/>
              </w:rPr>
              <w:t>Weighting</w:t>
            </w:r>
          </w:p>
        </w:tc>
        <w:tc>
          <w:tcPr>
            <w:tcW w:w="661" w:type="pct"/>
            <w:tcBorders>
              <w:left w:val="none" w:sz="0" w:space="0" w:color="auto"/>
              <w:right w:val="none" w:sz="0" w:space="0" w:color="auto"/>
            </w:tcBorders>
          </w:tcPr>
          <w:p w14:paraId="2CBE6595" w14:textId="77777777" w:rsidR="00C01E92" w:rsidRPr="00A0049E" w:rsidRDefault="00C01E92" w:rsidP="00A0049E">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0049E">
              <w:rPr>
                <w:rStyle w:val="Strong"/>
                <w:rFonts w:cstheme="minorHAnsi"/>
                <w:b/>
                <w:szCs w:val="22"/>
              </w:rPr>
              <w:t>Option F.1.</w:t>
            </w:r>
          </w:p>
        </w:tc>
        <w:tc>
          <w:tcPr>
            <w:tcW w:w="661" w:type="pct"/>
            <w:tcBorders>
              <w:left w:val="none" w:sz="0" w:space="0" w:color="auto"/>
            </w:tcBorders>
          </w:tcPr>
          <w:p w14:paraId="1F4BC8B7" w14:textId="77777777" w:rsidR="00C01E92" w:rsidRPr="00A0049E" w:rsidRDefault="00C01E92" w:rsidP="00A0049E">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0049E">
              <w:rPr>
                <w:rStyle w:val="Strong"/>
                <w:rFonts w:cstheme="minorHAnsi"/>
                <w:b/>
                <w:szCs w:val="22"/>
              </w:rPr>
              <w:t>Option F.2.</w:t>
            </w:r>
          </w:p>
        </w:tc>
      </w:tr>
      <w:tr w:rsidR="00C01E92" w:rsidRPr="00A0049E" w14:paraId="73C86196" w14:textId="77777777" w:rsidTr="00094D42">
        <w:trPr>
          <w:trHeight w:val="358"/>
        </w:trPr>
        <w:tc>
          <w:tcPr>
            <w:cnfStyle w:val="001000000000" w:firstRow="0" w:lastRow="0" w:firstColumn="1" w:lastColumn="0" w:oddVBand="0" w:evenVBand="0" w:oddHBand="0" w:evenHBand="0" w:firstRowFirstColumn="0" w:firstRowLastColumn="0" w:lastRowFirstColumn="0" w:lastRowLastColumn="0"/>
            <w:tcW w:w="760" w:type="pct"/>
            <w:tcBorders>
              <w:bottom w:val="single" w:sz="4" w:space="0" w:color="004EA8" w:themeColor="accent1"/>
            </w:tcBorders>
          </w:tcPr>
          <w:p w14:paraId="2F5ADC11" w14:textId="77777777" w:rsidR="00C01E92" w:rsidRPr="00A0049E" w:rsidRDefault="00C01E92" w:rsidP="00A0049E">
            <w:pPr>
              <w:spacing w:after="60"/>
              <w:rPr>
                <w:rFonts w:cstheme="minorHAnsi"/>
                <w:szCs w:val="22"/>
              </w:rPr>
            </w:pPr>
            <w:r w:rsidRPr="00A0049E">
              <w:rPr>
                <w:rFonts w:cstheme="minorHAnsi"/>
                <w:szCs w:val="22"/>
              </w:rPr>
              <w:t>Safety</w:t>
            </w:r>
          </w:p>
        </w:tc>
        <w:tc>
          <w:tcPr>
            <w:tcW w:w="2257" w:type="pct"/>
            <w:tcBorders>
              <w:bottom w:val="single" w:sz="4" w:space="0" w:color="004EA8" w:themeColor="accent1"/>
            </w:tcBorders>
          </w:tcPr>
          <w:p w14:paraId="4BB94A39" w14:textId="3797F3D4" w:rsidR="00C01E92" w:rsidRPr="00A0049E" w:rsidRDefault="00C01E92" w:rsidP="00B50BC1">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 xml:space="preserve">Effectiveness of the Regulations around complaints in protecting the </w:t>
            </w:r>
            <w:r w:rsidR="00B50BC1">
              <w:rPr>
                <w:rFonts w:cstheme="minorHAnsi"/>
                <w:szCs w:val="22"/>
              </w:rPr>
              <w:t xml:space="preserve">safety, </w:t>
            </w:r>
            <w:r w:rsidRPr="00A0049E">
              <w:rPr>
                <w:rFonts w:cstheme="minorHAnsi"/>
                <w:szCs w:val="22"/>
              </w:rPr>
              <w:t>health and wellbeing of children.</w:t>
            </w:r>
          </w:p>
        </w:tc>
        <w:tc>
          <w:tcPr>
            <w:tcW w:w="661" w:type="pct"/>
            <w:tcBorders>
              <w:bottom w:val="single" w:sz="4" w:space="0" w:color="004EA8" w:themeColor="accent1"/>
            </w:tcBorders>
          </w:tcPr>
          <w:p w14:paraId="1E614294"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30%</w:t>
            </w:r>
          </w:p>
        </w:tc>
        <w:tc>
          <w:tcPr>
            <w:tcW w:w="661" w:type="pct"/>
            <w:tcBorders>
              <w:bottom w:val="single" w:sz="4" w:space="0" w:color="004EA8" w:themeColor="accent1"/>
            </w:tcBorders>
          </w:tcPr>
          <w:p w14:paraId="1443E163"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4</w:t>
            </w:r>
          </w:p>
        </w:tc>
        <w:tc>
          <w:tcPr>
            <w:tcW w:w="661" w:type="pct"/>
            <w:tcBorders>
              <w:bottom w:val="single" w:sz="4" w:space="0" w:color="004EA8" w:themeColor="accent1"/>
            </w:tcBorders>
          </w:tcPr>
          <w:p w14:paraId="0B2A6098"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4</w:t>
            </w:r>
          </w:p>
        </w:tc>
      </w:tr>
      <w:tr w:rsidR="00094D42" w:rsidRPr="00094D42" w14:paraId="72E4B67A" w14:textId="77777777" w:rsidTr="00094D42">
        <w:trPr>
          <w:trHeight w:val="358"/>
        </w:trPr>
        <w:tc>
          <w:tcPr>
            <w:cnfStyle w:val="001000000000" w:firstRow="0" w:lastRow="0" w:firstColumn="1" w:lastColumn="0" w:oddVBand="0" w:evenVBand="0" w:oddHBand="0" w:evenHBand="0" w:firstRowFirstColumn="0" w:firstRowLastColumn="0" w:lastRowFirstColumn="0" w:lastRowLastColumn="0"/>
            <w:tcW w:w="760" w:type="pct"/>
            <w:tcBorders>
              <w:right w:val="nil"/>
            </w:tcBorders>
          </w:tcPr>
          <w:p w14:paraId="0ABFEB4D" w14:textId="729AFDC1" w:rsidR="00094D42" w:rsidRPr="00094D42" w:rsidRDefault="00094D42" w:rsidP="00A0049E">
            <w:pPr>
              <w:spacing w:after="60"/>
              <w:rPr>
                <w:rFonts w:cstheme="minorHAnsi"/>
                <w:b/>
                <w:szCs w:val="22"/>
              </w:rPr>
            </w:pPr>
            <w:r w:rsidRPr="00094D42">
              <w:rPr>
                <w:rFonts w:cstheme="minorHAnsi"/>
                <w:b/>
                <w:szCs w:val="22"/>
              </w:rPr>
              <w:t>Total</w:t>
            </w:r>
          </w:p>
        </w:tc>
        <w:tc>
          <w:tcPr>
            <w:tcW w:w="2257" w:type="pct"/>
            <w:tcBorders>
              <w:left w:val="nil"/>
              <w:right w:val="nil"/>
            </w:tcBorders>
          </w:tcPr>
          <w:p w14:paraId="7FB29746" w14:textId="77777777" w:rsidR="00094D42" w:rsidRPr="00094D42" w:rsidRDefault="00094D42" w:rsidP="00B50BC1">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61" w:type="pct"/>
            <w:tcBorders>
              <w:left w:val="nil"/>
              <w:right w:val="nil"/>
            </w:tcBorders>
          </w:tcPr>
          <w:p w14:paraId="01626260" w14:textId="77777777" w:rsidR="00094D42" w:rsidRPr="00094D42" w:rsidRDefault="00094D4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61" w:type="pct"/>
            <w:tcBorders>
              <w:left w:val="nil"/>
              <w:right w:val="nil"/>
            </w:tcBorders>
          </w:tcPr>
          <w:p w14:paraId="3664BFC9" w14:textId="050D67B5" w:rsidR="00094D42" w:rsidRPr="00094D42" w:rsidRDefault="00094D4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1.2</w:t>
            </w:r>
          </w:p>
        </w:tc>
        <w:tc>
          <w:tcPr>
            <w:tcW w:w="661" w:type="pct"/>
            <w:tcBorders>
              <w:left w:val="nil"/>
            </w:tcBorders>
          </w:tcPr>
          <w:p w14:paraId="521E63BA" w14:textId="41780782" w:rsidR="00094D42" w:rsidRPr="00094D42" w:rsidRDefault="00094D4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1.2</w:t>
            </w:r>
          </w:p>
        </w:tc>
      </w:tr>
      <w:tr w:rsidR="00C01E92" w:rsidRPr="00A0049E" w14:paraId="5FD2145B" w14:textId="77777777" w:rsidTr="005A6B33">
        <w:trPr>
          <w:trHeight w:val="358"/>
        </w:trPr>
        <w:tc>
          <w:tcPr>
            <w:cnfStyle w:val="001000000000" w:firstRow="0" w:lastRow="0" w:firstColumn="1" w:lastColumn="0" w:oddVBand="0" w:evenVBand="0" w:oddHBand="0" w:evenHBand="0" w:firstRowFirstColumn="0" w:firstRowLastColumn="0" w:lastRowFirstColumn="0" w:lastRowLastColumn="0"/>
            <w:tcW w:w="760" w:type="pct"/>
            <w:tcBorders>
              <w:bottom w:val="single" w:sz="4" w:space="0" w:color="004EA8" w:themeColor="accent1"/>
            </w:tcBorders>
          </w:tcPr>
          <w:p w14:paraId="6954A470" w14:textId="77777777" w:rsidR="00C01E92" w:rsidRPr="00A0049E" w:rsidRDefault="00C01E92" w:rsidP="00A0049E">
            <w:pPr>
              <w:spacing w:after="60"/>
              <w:rPr>
                <w:rFonts w:cstheme="minorHAnsi"/>
                <w:szCs w:val="22"/>
              </w:rPr>
            </w:pPr>
            <w:r w:rsidRPr="00A0049E">
              <w:rPr>
                <w:rFonts w:cstheme="minorHAnsi"/>
                <w:szCs w:val="22"/>
              </w:rPr>
              <w:t>Quality</w:t>
            </w:r>
          </w:p>
        </w:tc>
        <w:tc>
          <w:tcPr>
            <w:tcW w:w="2257" w:type="pct"/>
            <w:tcBorders>
              <w:bottom w:val="single" w:sz="4" w:space="0" w:color="004EA8" w:themeColor="accent1"/>
            </w:tcBorders>
          </w:tcPr>
          <w:p w14:paraId="6F353AB8" w14:textId="77777777" w:rsidR="00C01E92" w:rsidRPr="00A0049E" w:rsidRDefault="00C01E92" w:rsidP="00A0049E">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Effectiveness of the Regulations around complaints in promoting the educational and developmental outcomes of children and the development of the children’s services sector.</w:t>
            </w:r>
          </w:p>
        </w:tc>
        <w:tc>
          <w:tcPr>
            <w:tcW w:w="661" w:type="pct"/>
            <w:tcBorders>
              <w:bottom w:val="single" w:sz="4" w:space="0" w:color="004EA8" w:themeColor="accent1"/>
            </w:tcBorders>
          </w:tcPr>
          <w:p w14:paraId="681AA378"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20%</w:t>
            </w:r>
          </w:p>
        </w:tc>
        <w:tc>
          <w:tcPr>
            <w:tcW w:w="661" w:type="pct"/>
            <w:tcBorders>
              <w:bottom w:val="single" w:sz="4" w:space="0" w:color="004EA8" w:themeColor="accent1"/>
            </w:tcBorders>
          </w:tcPr>
          <w:p w14:paraId="60FE31E5"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4</w:t>
            </w:r>
          </w:p>
        </w:tc>
        <w:tc>
          <w:tcPr>
            <w:tcW w:w="661" w:type="pct"/>
            <w:tcBorders>
              <w:bottom w:val="single" w:sz="4" w:space="0" w:color="004EA8" w:themeColor="accent1"/>
            </w:tcBorders>
          </w:tcPr>
          <w:p w14:paraId="12CD0F56"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0049E">
              <w:rPr>
                <w:rFonts w:cstheme="minorHAnsi"/>
                <w:szCs w:val="22"/>
              </w:rPr>
              <w:t>4</w:t>
            </w:r>
          </w:p>
        </w:tc>
      </w:tr>
      <w:tr w:rsidR="00C01E92" w:rsidRPr="00A0049E" w14:paraId="21561126" w14:textId="77777777" w:rsidTr="005A6B33">
        <w:trPr>
          <w:trHeight w:val="358"/>
        </w:trPr>
        <w:tc>
          <w:tcPr>
            <w:cnfStyle w:val="001000000000" w:firstRow="0" w:lastRow="0" w:firstColumn="1" w:lastColumn="0" w:oddVBand="0" w:evenVBand="0" w:oddHBand="0" w:evenHBand="0" w:firstRowFirstColumn="0" w:firstRowLastColumn="0" w:lastRowFirstColumn="0" w:lastRowLastColumn="0"/>
            <w:tcW w:w="760" w:type="pct"/>
            <w:tcBorders>
              <w:right w:val="nil"/>
            </w:tcBorders>
          </w:tcPr>
          <w:p w14:paraId="1963D727" w14:textId="77777777" w:rsidR="00C01E92" w:rsidRPr="00A0049E" w:rsidRDefault="00C01E92" w:rsidP="00A0049E">
            <w:pPr>
              <w:spacing w:after="60"/>
              <w:rPr>
                <w:rFonts w:cstheme="minorHAnsi"/>
                <w:b/>
                <w:szCs w:val="22"/>
              </w:rPr>
            </w:pPr>
            <w:r w:rsidRPr="00A0049E">
              <w:rPr>
                <w:rFonts w:cstheme="minorHAnsi"/>
                <w:b/>
                <w:szCs w:val="22"/>
              </w:rPr>
              <w:t>Total</w:t>
            </w:r>
          </w:p>
        </w:tc>
        <w:tc>
          <w:tcPr>
            <w:tcW w:w="2257" w:type="pct"/>
            <w:tcBorders>
              <w:left w:val="nil"/>
              <w:right w:val="nil"/>
            </w:tcBorders>
          </w:tcPr>
          <w:p w14:paraId="2641C2D2" w14:textId="77777777" w:rsidR="00C01E92" w:rsidRPr="00A0049E" w:rsidRDefault="00C01E92" w:rsidP="00A0049E">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61" w:type="pct"/>
            <w:tcBorders>
              <w:left w:val="nil"/>
              <w:right w:val="nil"/>
            </w:tcBorders>
          </w:tcPr>
          <w:p w14:paraId="43DBA8FD" w14:textId="77777777" w:rsidR="00C01E92" w:rsidRPr="00A0049E" w:rsidRDefault="00C01E9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61" w:type="pct"/>
            <w:tcBorders>
              <w:left w:val="nil"/>
              <w:right w:val="nil"/>
            </w:tcBorders>
          </w:tcPr>
          <w:p w14:paraId="5CEEBC50" w14:textId="2DD36213" w:rsidR="00C01E92" w:rsidRPr="00A0049E" w:rsidRDefault="00094D4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0.8</w:t>
            </w:r>
          </w:p>
        </w:tc>
        <w:tc>
          <w:tcPr>
            <w:tcW w:w="661" w:type="pct"/>
            <w:tcBorders>
              <w:left w:val="nil"/>
            </w:tcBorders>
          </w:tcPr>
          <w:p w14:paraId="4DBB3110" w14:textId="7A7F71AF" w:rsidR="00C01E92" w:rsidRPr="00A0049E" w:rsidRDefault="00094D42" w:rsidP="00A0049E">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0.8</w:t>
            </w:r>
          </w:p>
        </w:tc>
      </w:tr>
    </w:tbl>
    <w:p w14:paraId="7DDCAC94" w14:textId="77777777" w:rsidR="00C01E92" w:rsidRPr="000107A9" w:rsidRDefault="00C01E92" w:rsidP="002806C5">
      <w:pPr>
        <w:pStyle w:val="EYHeading4"/>
        <w:numPr>
          <w:ilvl w:val="3"/>
          <w:numId w:val="83"/>
        </w:numPr>
        <w:spacing w:before="120"/>
        <w:rPr>
          <w:rFonts w:asciiTheme="minorHAnsi" w:hAnsiTheme="minorHAnsi" w:cstheme="minorHAnsi"/>
          <w:szCs w:val="22"/>
        </w:rPr>
      </w:pPr>
      <w:r w:rsidRPr="000107A9">
        <w:rPr>
          <w:rFonts w:asciiTheme="minorHAnsi" w:hAnsiTheme="minorHAnsi" w:cstheme="minorHAnsi"/>
          <w:szCs w:val="22"/>
        </w:rPr>
        <w:t>Registers and record-keeping</w:t>
      </w:r>
    </w:p>
    <w:p w14:paraId="15D59870"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Act requires providers to display the prescribed information and keep the prescribed records for inspection by the Department officers. The Act also requires the Secretary to keep registers of approved providers and services. </w:t>
      </w:r>
    </w:p>
    <w:p w14:paraId="3E45BF1A" w14:textId="0825B6F8" w:rsidR="00C01E92"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Under both options, the Regulations specify the details to be kept in the registers in relation to each provider and service, and prescribe the policies, procedures and information to be kept and/or displayed by services.</w:t>
      </w:r>
    </w:p>
    <w:p w14:paraId="14C12E0D" w14:textId="77777777" w:rsidR="00C01E92" w:rsidRPr="000107A9" w:rsidRDefault="00C01E92" w:rsidP="00C01E92">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b/>
          <w:sz w:val="22"/>
          <w:szCs w:val="22"/>
        </w:rPr>
        <w:t>Option G.1. Status Quo</w:t>
      </w:r>
    </w:p>
    <w:p w14:paraId="5A6E4E06"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This option would be mildly more effective than the base case as assessed against both benefits criteria.</w:t>
      </w:r>
    </w:p>
    <w:p w14:paraId="54B41EDC"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documents to be kept or displayed relate to the service’s ability to protect children from harm and provide quality education and care services – for example, emergency procedures, the service’s licence (or approval) details, and staff rosters. Although, under the base case, services </w:t>
      </w:r>
      <w:r w:rsidRPr="000107A9">
        <w:rPr>
          <w:rFonts w:asciiTheme="minorHAnsi" w:hAnsiTheme="minorHAnsi" w:cstheme="minorHAnsi"/>
          <w:sz w:val="22"/>
          <w:szCs w:val="22"/>
        </w:rPr>
        <w:lastRenderedPageBreak/>
        <w:t xml:space="preserve">would likely still keep some of these records for practical purposes, their records may not be as comprehensive as those required under the current Regulations, and services may not realise that information about policies and procedures also needs to be displayed. </w:t>
      </w:r>
    </w:p>
    <w:p w14:paraId="1D10C03B"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Option G.1. Status Quo is mildly more effective relative to the base case because it requires services to give detailed consideration to how they manage illnesses or emergencies and develop adequate policies to handle such situations, better preparing services to protect children from potential health and safety risks. Additionally, requiring services to display information relating to educational and recreational programs provides parents or guardians with a ready means of assessing the quality of service provided to their children. </w:t>
      </w:r>
    </w:p>
    <w:p w14:paraId="26AB56E6" w14:textId="37BDA25D"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current Regulations are also more effective than the base case because they ensure that services keep detailed information on hand for inspection by the Department officers, facilitating more efficient regulation and, therefore, better enabling the Department to ensure that services are delivering adequate quality service and protecting children from harm, with the flow-on outcomes discussed in sections </w:t>
      </w: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_Ref23165110 \n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Pr>
          <w:rFonts w:asciiTheme="minorHAnsi" w:hAnsiTheme="minorHAnsi" w:cstheme="minorHAnsi"/>
          <w:sz w:val="22"/>
          <w:szCs w:val="22"/>
        </w:rPr>
        <w:t>0</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and </w:t>
      </w: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_Ref23168327 \n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Pr>
          <w:rFonts w:asciiTheme="minorHAnsi" w:hAnsiTheme="minorHAnsi" w:cstheme="minorHAnsi"/>
          <w:sz w:val="22"/>
          <w:szCs w:val="22"/>
        </w:rPr>
        <w:t>0</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w:t>
      </w:r>
    </w:p>
    <w:p w14:paraId="163189A1"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guidance provided to the Department in terms of the details to be included in its registers is considered to have negligible benefits in comparison to the base case, as the Department would keep this information as a necessary precondition to fulfilling its regulatory functions even without an obligation to do so. </w:t>
      </w:r>
    </w:p>
    <w:p w14:paraId="05799153" w14:textId="77777777" w:rsidR="00C01E92" w:rsidRPr="000107A9" w:rsidRDefault="00C01E92" w:rsidP="00C01E92">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b/>
          <w:sz w:val="22"/>
          <w:szCs w:val="22"/>
        </w:rPr>
        <w:t>Option G.2. Alignment</w:t>
      </w:r>
    </w:p>
    <w:p w14:paraId="6B76D0F5" w14:textId="00848FB9"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requirements under Option G.2 in relation to registers and record-keeping are almost the same as those imposed under Option G.1 Status Quo, and can therefore be expected to result in close to the same degree of benefits compared to the base case.</w:t>
      </w:r>
    </w:p>
    <w:p w14:paraId="483B3BBE"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additional requirement of documenting emergency evacuation procedures is more effective than the base case in relation to the health, safety and wellbeing criterion because it would ensure that services and their staff – especially newer staff – are aware of what to do in an emergency in order to protect children. Additionally, ensuring that services’ medical conditions policies cover medical management, risk-minimisation and communication plans for all children diagnosed with a medical condition (not just those with anaphylaxis or asthma) is expected to improve services’ ability to protect the health, safety and wellbeing of children in their care.</w:t>
      </w:r>
    </w:p>
    <w:p w14:paraId="236FC1DD" w14:textId="71F8AF9B"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_Ref24470632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Table 53</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provides the score given to Option G.1 and Option G.2 against the two benefits criteria. </w:t>
      </w:r>
    </w:p>
    <w:p w14:paraId="116D0CF6" w14:textId="06D7096A" w:rsidR="00C01E92" w:rsidRPr="000107A9" w:rsidRDefault="00C01E92" w:rsidP="00F7569F">
      <w:pPr>
        <w:pStyle w:val="Caption"/>
      </w:pPr>
      <w:bookmarkStart w:id="262" w:name="_Ref24470632"/>
      <w:bookmarkStart w:id="263" w:name="_Ref23759041"/>
      <w:bookmarkStart w:id="264" w:name="_Toc32592836"/>
      <w:r w:rsidRPr="000107A9">
        <w:t xml:space="preserve">Table </w:t>
      </w:r>
      <w:r w:rsidRPr="000107A9">
        <w:fldChar w:fldCharType="begin"/>
      </w:r>
      <w:r w:rsidRPr="000107A9">
        <w:instrText xml:space="preserve"> SEQ Table \* ARABIC </w:instrText>
      </w:r>
      <w:r w:rsidRPr="000107A9">
        <w:fldChar w:fldCharType="separate"/>
      </w:r>
      <w:r w:rsidR="00493211">
        <w:rPr>
          <w:noProof/>
        </w:rPr>
        <w:t>53</w:t>
      </w:r>
      <w:r w:rsidRPr="000107A9">
        <w:fldChar w:fldCharType="end"/>
      </w:r>
      <w:bookmarkEnd w:id="262"/>
      <w:r w:rsidRPr="000107A9">
        <w:t xml:space="preserve"> </w:t>
      </w:r>
      <w:r w:rsidR="00094D42">
        <w:t>Registers and record-keeping</w:t>
      </w:r>
      <w:r w:rsidRPr="000107A9">
        <w:t xml:space="preserve"> - benefits score</w:t>
      </w:r>
      <w:bookmarkEnd w:id="263"/>
      <w:bookmarkEnd w:id="264"/>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463"/>
        <w:gridCol w:w="4343"/>
        <w:gridCol w:w="1272"/>
        <w:gridCol w:w="1272"/>
        <w:gridCol w:w="1272"/>
      </w:tblGrid>
      <w:tr w:rsidR="00C01E92" w:rsidRPr="00AA2559" w14:paraId="00B4B16E" w14:textId="77777777" w:rsidTr="005A6B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pct"/>
            <w:tcBorders>
              <w:right w:val="none" w:sz="0" w:space="0" w:color="auto"/>
            </w:tcBorders>
          </w:tcPr>
          <w:p w14:paraId="1F96EC65" w14:textId="77777777" w:rsidR="00C01E92" w:rsidRPr="00AA2559" w:rsidRDefault="00C01E92" w:rsidP="00AA2559">
            <w:pPr>
              <w:spacing w:after="60"/>
              <w:rPr>
                <w:rStyle w:val="Strong"/>
                <w:rFonts w:cstheme="minorHAnsi"/>
                <w:b/>
                <w:szCs w:val="22"/>
              </w:rPr>
            </w:pPr>
            <w:r w:rsidRPr="00AA2559">
              <w:rPr>
                <w:rStyle w:val="Strong"/>
                <w:rFonts w:cstheme="minorHAnsi"/>
                <w:b/>
                <w:szCs w:val="22"/>
              </w:rPr>
              <w:t>Criterion</w:t>
            </w:r>
          </w:p>
        </w:tc>
        <w:tc>
          <w:tcPr>
            <w:tcW w:w="2257" w:type="pct"/>
            <w:tcBorders>
              <w:left w:val="none" w:sz="0" w:space="0" w:color="auto"/>
              <w:right w:val="none" w:sz="0" w:space="0" w:color="auto"/>
            </w:tcBorders>
          </w:tcPr>
          <w:p w14:paraId="7BF7ACEA" w14:textId="77777777" w:rsidR="00C01E92" w:rsidRPr="00AA2559" w:rsidRDefault="00C01E92" w:rsidP="00AA2559">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A2559">
              <w:rPr>
                <w:rStyle w:val="Strong"/>
                <w:rFonts w:cstheme="minorHAnsi"/>
                <w:b/>
                <w:szCs w:val="22"/>
              </w:rPr>
              <w:t>Description</w:t>
            </w:r>
          </w:p>
        </w:tc>
        <w:tc>
          <w:tcPr>
            <w:tcW w:w="661" w:type="pct"/>
            <w:tcBorders>
              <w:left w:val="none" w:sz="0" w:space="0" w:color="auto"/>
              <w:right w:val="none" w:sz="0" w:space="0" w:color="auto"/>
            </w:tcBorders>
          </w:tcPr>
          <w:p w14:paraId="67B17F1F" w14:textId="77777777" w:rsidR="00C01E92" w:rsidRPr="00AA2559" w:rsidRDefault="00C01E92" w:rsidP="00AA2559">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A2559">
              <w:rPr>
                <w:rStyle w:val="Strong"/>
                <w:rFonts w:cstheme="minorHAnsi"/>
                <w:b/>
                <w:szCs w:val="22"/>
              </w:rPr>
              <w:t>Weighting</w:t>
            </w:r>
          </w:p>
        </w:tc>
        <w:tc>
          <w:tcPr>
            <w:tcW w:w="661" w:type="pct"/>
            <w:tcBorders>
              <w:left w:val="none" w:sz="0" w:space="0" w:color="auto"/>
              <w:right w:val="none" w:sz="0" w:space="0" w:color="auto"/>
            </w:tcBorders>
          </w:tcPr>
          <w:p w14:paraId="1F66BAAE" w14:textId="77777777" w:rsidR="00C01E92" w:rsidRPr="00AA2559" w:rsidRDefault="00C01E92" w:rsidP="00AA2559">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A2559">
              <w:rPr>
                <w:rStyle w:val="Strong"/>
                <w:rFonts w:cstheme="minorHAnsi"/>
                <w:b/>
                <w:szCs w:val="22"/>
              </w:rPr>
              <w:t>Option G.1.</w:t>
            </w:r>
          </w:p>
        </w:tc>
        <w:tc>
          <w:tcPr>
            <w:tcW w:w="661" w:type="pct"/>
            <w:tcBorders>
              <w:left w:val="none" w:sz="0" w:space="0" w:color="auto"/>
            </w:tcBorders>
          </w:tcPr>
          <w:p w14:paraId="431466B3" w14:textId="77777777" w:rsidR="00C01E92" w:rsidRPr="00AA2559" w:rsidRDefault="00C01E92" w:rsidP="00AA2559">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A2559">
              <w:rPr>
                <w:rStyle w:val="Strong"/>
                <w:rFonts w:cstheme="minorHAnsi"/>
                <w:b/>
                <w:szCs w:val="22"/>
              </w:rPr>
              <w:t>Option G.2.</w:t>
            </w:r>
          </w:p>
        </w:tc>
      </w:tr>
      <w:tr w:rsidR="00C01E92" w:rsidRPr="00AA2559" w14:paraId="018BF6A6" w14:textId="77777777" w:rsidTr="00094D42">
        <w:trPr>
          <w:trHeight w:val="358"/>
        </w:trPr>
        <w:tc>
          <w:tcPr>
            <w:cnfStyle w:val="001000000000" w:firstRow="0" w:lastRow="0" w:firstColumn="1" w:lastColumn="0" w:oddVBand="0" w:evenVBand="0" w:oddHBand="0" w:evenHBand="0" w:firstRowFirstColumn="0" w:firstRowLastColumn="0" w:lastRowFirstColumn="0" w:lastRowLastColumn="0"/>
            <w:tcW w:w="760" w:type="pct"/>
            <w:tcBorders>
              <w:bottom w:val="single" w:sz="4" w:space="0" w:color="004EA8" w:themeColor="accent1"/>
            </w:tcBorders>
          </w:tcPr>
          <w:p w14:paraId="2F07789E" w14:textId="77777777" w:rsidR="00C01E92" w:rsidRPr="00AA2559" w:rsidRDefault="00C01E92" w:rsidP="00AA2559">
            <w:pPr>
              <w:spacing w:after="60"/>
              <w:rPr>
                <w:rFonts w:cstheme="minorHAnsi"/>
                <w:szCs w:val="22"/>
              </w:rPr>
            </w:pPr>
            <w:r w:rsidRPr="00AA2559">
              <w:rPr>
                <w:rFonts w:cstheme="minorHAnsi"/>
                <w:szCs w:val="22"/>
              </w:rPr>
              <w:t>Safety</w:t>
            </w:r>
          </w:p>
        </w:tc>
        <w:tc>
          <w:tcPr>
            <w:tcW w:w="2257" w:type="pct"/>
            <w:tcBorders>
              <w:bottom w:val="single" w:sz="4" w:space="0" w:color="004EA8" w:themeColor="accent1"/>
            </w:tcBorders>
          </w:tcPr>
          <w:p w14:paraId="4CAB0CF5" w14:textId="72DDC3EC" w:rsidR="00C01E92" w:rsidRPr="00AA2559" w:rsidRDefault="00C01E92" w:rsidP="00B50BC1">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A2559">
              <w:rPr>
                <w:rFonts w:cstheme="minorHAnsi"/>
                <w:szCs w:val="22"/>
              </w:rPr>
              <w:t>Effectiveness of the Regulations around registers and record-keeping in protecting the safety</w:t>
            </w:r>
            <w:r w:rsidR="00B50BC1">
              <w:rPr>
                <w:rFonts w:cstheme="minorHAnsi"/>
                <w:szCs w:val="22"/>
              </w:rPr>
              <w:t>, health</w:t>
            </w:r>
            <w:r w:rsidRPr="00AA2559">
              <w:rPr>
                <w:rFonts w:cstheme="minorHAnsi"/>
                <w:szCs w:val="22"/>
              </w:rPr>
              <w:t xml:space="preserve"> and wellbeing of children.</w:t>
            </w:r>
          </w:p>
        </w:tc>
        <w:tc>
          <w:tcPr>
            <w:tcW w:w="661" w:type="pct"/>
            <w:tcBorders>
              <w:bottom w:val="single" w:sz="4" w:space="0" w:color="004EA8" w:themeColor="accent1"/>
            </w:tcBorders>
          </w:tcPr>
          <w:p w14:paraId="591CE3E3" w14:textId="77777777" w:rsidR="00C01E92" w:rsidRPr="00AA2559" w:rsidRDefault="00C01E92" w:rsidP="00AA2559">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A2559">
              <w:rPr>
                <w:rFonts w:cstheme="minorHAnsi"/>
                <w:szCs w:val="22"/>
              </w:rPr>
              <w:t>30%</w:t>
            </w:r>
          </w:p>
        </w:tc>
        <w:tc>
          <w:tcPr>
            <w:tcW w:w="661" w:type="pct"/>
            <w:tcBorders>
              <w:bottom w:val="single" w:sz="4" w:space="0" w:color="004EA8" w:themeColor="accent1"/>
            </w:tcBorders>
          </w:tcPr>
          <w:p w14:paraId="445F6B8F" w14:textId="77777777" w:rsidR="00C01E92" w:rsidRPr="00AA2559" w:rsidRDefault="00C01E92" w:rsidP="00AA2559">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A2559">
              <w:rPr>
                <w:rFonts w:cstheme="minorHAnsi"/>
                <w:szCs w:val="22"/>
              </w:rPr>
              <w:t>6</w:t>
            </w:r>
          </w:p>
        </w:tc>
        <w:tc>
          <w:tcPr>
            <w:tcW w:w="661" w:type="pct"/>
            <w:tcBorders>
              <w:bottom w:val="single" w:sz="4" w:space="0" w:color="004EA8" w:themeColor="accent1"/>
            </w:tcBorders>
          </w:tcPr>
          <w:p w14:paraId="1BAE1C9A" w14:textId="77777777" w:rsidR="00C01E92" w:rsidRPr="00AA2559" w:rsidRDefault="00C01E92" w:rsidP="00AA2559">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A2559">
              <w:rPr>
                <w:rFonts w:cstheme="minorHAnsi"/>
                <w:szCs w:val="22"/>
              </w:rPr>
              <w:t>7</w:t>
            </w:r>
          </w:p>
        </w:tc>
      </w:tr>
      <w:tr w:rsidR="00094D42" w:rsidRPr="00094D42" w14:paraId="6AB1C015" w14:textId="77777777" w:rsidTr="00094D42">
        <w:trPr>
          <w:trHeight w:val="358"/>
        </w:trPr>
        <w:tc>
          <w:tcPr>
            <w:cnfStyle w:val="001000000000" w:firstRow="0" w:lastRow="0" w:firstColumn="1" w:lastColumn="0" w:oddVBand="0" w:evenVBand="0" w:oddHBand="0" w:evenHBand="0" w:firstRowFirstColumn="0" w:firstRowLastColumn="0" w:lastRowFirstColumn="0" w:lastRowLastColumn="0"/>
            <w:tcW w:w="760" w:type="pct"/>
            <w:tcBorders>
              <w:right w:val="nil"/>
            </w:tcBorders>
          </w:tcPr>
          <w:p w14:paraId="47346F7F" w14:textId="346B5969" w:rsidR="00094D42" w:rsidRPr="00094D42" w:rsidRDefault="00094D42" w:rsidP="00AA2559">
            <w:pPr>
              <w:spacing w:after="60"/>
              <w:rPr>
                <w:rFonts w:cstheme="minorHAnsi"/>
                <w:b/>
                <w:szCs w:val="22"/>
              </w:rPr>
            </w:pPr>
            <w:r w:rsidRPr="00094D42">
              <w:rPr>
                <w:rFonts w:cstheme="minorHAnsi"/>
                <w:b/>
                <w:szCs w:val="22"/>
              </w:rPr>
              <w:t>Total</w:t>
            </w:r>
          </w:p>
        </w:tc>
        <w:tc>
          <w:tcPr>
            <w:tcW w:w="2257" w:type="pct"/>
            <w:tcBorders>
              <w:left w:val="nil"/>
              <w:right w:val="nil"/>
            </w:tcBorders>
          </w:tcPr>
          <w:p w14:paraId="41A645AF" w14:textId="77777777" w:rsidR="00094D42" w:rsidRPr="00094D42" w:rsidRDefault="00094D42" w:rsidP="00B50BC1">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61" w:type="pct"/>
            <w:tcBorders>
              <w:left w:val="nil"/>
              <w:right w:val="nil"/>
            </w:tcBorders>
          </w:tcPr>
          <w:p w14:paraId="22CC2FA8" w14:textId="77777777" w:rsidR="00094D42" w:rsidRPr="00094D42" w:rsidRDefault="00094D42" w:rsidP="00AA2559">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61" w:type="pct"/>
            <w:tcBorders>
              <w:left w:val="nil"/>
              <w:right w:val="nil"/>
            </w:tcBorders>
          </w:tcPr>
          <w:p w14:paraId="0E4CF4C9" w14:textId="0AF278E9" w:rsidR="00094D42" w:rsidRPr="00094D42" w:rsidRDefault="00094D42" w:rsidP="00AA2559">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1.8</w:t>
            </w:r>
          </w:p>
        </w:tc>
        <w:tc>
          <w:tcPr>
            <w:tcW w:w="661" w:type="pct"/>
            <w:tcBorders>
              <w:left w:val="nil"/>
            </w:tcBorders>
          </w:tcPr>
          <w:p w14:paraId="395771B3" w14:textId="33E58232" w:rsidR="00094D42" w:rsidRPr="00094D42" w:rsidRDefault="00094D42" w:rsidP="00AA2559">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2.1</w:t>
            </w:r>
          </w:p>
        </w:tc>
      </w:tr>
      <w:tr w:rsidR="00C01E92" w:rsidRPr="00AA2559" w14:paraId="37C613A9" w14:textId="77777777" w:rsidTr="005A6B33">
        <w:trPr>
          <w:trHeight w:val="358"/>
        </w:trPr>
        <w:tc>
          <w:tcPr>
            <w:cnfStyle w:val="001000000000" w:firstRow="0" w:lastRow="0" w:firstColumn="1" w:lastColumn="0" w:oddVBand="0" w:evenVBand="0" w:oddHBand="0" w:evenHBand="0" w:firstRowFirstColumn="0" w:firstRowLastColumn="0" w:lastRowFirstColumn="0" w:lastRowLastColumn="0"/>
            <w:tcW w:w="760" w:type="pct"/>
            <w:tcBorders>
              <w:bottom w:val="single" w:sz="4" w:space="0" w:color="004EA8" w:themeColor="accent1"/>
            </w:tcBorders>
          </w:tcPr>
          <w:p w14:paraId="7181E258" w14:textId="77777777" w:rsidR="00C01E92" w:rsidRPr="00AA2559" w:rsidRDefault="00C01E92" w:rsidP="00AA2559">
            <w:pPr>
              <w:spacing w:after="60"/>
              <w:rPr>
                <w:rFonts w:cstheme="minorHAnsi"/>
                <w:szCs w:val="22"/>
              </w:rPr>
            </w:pPr>
            <w:r w:rsidRPr="00AA2559">
              <w:rPr>
                <w:rFonts w:cstheme="minorHAnsi"/>
                <w:szCs w:val="22"/>
              </w:rPr>
              <w:t>Quality</w:t>
            </w:r>
          </w:p>
        </w:tc>
        <w:tc>
          <w:tcPr>
            <w:tcW w:w="2257" w:type="pct"/>
            <w:tcBorders>
              <w:bottom w:val="single" w:sz="4" w:space="0" w:color="004EA8" w:themeColor="accent1"/>
            </w:tcBorders>
          </w:tcPr>
          <w:p w14:paraId="1ED531F9" w14:textId="77777777" w:rsidR="00C01E92" w:rsidRPr="00AA2559" w:rsidRDefault="00C01E92" w:rsidP="00AA2559">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A2559">
              <w:rPr>
                <w:rFonts w:cstheme="minorHAnsi"/>
                <w:szCs w:val="22"/>
              </w:rPr>
              <w:t>Effectiveness of the Regulations around registers and record-keeping in promoting the educational and developmental outcomes of children and the development of the children’s services sector.</w:t>
            </w:r>
          </w:p>
        </w:tc>
        <w:tc>
          <w:tcPr>
            <w:tcW w:w="661" w:type="pct"/>
            <w:tcBorders>
              <w:bottom w:val="single" w:sz="4" w:space="0" w:color="004EA8" w:themeColor="accent1"/>
            </w:tcBorders>
          </w:tcPr>
          <w:p w14:paraId="73EAE0F7" w14:textId="77777777" w:rsidR="00C01E92" w:rsidRPr="00AA2559" w:rsidRDefault="00C01E92" w:rsidP="00AA2559">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A2559">
              <w:rPr>
                <w:rFonts w:cstheme="minorHAnsi"/>
                <w:szCs w:val="22"/>
              </w:rPr>
              <w:t>20%</w:t>
            </w:r>
          </w:p>
        </w:tc>
        <w:tc>
          <w:tcPr>
            <w:tcW w:w="661" w:type="pct"/>
            <w:tcBorders>
              <w:bottom w:val="single" w:sz="4" w:space="0" w:color="004EA8" w:themeColor="accent1"/>
            </w:tcBorders>
          </w:tcPr>
          <w:p w14:paraId="14C556D3" w14:textId="77777777" w:rsidR="00C01E92" w:rsidRPr="00AA2559" w:rsidRDefault="00C01E92" w:rsidP="00AA2559">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A2559">
              <w:rPr>
                <w:rFonts w:cstheme="minorHAnsi"/>
                <w:szCs w:val="22"/>
              </w:rPr>
              <w:t>4</w:t>
            </w:r>
          </w:p>
        </w:tc>
        <w:tc>
          <w:tcPr>
            <w:tcW w:w="661" w:type="pct"/>
            <w:tcBorders>
              <w:bottom w:val="single" w:sz="4" w:space="0" w:color="004EA8" w:themeColor="accent1"/>
            </w:tcBorders>
          </w:tcPr>
          <w:p w14:paraId="71A09020" w14:textId="77777777" w:rsidR="00C01E92" w:rsidRPr="00AA2559" w:rsidRDefault="00C01E92" w:rsidP="00AA2559">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A2559">
              <w:rPr>
                <w:rFonts w:cstheme="minorHAnsi"/>
                <w:szCs w:val="22"/>
              </w:rPr>
              <w:t>4</w:t>
            </w:r>
          </w:p>
        </w:tc>
      </w:tr>
      <w:tr w:rsidR="00C01E92" w:rsidRPr="00AA2559" w14:paraId="22E2B4EE" w14:textId="77777777" w:rsidTr="005A6B33">
        <w:trPr>
          <w:trHeight w:val="358"/>
        </w:trPr>
        <w:tc>
          <w:tcPr>
            <w:cnfStyle w:val="001000000000" w:firstRow="0" w:lastRow="0" w:firstColumn="1" w:lastColumn="0" w:oddVBand="0" w:evenVBand="0" w:oddHBand="0" w:evenHBand="0" w:firstRowFirstColumn="0" w:firstRowLastColumn="0" w:lastRowFirstColumn="0" w:lastRowLastColumn="0"/>
            <w:tcW w:w="760" w:type="pct"/>
            <w:tcBorders>
              <w:right w:val="nil"/>
            </w:tcBorders>
          </w:tcPr>
          <w:p w14:paraId="44ED13EF" w14:textId="77777777" w:rsidR="00C01E92" w:rsidRPr="00AA2559" w:rsidRDefault="00C01E92" w:rsidP="00AA2559">
            <w:pPr>
              <w:spacing w:after="60"/>
              <w:rPr>
                <w:rFonts w:cstheme="minorHAnsi"/>
                <w:b/>
                <w:szCs w:val="22"/>
              </w:rPr>
            </w:pPr>
            <w:r w:rsidRPr="00AA2559">
              <w:rPr>
                <w:rFonts w:cstheme="minorHAnsi"/>
                <w:b/>
                <w:szCs w:val="22"/>
              </w:rPr>
              <w:t>Total</w:t>
            </w:r>
          </w:p>
        </w:tc>
        <w:tc>
          <w:tcPr>
            <w:tcW w:w="2257" w:type="pct"/>
            <w:tcBorders>
              <w:left w:val="nil"/>
              <w:right w:val="nil"/>
            </w:tcBorders>
          </w:tcPr>
          <w:p w14:paraId="562293FC" w14:textId="77777777" w:rsidR="00C01E92" w:rsidRPr="00AA2559" w:rsidRDefault="00C01E92" w:rsidP="00AA2559">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61" w:type="pct"/>
            <w:tcBorders>
              <w:left w:val="nil"/>
              <w:right w:val="nil"/>
            </w:tcBorders>
          </w:tcPr>
          <w:p w14:paraId="0794146D" w14:textId="77777777" w:rsidR="00C01E92" w:rsidRPr="00AA2559" w:rsidRDefault="00C01E92" w:rsidP="00AA2559">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61" w:type="pct"/>
            <w:tcBorders>
              <w:left w:val="nil"/>
              <w:right w:val="nil"/>
            </w:tcBorders>
          </w:tcPr>
          <w:p w14:paraId="56E03FF6" w14:textId="24214E3D" w:rsidR="00C01E92" w:rsidRPr="00AA2559" w:rsidRDefault="00094D42" w:rsidP="00AA2559">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0.8</w:t>
            </w:r>
          </w:p>
        </w:tc>
        <w:tc>
          <w:tcPr>
            <w:tcW w:w="661" w:type="pct"/>
            <w:tcBorders>
              <w:left w:val="nil"/>
            </w:tcBorders>
          </w:tcPr>
          <w:p w14:paraId="74029A34" w14:textId="53FA589D" w:rsidR="00C01E92" w:rsidRPr="00AA2559" w:rsidRDefault="00094D42" w:rsidP="00AA2559">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0.8</w:t>
            </w:r>
          </w:p>
        </w:tc>
      </w:tr>
    </w:tbl>
    <w:p w14:paraId="6E43C1A2" w14:textId="77777777" w:rsidR="00C01E92" w:rsidRPr="000107A9" w:rsidRDefault="00C01E92" w:rsidP="002806C5">
      <w:pPr>
        <w:pStyle w:val="EYHeading4"/>
        <w:numPr>
          <w:ilvl w:val="3"/>
          <w:numId w:val="83"/>
        </w:numPr>
        <w:spacing w:before="120"/>
        <w:rPr>
          <w:rFonts w:asciiTheme="minorHAnsi" w:hAnsiTheme="minorHAnsi" w:cstheme="minorHAnsi"/>
          <w:szCs w:val="22"/>
        </w:rPr>
      </w:pPr>
      <w:r w:rsidRPr="000107A9">
        <w:rPr>
          <w:rFonts w:asciiTheme="minorHAnsi" w:hAnsiTheme="minorHAnsi" w:cstheme="minorHAnsi"/>
          <w:szCs w:val="22"/>
        </w:rPr>
        <w:lastRenderedPageBreak/>
        <w:t>Fees</w:t>
      </w:r>
    </w:p>
    <w:p w14:paraId="1C625EA7" w14:textId="77777777" w:rsidR="0025297F" w:rsidRDefault="0025297F" w:rsidP="0025297F">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Act requires certain applications to </w:t>
      </w:r>
      <w:r>
        <w:rPr>
          <w:rFonts w:asciiTheme="minorHAnsi" w:hAnsiTheme="minorHAnsi" w:cstheme="minorHAnsi"/>
          <w:sz w:val="22"/>
          <w:szCs w:val="22"/>
        </w:rPr>
        <w:t xml:space="preserve">be </w:t>
      </w:r>
      <w:r w:rsidRPr="000107A9">
        <w:rPr>
          <w:rFonts w:asciiTheme="minorHAnsi" w:hAnsiTheme="minorHAnsi" w:cstheme="minorHAnsi"/>
          <w:sz w:val="22"/>
          <w:szCs w:val="22"/>
        </w:rPr>
        <w:t>accompan</w:t>
      </w:r>
      <w:r>
        <w:rPr>
          <w:rFonts w:asciiTheme="minorHAnsi" w:hAnsiTheme="minorHAnsi" w:cstheme="minorHAnsi"/>
          <w:sz w:val="22"/>
          <w:szCs w:val="22"/>
        </w:rPr>
        <w:t>ied b</w:t>
      </w:r>
      <w:r w:rsidRPr="000107A9">
        <w:rPr>
          <w:rFonts w:asciiTheme="minorHAnsi" w:hAnsiTheme="minorHAnsi" w:cstheme="minorHAnsi"/>
          <w:sz w:val="22"/>
          <w:szCs w:val="22"/>
        </w:rPr>
        <w:t xml:space="preserve">y the </w:t>
      </w:r>
      <w:r>
        <w:rPr>
          <w:rFonts w:asciiTheme="minorHAnsi" w:hAnsiTheme="minorHAnsi" w:cstheme="minorHAnsi"/>
          <w:sz w:val="22"/>
          <w:szCs w:val="22"/>
        </w:rPr>
        <w:t>prescribed fee.</w:t>
      </w:r>
    </w:p>
    <w:p w14:paraId="04D5F7C0" w14:textId="42EC9AF2" w:rsidR="0025297F" w:rsidRPr="000107A9" w:rsidRDefault="0025297F" w:rsidP="0025297F">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Under a Base Case</w:t>
      </w:r>
      <w:r>
        <w:rPr>
          <w:rFonts w:asciiTheme="minorHAnsi" w:hAnsiTheme="minorHAnsi" w:cstheme="minorHAnsi"/>
          <w:sz w:val="22"/>
          <w:szCs w:val="22"/>
        </w:rPr>
        <w:t>—the absence of regulations and therefore the absence of any specificity pertaining to application requirements or accompan</w:t>
      </w:r>
      <w:r w:rsidR="004B5680">
        <w:rPr>
          <w:rFonts w:asciiTheme="minorHAnsi" w:hAnsiTheme="minorHAnsi" w:cstheme="minorHAnsi"/>
          <w:sz w:val="22"/>
          <w:szCs w:val="22"/>
        </w:rPr>
        <w:t>ying</w:t>
      </w:r>
      <w:r>
        <w:rPr>
          <w:rFonts w:asciiTheme="minorHAnsi" w:hAnsiTheme="minorHAnsi" w:cstheme="minorHAnsi"/>
          <w:sz w:val="22"/>
          <w:szCs w:val="22"/>
        </w:rPr>
        <w:t xml:space="preserve"> fees—</w:t>
      </w:r>
      <w:r w:rsidRPr="000107A9">
        <w:rPr>
          <w:rFonts w:asciiTheme="minorHAnsi" w:hAnsiTheme="minorHAnsi" w:cstheme="minorHAnsi"/>
          <w:sz w:val="22"/>
          <w:szCs w:val="22"/>
        </w:rPr>
        <w:t xml:space="preserve">no fees </w:t>
      </w:r>
      <w:r>
        <w:rPr>
          <w:rFonts w:asciiTheme="minorHAnsi" w:hAnsiTheme="minorHAnsi" w:cstheme="minorHAnsi"/>
          <w:sz w:val="22"/>
          <w:szCs w:val="22"/>
        </w:rPr>
        <w:t>could</w:t>
      </w:r>
      <w:r w:rsidRPr="000107A9">
        <w:rPr>
          <w:rFonts w:asciiTheme="minorHAnsi" w:hAnsiTheme="minorHAnsi" w:cstheme="minorHAnsi"/>
          <w:sz w:val="22"/>
          <w:szCs w:val="22"/>
        </w:rPr>
        <w:t xml:space="preserve"> be charged.</w:t>
      </w:r>
      <w:r>
        <w:rPr>
          <w:rFonts w:asciiTheme="minorHAnsi" w:hAnsiTheme="minorHAnsi" w:cstheme="minorHAnsi"/>
          <w:sz w:val="22"/>
          <w:szCs w:val="22"/>
        </w:rPr>
        <w:t xml:space="preserve"> </w:t>
      </w:r>
      <w:r w:rsidRPr="000107A9">
        <w:rPr>
          <w:rFonts w:asciiTheme="minorHAnsi" w:hAnsiTheme="minorHAnsi" w:cstheme="minorHAnsi"/>
          <w:sz w:val="22"/>
          <w:szCs w:val="22"/>
        </w:rPr>
        <w:t xml:space="preserve">Under both </w:t>
      </w:r>
      <w:r>
        <w:rPr>
          <w:rFonts w:asciiTheme="minorHAnsi" w:hAnsiTheme="minorHAnsi" w:cstheme="minorHAnsi"/>
          <w:sz w:val="22"/>
          <w:szCs w:val="22"/>
        </w:rPr>
        <w:t>the</w:t>
      </w:r>
      <w:r w:rsidRPr="000107A9">
        <w:rPr>
          <w:rFonts w:asciiTheme="minorHAnsi" w:hAnsiTheme="minorHAnsi" w:cstheme="minorHAnsi"/>
          <w:sz w:val="22"/>
          <w:szCs w:val="22"/>
        </w:rPr>
        <w:t xml:space="preserve"> Status Quo and Alignment</w:t>
      </w:r>
      <w:r>
        <w:rPr>
          <w:rFonts w:asciiTheme="minorHAnsi" w:hAnsiTheme="minorHAnsi" w:cstheme="minorHAnsi"/>
          <w:sz w:val="22"/>
          <w:szCs w:val="22"/>
        </w:rPr>
        <w:t xml:space="preserve"> options</w:t>
      </w:r>
      <w:r w:rsidRPr="000107A9">
        <w:rPr>
          <w:rFonts w:asciiTheme="minorHAnsi" w:hAnsiTheme="minorHAnsi" w:cstheme="minorHAnsi"/>
          <w:sz w:val="22"/>
          <w:szCs w:val="22"/>
        </w:rPr>
        <w:t>, the</w:t>
      </w:r>
      <w:r>
        <w:rPr>
          <w:rFonts w:asciiTheme="minorHAnsi" w:hAnsiTheme="minorHAnsi" w:cstheme="minorHAnsi"/>
          <w:sz w:val="22"/>
          <w:szCs w:val="22"/>
        </w:rPr>
        <w:t xml:space="preserve"> prescribed</w:t>
      </w:r>
      <w:r w:rsidRPr="000107A9">
        <w:rPr>
          <w:rFonts w:asciiTheme="minorHAnsi" w:hAnsiTheme="minorHAnsi" w:cstheme="minorHAnsi"/>
          <w:sz w:val="22"/>
          <w:szCs w:val="22"/>
        </w:rPr>
        <w:t xml:space="preserve"> fees are </w:t>
      </w:r>
      <w:r>
        <w:rPr>
          <w:rFonts w:asciiTheme="minorHAnsi" w:hAnsiTheme="minorHAnsi" w:cstheme="minorHAnsi"/>
          <w:sz w:val="22"/>
          <w:szCs w:val="22"/>
        </w:rPr>
        <w:t>detailed</w:t>
      </w:r>
      <w:r w:rsidRPr="000107A9">
        <w:rPr>
          <w:rFonts w:asciiTheme="minorHAnsi" w:hAnsiTheme="minorHAnsi" w:cstheme="minorHAnsi"/>
          <w:sz w:val="22"/>
          <w:szCs w:val="22"/>
        </w:rPr>
        <w:t xml:space="preserve"> in the Regulations.</w:t>
      </w:r>
    </w:p>
    <w:p w14:paraId="1F8E3461" w14:textId="77777777" w:rsidR="0025297F" w:rsidRDefault="0025297F" w:rsidP="0025297F">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t>Overall the current prescribed</w:t>
      </w:r>
      <w:r w:rsidRPr="000107A9">
        <w:rPr>
          <w:rFonts w:asciiTheme="minorHAnsi" w:hAnsiTheme="minorHAnsi" w:cstheme="minorHAnsi"/>
          <w:sz w:val="22"/>
          <w:szCs w:val="22"/>
        </w:rPr>
        <w:t xml:space="preserve"> fees</w:t>
      </w:r>
      <w:r>
        <w:rPr>
          <w:rFonts w:asciiTheme="minorHAnsi" w:hAnsiTheme="minorHAnsi" w:cstheme="minorHAnsi"/>
          <w:sz w:val="22"/>
          <w:szCs w:val="22"/>
        </w:rPr>
        <w:t xml:space="preserve"> (</w:t>
      </w:r>
      <w:r w:rsidRPr="0070517B">
        <w:rPr>
          <w:rFonts w:asciiTheme="minorHAnsi" w:hAnsiTheme="minorHAnsi" w:cstheme="minorHAnsi"/>
          <w:b/>
          <w:sz w:val="22"/>
          <w:szCs w:val="22"/>
        </w:rPr>
        <w:t>Option H.1 Status Quo</w:t>
      </w:r>
      <w:r>
        <w:rPr>
          <w:rFonts w:asciiTheme="minorHAnsi" w:hAnsiTheme="minorHAnsi" w:cstheme="minorHAnsi"/>
          <w:sz w:val="22"/>
          <w:szCs w:val="22"/>
        </w:rPr>
        <w:t>)</w:t>
      </w:r>
      <w:r w:rsidRPr="000107A9">
        <w:rPr>
          <w:rFonts w:asciiTheme="minorHAnsi" w:hAnsiTheme="minorHAnsi" w:cstheme="minorHAnsi"/>
          <w:sz w:val="22"/>
          <w:szCs w:val="22"/>
        </w:rPr>
        <w:t xml:space="preserve"> are not considered to have any significant bearing on the safety of children and quality of services provided to children.</w:t>
      </w:r>
      <w:r>
        <w:rPr>
          <w:rFonts w:asciiTheme="minorHAnsi" w:hAnsiTheme="minorHAnsi" w:cstheme="minorHAnsi"/>
          <w:sz w:val="22"/>
          <w:szCs w:val="22"/>
        </w:rPr>
        <w:t xml:space="preserve"> </w:t>
      </w:r>
    </w:p>
    <w:p w14:paraId="2D7C267C" w14:textId="77777777" w:rsidR="0025297F" w:rsidRDefault="0025297F" w:rsidP="0025297F">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Although the costs associated with initial service set-up may play some role in ensuring that only financially viable businesses </w:t>
      </w:r>
      <w:r>
        <w:rPr>
          <w:rFonts w:asciiTheme="minorHAnsi" w:hAnsiTheme="minorHAnsi" w:cstheme="minorHAnsi"/>
          <w:sz w:val="22"/>
          <w:szCs w:val="22"/>
        </w:rPr>
        <w:t>enter the</w:t>
      </w:r>
      <w:r w:rsidRPr="000107A9">
        <w:rPr>
          <w:rFonts w:asciiTheme="minorHAnsi" w:hAnsiTheme="minorHAnsi" w:cstheme="minorHAnsi"/>
          <w:sz w:val="22"/>
          <w:szCs w:val="22"/>
        </w:rPr>
        <w:t xml:space="preserve"> children’s services</w:t>
      </w:r>
      <w:r>
        <w:rPr>
          <w:rFonts w:asciiTheme="minorHAnsi" w:hAnsiTheme="minorHAnsi" w:cstheme="minorHAnsi"/>
          <w:sz w:val="22"/>
          <w:szCs w:val="22"/>
        </w:rPr>
        <w:t xml:space="preserve"> market</w:t>
      </w:r>
      <w:r w:rsidRPr="000107A9">
        <w:rPr>
          <w:rFonts w:asciiTheme="minorHAnsi" w:hAnsiTheme="minorHAnsi" w:cstheme="minorHAnsi"/>
          <w:sz w:val="22"/>
          <w:szCs w:val="22"/>
        </w:rPr>
        <w:t xml:space="preserve">, the fees </w:t>
      </w:r>
      <w:r>
        <w:rPr>
          <w:rFonts w:asciiTheme="minorHAnsi" w:hAnsiTheme="minorHAnsi" w:cstheme="minorHAnsi"/>
          <w:sz w:val="22"/>
          <w:szCs w:val="22"/>
        </w:rPr>
        <w:t xml:space="preserve">collected </w:t>
      </w:r>
      <w:r w:rsidRPr="000107A9">
        <w:rPr>
          <w:rFonts w:asciiTheme="minorHAnsi" w:hAnsiTheme="minorHAnsi" w:cstheme="minorHAnsi"/>
          <w:sz w:val="22"/>
          <w:szCs w:val="22"/>
        </w:rPr>
        <w:t>are negligible in comparison to the costs associated with</w:t>
      </w:r>
      <w:r>
        <w:rPr>
          <w:rFonts w:asciiTheme="minorHAnsi" w:hAnsiTheme="minorHAnsi" w:cstheme="minorHAnsi"/>
          <w:sz w:val="22"/>
          <w:szCs w:val="22"/>
        </w:rPr>
        <w:t xml:space="preserve"> establishment of a premises, staffing, etc., and</w:t>
      </w:r>
      <w:r w:rsidRPr="000107A9">
        <w:rPr>
          <w:rFonts w:asciiTheme="minorHAnsi" w:hAnsiTheme="minorHAnsi" w:cstheme="minorHAnsi"/>
          <w:sz w:val="22"/>
          <w:szCs w:val="22"/>
        </w:rPr>
        <w:t xml:space="preserve"> are not expected to have a significant impact</w:t>
      </w:r>
      <w:r>
        <w:rPr>
          <w:rFonts w:asciiTheme="minorHAnsi" w:hAnsiTheme="minorHAnsi" w:cstheme="minorHAnsi"/>
          <w:sz w:val="22"/>
          <w:szCs w:val="22"/>
        </w:rPr>
        <w:t xml:space="preserve"> on the safety and quality criteria</w:t>
      </w:r>
      <w:r w:rsidRPr="000107A9">
        <w:rPr>
          <w:rFonts w:asciiTheme="minorHAnsi" w:hAnsiTheme="minorHAnsi" w:cstheme="minorHAnsi"/>
          <w:sz w:val="22"/>
          <w:szCs w:val="22"/>
        </w:rPr>
        <w:t>.</w:t>
      </w:r>
    </w:p>
    <w:p w14:paraId="0EDD3433" w14:textId="77777777" w:rsidR="0025297F" w:rsidRDefault="0025297F" w:rsidP="0025297F">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t>Similarly, the proposed prescribed fees (</w:t>
      </w:r>
      <w:r w:rsidRPr="0070517B">
        <w:rPr>
          <w:rFonts w:asciiTheme="minorHAnsi" w:hAnsiTheme="minorHAnsi" w:cstheme="minorHAnsi"/>
          <w:b/>
          <w:sz w:val="22"/>
          <w:szCs w:val="22"/>
        </w:rPr>
        <w:t>Option H.2 Alignment</w:t>
      </w:r>
      <w:r>
        <w:rPr>
          <w:rFonts w:asciiTheme="minorHAnsi" w:hAnsiTheme="minorHAnsi" w:cstheme="minorHAnsi"/>
          <w:sz w:val="22"/>
          <w:szCs w:val="22"/>
        </w:rPr>
        <w:t>) are not expected to have an impact on the safety of children and the quality of services provided to them.</w:t>
      </w:r>
    </w:p>
    <w:p w14:paraId="57283123" w14:textId="77777777" w:rsidR="0025297F" w:rsidRPr="000107A9" w:rsidRDefault="0025297F" w:rsidP="0025297F">
      <w:pPr>
        <w:pStyle w:val="EYBodytextwithparaspace"/>
        <w:spacing w:before="120" w:after="120"/>
        <w:rPr>
          <w:rFonts w:asciiTheme="minorHAnsi" w:hAnsiTheme="minorHAnsi" w:cstheme="minorHAnsi"/>
          <w:sz w:val="22"/>
          <w:szCs w:val="22"/>
        </w:rPr>
      </w:pPr>
      <w:r>
        <w:rPr>
          <w:rFonts w:asciiTheme="minorHAnsi" w:hAnsiTheme="minorHAnsi" w:cstheme="minorHAnsi"/>
          <w:sz w:val="22"/>
          <w:szCs w:val="22"/>
        </w:rPr>
        <w:t>Both options have been scored a zero for the benefits criteria of safety and quality as shown below.</w:t>
      </w:r>
    </w:p>
    <w:p w14:paraId="3BF1F6CA" w14:textId="4C2731C3" w:rsidR="0025297F" w:rsidRPr="000107A9" w:rsidRDefault="0025297F" w:rsidP="0025297F">
      <w:pPr>
        <w:pStyle w:val="Caption"/>
      </w:pPr>
      <w:bookmarkStart w:id="265" w:name="_Ref24542056"/>
      <w:bookmarkStart w:id="266" w:name="_Toc31124397"/>
      <w:bookmarkStart w:id="267" w:name="_Toc32592837"/>
      <w:r w:rsidRPr="000107A9">
        <w:t xml:space="preserve">Table </w:t>
      </w:r>
      <w:r>
        <w:fldChar w:fldCharType="begin"/>
      </w:r>
      <w:r>
        <w:instrText xml:space="preserve"> SEQ Table \* ARABIC </w:instrText>
      </w:r>
      <w:r>
        <w:fldChar w:fldCharType="separate"/>
      </w:r>
      <w:r w:rsidR="00493211">
        <w:rPr>
          <w:noProof/>
        </w:rPr>
        <w:t>54</w:t>
      </w:r>
      <w:r>
        <w:rPr>
          <w:noProof/>
        </w:rPr>
        <w:fldChar w:fldCharType="end"/>
      </w:r>
      <w:bookmarkEnd w:id="265"/>
      <w:r w:rsidRPr="000107A9">
        <w:t xml:space="preserve"> </w:t>
      </w:r>
      <w:r w:rsidR="001E21A1">
        <w:t xml:space="preserve">Fees </w:t>
      </w:r>
      <w:r w:rsidRPr="000107A9">
        <w:t>- benefits score</w:t>
      </w:r>
      <w:bookmarkEnd w:id="266"/>
      <w:bookmarkEnd w:id="267"/>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209"/>
        <w:gridCol w:w="4597"/>
        <w:gridCol w:w="1272"/>
        <w:gridCol w:w="1272"/>
        <w:gridCol w:w="1272"/>
      </w:tblGrid>
      <w:tr w:rsidR="0025297F" w:rsidRPr="005A6B33" w14:paraId="106076A4" w14:textId="77777777" w:rsidTr="005A6B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Borders>
              <w:right w:val="none" w:sz="0" w:space="0" w:color="auto"/>
            </w:tcBorders>
          </w:tcPr>
          <w:p w14:paraId="4C956C83" w14:textId="77777777" w:rsidR="0025297F" w:rsidRPr="005A6B33" w:rsidRDefault="0025297F" w:rsidP="00E548CB">
            <w:pPr>
              <w:rPr>
                <w:rStyle w:val="Strong"/>
                <w:rFonts w:cstheme="minorHAnsi"/>
                <w:b/>
                <w:szCs w:val="22"/>
              </w:rPr>
            </w:pPr>
            <w:r w:rsidRPr="005A6B33">
              <w:rPr>
                <w:rStyle w:val="Strong"/>
                <w:rFonts w:cstheme="minorHAnsi"/>
                <w:b/>
                <w:szCs w:val="22"/>
              </w:rPr>
              <w:t>Criterion</w:t>
            </w:r>
          </w:p>
        </w:tc>
        <w:tc>
          <w:tcPr>
            <w:tcW w:w="2389" w:type="pct"/>
            <w:tcBorders>
              <w:left w:val="none" w:sz="0" w:space="0" w:color="auto"/>
              <w:right w:val="none" w:sz="0" w:space="0" w:color="auto"/>
            </w:tcBorders>
          </w:tcPr>
          <w:p w14:paraId="1B70C239" w14:textId="77777777" w:rsidR="0025297F" w:rsidRPr="005A6B33" w:rsidRDefault="0025297F" w:rsidP="00E548CB">
            <w:pP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5A6B33">
              <w:rPr>
                <w:rStyle w:val="Strong"/>
                <w:rFonts w:cstheme="minorHAnsi"/>
                <w:b/>
                <w:szCs w:val="22"/>
              </w:rPr>
              <w:t>Description</w:t>
            </w:r>
          </w:p>
        </w:tc>
        <w:tc>
          <w:tcPr>
            <w:tcW w:w="661" w:type="pct"/>
            <w:tcBorders>
              <w:left w:val="none" w:sz="0" w:space="0" w:color="auto"/>
              <w:right w:val="none" w:sz="0" w:space="0" w:color="auto"/>
            </w:tcBorders>
          </w:tcPr>
          <w:p w14:paraId="4FD7B602" w14:textId="77777777" w:rsidR="0025297F" w:rsidRPr="005A6B33" w:rsidRDefault="0025297F" w:rsidP="00E548CB">
            <w:pPr>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5A6B33">
              <w:rPr>
                <w:rStyle w:val="Strong"/>
                <w:rFonts w:cstheme="minorHAnsi"/>
                <w:b/>
                <w:szCs w:val="22"/>
              </w:rPr>
              <w:t>Weighting</w:t>
            </w:r>
          </w:p>
        </w:tc>
        <w:tc>
          <w:tcPr>
            <w:tcW w:w="661" w:type="pct"/>
            <w:tcBorders>
              <w:left w:val="none" w:sz="0" w:space="0" w:color="auto"/>
              <w:right w:val="none" w:sz="0" w:space="0" w:color="auto"/>
            </w:tcBorders>
          </w:tcPr>
          <w:p w14:paraId="216E5880" w14:textId="77777777" w:rsidR="0025297F" w:rsidRPr="005A6B33" w:rsidRDefault="0025297F" w:rsidP="00E548CB">
            <w:pPr>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5A6B33">
              <w:rPr>
                <w:rStyle w:val="Strong"/>
                <w:rFonts w:cstheme="minorHAnsi"/>
                <w:b/>
                <w:szCs w:val="22"/>
              </w:rPr>
              <w:t>Option H.1.</w:t>
            </w:r>
          </w:p>
        </w:tc>
        <w:tc>
          <w:tcPr>
            <w:tcW w:w="661" w:type="pct"/>
            <w:tcBorders>
              <w:left w:val="none" w:sz="0" w:space="0" w:color="auto"/>
            </w:tcBorders>
          </w:tcPr>
          <w:p w14:paraId="2145DDF3" w14:textId="77777777" w:rsidR="0025297F" w:rsidRPr="005A6B33" w:rsidRDefault="0025297F" w:rsidP="00E548CB">
            <w:pPr>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5A6B33">
              <w:rPr>
                <w:rStyle w:val="Strong"/>
                <w:rFonts w:cstheme="minorHAnsi"/>
                <w:b/>
                <w:szCs w:val="22"/>
              </w:rPr>
              <w:t>Option H.2.</w:t>
            </w:r>
          </w:p>
        </w:tc>
      </w:tr>
      <w:tr w:rsidR="0025297F" w:rsidRPr="00AA2559" w14:paraId="3430E1B6" w14:textId="77777777" w:rsidTr="00094D42">
        <w:trPr>
          <w:trHeight w:val="358"/>
        </w:trPr>
        <w:tc>
          <w:tcPr>
            <w:cnfStyle w:val="001000000000" w:firstRow="0" w:lastRow="0" w:firstColumn="1" w:lastColumn="0" w:oddVBand="0" w:evenVBand="0" w:oddHBand="0" w:evenHBand="0" w:firstRowFirstColumn="0" w:firstRowLastColumn="0" w:lastRowFirstColumn="0" w:lastRowLastColumn="0"/>
            <w:tcW w:w="628" w:type="pct"/>
            <w:tcBorders>
              <w:bottom w:val="single" w:sz="4" w:space="0" w:color="004EA8" w:themeColor="accent1"/>
            </w:tcBorders>
          </w:tcPr>
          <w:p w14:paraId="5FB4305E" w14:textId="77777777" w:rsidR="0025297F" w:rsidRPr="00AA2559" w:rsidRDefault="0025297F" w:rsidP="00E548CB">
            <w:pPr>
              <w:rPr>
                <w:rFonts w:cstheme="minorHAnsi"/>
                <w:szCs w:val="22"/>
              </w:rPr>
            </w:pPr>
            <w:r w:rsidRPr="00AA2559">
              <w:rPr>
                <w:rFonts w:cstheme="minorHAnsi"/>
                <w:szCs w:val="22"/>
              </w:rPr>
              <w:t>Safety</w:t>
            </w:r>
          </w:p>
        </w:tc>
        <w:tc>
          <w:tcPr>
            <w:tcW w:w="2389" w:type="pct"/>
            <w:tcBorders>
              <w:bottom w:val="single" w:sz="4" w:space="0" w:color="004EA8" w:themeColor="accent1"/>
            </w:tcBorders>
          </w:tcPr>
          <w:p w14:paraId="1EB0683B" w14:textId="6E1D04DD" w:rsidR="0025297F" w:rsidRPr="00AA2559" w:rsidRDefault="0025297F" w:rsidP="00B50BC1">
            <w:pPr>
              <w:cnfStyle w:val="000000000000" w:firstRow="0" w:lastRow="0" w:firstColumn="0" w:lastColumn="0" w:oddVBand="0" w:evenVBand="0" w:oddHBand="0" w:evenHBand="0" w:firstRowFirstColumn="0" w:firstRowLastColumn="0" w:lastRowFirstColumn="0" w:lastRowLastColumn="0"/>
              <w:rPr>
                <w:rFonts w:cstheme="minorHAnsi"/>
                <w:szCs w:val="22"/>
              </w:rPr>
            </w:pPr>
            <w:r w:rsidRPr="00AA2559">
              <w:rPr>
                <w:rFonts w:cstheme="minorHAnsi"/>
                <w:szCs w:val="22"/>
              </w:rPr>
              <w:t>Effectiveness of the Regulations around fees in protecting the</w:t>
            </w:r>
            <w:r w:rsidR="00B50BC1">
              <w:rPr>
                <w:rFonts w:cstheme="minorHAnsi"/>
                <w:szCs w:val="22"/>
              </w:rPr>
              <w:t xml:space="preserve"> </w:t>
            </w:r>
            <w:r w:rsidRPr="00AA2559">
              <w:rPr>
                <w:rFonts w:cstheme="minorHAnsi"/>
                <w:szCs w:val="22"/>
              </w:rPr>
              <w:t>safety</w:t>
            </w:r>
            <w:r w:rsidR="00B50BC1">
              <w:rPr>
                <w:rFonts w:cstheme="minorHAnsi"/>
                <w:szCs w:val="22"/>
              </w:rPr>
              <w:t>, health</w:t>
            </w:r>
            <w:r w:rsidRPr="00AA2559">
              <w:rPr>
                <w:rFonts w:cstheme="minorHAnsi"/>
                <w:szCs w:val="22"/>
              </w:rPr>
              <w:t xml:space="preserve"> and wellbeing of children.</w:t>
            </w:r>
          </w:p>
        </w:tc>
        <w:tc>
          <w:tcPr>
            <w:tcW w:w="661" w:type="pct"/>
            <w:tcBorders>
              <w:bottom w:val="single" w:sz="4" w:space="0" w:color="004EA8" w:themeColor="accent1"/>
            </w:tcBorders>
          </w:tcPr>
          <w:p w14:paraId="709B705A" w14:textId="77777777" w:rsidR="0025297F" w:rsidRPr="00AA2559" w:rsidRDefault="0025297F" w:rsidP="00E548CB">
            <w:pPr>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A2559">
              <w:rPr>
                <w:rFonts w:cstheme="minorHAnsi"/>
                <w:szCs w:val="22"/>
              </w:rPr>
              <w:t>30%</w:t>
            </w:r>
          </w:p>
        </w:tc>
        <w:tc>
          <w:tcPr>
            <w:tcW w:w="661" w:type="pct"/>
            <w:tcBorders>
              <w:bottom w:val="single" w:sz="4" w:space="0" w:color="004EA8" w:themeColor="accent1"/>
            </w:tcBorders>
          </w:tcPr>
          <w:p w14:paraId="1632337F" w14:textId="77777777" w:rsidR="0025297F" w:rsidRPr="00AA2559" w:rsidRDefault="0025297F" w:rsidP="00E548CB">
            <w:pPr>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A2559">
              <w:rPr>
                <w:rFonts w:cstheme="minorHAnsi"/>
                <w:szCs w:val="22"/>
              </w:rPr>
              <w:t>0</w:t>
            </w:r>
          </w:p>
        </w:tc>
        <w:tc>
          <w:tcPr>
            <w:tcW w:w="661" w:type="pct"/>
            <w:tcBorders>
              <w:bottom w:val="single" w:sz="4" w:space="0" w:color="004EA8" w:themeColor="accent1"/>
            </w:tcBorders>
          </w:tcPr>
          <w:p w14:paraId="1EEE39EC" w14:textId="77777777" w:rsidR="0025297F" w:rsidRPr="00AA2559" w:rsidRDefault="0025297F" w:rsidP="00E548CB">
            <w:pPr>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A2559">
              <w:rPr>
                <w:rFonts w:cstheme="minorHAnsi"/>
                <w:szCs w:val="22"/>
              </w:rPr>
              <w:t>0</w:t>
            </w:r>
          </w:p>
        </w:tc>
      </w:tr>
      <w:tr w:rsidR="00094D42" w:rsidRPr="00094D42" w14:paraId="6E2C3F83" w14:textId="77777777" w:rsidTr="00094D42">
        <w:trPr>
          <w:trHeight w:val="358"/>
        </w:trPr>
        <w:tc>
          <w:tcPr>
            <w:cnfStyle w:val="001000000000" w:firstRow="0" w:lastRow="0" w:firstColumn="1" w:lastColumn="0" w:oddVBand="0" w:evenVBand="0" w:oddHBand="0" w:evenHBand="0" w:firstRowFirstColumn="0" w:firstRowLastColumn="0" w:lastRowFirstColumn="0" w:lastRowLastColumn="0"/>
            <w:tcW w:w="628" w:type="pct"/>
            <w:tcBorders>
              <w:bottom w:val="single" w:sz="4" w:space="0" w:color="004EA8" w:themeColor="accent1"/>
              <w:right w:val="nil"/>
            </w:tcBorders>
          </w:tcPr>
          <w:p w14:paraId="23954424" w14:textId="21CCC8BE" w:rsidR="00094D42" w:rsidRPr="00094D42" w:rsidRDefault="00094D42" w:rsidP="00094D42">
            <w:pPr>
              <w:spacing w:after="60"/>
              <w:rPr>
                <w:rFonts w:cstheme="minorHAnsi"/>
                <w:b/>
                <w:szCs w:val="22"/>
              </w:rPr>
            </w:pPr>
            <w:r w:rsidRPr="00094D42">
              <w:rPr>
                <w:rFonts w:cstheme="minorHAnsi"/>
                <w:b/>
                <w:szCs w:val="22"/>
              </w:rPr>
              <w:t>Total</w:t>
            </w:r>
          </w:p>
        </w:tc>
        <w:tc>
          <w:tcPr>
            <w:tcW w:w="2389" w:type="pct"/>
            <w:tcBorders>
              <w:left w:val="nil"/>
              <w:bottom w:val="single" w:sz="4" w:space="0" w:color="004EA8" w:themeColor="accent1"/>
              <w:right w:val="nil"/>
            </w:tcBorders>
          </w:tcPr>
          <w:p w14:paraId="3063D3C0" w14:textId="77777777" w:rsidR="00094D42" w:rsidRPr="00094D42" w:rsidRDefault="00094D42" w:rsidP="00094D42">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61" w:type="pct"/>
            <w:tcBorders>
              <w:left w:val="nil"/>
              <w:bottom w:val="single" w:sz="4" w:space="0" w:color="004EA8" w:themeColor="accent1"/>
              <w:right w:val="nil"/>
            </w:tcBorders>
          </w:tcPr>
          <w:p w14:paraId="00BF28D9" w14:textId="77777777" w:rsidR="00094D42" w:rsidRPr="00094D42" w:rsidRDefault="00094D42" w:rsidP="00094D42">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61" w:type="pct"/>
            <w:tcBorders>
              <w:left w:val="nil"/>
              <w:bottom w:val="single" w:sz="4" w:space="0" w:color="004EA8" w:themeColor="accent1"/>
              <w:right w:val="nil"/>
            </w:tcBorders>
          </w:tcPr>
          <w:p w14:paraId="408EB3DF" w14:textId="0D81EFD3" w:rsidR="00094D42" w:rsidRPr="00094D42" w:rsidRDefault="00094D42" w:rsidP="00094D42">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0</w:t>
            </w:r>
          </w:p>
        </w:tc>
        <w:tc>
          <w:tcPr>
            <w:tcW w:w="661" w:type="pct"/>
            <w:tcBorders>
              <w:left w:val="nil"/>
              <w:bottom w:val="single" w:sz="4" w:space="0" w:color="004EA8" w:themeColor="accent1"/>
            </w:tcBorders>
          </w:tcPr>
          <w:p w14:paraId="3D973DD7" w14:textId="555D56B2" w:rsidR="00094D42" w:rsidRPr="00094D42" w:rsidRDefault="00094D42" w:rsidP="00094D42">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0</w:t>
            </w:r>
          </w:p>
        </w:tc>
      </w:tr>
      <w:tr w:rsidR="0025297F" w:rsidRPr="00AA2559" w14:paraId="5A6FBC34" w14:textId="77777777" w:rsidTr="005A6B33">
        <w:trPr>
          <w:trHeight w:val="358"/>
        </w:trPr>
        <w:tc>
          <w:tcPr>
            <w:cnfStyle w:val="001000000000" w:firstRow="0" w:lastRow="0" w:firstColumn="1" w:lastColumn="0" w:oddVBand="0" w:evenVBand="0" w:oddHBand="0" w:evenHBand="0" w:firstRowFirstColumn="0" w:firstRowLastColumn="0" w:lastRowFirstColumn="0" w:lastRowLastColumn="0"/>
            <w:tcW w:w="628" w:type="pct"/>
            <w:tcBorders>
              <w:bottom w:val="single" w:sz="4" w:space="0" w:color="004EA8" w:themeColor="accent1"/>
            </w:tcBorders>
          </w:tcPr>
          <w:p w14:paraId="524FC7D3" w14:textId="77777777" w:rsidR="0025297F" w:rsidRPr="00AA2559" w:rsidRDefault="0025297F" w:rsidP="00E548CB">
            <w:pPr>
              <w:rPr>
                <w:rFonts w:cstheme="minorHAnsi"/>
                <w:szCs w:val="22"/>
              </w:rPr>
            </w:pPr>
            <w:r w:rsidRPr="00AA2559">
              <w:rPr>
                <w:rFonts w:cstheme="minorHAnsi"/>
                <w:szCs w:val="22"/>
              </w:rPr>
              <w:t>Quality</w:t>
            </w:r>
          </w:p>
        </w:tc>
        <w:tc>
          <w:tcPr>
            <w:tcW w:w="2389" w:type="pct"/>
            <w:tcBorders>
              <w:bottom w:val="single" w:sz="4" w:space="0" w:color="004EA8" w:themeColor="accent1"/>
            </w:tcBorders>
          </w:tcPr>
          <w:p w14:paraId="59B1D925" w14:textId="77777777" w:rsidR="0025297F" w:rsidRPr="00AA2559" w:rsidRDefault="0025297F" w:rsidP="00E548CB">
            <w:pPr>
              <w:cnfStyle w:val="000000000000" w:firstRow="0" w:lastRow="0" w:firstColumn="0" w:lastColumn="0" w:oddVBand="0" w:evenVBand="0" w:oddHBand="0" w:evenHBand="0" w:firstRowFirstColumn="0" w:firstRowLastColumn="0" w:lastRowFirstColumn="0" w:lastRowLastColumn="0"/>
              <w:rPr>
                <w:rFonts w:cstheme="minorHAnsi"/>
                <w:szCs w:val="22"/>
              </w:rPr>
            </w:pPr>
            <w:r w:rsidRPr="00AA2559">
              <w:rPr>
                <w:rFonts w:cstheme="minorHAnsi"/>
                <w:szCs w:val="22"/>
              </w:rPr>
              <w:t>Effectiveness of the Regulations around fees in promoting the educational and developmental outcomes of children and the development of the children’s services sector.</w:t>
            </w:r>
          </w:p>
        </w:tc>
        <w:tc>
          <w:tcPr>
            <w:tcW w:w="661" w:type="pct"/>
            <w:tcBorders>
              <w:bottom w:val="single" w:sz="4" w:space="0" w:color="004EA8" w:themeColor="accent1"/>
            </w:tcBorders>
          </w:tcPr>
          <w:p w14:paraId="16E44513" w14:textId="77777777" w:rsidR="0025297F" w:rsidRPr="00AA2559" w:rsidRDefault="0025297F" w:rsidP="00E548CB">
            <w:pPr>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A2559">
              <w:rPr>
                <w:rFonts w:cstheme="minorHAnsi"/>
                <w:szCs w:val="22"/>
              </w:rPr>
              <w:t>20%</w:t>
            </w:r>
          </w:p>
        </w:tc>
        <w:tc>
          <w:tcPr>
            <w:tcW w:w="661" w:type="pct"/>
            <w:tcBorders>
              <w:bottom w:val="single" w:sz="4" w:space="0" w:color="004EA8" w:themeColor="accent1"/>
            </w:tcBorders>
          </w:tcPr>
          <w:p w14:paraId="4E3A9B34" w14:textId="77777777" w:rsidR="0025297F" w:rsidRPr="00AA2559" w:rsidRDefault="0025297F" w:rsidP="00E548CB">
            <w:pPr>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A2559">
              <w:rPr>
                <w:rFonts w:cstheme="minorHAnsi"/>
                <w:szCs w:val="22"/>
              </w:rPr>
              <w:t>0</w:t>
            </w:r>
          </w:p>
        </w:tc>
        <w:tc>
          <w:tcPr>
            <w:tcW w:w="661" w:type="pct"/>
            <w:tcBorders>
              <w:bottom w:val="single" w:sz="4" w:space="0" w:color="004EA8" w:themeColor="accent1"/>
            </w:tcBorders>
          </w:tcPr>
          <w:p w14:paraId="396107A9" w14:textId="77777777" w:rsidR="0025297F" w:rsidRPr="00AA2559" w:rsidRDefault="0025297F" w:rsidP="00E548CB">
            <w:pPr>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A2559">
              <w:rPr>
                <w:rFonts w:cstheme="minorHAnsi"/>
                <w:szCs w:val="22"/>
              </w:rPr>
              <w:t>0</w:t>
            </w:r>
          </w:p>
        </w:tc>
      </w:tr>
      <w:tr w:rsidR="0025297F" w:rsidRPr="00AA2559" w14:paraId="48E48E4A" w14:textId="77777777" w:rsidTr="005A6B33">
        <w:trPr>
          <w:trHeight w:val="358"/>
        </w:trPr>
        <w:tc>
          <w:tcPr>
            <w:cnfStyle w:val="001000000000" w:firstRow="0" w:lastRow="0" w:firstColumn="1" w:lastColumn="0" w:oddVBand="0" w:evenVBand="0" w:oddHBand="0" w:evenHBand="0" w:firstRowFirstColumn="0" w:firstRowLastColumn="0" w:lastRowFirstColumn="0" w:lastRowLastColumn="0"/>
            <w:tcW w:w="628" w:type="pct"/>
            <w:tcBorders>
              <w:right w:val="nil"/>
            </w:tcBorders>
          </w:tcPr>
          <w:p w14:paraId="0B94009E" w14:textId="77777777" w:rsidR="0025297F" w:rsidRPr="00AA2559" w:rsidRDefault="0025297F" w:rsidP="00E548CB">
            <w:pPr>
              <w:rPr>
                <w:rFonts w:cstheme="minorHAnsi"/>
                <w:b/>
                <w:szCs w:val="22"/>
              </w:rPr>
            </w:pPr>
            <w:r w:rsidRPr="00AA2559">
              <w:rPr>
                <w:rFonts w:cstheme="minorHAnsi"/>
                <w:b/>
                <w:szCs w:val="22"/>
              </w:rPr>
              <w:t>Total</w:t>
            </w:r>
          </w:p>
        </w:tc>
        <w:tc>
          <w:tcPr>
            <w:tcW w:w="2389" w:type="pct"/>
            <w:tcBorders>
              <w:left w:val="nil"/>
              <w:right w:val="nil"/>
            </w:tcBorders>
          </w:tcPr>
          <w:p w14:paraId="47E86C30" w14:textId="77777777" w:rsidR="0025297F" w:rsidRPr="008E72F8" w:rsidRDefault="0025297F" w:rsidP="00E548CB">
            <w:pPr>
              <w:cnfStyle w:val="000000000000" w:firstRow="0" w:lastRow="0" w:firstColumn="0" w:lastColumn="0" w:oddVBand="0" w:evenVBand="0" w:oddHBand="0" w:evenHBand="0" w:firstRowFirstColumn="0" w:firstRowLastColumn="0" w:lastRowFirstColumn="0" w:lastRowLastColumn="0"/>
              <w:rPr>
                <w:rFonts w:cstheme="minorHAnsi"/>
                <w:szCs w:val="22"/>
              </w:rPr>
            </w:pPr>
          </w:p>
        </w:tc>
        <w:tc>
          <w:tcPr>
            <w:tcW w:w="661" w:type="pct"/>
            <w:tcBorders>
              <w:left w:val="nil"/>
              <w:right w:val="nil"/>
            </w:tcBorders>
          </w:tcPr>
          <w:p w14:paraId="3A8B4F85" w14:textId="77777777" w:rsidR="0025297F" w:rsidRPr="008E72F8" w:rsidRDefault="0025297F" w:rsidP="00E548CB">
            <w:pPr>
              <w:jc w:val="center"/>
              <w:cnfStyle w:val="000000000000" w:firstRow="0" w:lastRow="0" w:firstColumn="0" w:lastColumn="0" w:oddVBand="0" w:evenVBand="0" w:oddHBand="0" w:evenHBand="0" w:firstRowFirstColumn="0" w:firstRowLastColumn="0" w:lastRowFirstColumn="0" w:lastRowLastColumn="0"/>
              <w:rPr>
                <w:rFonts w:cstheme="minorHAnsi"/>
                <w:szCs w:val="22"/>
              </w:rPr>
            </w:pPr>
          </w:p>
        </w:tc>
        <w:tc>
          <w:tcPr>
            <w:tcW w:w="661" w:type="pct"/>
            <w:tcBorders>
              <w:left w:val="nil"/>
              <w:right w:val="nil"/>
            </w:tcBorders>
          </w:tcPr>
          <w:p w14:paraId="0D76723E" w14:textId="77777777" w:rsidR="0025297F" w:rsidRPr="00AA2559" w:rsidRDefault="0025297F" w:rsidP="00E548CB">
            <w:pPr>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AA2559">
              <w:rPr>
                <w:rFonts w:cstheme="minorHAnsi"/>
                <w:b/>
                <w:szCs w:val="22"/>
              </w:rPr>
              <w:t>0</w:t>
            </w:r>
          </w:p>
        </w:tc>
        <w:tc>
          <w:tcPr>
            <w:tcW w:w="661" w:type="pct"/>
            <w:tcBorders>
              <w:left w:val="nil"/>
            </w:tcBorders>
          </w:tcPr>
          <w:p w14:paraId="14096E99" w14:textId="77777777" w:rsidR="0025297F" w:rsidRPr="00AA2559" w:rsidRDefault="0025297F" w:rsidP="00E548CB">
            <w:pPr>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sidRPr="00AA2559">
              <w:rPr>
                <w:rFonts w:cstheme="minorHAnsi"/>
                <w:b/>
                <w:szCs w:val="22"/>
              </w:rPr>
              <w:t>0</w:t>
            </w:r>
          </w:p>
        </w:tc>
      </w:tr>
    </w:tbl>
    <w:p w14:paraId="56345CA0" w14:textId="67208448" w:rsidR="00C01E92" w:rsidRPr="000107A9" w:rsidRDefault="00C01E92" w:rsidP="002806C5">
      <w:pPr>
        <w:pStyle w:val="EYHeading4"/>
        <w:numPr>
          <w:ilvl w:val="3"/>
          <w:numId w:val="83"/>
        </w:numPr>
        <w:spacing w:before="120"/>
        <w:rPr>
          <w:rFonts w:asciiTheme="minorHAnsi" w:hAnsiTheme="minorHAnsi" w:cstheme="minorHAnsi"/>
          <w:szCs w:val="22"/>
        </w:rPr>
      </w:pPr>
      <w:r w:rsidRPr="000107A9">
        <w:rPr>
          <w:rFonts w:asciiTheme="minorHAnsi" w:hAnsiTheme="minorHAnsi" w:cstheme="minorHAnsi"/>
          <w:szCs w:val="22"/>
        </w:rPr>
        <w:t xml:space="preserve">Exemptions </w:t>
      </w:r>
      <w:r w:rsidR="00215B6D">
        <w:rPr>
          <w:rFonts w:asciiTheme="minorHAnsi" w:hAnsiTheme="minorHAnsi" w:cstheme="minorHAnsi"/>
          <w:szCs w:val="22"/>
        </w:rPr>
        <w:t>or</w:t>
      </w:r>
      <w:r w:rsidRPr="000107A9">
        <w:rPr>
          <w:rFonts w:asciiTheme="minorHAnsi" w:hAnsiTheme="minorHAnsi" w:cstheme="minorHAnsi"/>
          <w:szCs w:val="22"/>
        </w:rPr>
        <w:t xml:space="preserve"> waivers</w:t>
      </w:r>
    </w:p>
    <w:p w14:paraId="31D24EEA" w14:textId="3B594599" w:rsidR="00C01E92"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Act provides that services can apply for a waiver (indefinite) or temporary waiver from compliance with certain prescribed regulations.</w:t>
      </w:r>
    </w:p>
    <w:p w14:paraId="6C2A2EA3" w14:textId="77777777" w:rsidR="00C01E92" w:rsidRPr="000107A9" w:rsidRDefault="00C01E92" w:rsidP="00C01E92">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b/>
          <w:sz w:val="22"/>
          <w:szCs w:val="22"/>
        </w:rPr>
        <w:t>Option I.1. Status Quo</w:t>
      </w:r>
    </w:p>
    <w:p w14:paraId="66F228E5" w14:textId="0EE2DA2C"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Under Option I.1, the Regulations are silent as to waivers or exemptions. Without regulatory guidance, service providers may not be aware of this possibility for compliance flexibility and, rather than working with the Department to find an acceptable outcome in the event of being unable to comply with regulatory requirements or investing time and money in meeting the regulatory requirements</w:t>
      </w:r>
      <w:r w:rsidR="00C17FB9">
        <w:rPr>
          <w:rFonts w:asciiTheme="minorHAnsi" w:hAnsiTheme="minorHAnsi" w:cstheme="minorHAnsi"/>
          <w:sz w:val="22"/>
          <w:szCs w:val="22"/>
        </w:rPr>
        <w:t>,</w:t>
      </w:r>
      <w:r w:rsidRPr="000107A9">
        <w:rPr>
          <w:rFonts w:asciiTheme="minorHAnsi" w:hAnsiTheme="minorHAnsi" w:cstheme="minorHAnsi"/>
          <w:sz w:val="22"/>
          <w:szCs w:val="22"/>
        </w:rPr>
        <w:t xml:space="preserve"> which may be onerous in the service’s circumstance and may lead to operating in a non-compliant manner. As many of the regulations impose standards related to the health and safety of children, and the quality of service to be provided, this could lead to risks to children and/or a reduction in service quality. As a result, Option I.1 is considered to be less effective </w:t>
      </w:r>
      <w:r w:rsidR="00C17FB9">
        <w:rPr>
          <w:rFonts w:asciiTheme="minorHAnsi" w:hAnsiTheme="minorHAnsi" w:cstheme="minorHAnsi"/>
          <w:sz w:val="22"/>
          <w:szCs w:val="22"/>
        </w:rPr>
        <w:t>relative to</w:t>
      </w:r>
      <w:r w:rsidRPr="000107A9">
        <w:rPr>
          <w:rFonts w:asciiTheme="minorHAnsi" w:hAnsiTheme="minorHAnsi" w:cstheme="minorHAnsi"/>
          <w:sz w:val="22"/>
          <w:szCs w:val="22"/>
        </w:rPr>
        <w:t xml:space="preserve"> the base case.</w:t>
      </w:r>
    </w:p>
    <w:p w14:paraId="0AC35FE9" w14:textId="77777777" w:rsidR="00040B1D" w:rsidRDefault="00040B1D">
      <w:pPr>
        <w:spacing w:after="0"/>
        <w:rPr>
          <w:rFonts w:eastAsia="Times New Roman" w:cstheme="minorHAnsi"/>
          <w:b/>
          <w:szCs w:val="22"/>
          <w:lang w:val="en-AU"/>
        </w:rPr>
      </w:pPr>
      <w:r>
        <w:rPr>
          <w:rFonts w:cstheme="minorHAnsi"/>
          <w:b/>
          <w:szCs w:val="22"/>
        </w:rPr>
        <w:br w:type="page"/>
      </w:r>
    </w:p>
    <w:p w14:paraId="7317C66F" w14:textId="24CDEB2A" w:rsidR="00C01E92" w:rsidRPr="000107A9" w:rsidRDefault="00C01E92" w:rsidP="00C01E92">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b/>
          <w:sz w:val="22"/>
          <w:szCs w:val="22"/>
        </w:rPr>
        <w:lastRenderedPageBreak/>
        <w:t>Option I.2. Alignment</w:t>
      </w:r>
    </w:p>
    <w:p w14:paraId="7ED227E9" w14:textId="6571422B"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Under Option I.2, the</w:t>
      </w:r>
      <w:r w:rsidR="00C17FB9">
        <w:rPr>
          <w:rFonts w:asciiTheme="minorHAnsi" w:hAnsiTheme="minorHAnsi" w:cstheme="minorHAnsi"/>
          <w:sz w:val="22"/>
          <w:szCs w:val="22"/>
        </w:rPr>
        <w:t xml:space="preserve"> proposed</w:t>
      </w:r>
      <w:r w:rsidRPr="000107A9">
        <w:rPr>
          <w:rFonts w:asciiTheme="minorHAnsi" w:hAnsiTheme="minorHAnsi" w:cstheme="minorHAnsi"/>
          <w:sz w:val="22"/>
          <w:szCs w:val="22"/>
        </w:rPr>
        <w:t xml:space="preserve"> Regulations prescribe </w:t>
      </w:r>
      <w:r w:rsidR="00C17FB9">
        <w:rPr>
          <w:rFonts w:asciiTheme="minorHAnsi" w:hAnsiTheme="minorHAnsi" w:cstheme="minorHAnsi"/>
          <w:sz w:val="22"/>
          <w:szCs w:val="22"/>
        </w:rPr>
        <w:t>the availability for services to</w:t>
      </w:r>
      <w:r w:rsidRPr="000107A9">
        <w:rPr>
          <w:rFonts w:asciiTheme="minorHAnsi" w:hAnsiTheme="minorHAnsi" w:cstheme="minorHAnsi"/>
          <w:sz w:val="22"/>
          <w:szCs w:val="22"/>
        </w:rPr>
        <w:t xml:space="preserve"> apply for a waiver or temporary waiver</w:t>
      </w:r>
      <w:r w:rsidR="00C17FB9">
        <w:rPr>
          <w:rFonts w:asciiTheme="minorHAnsi" w:hAnsiTheme="minorHAnsi" w:cstheme="minorHAnsi"/>
          <w:sz w:val="22"/>
          <w:szCs w:val="22"/>
        </w:rPr>
        <w:t xml:space="preserve"> (considered on a case by case basis)</w:t>
      </w:r>
      <w:r w:rsidRPr="000107A9">
        <w:rPr>
          <w:rFonts w:asciiTheme="minorHAnsi" w:hAnsiTheme="minorHAnsi" w:cstheme="minorHAnsi"/>
          <w:sz w:val="22"/>
          <w:szCs w:val="22"/>
        </w:rPr>
        <w:t xml:space="preserve">. </w:t>
      </w:r>
      <w:r w:rsidR="00C17FB9">
        <w:rPr>
          <w:rFonts w:asciiTheme="minorHAnsi" w:hAnsiTheme="minorHAnsi" w:cstheme="minorHAnsi"/>
          <w:sz w:val="22"/>
          <w:szCs w:val="22"/>
        </w:rPr>
        <w:t>S</w:t>
      </w:r>
      <w:r w:rsidRPr="000107A9">
        <w:rPr>
          <w:rFonts w:asciiTheme="minorHAnsi" w:hAnsiTheme="minorHAnsi" w:cstheme="minorHAnsi"/>
          <w:sz w:val="22"/>
          <w:szCs w:val="22"/>
        </w:rPr>
        <w:t>taffing and certain aspects of services’ physical environment and facilities</w:t>
      </w:r>
      <w:r w:rsidR="00C17FB9">
        <w:rPr>
          <w:rFonts w:asciiTheme="minorHAnsi" w:hAnsiTheme="minorHAnsi" w:cstheme="minorHAnsi"/>
          <w:sz w:val="22"/>
          <w:szCs w:val="22"/>
        </w:rPr>
        <w:t xml:space="preserve"> are the prescribed regulations for which a service waiver can be applied</w:t>
      </w:r>
      <w:r w:rsidRPr="000107A9">
        <w:rPr>
          <w:rFonts w:asciiTheme="minorHAnsi" w:hAnsiTheme="minorHAnsi" w:cstheme="minorHAnsi"/>
          <w:sz w:val="22"/>
          <w:szCs w:val="22"/>
        </w:rPr>
        <w:t xml:space="preserve">. The proposed Regulations also list the information that must be provided with such applications, which includes evidence of attempts made to, and reasons why the service cannot, comply with the particular regulation(s). </w:t>
      </w:r>
    </w:p>
    <w:p w14:paraId="5F51FF38"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prescribed regulations under this option are some of the more onerous or costly in the Regulations and are likely to be those with which smaller or more ad hoc services experience difficulty in complying. </w:t>
      </w:r>
    </w:p>
    <w:p w14:paraId="67B8DEA2" w14:textId="2E09E3BE"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Through specifying which regulations may be the subject of a waiver and including onerous requirements within this compliance flexibility, Option I.2 could encourage services having difficulty complying with the requirements to work with the Department to find an acceptable operating standard considering both the service and the Department’s obligations to protect children from harm and ensure adequate service quality. The requirement that services provide evidence of attempts to comply and the reasons for any inability to do so makes it clear to services that full compliance with the Regulations is expected and waivers will only be granted in exceptional circumstances and only if the Department is satisfied it is</w:t>
      </w:r>
      <w:r w:rsidR="00537722">
        <w:rPr>
          <w:rFonts w:asciiTheme="minorHAnsi" w:hAnsiTheme="minorHAnsi" w:cstheme="minorHAnsi"/>
          <w:sz w:val="22"/>
          <w:szCs w:val="22"/>
        </w:rPr>
        <w:t xml:space="preserve"> appropriate and safe to do so.</w:t>
      </w:r>
    </w:p>
    <w:p w14:paraId="0BF3FD7F" w14:textId="779596E3"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For these reasons, Option I.2 is considered to be more effective than both the base case and Option I.1.</w:t>
      </w:r>
      <w:r w:rsidR="00AA2559">
        <w:rPr>
          <w:rFonts w:asciiTheme="minorHAnsi" w:hAnsiTheme="minorHAnsi" w:cstheme="minorHAnsi"/>
          <w:sz w:val="22"/>
          <w:szCs w:val="22"/>
        </w:rPr>
        <w:t xml:space="preserve"> </w:t>
      </w: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_Ref24700277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 xml:space="preserve">Table </w:t>
      </w:r>
      <w:r w:rsidR="00493211" w:rsidRPr="00493211">
        <w:rPr>
          <w:rFonts w:asciiTheme="minorHAnsi" w:hAnsiTheme="minorHAnsi" w:cstheme="minorHAnsi"/>
          <w:noProof/>
          <w:sz w:val="22"/>
          <w:szCs w:val="22"/>
        </w:rPr>
        <w:t>55</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provides the scores given to Option I.1 and Option I.2 against the benefits criteria.</w:t>
      </w:r>
    </w:p>
    <w:p w14:paraId="2A50B2A0" w14:textId="6D40FB66" w:rsidR="00C01E92" w:rsidRPr="000107A9" w:rsidRDefault="00C01E92" w:rsidP="00F7569F">
      <w:pPr>
        <w:pStyle w:val="Caption"/>
      </w:pPr>
      <w:bookmarkStart w:id="268" w:name="_Ref24700277"/>
      <w:bookmarkStart w:id="269" w:name="_Ref24700245"/>
      <w:bookmarkStart w:id="270" w:name="_Toc32592838"/>
      <w:r w:rsidRPr="000107A9">
        <w:t xml:space="preserve">Table </w:t>
      </w:r>
      <w:r w:rsidRPr="000107A9">
        <w:fldChar w:fldCharType="begin"/>
      </w:r>
      <w:r w:rsidRPr="000107A9">
        <w:instrText xml:space="preserve"> SEQ Table \* ARABIC </w:instrText>
      </w:r>
      <w:r w:rsidRPr="000107A9">
        <w:fldChar w:fldCharType="separate"/>
      </w:r>
      <w:r w:rsidR="00493211">
        <w:rPr>
          <w:noProof/>
        </w:rPr>
        <w:t>55</w:t>
      </w:r>
      <w:r w:rsidRPr="000107A9">
        <w:fldChar w:fldCharType="end"/>
      </w:r>
      <w:bookmarkEnd w:id="268"/>
      <w:r w:rsidRPr="000107A9">
        <w:t xml:space="preserve"> Exemptions </w:t>
      </w:r>
      <w:r w:rsidR="009F2454">
        <w:t>or</w:t>
      </w:r>
      <w:r w:rsidRPr="000107A9">
        <w:t xml:space="preserve"> waivers - benefits score</w:t>
      </w:r>
      <w:bookmarkEnd w:id="269"/>
      <w:r w:rsidRPr="000107A9">
        <w:t>s</w:t>
      </w:r>
      <w:bookmarkEnd w:id="270"/>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458"/>
        <w:gridCol w:w="4490"/>
        <w:gridCol w:w="1224"/>
        <w:gridCol w:w="1224"/>
        <w:gridCol w:w="1226"/>
      </w:tblGrid>
      <w:tr w:rsidR="00C01E92" w:rsidRPr="00AA2559" w14:paraId="5D2C0876" w14:textId="77777777" w:rsidTr="005A6B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pct"/>
            <w:tcBorders>
              <w:right w:val="none" w:sz="0" w:space="0" w:color="auto"/>
            </w:tcBorders>
          </w:tcPr>
          <w:p w14:paraId="74E17485" w14:textId="77777777" w:rsidR="00C01E92" w:rsidRPr="00AA2559" w:rsidRDefault="00C01E92" w:rsidP="00537722">
            <w:pPr>
              <w:spacing w:after="60"/>
              <w:rPr>
                <w:rStyle w:val="Strong"/>
                <w:rFonts w:cstheme="minorHAnsi"/>
                <w:b/>
                <w:szCs w:val="22"/>
              </w:rPr>
            </w:pPr>
            <w:r w:rsidRPr="00AA2559">
              <w:rPr>
                <w:rStyle w:val="Strong"/>
                <w:rFonts w:cstheme="minorHAnsi"/>
                <w:b/>
                <w:szCs w:val="22"/>
              </w:rPr>
              <w:t>Criterion</w:t>
            </w:r>
          </w:p>
        </w:tc>
        <w:tc>
          <w:tcPr>
            <w:tcW w:w="2333" w:type="pct"/>
            <w:tcBorders>
              <w:left w:val="none" w:sz="0" w:space="0" w:color="auto"/>
              <w:right w:val="none" w:sz="0" w:space="0" w:color="auto"/>
            </w:tcBorders>
          </w:tcPr>
          <w:p w14:paraId="08400EB3" w14:textId="77777777" w:rsidR="00C01E92" w:rsidRPr="00AA2559" w:rsidRDefault="00C01E92" w:rsidP="00537722">
            <w:pPr>
              <w:spacing w:after="60"/>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A2559">
              <w:rPr>
                <w:rStyle w:val="Strong"/>
                <w:rFonts w:cstheme="minorHAnsi"/>
                <w:b/>
                <w:szCs w:val="22"/>
              </w:rPr>
              <w:t>Description</w:t>
            </w:r>
          </w:p>
        </w:tc>
        <w:tc>
          <w:tcPr>
            <w:tcW w:w="636" w:type="pct"/>
            <w:tcBorders>
              <w:left w:val="none" w:sz="0" w:space="0" w:color="auto"/>
              <w:right w:val="none" w:sz="0" w:space="0" w:color="auto"/>
            </w:tcBorders>
          </w:tcPr>
          <w:p w14:paraId="1C80B096" w14:textId="77777777" w:rsidR="00C01E92" w:rsidRPr="00AA2559" w:rsidRDefault="00C01E92" w:rsidP="00537722">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A2559">
              <w:rPr>
                <w:rStyle w:val="Strong"/>
                <w:rFonts w:cstheme="minorHAnsi"/>
                <w:b/>
                <w:szCs w:val="22"/>
              </w:rPr>
              <w:t>Weighting</w:t>
            </w:r>
          </w:p>
        </w:tc>
        <w:tc>
          <w:tcPr>
            <w:tcW w:w="636" w:type="pct"/>
            <w:tcBorders>
              <w:left w:val="none" w:sz="0" w:space="0" w:color="auto"/>
              <w:right w:val="none" w:sz="0" w:space="0" w:color="auto"/>
            </w:tcBorders>
          </w:tcPr>
          <w:p w14:paraId="10032FE1" w14:textId="77777777" w:rsidR="00C01E92" w:rsidRPr="00AA2559" w:rsidRDefault="00C01E92" w:rsidP="00537722">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A2559">
              <w:rPr>
                <w:rStyle w:val="Strong"/>
                <w:rFonts w:cstheme="minorHAnsi"/>
                <w:b/>
                <w:szCs w:val="22"/>
              </w:rPr>
              <w:t>Option I.1.</w:t>
            </w:r>
          </w:p>
        </w:tc>
        <w:tc>
          <w:tcPr>
            <w:tcW w:w="637" w:type="pct"/>
            <w:tcBorders>
              <w:left w:val="none" w:sz="0" w:space="0" w:color="auto"/>
            </w:tcBorders>
          </w:tcPr>
          <w:p w14:paraId="655085DB" w14:textId="77777777" w:rsidR="00C01E92" w:rsidRPr="00AA2559" w:rsidRDefault="00C01E92" w:rsidP="00537722">
            <w:pPr>
              <w:spacing w:after="60"/>
              <w:jc w:val="center"/>
              <w:cnfStyle w:val="100000000000" w:firstRow="1" w:lastRow="0" w:firstColumn="0" w:lastColumn="0" w:oddVBand="0" w:evenVBand="0" w:oddHBand="0" w:evenHBand="0" w:firstRowFirstColumn="0" w:firstRowLastColumn="0" w:lastRowFirstColumn="0" w:lastRowLastColumn="0"/>
              <w:rPr>
                <w:rStyle w:val="Strong"/>
                <w:rFonts w:cstheme="minorHAnsi"/>
                <w:b/>
                <w:szCs w:val="22"/>
              </w:rPr>
            </w:pPr>
            <w:r w:rsidRPr="00AA2559">
              <w:rPr>
                <w:rStyle w:val="Strong"/>
                <w:rFonts w:cstheme="minorHAnsi"/>
                <w:b/>
                <w:szCs w:val="22"/>
              </w:rPr>
              <w:t>Option I.2.</w:t>
            </w:r>
          </w:p>
        </w:tc>
      </w:tr>
      <w:tr w:rsidR="00C01E92" w:rsidRPr="00AA2559" w14:paraId="59D5077A" w14:textId="77777777" w:rsidTr="00443872">
        <w:tc>
          <w:tcPr>
            <w:cnfStyle w:val="001000000000" w:firstRow="0" w:lastRow="0" w:firstColumn="1" w:lastColumn="0" w:oddVBand="0" w:evenVBand="0" w:oddHBand="0" w:evenHBand="0" w:firstRowFirstColumn="0" w:firstRowLastColumn="0" w:lastRowFirstColumn="0" w:lastRowLastColumn="0"/>
            <w:tcW w:w="758" w:type="pct"/>
            <w:tcBorders>
              <w:bottom w:val="single" w:sz="4" w:space="0" w:color="004EA8" w:themeColor="accent1"/>
            </w:tcBorders>
          </w:tcPr>
          <w:p w14:paraId="7D4D71E7" w14:textId="77777777" w:rsidR="00C01E92" w:rsidRPr="00AA2559" w:rsidRDefault="00C01E92" w:rsidP="00537722">
            <w:pPr>
              <w:spacing w:after="60"/>
              <w:rPr>
                <w:rFonts w:cstheme="minorHAnsi"/>
                <w:szCs w:val="22"/>
              </w:rPr>
            </w:pPr>
            <w:r w:rsidRPr="00AA2559">
              <w:rPr>
                <w:rFonts w:cstheme="minorHAnsi"/>
                <w:szCs w:val="22"/>
              </w:rPr>
              <w:t>Safety</w:t>
            </w:r>
          </w:p>
        </w:tc>
        <w:tc>
          <w:tcPr>
            <w:tcW w:w="2333" w:type="pct"/>
            <w:tcBorders>
              <w:bottom w:val="single" w:sz="4" w:space="0" w:color="004EA8" w:themeColor="accent1"/>
            </w:tcBorders>
          </w:tcPr>
          <w:p w14:paraId="1F179F5C" w14:textId="07019FB1" w:rsidR="00C01E92" w:rsidRPr="00AA2559" w:rsidRDefault="00C01E92" w:rsidP="00B50BC1">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A2559">
              <w:rPr>
                <w:rFonts w:cstheme="minorHAnsi"/>
                <w:szCs w:val="22"/>
              </w:rPr>
              <w:t>Effectiveness of the Regulations around exemptions or waivers in protecting the safety</w:t>
            </w:r>
            <w:r w:rsidR="00B50BC1">
              <w:rPr>
                <w:rFonts w:cstheme="minorHAnsi"/>
                <w:szCs w:val="22"/>
              </w:rPr>
              <w:t>, health</w:t>
            </w:r>
            <w:r w:rsidRPr="00AA2559">
              <w:rPr>
                <w:rFonts w:cstheme="minorHAnsi"/>
                <w:szCs w:val="22"/>
              </w:rPr>
              <w:t xml:space="preserve"> and wellbeing of children.</w:t>
            </w:r>
          </w:p>
        </w:tc>
        <w:tc>
          <w:tcPr>
            <w:tcW w:w="636" w:type="pct"/>
            <w:tcBorders>
              <w:bottom w:val="single" w:sz="4" w:space="0" w:color="004EA8" w:themeColor="accent1"/>
            </w:tcBorders>
          </w:tcPr>
          <w:p w14:paraId="68494A63" w14:textId="77777777" w:rsidR="00C01E92" w:rsidRPr="00AA2559" w:rsidRDefault="00C01E92" w:rsidP="00537722">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A2559">
              <w:rPr>
                <w:rFonts w:cstheme="minorHAnsi"/>
                <w:szCs w:val="22"/>
              </w:rPr>
              <w:t>30%</w:t>
            </w:r>
          </w:p>
        </w:tc>
        <w:tc>
          <w:tcPr>
            <w:tcW w:w="636" w:type="pct"/>
            <w:tcBorders>
              <w:bottom w:val="single" w:sz="4" w:space="0" w:color="004EA8" w:themeColor="accent1"/>
            </w:tcBorders>
          </w:tcPr>
          <w:p w14:paraId="5EB79A1F" w14:textId="77777777" w:rsidR="00C01E92" w:rsidRPr="00AA2559" w:rsidRDefault="00C01E92" w:rsidP="00537722">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A2559">
              <w:rPr>
                <w:rFonts w:cstheme="minorHAnsi"/>
                <w:szCs w:val="22"/>
              </w:rPr>
              <w:t>-3</w:t>
            </w:r>
          </w:p>
        </w:tc>
        <w:tc>
          <w:tcPr>
            <w:tcW w:w="637" w:type="pct"/>
            <w:tcBorders>
              <w:bottom w:val="single" w:sz="4" w:space="0" w:color="004EA8" w:themeColor="accent1"/>
            </w:tcBorders>
          </w:tcPr>
          <w:p w14:paraId="44A06F27" w14:textId="77777777" w:rsidR="00C01E92" w:rsidRPr="00AA2559" w:rsidRDefault="00C01E92" w:rsidP="00537722">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A2559">
              <w:rPr>
                <w:rFonts w:cstheme="minorHAnsi"/>
                <w:szCs w:val="22"/>
              </w:rPr>
              <w:t>5</w:t>
            </w:r>
          </w:p>
        </w:tc>
      </w:tr>
      <w:tr w:rsidR="00443872" w:rsidRPr="00443872" w14:paraId="01AFCCDD" w14:textId="77777777" w:rsidTr="00443872">
        <w:tc>
          <w:tcPr>
            <w:cnfStyle w:val="001000000000" w:firstRow="0" w:lastRow="0" w:firstColumn="1" w:lastColumn="0" w:oddVBand="0" w:evenVBand="0" w:oddHBand="0" w:evenHBand="0" w:firstRowFirstColumn="0" w:firstRowLastColumn="0" w:lastRowFirstColumn="0" w:lastRowLastColumn="0"/>
            <w:tcW w:w="758" w:type="pct"/>
            <w:tcBorders>
              <w:right w:val="nil"/>
            </w:tcBorders>
          </w:tcPr>
          <w:p w14:paraId="6A7579C2" w14:textId="05DA4205" w:rsidR="00443872" w:rsidRPr="00443872" w:rsidRDefault="00443872" w:rsidP="00537722">
            <w:pPr>
              <w:spacing w:after="60"/>
              <w:rPr>
                <w:rFonts w:cstheme="minorHAnsi"/>
                <w:b/>
                <w:szCs w:val="22"/>
              </w:rPr>
            </w:pPr>
            <w:r w:rsidRPr="00443872">
              <w:rPr>
                <w:rFonts w:cstheme="minorHAnsi"/>
                <w:b/>
                <w:szCs w:val="22"/>
              </w:rPr>
              <w:t>Total</w:t>
            </w:r>
          </w:p>
        </w:tc>
        <w:tc>
          <w:tcPr>
            <w:tcW w:w="2333" w:type="pct"/>
            <w:tcBorders>
              <w:left w:val="nil"/>
              <w:right w:val="nil"/>
            </w:tcBorders>
          </w:tcPr>
          <w:p w14:paraId="37CCE596" w14:textId="77777777" w:rsidR="00443872" w:rsidRPr="00443872" w:rsidRDefault="00443872" w:rsidP="00B50BC1">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36" w:type="pct"/>
            <w:tcBorders>
              <w:left w:val="nil"/>
              <w:right w:val="nil"/>
            </w:tcBorders>
          </w:tcPr>
          <w:p w14:paraId="4A908ABA" w14:textId="77777777" w:rsidR="00443872" w:rsidRPr="00443872" w:rsidRDefault="00443872" w:rsidP="00537722">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36" w:type="pct"/>
            <w:tcBorders>
              <w:left w:val="nil"/>
              <w:right w:val="nil"/>
            </w:tcBorders>
          </w:tcPr>
          <w:p w14:paraId="2626D63E" w14:textId="78F6771F" w:rsidR="00443872" w:rsidRPr="00443872" w:rsidRDefault="00443872" w:rsidP="00537722">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-0.9</w:t>
            </w:r>
          </w:p>
        </w:tc>
        <w:tc>
          <w:tcPr>
            <w:tcW w:w="637" w:type="pct"/>
            <w:tcBorders>
              <w:left w:val="nil"/>
            </w:tcBorders>
          </w:tcPr>
          <w:p w14:paraId="3AF5C5BE" w14:textId="5EFB0017" w:rsidR="00443872" w:rsidRPr="00443872" w:rsidRDefault="00443872" w:rsidP="00537722">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1.5</w:t>
            </w:r>
          </w:p>
        </w:tc>
      </w:tr>
      <w:tr w:rsidR="00C01E92" w:rsidRPr="00AA2559" w14:paraId="1568EA8A" w14:textId="77777777" w:rsidTr="005A6B33">
        <w:tc>
          <w:tcPr>
            <w:cnfStyle w:val="001000000000" w:firstRow="0" w:lastRow="0" w:firstColumn="1" w:lastColumn="0" w:oddVBand="0" w:evenVBand="0" w:oddHBand="0" w:evenHBand="0" w:firstRowFirstColumn="0" w:firstRowLastColumn="0" w:lastRowFirstColumn="0" w:lastRowLastColumn="0"/>
            <w:tcW w:w="758" w:type="pct"/>
            <w:tcBorders>
              <w:bottom w:val="single" w:sz="4" w:space="0" w:color="004EA8" w:themeColor="accent1"/>
            </w:tcBorders>
          </w:tcPr>
          <w:p w14:paraId="5C8CCB21" w14:textId="77777777" w:rsidR="00C01E92" w:rsidRPr="00AA2559" w:rsidRDefault="00C01E92" w:rsidP="00537722">
            <w:pPr>
              <w:spacing w:after="60"/>
              <w:rPr>
                <w:rFonts w:cstheme="minorHAnsi"/>
                <w:szCs w:val="22"/>
              </w:rPr>
            </w:pPr>
            <w:r w:rsidRPr="00AA2559">
              <w:rPr>
                <w:rFonts w:cstheme="minorHAnsi"/>
                <w:szCs w:val="22"/>
              </w:rPr>
              <w:t>Quality</w:t>
            </w:r>
          </w:p>
        </w:tc>
        <w:tc>
          <w:tcPr>
            <w:tcW w:w="2333" w:type="pct"/>
            <w:tcBorders>
              <w:bottom w:val="single" w:sz="4" w:space="0" w:color="004EA8" w:themeColor="accent1"/>
            </w:tcBorders>
          </w:tcPr>
          <w:p w14:paraId="20599BD7" w14:textId="77777777" w:rsidR="00C01E92" w:rsidRPr="00AA2559" w:rsidRDefault="00C01E92" w:rsidP="00537722">
            <w:pPr>
              <w:spacing w:after="60"/>
              <w:cnfStyle w:val="000000000000" w:firstRow="0" w:lastRow="0" w:firstColumn="0" w:lastColumn="0" w:oddVBand="0" w:evenVBand="0" w:oddHBand="0" w:evenHBand="0" w:firstRowFirstColumn="0" w:firstRowLastColumn="0" w:lastRowFirstColumn="0" w:lastRowLastColumn="0"/>
              <w:rPr>
                <w:rFonts w:cstheme="minorHAnsi"/>
                <w:szCs w:val="22"/>
              </w:rPr>
            </w:pPr>
            <w:r w:rsidRPr="00AA2559">
              <w:rPr>
                <w:rFonts w:cstheme="minorHAnsi"/>
                <w:szCs w:val="22"/>
              </w:rPr>
              <w:t>Effectiveness of the Regulations around exemptions or waivers in promoting the educational and developmental outcomes of children and the development of the children’s services sector.</w:t>
            </w:r>
          </w:p>
        </w:tc>
        <w:tc>
          <w:tcPr>
            <w:tcW w:w="636" w:type="pct"/>
            <w:tcBorders>
              <w:bottom w:val="single" w:sz="4" w:space="0" w:color="004EA8" w:themeColor="accent1"/>
            </w:tcBorders>
          </w:tcPr>
          <w:p w14:paraId="28BC3B55" w14:textId="77777777" w:rsidR="00C01E92" w:rsidRPr="00AA2559" w:rsidRDefault="00C01E92" w:rsidP="00537722">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A2559">
              <w:rPr>
                <w:rFonts w:cstheme="minorHAnsi"/>
                <w:szCs w:val="22"/>
              </w:rPr>
              <w:t>20%</w:t>
            </w:r>
          </w:p>
        </w:tc>
        <w:tc>
          <w:tcPr>
            <w:tcW w:w="636" w:type="pct"/>
            <w:tcBorders>
              <w:bottom w:val="single" w:sz="4" w:space="0" w:color="004EA8" w:themeColor="accent1"/>
            </w:tcBorders>
          </w:tcPr>
          <w:p w14:paraId="583CF682" w14:textId="77777777" w:rsidR="00C01E92" w:rsidRPr="00AA2559" w:rsidRDefault="00C01E92" w:rsidP="00537722">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A2559">
              <w:rPr>
                <w:rFonts w:cstheme="minorHAnsi"/>
                <w:szCs w:val="22"/>
              </w:rPr>
              <w:t>-3</w:t>
            </w:r>
          </w:p>
        </w:tc>
        <w:tc>
          <w:tcPr>
            <w:tcW w:w="637" w:type="pct"/>
            <w:tcBorders>
              <w:bottom w:val="single" w:sz="4" w:space="0" w:color="004EA8" w:themeColor="accent1"/>
            </w:tcBorders>
          </w:tcPr>
          <w:p w14:paraId="35C9AFC5" w14:textId="77777777" w:rsidR="00C01E92" w:rsidRPr="00AA2559" w:rsidRDefault="00C01E92" w:rsidP="00537722">
            <w:pPr>
              <w:spacing w:after="6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sidRPr="00AA2559">
              <w:rPr>
                <w:rFonts w:cstheme="minorHAnsi"/>
                <w:szCs w:val="22"/>
              </w:rPr>
              <w:t>5</w:t>
            </w:r>
          </w:p>
        </w:tc>
      </w:tr>
      <w:tr w:rsidR="00C01E92" w:rsidRPr="00AA2559" w14:paraId="5C8C642F" w14:textId="77777777" w:rsidTr="005A6B33">
        <w:tc>
          <w:tcPr>
            <w:cnfStyle w:val="001000000000" w:firstRow="0" w:lastRow="0" w:firstColumn="1" w:lastColumn="0" w:oddVBand="0" w:evenVBand="0" w:oddHBand="0" w:evenHBand="0" w:firstRowFirstColumn="0" w:firstRowLastColumn="0" w:lastRowFirstColumn="0" w:lastRowLastColumn="0"/>
            <w:tcW w:w="758" w:type="pct"/>
            <w:tcBorders>
              <w:right w:val="nil"/>
            </w:tcBorders>
          </w:tcPr>
          <w:p w14:paraId="74FA7F08" w14:textId="77777777" w:rsidR="00C01E92" w:rsidRPr="00AA2559" w:rsidRDefault="00C01E92" w:rsidP="00537722">
            <w:pPr>
              <w:spacing w:after="60"/>
              <w:rPr>
                <w:rFonts w:cstheme="minorHAnsi"/>
                <w:b/>
                <w:szCs w:val="22"/>
              </w:rPr>
            </w:pPr>
            <w:r w:rsidRPr="00AA2559">
              <w:rPr>
                <w:rFonts w:cstheme="minorHAnsi"/>
                <w:b/>
                <w:szCs w:val="22"/>
              </w:rPr>
              <w:t>Total</w:t>
            </w:r>
          </w:p>
        </w:tc>
        <w:tc>
          <w:tcPr>
            <w:tcW w:w="2333" w:type="pct"/>
            <w:tcBorders>
              <w:left w:val="nil"/>
              <w:right w:val="nil"/>
            </w:tcBorders>
          </w:tcPr>
          <w:p w14:paraId="48E83A03" w14:textId="77777777" w:rsidR="00C01E92" w:rsidRPr="00AA2559" w:rsidRDefault="00C01E92" w:rsidP="00537722">
            <w:pPr>
              <w:spacing w:after="60"/>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36" w:type="pct"/>
            <w:tcBorders>
              <w:left w:val="nil"/>
              <w:right w:val="nil"/>
            </w:tcBorders>
          </w:tcPr>
          <w:p w14:paraId="10065258" w14:textId="77777777" w:rsidR="00C01E92" w:rsidRPr="00AA2559" w:rsidRDefault="00C01E92" w:rsidP="00537722">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p>
        </w:tc>
        <w:tc>
          <w:tcPr>
            <w:tcW w:w="636" w:type="pct"/>
            <w:tcBorders>
              <w:left w:val="nil"/>
              <w:right w:val="nil"/>
            </w:tcBorders>
          </w:tcPr>
          <w:p w14:paraId="5D91B7DC" w14:textId="17FDAD3E" w:rsidR="00C01E92" w:rsidRPr="00AA2559" w:rsidRDefault="00443872" w:rsidP="00537722">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-0.6</w:t>
            </w:r>
          </w:p>
        </w:tc>
        <w:tc>
          <w:tcPr>
            <w:tcW w:w="637" w:type="pct"/>
            <w:tcBorders>
              <w:left w:val="nil"/>
            </w:tcBorders>
          </w:tcPr>
          <w:p w14:paraId="3A474E1C" w14:textId="2FB26949" w:rsidR="00C01E92" w:rsidRPr="00AA2559" w:rsidRDefault="00443872" w:rsidP="00537722">
            <w:pPr>
              <w:spacing w:after="60"/>
              <w:jc w:val="center"/>
              <w:cnfStyle w:val="000000000000" w:firstRow="0" w:lastRow="0" w:firstColumn="0" w:lastColumn="0" w:oddVBand="0" w:evenVBand="0" w:oddHBand="0" w:evenHBand="0" w:firstRowFirstColumn="0" w:firstRowLastColumn="0" w:lastRowFirstColumn="0" w:lastRowLastColumn="0"/>
              <w:rPr>
                <w:rFonts w:cstheme="minorHAnsi"/>
                <w:b/>
                <w:szCs w:val="22"/>
              </w:rPr>
            </w:pPr>
            <w:r>
              <w:rPr>
                <w:rFonts w:cstheme="minorHAnsi"/>
                <w:b/>
                <w:szCs w:val="22"/>
              </w:rPr>
              <w:t>1.0</w:t>
            </w:r>
          </w:p>
        </w:tc>
      </w:tr>
    </w:tbl>
    <w:p w14:paraId="10EC3B04" w14:textId="77777777" w:rsidR="00C01E92" w:rsidRPr="000107A9" w:rsidRDefault="00C01E92" w:rsidP="00C01E92">
      <w:pPr>
        <w:pStyle w:val="EYBodytextwithparaspace"/>
        <w:spacing w:before="120" w:after="120"/>
        <w:rPr>
          <w:rFonts w:asciiTheme="minorHAnsi" w:hAnsiTheme="minorHAnsi" w:cstheme="minorHAnsi"/>
          <w:sz w:val="22"/>
          <w:szCs w:val="22"/>
        </w:rPr>
      </w:pPr>
    </w:p>
    <w:p w14:paraId="51A0B70F" w14:textId="157B8410" w:rsidR="00C01E92" w:rsidRPr="000107A9" w:rsidRDefault="00C01E92" w:rsidP="004F4E5D">
      <w:pPr>
        <w:pStyle w:val="Heading1"/>
        <w:numPr>
          <w:ilvl w:val="0"/>
          <w:numId w:val="12"/>
        </w:numPr>
      </w:pPr>
      <w:bookmarkStart w:id="271" w:name="_Toc30669620"/>
      <w:bookmarkStart w:id="272" w:name="_Toc32936895"/>
      <w:r w:rsidRPr="000107A9">
        <w:lastRenderedPageBreak/>
        <w:t>Preferred option</w:t>
      </w:r>
      <w:bookmarkEnd w:id="271"/>
      <w:bookmarkEnd w:id="272"/>
    </w:p>
    <w:p w14:paraId="5D6EB98B" w14:textId="19DF69DB" w:rsidR="005820AF" w:rsidRPr="00237579" w:rsidRDefault="005820AF" w:rsidP="005820AF">
      <w:pPr>
        <w:pStyle w:val="EYBodytextwithparaspace"/>
        <w:spacing w:before="120" w:after="120"/>
        <w:rPr>
          <w:rFonts w:ascii="Arial" w:hAnsi="Arial" w:cs="Arial"/>
          <w:sz w:val="22"/>
          <w:szCs w:val="22"/>
        </w:rPr>
      </w:pPr>
      <w:bookmarkStart w:id="273" w:name="_Toc21010900"/>
      <w:bookmarkStart w:id="274" w:name="_Toc21678849"/>
      <w:bookmarkEnd w:id="140"/>
      <w:bookmarkEnd w:id="141"/>
      <w:r w:rsidRPr="00237579">
        <w:rPr>
          <w:rFonts w:ascii="Arial" w:hAnsi="Arial" w:cs="Arial"/>
          <w:sz w:val="22"/>
          <w:szCs w:val="22"/>
        </w:rPr>
        <w:t xml:space="preserve">Data provided in </w:t>
      </w:r>
      <w:r w:rsidRPr="00511CB8">
        <w:rPr>
          <w:rFonts w:ascii="Arial" w:hAnsi="Arial" w:cs="Arial"/>
          <w:sz w:val="22"/>
          <w:szCs w:val="22"/>
        </w:rPr>
        <w:t xml:space="preserve">Tables </w:t>
      </w:r>
      <w:r w:rsidR="00BB7C65" w:rsidRPr="00511CB8">
        <w:rPr>
          <w:rFonts w:ascii="Arial" w:hAnsi="Arial" w:cs="Arial"/>
          <w:sz w:val="22"/>
          <w:szCs w:val="22"/>
        </w:rPr>
        <w:t>56</w:t>
      </w:r>
      <w:r w:rsidRPr="00511CB8">
        <w:rPr>
          <w:rFonts w:ascii="Arial" w:hAnsi="Arial" w:cs="Arial"/>
          <w:sz w:val="22"/>
          <w:szCs w:val="22"/>
        </w:rPr>
        <w:t xml:space="preserve">, </w:t>
      </w:r>
      <w:r w:rsidR="00BB7C65" w:rsidRPr="00511CB8">
        <w:rPr>
          <w:rFonts w:ascii="Arial" w:hAnsi="Arial" w:cs="Arial"/>
          <w:sz w:val="22"/>
          <w:szCs w:val="22"/>
        </w:rPr>
        <w:t>57</w:t>
      </w:r>
      <w:r w:rsidRPr="00511CB8">
        <w:rPr>
          <w:rFonts w:ascii="Arial" w:hAnsi="Arial" w:cs="Arial"/>
          <w:sz w:val="22"/>
          <w:szCs w:val="22"/>
        </w:rPr>
        <w:t xml:space="preserve"> and </w:t>
      </w:r>
      <w:r w:rsidR="00BB7C65" w:rsidRPr="00511CB8">
        <w:rPr>
          <w:rFonts w:ascii="Arial" w:hAnsi="Arial" w:cs="Arial"/>
          <w:sz w:val="22"/>
          <w:szCs w:val="22"/>
        </w:rPr>
        <w:t>58</w:t>
      </w:r>
      <w:r w:rsidRPr="00511CB8">
        <w:rPr>
          <w:rFonts w:ascii="Arial" w:hAnsi="Arial" w:cs="Arial"/>
          <w:sz w:val="22"/>
          <w:szCs w:val="22"/>
        </w:rPr>
        <w:t xml:space="preserve"> below show</w:t>
      </w:r>
      <w:r w:rsidRPr="00237579">
        <w:rPr>
          <w:rFonts w:ascii="Arial" w:hAnsi="Arial" w:cs="Arial"/>
          <w:sz w:val="22"/>
          <w:szCs w:val="22"/>
        </w:rPr>
        <w:t xml:space="preserve"> the MCA weighted scores across each area of regulation and each option – Status Quo and Alignment – presented in the RIS. Given the Base Case is used as a point of comparison throughout the RIS, it has not been scored, and is therefore excluded from the data tables.</w:t>
      </w:r>
    </w:p>
    <w:p w14:paraId="7BD0FAAC" w14:textId="68555EEB" w:rsidR="005820AF" w:rsidRPr="001E21A1" w:rsidRDefault="005820AF" w:rsidP="005820AF">
      <w:pPr>
        <w:pStyle w:val="EYBodytextwithparaspace"/>
        <w:spacing w:before="120" w:after="120"/>
        <w:rPr>
          <w:rFonts w:ascii="Arial" w:hAnsi="Arial" w:cs="Arial"/>
          <w:sz w:val="22"/>
          <w:szCs w:val="22"/>
        </w:rPr>
      </w:pPr>
      <w:r w:rsidRPr="001E21A1">
        <w:rPr>
          <w:rFonts w:ascii="Arial" w:hAnsi="Arial" w:cs="Arial"/>
          <w:sz w:val="22"/>
          <w:szCs w:val="22"/>
        </w:rPr>
        <w:t>The data indicates that in some regulatory areas, the total score for the Status Quo option marginally exceeds (</w:t>
      </w:r>
      <w:r w:rsidR="000421CD" w:rsidRPr="001E21A1">
        <w:rPr>
          <w:rFonts w:ascii="Arial" w:hAnsi="Arial" w:cs="Arial"/>
          <w:sz w:val="22"/>
          <w:szCs w:val="22"/>
        </w:rPr>
        <w:t>equipment and facilities</w:t>
      </w:r>
      <w:r w:rsidRPr="001E21A1">
        <w:rPr>
          <w:rFonts w:ascii="Arial" w:hAnsi="Arial" w:cs="Arial"/>
          <w:sz w:val="22"/>
          <w:szCs w:val="22"/>
        </w:rPr>
        <w:t>) or is the same</w:t>
      </w:r>
      <w:r w:rsidR="00A02E1A" w:rsidRPr="001E21A1">
        <w:rPr>
          <w:rFonts w:ascii="Arial" w:hAnsi="Arial" w:cs="Arial"/>
          <w:sz w:val="22"/>
          <w:szCs w:val="22"/>
        </w:rPr>
        <w:t xml:space="preserve"> </w:t>
      </w:r>
      <w:r w:rsidRPr="001E21A1">
        <w:rPr>
          <w:rFonts w:ascii="Arial" w:hAnsi="Arial" w:cs="Arial"/>
          <w:sz w:val="22"/>
          <w:szCs w:val="22"/>
        </w:rPr>
        <w:t xml:space="preserve">(complaints) </w:t>
      </w:r>
      <w:r w:rsidR="000421CD" w:rsidRPr="001E21A1">
        <w:rPr>
          <w:rFonts w:ascii="Arial" w:hAnsi="Arial" w:cs="Arial"/>
          <w:sz w:val="22"/>
          <w:szCs w:val="22"/>
        </w:rPr>
        <w:t xml:space="preserve">as </w:t>
      </w:r>
      <w:r w:rsidRPr="001E21A1">
        <w:rPr>
          <w:rFonts w:ascii="Arial" w:hAnsi="Arial" w:cs="Arial"/>
          <w:sz w:val="22"/>
          <w:szCs w:val="22"/>
        </w:rPr>
        <w:t xml:space="preserve">the Alignment option. For </w:t>
      </w:r>
      <w:r w:rsidR="000421CD" w:rsidRPr="001E21A1">
        <w:rPr>
          <w:rFonts w:ascii="Arial" w:hAnsi="Arial" w:cs="Arial"/>
          <w:sz w:val="22"/>
          <w:szCs w:val="22"/>
        </w:rPr>
        <w:t>other regulatory areas</w:t>
      </w:r>
      <w:r w:rsidRPr="001E21A1">
        <w:rPr>
          <w:rFonts w:ascii="Arial" w:hAnsi="Arial" w:cs="Arial"/>
          <w:sz w:val="22"/>
          <w:szCs w:val="22"/>
        </w:rPr>
        <w:t xml:space="preserve">, the </w:t>
      </w:r>
      <w:r w:rsidR="000421CD" w:rsidRPr="001E21A1">
        <w:rPr>
          <w:rFonts w:ascii="Arial" w:hAnsi="Arial" w:cs="Arial"/>
          <w:sz w:val="22"/>
          <w:szCs w:val="22"/>
        </w:rPr>
        <w:t>Alignment</w:t>
      </w:r>
      <w:r w:rsidRPr="001E21A1">
        <w:rPr>
          <w:rFonts w:ascii="Arial" w:hAnsi="Arial" w:cs="Arial"/>
          <w:sz w:val="22"/>
          <w:szCs w:val="22"/>
        </w:rPr>
        <w:t xml:space="preserve"> score far exceeds the </w:t>
      </w:r>
      <w:r w:rsidR="000421CD" w:rsidRPr="001E21A1">
        <w:rPr>
          <w:rFonts w:ascii="Arial" w:hAnsi="Arial" w:cs="Arial"/>
          <w:sz w:val="22"/>
          <w:szCs w:val="22"/>
        </w:rPr>
        <w:t>Status Quo</w:t>
      </w:r>
      <w:r w:rsidRPr="001E21A1">
        <w:rPr>
          <w:rFonts w:ascii="Arial" w:hAnsi="Arial" w:cs="Arial"/>
          <w:sz w:val="22"/>
          <w:szCs w:val="22"/>
        </w:rPr>
        <w:t xml:space="preserve"> score.</w:t>
      </w:r>
    </w:p>
    <w:p w14:paraId="7C6AB3EE" w14:textId="28D3DADF" w:rsidR="0075287C" w:rsidRPr="0075287C" w:rsidRDefault="0075287C" w:rsidP="0075287C">
      <w:pPr>
        <w:pStyle w:val="EYBodytextwithparaspace"/>
        <w:spacing w:before="120" w:after="120"/>
        <w:rPr>
          <w:rFonts w:ascii="Arial" w:hAnsi="Arial" w:cs="Arial"/>
          <w:sz w:val="22"/>
          <w:szCs w:val="22"/>
        </w:rPr>
      </w:pPr>
      <w:r w:rsidRPr="001E21A1">
        <w:rPr>
          <w:rFonts w:ascii="Arial" w:hAnsi="Arial" w:cs="Arial"/>
          <w:sz w:val="22"/>
          <w:szCs w:val="22"/>
        </w:rPr>
        <w:t xml:space="preserve">While each regulatory area has been discussed and assessed separately and in some instances the Status Quo option yields a </w:t>
      </w:r>
      <w:r w:rsidR="000421CD" w:rsidRPr="001E21A1">
        <w:rPr>
          <w:rFonts w:ascii="Arial" w:hAnsi="Arial" w:cs="Arial"/>
          <w:sz w:val="22"/>
          <w:szCs w:val="22"/>
        </w:rPr>
        <w:t xml:space="preserve">marginally </w:t>
      </w:r>
      <w:r w:rsidRPr="001E21A1">
        <w:rPr>
          <w:rFonts w:ascii="Arial" w:hAnsi="Arial" w:cs="Arial"/>
          <w:sz w:val="22"/>
          <w:szCs w:val="22"/>
        </w:rPr>
        <w:t xml:space="preserve">better </w:t>
      </w:r>
      <w:r w:rsidR="000421CD" w:rsidRPr="001E21A1">
        <w:rPr>
          <w:rFonts w:ascii="Arial" w:hAnsi="Arial" w:cs="Arial"/>
          <w:sz w:val="22"/>
          <w:szCs w:val="22"/>
        </w:rPr>
        <w:t xml:space="preserve">or equal </w:t>
      </w:r>
      <w:r w:rsidRPr="001E21A1">
        <w:rPr>
          <w:rFonts w:ascii="Arial" w:hAnsi="Arial" w:cs="Arial"/>
          <w:sz w:val="22"/>
          <w:szCs w:val="22"/>
        </w:rPr>
        <w:t>score</w:t>
      </w:r>
      <w:r w:rsidR="000421CD" w:rsidRPr="001E21A1">
        <w:rPr>
          <w:rFonts w:ascii="Arial" w:hAnsi="Arial" w:cs="Arial"/>
          <w:sz w:val="22"/>
          <w:szCs w:val="22"/>
        </w:rPr>
        <w:t xml:space="preserve"> to the Alignment option</w:t>
      </w:r>
      <w:r w:rsidRPr="001E21A1">
        <w:rPr>
          <w:rFonts w:ascii="Arial" w:hAnsi="Arial" w:cs="Arial"/>
          <w:sz w:val="22"/>
          <w:szCs w:val="22"/>
        </w:rPr>
        <w:t>, maintaining the status quo would not support the policy objective of aligning (where appropriate) with the NQF. Similarly, minor alterations to the status quo or adopting non-regulatory options, would not necessarily be any more cost effective. Given the amendments to the Act compel the Department to revisit the regulatory requirements to support the Act, the Department has taken the view that proposed changes and transitional arrangements would better support policy outcomes and cost savings for the sector and the regulator overall.</w:t>
      </w:r>
      <w:r w:rsidR="000421CD" w:rsidRPr="001E21A1">
        <w:rPr>
          <w:rFonts w:ascii="Arial" w:hAnsi="Arial" w:cs="Arial"/>
          <w:sz w:val="22"/>
          <w:szCs w:val="22"/>
        </w:rPr>
        <w:t xml:space="preserve"> This is reflected in the overall Alignment option score (see Table 58 – overall total weighted score).</w:t>
      </w:r>
    </w:p>
    <w:p w14:paraId="1B2D93AB" w14:textId="3C4EBEF4" w:rsidR="005820AF" w:rsidRPr="00237579" w:rsidRDefault="00511CB8" w:rsidP="005820AF">
      <w:pPr>
        <w:pStyle w:val="EYBodytextwithparaspace"/>
        <w:spacing w:before="120" w:after="120"/>
        <w:rPr>
          <w:rFonts w:ascii="Arial" w:hAnsi="Arial" w:cs="Arial"/>
          <w:sz w:val="22"/>
          <w:szCs w:val="22"/>
        </w:rPr>
      </w:pPr>
      <w:r>
        <w:rPr>
          <w:rFonts w:ascii="Arial" w:hAnsi="Arial" w:cs="Arial"/>
          <w:sz w:val="22"/>
          <w:szCs w:val="22"/>
        </w:rPr>
        <w:t>These ‘</w:t>
      </w:r>
      <w:r w:rsidR="005820AF" w:rsidRPr="00237579">
        <w:rPr>
          <w:rFonts w:ascii="Arial" w:hAnsi="Arial" w:cs="Arial"/>
          <w:sz w:val="22"/>
          <w:szCs w:val="22"/>
        </w:rPr>
        <w:t>unders and overs</w:t>
      </w:r>
      <w:r>
        <w:rPr>
          <w:rFonts w:ascii="Arial" w:hAnsi="Arial" w:cs="Arial"/>
          <w:sz w:val="22"/>
          <w:szCs w:val="22"/>
        </w:rPr>
        <w:t>’</w:t>
      </w:r>
      <w:r w:rsidR="005820AF" w:rsidRPr="00237579">
        <w:rPr>
          <w:rFonts w:ascii="Arial" w:hAnsi="Arial" w:cs="Arial"/>
          <w:sz w:val="22"/>
          <w:szCs w:val="22"/>
        </w:rPr>
        <w:t xml:space="preserve"> point to a number of considerations that must be taken into account when assessing the </w:t>
      </w:r>
      <w:r w:rsidR="004E3FCD" w:rsidRPr="00237579">
        <w:rPr>
          <w:rFonts w:ascii="Arial" w:hAnsi="Arial" w:cs="Arial"/>
          <w:sz w:val="22"/>
          <w:szCs w:val="22"/>
        </w:rPr>
        <w:t xml:space="preserve">overall </w:t>
      </w:r>
      <w:r w:rsidR="005820AF" w:rsidRPr="00237579">
        <w:rPr>
          <w:rFonts w:ascii="Arial" w:hAnsi="Arial" w:cs="Arial"/>
          <w:sz w:val="22"/>
          <w:szCs w:val="22"/>
        </w:rPr>
        <w:t>preferred option, such as:</w:t>
      </w:r>
    </w:p>
    <w:p w14:paraId="3E86D246" w14:textId="04AFF594" w:rsidR="005820AF" w:rsidRPr="00237579" w:rsidRDefault="005820AF" w:rsidP="002806C5">
      <w:pPr>
        <w:pStyle w:val="EYBodytextwithparaspace"/>
        <w:numPr>
          <w:ilvl w:val="0"/>
          <w:numId w:val="95"/>
        </w:numPr>
        <w:spacing w:before="120" w:after="120"/>
        <w:rPr>
          <w:rFonts w:ascii="Arial" w:hAnsi="Arial" w:cs="Arial"/>
          <w:sz w:val="22"/>
          <w:szCs w:val="22"/>
        </w:rPr>
      </w:pPr>
      <w:r w:rsidRPr="00237579">
        <w:rPr>
          <w:rFonts w:ascii="Arial" w:hAnsi="Arial" w:cs="Arial"/>
          <w:sz w:val="22"/>
          <w:szCs w:val="22"/>
        </w:rPr>
        <w:t xml:space="preserve">Direct side by side comparison of current and proposed regulatory options is difficult given </w:t>
      </w:r>
      <w:r w:rsidR="002113C8">
        <w:rPr>
          <w:rFonts w:ascii="Arial" w:hAnsi="Arial" w:cs="Arial"/>
          <w:sz w:val="22"/>
          <w:szCs w:val="22"/>
        </w:rPr>
        <w:t xml:space="preserve">regulatory </w:t>
      </w:r>
      <w:r w:rsidRPr="00237579">
        <w:rPr>
          <w:rFonts w:ascii="Arial" w:hAnsi="Arial" w:cs="Arial"/>
          <w:sz w:val="22"/>
          <w:szCs w:val="22"/>
        </w:rPr>
        <w:t>architectur</w:t>
      </w:r>
      <w:r w:rsidR="002113C8">
        <w:rPr>
          <w:rFonts w:ascii="Arial" w:hAnsi="Arial" w:cs="Arial"/>
          <w:sz w:val="22"/>
          <w:szCs w:val="22"/>
        </w:rPr>
        <w:t>e</w:t>
      </w:r>
      <w:r w:rsidRPr="00237579">
        <w:rPr>
          <w:rFonts w:ascii="Arial" w:hAnsi="Arial" w:cs="Arial"/>
          <w:sz w:val="22"/>
          <w:szCs w:val="22"/>
        </w:rPr>
        <w:t xml:space="preserve"> changes in the Amendment Act (e.g. approval processes) and proposed fee structure (e.g. fees attached to different transactions than current</w:t>
      </w:r>
      <w:r w:rsidR="002113C8">
        <w:rPr>
          <w:rFonts w:ascii="Arial" w:hAnsi="Arial" w:cs="Arial"/>
          <w:sz w:val="22"/>
          <w:szCs w:val="22"/>
        </w:rPr>
        <w:t>ly</w:t>
      </w:r>
      <w:r w:rsidRPr="00237579">
        <w:rPr>
          <w:rFonts w:ascii="Arial" w:hAnsi="Arial" w:cs="Arial"/>
          <w:sz w:val="22"/>
          <w:szCs w:val="22"/>
        </w:rPr>
        <w:t>), necessitating different or new specificity in the proposed regulations that support the operation of the Act.</w:t>
      </w:r>
    </w:p>
    <w:p w14:paraId="553DA863" w14:textId="77777777" w:rsidR="005820AF" w:rsidRPr="00237579" w:rsidRDefault="005820AF" w:rsidP="002806C5">
      <w:pPr>
        <w:pStyle w:val="EYBodytextwithparaspace"/>
        <w:numPr>
          <w:ilvl w:val="0"/>
          <w:numId w:val="95"/>
        </w:numPr>
        <w:spacing w:before="120" w:after="120"/>
        <w:rPr>
          <w:rFonts w:ascii="Arial" w:hAnsi="Arial" w:cs="Arial"/>
          <w:sz w:val="22"/>
          <w:szCs w:val="22"/>
        </w:rPr>
      </w:pPr>
      <w:r w:rsidRPr="00237579">
        <w:rPr>
          <w:rFonts w:ascii="Arial" w:hAnsi="Arial" w:cs="Arial"/>
          <w:sz w:val="22"/>
          <w:szCs w:val="22"/>
        </w:rPr>
        <w:t>The diverse and varied nature of the sector in terms of size and type of service offered.</w:t>
      </w:r>
    </w:p>
    <w:p w14:paraId="3971B974" w14:textId="74ECB0AA" w:rsidR="005820AF" w:rsidRPr="00237579" w:rsidRDefault="005820AF" w:rsidP="005820AF">
      <w:pPr>
        <w:pStyle w:val="EYBodytextwithparaspace"/>
        <w:spacing w:before="120" w:after="120"/>
        <w:rPr>
          <w:rFonts w:ascii="Arial" w:hAnsi="Arial" w:cs="Arial"/>
          <w:sz w:val="22"/>
          <w:szCs w:val="22"/>
        </w:rPr>
      </w:pPr>
      <w:r w:rsidRPr="00237579">
        <w:rPr>
          <w:rFonts w:ascii="Arial" w:hAnsi="Arial" w:cs="Arial"/>
          <w:sz w:val="22"/>
          <w:szCs w:val="22"/>
        </w:rPr>
        <w:t xml:space="preserve">Cost to industry in meeting individual regulatory proposals have been identified and, where appropriate, quantified. Tables </w:t>
      </w:r>
      <w:r w:rsidR="00511CB8">
        <w:rPr>
          <w:rFonts w:ascii="Arial" w:hAnsi="Arial" w:cs="Arial"/>
          <w:sz w:val="22"/>
          <w:szCs w:val="22"/>
        </w:rPr>
        <w:t>59</w:t>
      </w:r>
      <w:r w:rsidRPr="00237579">
        <w:rPr>
          <w:rFonts w:ascii="Arial" w:hAnsi="Arial" w:cs="Arial"/>
          <w:sz w:val="22"/>
          <w:szCs w:val="22"/>
        </w:rPr>
        <w:t xml:space="preserve"> and </w:t>
      </w:r>
      <w:r w:rsidR="00511CB8">
        <w:rPr>
          <w:rFonts w:ascii="Arial" w:hAnsi="Arial" w:cs="Arial"/>
          <w:sz w:val="22"/>
          <w:szCs w:val="22"/>
        </w:rPr>
        <w:t>60</w:t>
      </w:r>
      <w:r w:rsidRPr="00237579">
        <w:rPr>
          <w:rFonts w:ascii="Arial" w:hAnsi="Arial" w:cs="Arial"/>
          <w:sz w:val="22"/>
          <w:szCs w:val="22"/>
        </w:rPr>
        <w:t xml:space="preserve"> below show overall costs per service and the projected cost to industry over 10 years (net present value).</w:t>
      </w:r>
    </w:p>
    <w:p w14:paraId="5AE468A9" w14:textId="77777777" w:rsidR="005820AF" w:rsidRPr="00237579" w:rsidRDefault="005820AF" w:rsidP="005820AF">
      <w:pPr>
        <w:pStyle w:val="EYBodytextwithparaspace"/>
        <w:spacing w:before="120" w:after="120"/>
        <w:rPr>
          <w:rFonts w:ascii="Arial" w:hAnsi="Arial" w:cs="Arial"/>
          <w:sz w:val="22"/>
          <w:szCs w:val="22"/>
        </w:rPr>
      </w:pPr>
      <w:r w:rsidRPr="00237579">
        <w:rPr>
          <w:rFonts w:ascii="Arial" w:hAnsi="Arial" w:cs="Arial"/>
          <w:sz w:val="22"/>
          <w:szCs w:val="22"/>
        </w:rPr>
        <w:t xml:space="preserve">Given the diversity of the industry, variations of service type and size across the sector and the range of impacts for individuals and organisations, some costs incurred cannot be readily quantifiable, and have therefore been </w:t>
      </w:r>
      <w:r w:rsidRPr="00237579">
        <w:rPr>
          <w:rFonts w:ascii="Arial" w:hAnsi="Arial" w:cs="Arial"/>
          <w:b/>
          <w:sz w:val="22"/>
          <w:szCs w:val="22"/>
        </w:rPr>
        <w:t>excluded from costs</w:t>
      </w:r>
      <w:r w:rsidRPr="00237579">
        <w:rPr>
          <w:rFonts w:ascii="Arial" w:hAnsi="Arial" w:cs="Arial"/>
          <w:sz w:val="22"/>
          <w:szCs w:val="22"/>
        </w:rPr>
        <w:t xml:space="preserve">. These include: </w:t>
      </w:r>
    </w:p>
    <w:p w14:paraId="07900D37" w14:textId="77777777" w:rsidR="005820AF" w:rsidRPr="00237579" w:rsidRDefault="005820AF" w:rsidP="002806C5">
      <w:pPr>
        <w:pStyle w:val="EYBodytextwithparaspace"/>
        <w:numPr>
          <w:ilvl w:val="0"/>
          <w:numId w:val="94"/>
        </w:numPr>
        <w:spacing w:before="120" w:after="120"/>
        <w:rPr>
          <w:rFonts w:ascii="Arial" w:hAnsi="Arial" w:cs="Arial"/>
          <w:sz w:val="22"/>
          <w:szCs w:val="22"/>
        </w:rPr>
      </w:pPr>
      <w:r w:rsidRPr="00237579">
        <w:rPr>
          <w:rFonts w:ascii="Arial" w:hAnsi="Arial" w:cs="Arial"/>
          <w:sz w:val="22"/>
          <w:szCs w:val="22"/>
        </w:rPr>
        <w:t>applying for approvals</w:t>
      </w:r>
    </w:p>
    <w:p w14:paraId="3C57A716" w14:textId="77777777" w:rsidR="005820AF" w:rsidRPr="00237579" w:rsidRDefault="005820AF" w:rsidP="002806C5">
      <w:pPr>
        <w:pStyle w:val="EYBodytextwithparaspace"/>
        <w:numPr>
          <w:ilvl w:val="0"/>
          <w:numId w:val="94"/>
        </w:numPr>
        <w:spacing w:before="120" w:after="120"/>
        <w:rPr>
          <w:rFonts w:ascii="Arial" w:hAnsi="Arial" w:cs="Arial"/>
          <w:sz w:val="22"/>
          <w:szCs w:val="22"/>
        </w:rPr>
      </w:pPr>
      <w:r w:rsidRPr="00237579">
        <w:rPr>
          <w:rFonts w:ascii="Arial" w:hAnsi="Arial" w:cs="Arial"/>
          <w:sz w:val="22"/>
          <w:szCs w:val="22"/>
        </w:rPr>
        <w:t>record keeping</w:t>
      </w:r>
    </w:p>
    <w:p w14:paraId="09B1C200" w14:textId="40C63779" w:rsidR="005820AF" w:rsidRPr="00237579" w:rsidRDefault="005820AF" w:rsidP="002806C5">
      <w:pPr>
        <w:pStyle w:val="EYBodytextwithparaspace"/>
        <w:numPr>
          <w:ilvl w:val="0"/>
          <w:numId w:val="94"/>
        </w:numPr>
        <w:spacing w:before="120" w:after="120"/>
        <w:rPr>
          <w:rFonts w:ascii="Arial" w:hAnsi="Arial" w:cs="Arial"/>
          <w:sz w:val="22"/>
          <w:szCs w:val="22"/>
        </w:rPr>
      </w:pPr>
      <w:r w:rsidRPr="00237579">
        <w:rPr>
          <w:rFonts w:ascii="Arial" w:hAnsi="Arial" w:cs="Arial"/>
          <w:sz w:val="22"/>
          <w:szCs w:val="22"/>
        </w:rPr>
        <w:t xml:space="preserve">establishing or reviewing policies </w:t>
      </w:r>
      <w:r w:rsidR="002113C8">
        <w:rPr>
          <w:rFonts w:ascii="Arial" w:hAnsi="Arial" w:cs="Arial"/>
          <w:sz w:val="22"/>
          <w:szCs w:val="22"/>
        </w:rPr>
        <w:t>and</w:t>
      </w:r>
      <w:r w:rsidRPr="00237579">
        <w:rPr>
          <w:rFonts w:ascii="Arial" w:hAnsi="Arial" w:cs="Arial"/>
          <w:sz w:val="22"/>
          <w:szCs w:val="22"/>
        </w:rPr>
        <w:t xml:space="preserve"> procedures</w:t>
      </w:r>
    </w:p>
    <w:p w14:paraId="036C26A9" w14:textId="77777777" w:rsidR="005820AF" w:rsidRPr="00237579" w:rsidRDefault="005820AF" w:rsidP="002806C5">
      <w:pPr>
        <w:pStyle w:val="EYBodytextwithparaspace"/>
        <w:numPr>
          <w:ilvl w:val="0"/>
          <w:numId w:val="94"/>
        </w:numPr>
        <w:spacing w:before="120" w:after="120"/>
        <w:rPr>
          <w:rFonts w:ascii="Arial" w:hAnsi="Arial" w:cs="Arial"/>
          <w:sz w:val="22"/>
          <w:szCs w:val="22"/>
        </w:rPr>
      </w:pPr>
      <w:r w:rsidRPr="00237579">
        <w:rPr>
          <w:rFonts w:ascii="Arial" w:hAnsi="Arial" w:cs="Arial"/>
          <w:sz w:val="22"/>
          <w:szCs w:val="22"/>
        </w:rPr>
        <w:t>providing facilities for children to participate in educational and care programs</w:t>
      </w:r>
    </w:p>
    <w:p w14:paraId="6713DEC2" w14:textId="77777777" w:rsidR="005820AF" w:rsidRPr="00237579" w:rsidRDefault="005820AF" w:rsidP="002806C5">
      <w:pPr>
        <w:pStyle w:val="EYBodytextwithparaspace"/>
        <w:numPr>
          <w:ilvl w:val="0"/>
          <w:numId w:val="94"/>
        </w:numPr>
        <w:spacing w:before="120" w:after="120"/>
        <w:rPr>
          <w:rFonts w:ascii="Arial" w:hAnsi="Arial" w:cs="Arial"/>
          <w:sz w:val="22"/>
          <w:szCs w:val="22"/>
        </w:rPr>
      </w:pPr>
      <w:r w:rsidRPr="00237579">
        <w:rPr>
          <w:rFonts w:ascii="Arial" w:hAnsi="Arial" w:cs="Arial"/>
          <w:sz w:val="22"/>
          <w:szCs w:val="22"/>
        </w:rPr>
        <w:t>meeting children’s hygiene needs/providing toilets and hand-basins</w:t>
      </w:r>
    </w:p>
    <w:p w14:paraId="0055AF9E" w14:textId="77777777" w:rsidR="005820AF" w:rsidRPr="00237579" w:rsidRDefault="005820AF" w:rsidP="002806C5">
      <w:pPr>
        <w:pStyle w:val="EYBodytextwithparaspace"/>
        <w:numPr>
          <w:ilvl w:val="0"/>
          <w:numId w:val="94"/>
        </w:numPr>
        <w:spacing w:before="120" w:after="120"/>
        <w:rPr>
          <w:rFonts w:ascii="Arial" w:hAnsi="Arial" w:cs="Arial"/>
          <w:sz w:val="22"/>
          <w:szCs w:val="22"/>
        </w:rPr>
      </w:pPr>
      <w:r w:rsidRPr="00237579">
        <w:rPr>
          <w:rFonts w:ascii="Arial" w:hAnsi="Arial" w:cs="Arial"/>
          <w:sz w:val="22"/>
          <w:szCs w:val="22"/>
        </w:rPr>
        <w:t>indoor and outdoor space requirements</w:t>
      </w:r>
    </w:p>
    <w:p w14:paraId="723EEC87" w14:textId="77777777" w:rsidR="005820AF" w:rsidRPr="00237579" w:rsidRDefault="005820AF" w:rsidP="002806C5">
      <w:pPr>
        <w:pStyle w:val="EYBodytextwithparaspace"/>
        <w:numPr>
          <w:ilvl w:val="0"/>
          <w:numId w:val="94"/>
        </w:numPr>
        <w:spacing w:before="120" w:after="120"/>
        <w:rPr>
          <w:rFonts w:ascii="Arial" w:hAnsi="Arial" w:cs="Arial"/>
          <w:sz w:val="22"/>
          <w:szCs w:val="22"/>
        </w:rPr>
      </w:pPr>
      <w:proofErr w:type="gramStart"/>
      <w:r w:rsidRPr="00237579">
        <w:rPr>
          <w:rFonts w:ascii="Arial" w:hAnsi="Arial" w:cs="Arial"/>
          <w:sz w:val="22"/>
          <w:szCs w:val="22"/>
        </w:rPr>
        <w:t>staff</w:t>
      </w:r>
      <w:proofErr w:type="gramEnd"/>
      <w:r w:rsidRPr="00237579">
        <w:rPr>
          <w:rFonts w:ascii="Arial" w:hAnsi="Arial" w:cs="Arial"/>
          <w:sz w:val="22"/>
          <w:szCs w:val="22"/>
        </w:rPr>
        <w:t xml:space="preserve"> room facilities.</w:t>
      </w:r>
    </w:p>
    <w:p w14:paraId="7304F6B8" w14:textId="7235A0B8" w:rsidR="005820AF" w:rsidRPr="00237579" w:rsidRDefault="002113C8" w:rsidP="005820AF">
      <w:pPr>
        <w:pStyle w:val="EYBodytextwithparaspace"/>
        <w:spacing w:before="120" w:after="120"/>
        <w:rPr>
          <w:rFonts w:ascii="Arial" w:hAnsi="Arial" w:cs="Arial"/>
          <w:sz w:val="22"/>
          <w:szCs w:val="22"/>
        </w:rPr>
      </w:pPr>
      <w:r>
        <w:rPr>
          <w:rFonts w:ascii="Arial" w:hAnsi="Arial" w:cs="Arial"/>
          <w:sz w:val="22"/>
          <w:szCs w:val="22"/>
        </w:rPr>
        <w:t>S</w:t>
      </w:r>
      <w:r w:rsidR="00466D95" w:rsidRPr="00237579">
        <w:rPr>
          <w:rFonts w:ascii="Arial" w:hAnsi="Arial" w:cs="Arial"/>
          <w:sz w:val="22"/>
          <w:szCs w:val="22"/>
        </w:rPr>
        <w:t>ome</w:t>
      </w:r>
      <w:r w:rsidR="005820AF" w:rsidRPr="00237579">
        <w:rPr>
          <w:rFonts w:ascii="Arial" w:hAnsi="Arial" w:cs="Arial"/>
          <w:sz w:val="22"/>
          <w:szCs w:val="22"/>
        </w:rPr>
        <w:t xml:space="preserve"> of these are presented as </w:t>
      </w:r>
      <w:r w:rsidR="005820AF" w:rsidRPr="00237579">
        <w:rPr>
          <w:rFonts w:ascii="Arial" w:hAnsi="Arial" w:cs="Arial"/>
          <w:b/>
          <w:sz w:val="22"/>
          <w:szCs w:val="22"/>
        </w:rPr>
        <w:t>opportunity costs</w:t>
      </w:r>
      <w:r w:rsidR="005820AF" w:rsidRPr="00237579">
        <w:rPr>
          <w:rFonts w:ascii="Arial" w:hAnsi="Arial" w:cs="Arial"/>
          <w:sz w:val="22"/>
          <w:szCs w:val="22"/>
        </w:rPr>
        <w:t>, the assumption being that these tasks would be completed by staff during their usual working hours and would be reflected within the staffing costs experienced by services rather than an actual cost to industry.</w:t>
      </w:r>
    </w:p>
    <w:p w14:paraId="2079ECDA" w14:textId="3CADF972" w:rsidR="005820AF" w:rsidRPr="00237579" w:rsidRDefault="005820AF" w:rsidP="005820AF">
      <w:pPr>
        <w:pStyle w:val="EYBodytextwithparaspace"/>
        <w:spacing w:before="120" w:after="120"/>
        <w:rPr>
          <w:rFonts w:ascii="Arial" w:hAnsi="Arial" w:cs="Arial"/>
          <w:sz w:val="22"/>
          <w:szCs w:val="22"/>
        </w:rPr>
      </w:pPr>
      <w:r w:rsidRPr="00237579">
        <w:rPr>
          <w:rFonts w:ascii="Arial" w:hAnsi="Arial" w:cs="Arial"/>
          <w:sz w:val="22"/>
          <w:szCs w:val="22"/>
        </w:rPr>
        <w:lastRenderedPageBreak/>
        <w:t>The obligation to provide facilities for children to participate in the service</w:t>
      </w:r>
      <w:r w:rsidR="00466D95" w:rsidRPr="00237579">
        <w:rPr>
          <w:rFonts w:ascii="Arial" w:hAnsi="Arial" w:cs="Arial"/>
          <w:sz w:val="22"/>
          <w:szCs w:val="22"/>
        </w:rPr>
        <w:t>’s</w:t>
      </w:r>
      <w:r w:rsidRPr="00237579">
        <w:rPr>
          <w:rFonts w:ascii="Arial" w:hAnsi="Arial" w:cs="Arial"/>
          <w:sz w:val="22"/>
          <w:szCs w:val="22"/>
        </w:rPr>
        <w:t xml:space="preserve"> educational and care program is not costed for two reasons: the cost would vary too widely considering the broad range of programs and care offered by services; and services would by necessity comply with this requirement through fulfilling their obligation under the Act to provide appropriate educational or recreational programs to children.</w:t>
      </w:r>
    </w:p>
    <w:p w14:paraId="0080325A" w14:textId="104B5C0F" w:rsidR="005820AF" w:rsidRPr="00237579" w:rsidRDefault="005820AF" w:rsidP="005820AF">
      <w:pPr>
        <w:pStyle w:val="EYBodytextwithparaspace"/>
        <w:spacing w:before="120" w:after="120"/>
        <w:rPr>
          <w:rFonts w:ascii="Arial" w:hAnsi="Arial" w:cs="Arial"/>
          <w:sz w:val="22"/>
          <w:szCs w:val="22"/>
        </w:rPr>
      </w:pPr>
      <w:r w:rsidRPr="00237579">
        <w:rPr>
          <w:rFonts w:ascii="Arial" w:hAnsi="Arial" w:cs="Arial"/>
          <w:sz w:val="22"/>
          <w:szCs w:val="22"/>
        </w:rPr>
        <w:t>While services generally operate out of premises primarily built for early childhood education and care, many that offer limited hours use existing community facilities (e.g. Neighbourhood Houses) that may also be used for another purpose. Similarly, many organisations that offer children’s services do so not as a profit-making venture</w:t>
      </w:r>
      <w:r w:rsidR="002113C8">
        <w:rPr>
          <w:rFonts w:ascii="Arial" w:hAnsi="Arial" w:cs="Arial"/>
          <w:sz w:val="22"/>
          <w:szCs w:val="22"/>
        </w:rPr>
        <w:t>,</w:t>
      </w:r>
      <w:r w:rsidRPr="00237579">
        <w:rPr>
          <w:rFonts w:ascii="Arial" w:hAnsi="Arial" w:cs="Arial"/>
          <w:sz w:val="22"/>
          <w:szCs w:val="22"/>
        </w:rPr>
        <w:t xml:space="preserve"> rather as an adjunct offering to support their primary business (e.g. </w:t>
      </w:r>
      <w:r w:rsidR="002113C8">
        <w:rPr>
          <w:rFonts w:ascii="Arial" w:hAnsi="Arial" w:cs="Arial"/>
          <w:sz w:val="22"/>
          <w:szCs w:val="22"/>
        </w:rPr>
        <w:t>f</w:t>
      </w:r>
      <w:r w:rsidRPr="00237579">
        <w:rPr>
          <w:rFonts w:ascii="Arial" w:hAnsi="Arial" w:cs="Arial"/>
          <w:sz w:val="22"/>
          <w:szCs w:val="22"/>
        </w:rPr>
        <w:t>itness</w:t>
      </w:r>
      <w:r w:rsidR="002113C8">
        <w:rPr>
          <w:rFonts w:ascii="Arial" w:hAnsi="Arial" w:cs="Arial"/>
          <w:sz w:val="22"/>
          <w:szCs w:val="22"/>
        </w:rPr>
        <w:t xml:space="preserve"> or recreation</w:t>
      </w:r>
      <w:r w:rsidRPr="00237579">
        <w:rPr>
          <w:rFonts w:ascii="Arial" w:hAnsi="Arial" w:cs="Arial"/>
          <w:sz w:val="22"/>
          <w:szCs w:val="22"/>
        </w:rPr>
        <w:t xml:space="preserve"> centres).</w:t>
      </w:r>
    </w:p>
    <w:p w14:paraId="5118614A" w14:textId="55201F3B" w:rsidR="005820AF" w:rsidRPr="00237579" w:rsidRDefault="005820AF" w:rsidP="005820AF">
      <w:pPr>
        <w:pStyle w:val="EYBodytextwithparaspace"/>
        <w:spacing w:before="120" w:after="120"/>
        <w:rPr>
          <w:rFonts w:ascii="Arial" w:hAnsi="Arial" w:cs="Arial"/>
          <w:sz w:val="22"/>
          <w:szCs w:val="22"/>
        </w:rPr>
      </w:pPr>
      <w:r w:rsidRPr="00237579">
        <w:rPr>
          <w:rFonts w:ascii="Arial" w:hAnsi="Arial" w:cs="Arial"/>
          <w:sz w:val="22"/>
          <w:szCs w:val="22"/>
        </w:rPr>
        <w:t xml:space="preserve">A summary of the current and proposed regulations with the anticipated cost/benefit/flexibility is provided at </w:t>
      </w:r>
      <w:r w:rsidRPr="00511CB8">
        <w:rPr>
          <w:rFonts w:ascii="Arial" w:hAnsi="Arial" w:cs="Arial"/>
          <w:sz w:val="22"/>
          <w:szCs w:val="22"/>
        </w:rPr>
        <w:t xml:space="preserve">Appendix </w:t>
      </w:r>
      <w:r w:rsidR="00511CB8" w:rsidRPr="00511CB8">
        <w:rPr>
          <w:rFonts w:ascii="Arial" w:hAnsi="Arial" w:cs="Arial"/>
          <w:sz w:val="22"/>
          <w:szCs w:val="22"/>
        </w:rPr>
        <w:t>10.1</w:t>
      </w:r>
      <w:r w:rsidRPr="00237579">
        <w:rPr>
          <w:rFonts w:ascii="Arial" w:hAnsi="Arial" w:cs="Arial"/>
          <w:sz w:val="22"/>
          <w:szCs w:val="22"/>
        </w:rPr>
        <w:t xml:space="preserve"> and should be viewed in conjunction with the Children’s Services Regulations 2020 exposure draft.</w:t>
      </w:r>
    </w:p>
    <w:p w14:paraId="2F592F5F" w14:textId="02ED204C" w:rsidR="005820AF" w:rsidRPr="00237579" w:rsidRDefault="005820AF" w:rsidP="005820AF">
      <w:pPr>
        <w:pStyle w:val="EYBodytextwithparaspace"/>
        <w:spacing w:before="120" w:after="120"/>
        <w:rPr>
          <w:rFonts w:ascii="Arial" w:hAnsi="Arial" w:cs="Arial"/>
          <w:sz w:val="22"/>
          <w:szCs w:val="22"/>
        </w:rPr>
      </w:pPr>
      <w:r w:rsidRPr="00237579">
        <w:rPr>
          <w:rFonts w:ascii="Arial" w:hAnsi="Arial" w:cs="Arial"/>
          <w:sz w:val="22"/>
          <w:szCs w:val="22"/>
        </w:rPr>
        <w:t>The Victo</w:t>
      </w:r>
      <w:r w:rsidR="00466D95" w:rsidRPr="00237579">
        <w:rPr>
          <w:rFonts w:ascii="Arial" w:hAnsi="Arial" w:cs="Arial"/>
          <w:sz w:val="22"/>
          <w:szCs w:val="22"/>
        </w:rPr>
        <w:t>rian Government invites comment</w:t>
      </w:r>
      <w:r w:rsidRPr="00237579">
        <w:rPr>
          <w:rFonts w:ascii="Arial" w:hAnsi="Arial" w:cs="Arial"/>
          <w:sz w:val="22"/>
          <w:szCs w:val="22"/>
        </w:rPr>
        <w:t xml:space="preserve"> and feedb</w:t>
      </w:r>
      <w:r w:rsidR="00466D95" w:rsidRPr="00237579">
        <w:rPr>
          <w:rFonts w:ascii="Arial" w:hAnsi="Arial" w:cs="Arial"/>
          <w:sz w:val="22"/>
          <w:szCs w:val="22"/>
        </w:rPr>
        <w:t>ack about the RIS and proposed r</w:t>
      </w:r>
      <w:r w:rsidRPr="00237579">
        <w:rPr>
          <w:rFonts w:ascii="Arial" w:hAnsi="Arial" w:cs="Arial"/>
          <w:sz w:val="22"/>
          <w:szCs w:val="22"/>
        </w:rPr>
        <w:t>egulations.</w:t>
      </w:r>
    </w:p>
    <w:p w14:paraId="0F66EDF0" w14:textId="05775C9B" w:rsidR="005820AF" w:rsidRDefault="005820AF" w:rsidP="00F7569F">
      <w:pPr>
        <w:pStyle w:val="Caption"/>
      </w:pPr>
      <w:bookmarkStart w:id="275" w:name="_Ref27744492"/>
      <w:bookmarkStart w:id="276" w:name="_Toc32592839"/>
      <w:r w:rsidRPr="00F94642">
        <w:t xml:space="preserve">Table </w:t>
      </w:r>
      <w:r w:rsidRPr="00F94642">
        <w:fldChar w:fldCharType="begin"/>
      </w:r>
      <w:r w:rsidRPr="00F94642">
        <w:instrText xml:space="preserve"> SEQ Table \* ARABIC </w:instrText>
      </w:r>
      <w:r w:rsidRPr="00F94642">
        <w:fldChar w:fldCharType="separate"/>
      </w:r>
      <w:r w:rsidR="00493211">
        <w:rPr>
          <w:noProof/>
        </w:rPr>
        <w:t>56</w:t>
      </w:r>
      <w:r w:rsidRPr="00F94642">
        <w:fldChar w:fldCharType="end"/>
      </w:r>
      <w:bookmarkEnd w:id="275"/>
      <w:r w:rsidRPr="00F94642">
        <w:t xml:space="preserve"> Total weighted scores by area of regulation</w:t>
      </w:r>
      <w:bookmarkEnd w:id="276"/>
    </w:p>
    <w:tbl>
      <w:tblPr>
        <w:tblStyle w:val="TableGrid"/>
        <w:tblW w:w="9209" w:type="dxa"/>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ayout w:type="fixed"/>
        <w:tblLook w:val="04A0" w:firstRow="1" w:lastRow="0" w:firstColumn="1" w:lastColumn="0" w:noHBand="0" w:noVBand="1"/>
      </w:tblPr>
      <w:tblGrid>
        <w:gridCol w:w="2122"/>
        <w:gridCol w:w="708"/>
        <w:gridCol w:w="1418"/>
        <w:gridCol w:w="1016"/>
        <w:gridCol w:w="1016"/>
        <w:gridCol w:w="968"/>
        <w:gridCol w:w="969"/>
        <w:gridCol w:w="992"/>
      </w:tblGrid>
      <w:tr w:rsidR="005820AF" w:rsidRPr="001F70BE" w14:paraId="37A1A7CF" w14:textId="77777777" w:rsidTr="00AA2559">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122" w:type="dxa"/>
            <w:tcBorders>
              <w:right w:val="none" w:sz="0" w:space="0" w:color="auto"/>
            </w:tcBorders>
            <w:hideMark/>
          </w:tcPr>
          <w:p w14:paraId="7AC2D5F1" w14:textId="77777777" w:rsidR="005820AF" w:rsidRPr="001F70BE" w:rsidRDefault="005820AF" w:rsidP="00A20B35">
            <w:pPr>
              <w:spacing w:before="20" w:after="20"/>
              <w:rPr>
                <w:rFonts w:cs="Calibri"/>
                <w:lang w:eastAsia="en-AU"/>
              </w:rPr>
            </w:pPr>
            <w:r w:rsidRPr="001F70BE">
              <w:rPr>
                <w:rFonts w:cs="Calibri"/>
                <w:lang w:eastAsia="en-AU"/>
              </w:rPr>
              <w:t>Area of regulation</w:t>
            </w:r>
          </w:p>
        </w:tc>
        <w:tc>
          <w:tcPr>
            <w:tcW w:w="2126" w:type="dxa"/>
            <w:gridSpan w:val="2"/>
            <w:tcBorders>
              <w:left w:val="none" w:sz="0" w:space="0" w:color="auto"/>
              <w:right w:val="none" w:sz="0" w:space="0" w:color="auto"/>
            </w:tcBorders>
          </w:tcPr>
          <w:p w14:paraId="1F9682E0" w14:textId="77777777" w:rsidR="005820AF" w:rsidRPr="001F70BE" w:rsidRDefault="005820AF" w:rsidP="00A20B35">
            <w:pPr>
              <w:spacing w:before="20" w:after="20"/>
              <w:cnfStyle w:val="100000000000" w:firstRow="1" w:lastRow="0" w:firstColumn="0" w:lastColumn="0" w:oddVBand="0" w:evenVBand="0" w:oddHBand="0" w:evenHBand="0" w:firstRowFirstColumn="0" w:firstRowLastColumn="0" w:lastRowFirstColumn="0" w:lastRowLastColumn="0"/>
              <w:rPr>
                <w:rFonts w:cs="Calibri"/>
                <w:lang w:eastAsia="en-AU"/>
              </w:rPr>
            </w:pPr>
            <w:r w:rsidRPr="001F70BE">
              <w:rPr>
                <w:rFonts w:cs="Calibri"/>
                <w:lang w:eastAsia="en-AU"/>
              </w:rPr>
              <w:t>Option</w:t>
            </w:r>
          </w:p>
        </w:tc>
        <w:tc>
          <w:tcPr>
            <w:tcW w:w="1016" w:type="dxa"/>
            <w:tcBorders>
              <w:left w:val="none" w:sz="0" w:space="0" w:color="auto"/>
              <w:right w:val="none" w:sz="0" w:space="0" w:color="auto"/>
            </w:tcBorders>
            <w:hideMark/>
          </w:tcPr>
          <w:p w14:paraId="6C279CD2" w14:textId="77777777" w:rsidR="005820AF" w:rsidRPr="001F70BE" w:rsidRDefault="005820AF" w:rsidP="00A20B35">
            <w:pPr>
              <w:spacing w:before="20" w:after="20"/>
              <w:jc w:val="center"/>
              <w:cnfStyle w:val="100000000000" w:firstRow="1" w:lastRow="0" w:firstColumn="0" w:lastColumn="0" w:oddVBand="0" w:evenVBand="0" w:oddHBand="0" w:evenHBand="0" w:firstRowFirstColumn="0" w:firstRowLastColumn="0" w:lastRowFirstColumn="0" w:lastRowLastColumn="0"/>
              <w:rPr>
                <w:rFonts w:cs="Calibri"/>
                <w:lang w:eastAsia="en-AU"/>
              </w:rPr>
            </w:pPr>
            <w:r w:rsidRPr="001F70BE">
              <w:rPr>
                <w:rFonts w:cs="Calibri"/>
                <w:lang w:eastAsia="en-AU"/>
              </w:rPr>
              <w:t>Cost to industry</w:t>
            </w:r>
          </w:p>
        </w:tc>
        <w:tc>
          <w:tcPr>
            <w:tcW w:w="1016" w:type="dxa"/>
            <w:tcBorders>
              <w:left w:val="none" w:sz="0" w:space="0" w:color="auto"/>
              <w:right w:val="none" w:sz="0" w:space="0" w:color="auto"/>
            </w:tcBorders>
            <w:hideMark/>
          </w:tcPr>
          <w:p w14:paraId="46B80F23" w14:textId="77777777" w:rsidR="005820AF" w:rsidRPr="001F70BE" w:rsidRDefault="005820AF" w:rsidP="00A20B35">
            <w:pPr>
              <w:spacing w:before="20" w:after="20"/>
              <w:jc w:val="center"/>
              <w:cnfStyle w:val="100000000000" w:firstRow="1" w:lastRow="0" w:firstColumn="0" w:lastColumn="0" w:oddVBand="0" w:evenVBand="0" w:oddHBand="0" w:evenHBand="0" w:firstRowFirstColumn="0" w:firstRowLastColumn="0" w:lastRowFirstColumn="0" w:lastRowLastColumn="0"/>
              <w:rPr>
                <w:rFonts w:cs="Calibri"/>
                <w:lang w:eastAsia="en-AU"/>
              </w:rPr>
            </w:pPr>
            <w:r w:rsidRPr="001F70BE">
              <w:rPr>
                <w:rFonts w:cs="Calibri"/>
                <w:lang w:eastAsia="en-AU"/>
              </w:rPr>
              <w:t>Cost to regulator</w:t>
            </w:r>
          </w:p>
        </w:tc>
        <w:tc>
          <w:tcPr>
            <w:tcW w:w="968" w:type="dxa"/>
            <w:tcBorders>
              <w:left w:val="none" w:sz="0" w:space="0" w:color="auto"/>
              <w:right w:val="none" w:sz="0" w:space="0" w:color="auto"/>
            </w:tcBorders>
            <w:hideMark/>
          </w:tcPr>
          <w:p w14:paraId="1E298C75" w14:textId="77777777" w:rsidR="005820AF" w:rsidRPr="001F70BE" w:rsidRDefault="005820AF" w:rsidP="00A20B35">
            <w:pPr>
              <w:spacing w:before="20" w:after="20"/>
              <w:jc w:val="center"/>
              <w:cnfStyle w:val="100000000000" w:firstRow="1" w:lastRow="0" w:firstColumn="0" w:lastColumn="0" w:oddVBand="0" w:evenVBand="0" w:oddHBand="0" w:evenHBand="0" w:firstRowFirstColumn="0" w:firstRowLastColumn="0" w:lastRowFirstColumn="0" w:lastRowLastColumn="0"/>
              <w:rPr>
                <w:rFonts w:cs="Calibri"/>
                <w:lang w:eastAsia="en-AU"/>
              </w:rPr>
            </w:pPr>
            <w:r w:rsidRPr="001F70BE">
              <w:rPr>
                <w:rFonts w:cs="Calibri"/>
                <w:lang w:eastAsia="en-AU"/>
              </w:rPr>
              <w:t>Safety</w:t>
            </w:r>
          </w:p>
        </w:tc>
        <w:tc>
          <w:tcPr>
            <w:tcW w:w="969" w:type="dxa"/>
            <w:tcBorders>
              <w:left w:val="none" w:sz="0" w:space="0" w:color="auto"/>
              <w:right w:val="none" w:sz="0" w:space="0" w:color="auto"/>
            </w:tcBorders>
            <w:hideMark/>
          </w:tcPr>
          <w:p w14:paraId="3AFE16B5" w14:textId="77777777" w:rsidR="005820AF" w:rsidRPr="001F70BE" w:rsidRDefault="005820AF" w:rsidP="00A20B35">
            <w:pPr>
              <w:spacing w:before="20" w:after="20"/>
              <w:jc w:val="center"/>
              <w:cnfStyle w:val="100000000000" w:firstRow="1" w:lastRow="0" w:firstColumn="0" w:lastColumn="0" w:oddVBand="0" w:evenVBand="0" w:oddHBand="0" w:evenHBand="0" w:firstRowFirstColumn="0" w:firstRowLastColumn="0" w:lastRowFirstColumn="0" w:lastRowLastColumn="0"/>
              <w:rPr>
                <w:rFonts w:cs="Calibri"/>
                <w:lang w:eastAsia="en-AU"/>
              </w:rPr>
            </w:pPr>
            <w:r w:rsidRPr="001F70BE">
              <w:rPr>
                <w:rFonts w:cs="Calibri"/>
                <w:lang w:eastAsia="en-AU"/>
              </w:rPr>
              <w:t>Quality</w:t>
            </w:r>
          </w:p>
        </w:tc>
        <w:tc>
          <w:tcPr>
            <w:tcW w:w="992" w:type="dxa"/>
            <w:tcBorders>
              <w:left w:val="none" w:sz="0" w:space="0" w:color="auto"/>
            </w:tcBorders>
            <w:hideMark/>
          </w:tcPr>
          <w:p w14:paraId="40B9EC0E" w14:textId="77777777" w:rsidR="005820AF" w:rsidRPr="001F70BE" w:rsidRDefault="005820AF" w:rsidP="00A20B35">
            <w:pPr>
              <w:spacing w:before="20" w:after="20"/>
              <w:jc w:val="center"/>
              <w:cnfStyle w:val="100000000000" w:firstRow="1" w:lastRow="0" w:firstColumn="0" w:lastColumn="0" w:oddVBand="0" w:evenVBand="0" w:oddHBand="0" w:evenHBand="0" w:firstRowFirstColumn="0" w:firstRowLastColumn="0" w:lastRowFirstColumn="0" w:lastRowLastColumn="0"/>
              <w:rPr>
                <w:rFonts w:cs="Calibri"/>
                <w:lang w:eastAsia="en-AU"/>
              </w:rPr>
            </w:pPr>
            <w:r w:rsidRPr="001F70BE">
              <w:rPr>
                <w:rFonts w:cs="Calibri"/>
                <w:lang w:eastAsia="en-AU"/>
              </w:rPr>
              <w:t>Total Score</w:t>
            </w:r>
          </w:p>
        </w:tc>
      </w:tr>
      <w:tr w:rsidR="005820AF" w:rsidRPr="001F70BE" w14:paraId="044B953D" w14:textId="77777777" w:rsidTr="00AA2559">
        <w:trPr>
          <w:trHeight w:val="300"/>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4FAF780E" w14:textId="77777777" w:rsidR="005820AF" w:rsidRPr="00AA2559" w:rsidRDefault="005820AF" w:rsidP="00A20B35">
            <w:pPr>
              <w:spacing w:before="20" w:after="20"/>
              <w:rPr>
                <w:rFonts w:cs="Calibri"/>
                <w:b/>
                <w:bCs/>
                <w:color w:val="000000"/>
                <w:lang w:eastAsia="en-AU"/>
              </w:rPr>
            </w:pPr>
            <w:r w:rsidRPr="00AA2559">
              <w:rPr>
                <w:rFonts w:cs="Calibri"/>
                <w:b/>
                <w:color w:val="000000"/>
                <w:lang w:eastAsia="en-AU"/>
              </w:rPr>
              <w:t>Approval applications*</w:t>
            </w:r>
          </w:p>
        </w:tc>
        <w:tc>
          <w:tcPr>
            <w:tcW w:w="708" w:type="dxa"/>
            <w:noWrap/>
            <w:hideMark/>
          </w:tcPr>
          <w:p w14:paraId="199D9258"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A.1</w:t>
            </w:r>
          </w:p>
        </w:tc>
        <w:tc>
          <w:tcPr>
            <w:tcW w:w="1418" w:type="dxa"/>
            <w:noWrap/>
            <w:hideMark/>
          </w:tcPr>
          <w:p w14:paraId="4D040AF7"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Status Quo</w:t>
            </w:r>
          </w:p>
        </w:tc>
        <w:tc>
          <w:tcPr>
            <w:tcW w:w="1016" w:type="dxa"/>
            <w:noWrap/>
            <w:hideMark/>
          </w:tcPr>
          <w:p w14:paraId="2F258D22"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w:t>
            </w:r>
          </w:p>
        </w:tc>
        <w:tc>
          <w:tcPr>
            <w:tcW w:w="1016" w:type="dxa"/>
            <w:noWrap/>
            <w:hideMark/>
          </w:tcPr>
          <w:p w14:paraId="4EA41E4D"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w:t>
            </w:r>
          </w:p>
        </w:tc>
        <w:tc>
          <w:tcPr>
            <w:tcW w:w="968" w:type="dxa"/>
            <w:noWrap/>
            <w:hideMark/>
          </w:tcPr>
          <w:p w14:paraId="092B5EB8"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w:t>
            </w:r>
          </w:p>
        </w:tc>
        <w:tc>
          <w:tcPr>
            <w:tcW w:w="969" w:type="dxa"/>
            <w:noWrap/>
            <w:hideMark/>
          </w:tcPr>
          <w:p w14:paraId="5FDD7E27"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w:t>
            </w:r>
          </w:p>
        </w:tc>
        <w:tc>
          <w:tcPr>
            <w:tcW w:w="992" w:type="dxa"/>
            <w:noWrap/>
            <w:hideMark/>
          </w:tcPr>
          <w:p w14:paraId="4F3D78AE"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b/>
                <w:color w:val="000000"/>
                <w:lang w:eastAsia="en-AU"/>
              </w:rPr>
            </w:pPr>
            <w:r w:rsidRPr="001F70BE">
              <w:rPr>
                <w:rFonts w:cs="Calibri"/>
                <w:b/>
                <w:color w:val="000000"/>
                <w:lang w:eastAsia="en-AU"/>
              </w:rPr>
              <w:t>0</w:t>
            </w:r>
          </w:p>
        </w:tc>
      </w:tr>
      <w:tr w:rsidR="005820AF" w:rsidRPr="001F70BE" w14:paraId="4FAEB249" w14:textId="77777777" w:rsidTr="00AA2559">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62A8F975" w14:textId="77777777" w:rsidR="005820AF" w:rsidRPr="00AA2559" w:rsidRDefault="005820AF" w:rsidP="00A20B35">
            <w:pPr>
              <w:spacing w:before="20" w:after="20"/>
              <w:rPr>
                <w:rFonts w:cs="Calibri"/>
                <w:b/>
                <w:color w:val="000000"/>
                <w:lang w:eastAsia="en-AU"/>
              </w:rPr>
            </w:pPr>
          </w:p>
        </w:tc>
        <w:tc>
          <w:tcPr>
            <w:tcW w:w="708" w:type="dxa"/>
            <w:noWrap/>
            <w:hideMark/>
          </w:tcPr>
          <w:p w14:paraId="0776F578"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A.2</w:t>
            </w:r>
          </w:p>
        </w:tc>
        <w:tc>
          <w:tcPr>
            <w:tcW w:w="1418" w:type="dxa"/>
            <w:noWrap/>
            <w:hideMark/>
          </w:tcPr>
          <w:p w14:paraId="79B3A8A6"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Alignment</w:t>
            </w:r>
          </w:p>
        </w:tc>
        <w:tc>
          <w:tcPr>
            <w:tcW w:w="1016" w:type="dxa"/>
            <w:noWrap/>
            <w:hideMark/>
          </w:tcPr>
          <w:p w14:paraId="7C59E103"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1.05</w:t>
            </w:r>
          </w:p>
        </w:tc>
        <w:tc>
          <w:tcPr>
            <w:tcW w:w="1016" w:type="dxa"/>
            <w:noWrap/>
            <w:hideMark/>
          </w:tcPr>
          <w:p w14:paraId="1F1A21E9"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0.45</w:t>
            </w:r>
          </w:p>
        </w:tc>
        <w:tc>
          <w:tcPr>
            <w:tcW w:w="968" w:type="dxa"/>
            <w:noWrap/>
            <w:hideMark/>
          </w:tcPr>
          <w:p w14:paraId="489397D3"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1.8</w:t>
            </w:r>
          </w:p>
        </w:tc>
        <w:tc>
          <w:tcPr>
            <w:tcW w:w="969" w:type="dxa"/>
            <w:noWrap/>
            <w:hideMark/>
          </w:tcPr>
          <w:p w14:paraId="61344B9F"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1.2</w:t>
            </w:r>
          </w:p>
        </w:tc>
        <w:tc>
          <w:tcPr>
            <w:tcW w:w="992" w:type="dxa"/>
            <w:noWrap/>
            <w:hideMark/>
          </w:tcPr>
          <w:p w14:paraId="2E460807"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b/>
                <w:color w:val="000000"/>
                <w:lang w:eastAsia="en-AU"/>
              </w:rPr>
            </w:pPr>
            <w:r w:rsidRPr="001F70BE">
              <w:rPr>
                <w:rFonts w:cs="Calibri"/>
                <w:b/>
                <w:color w:val="000000"/>
                <w:lang w:eastAsia="en-AU"/>
              </w:rPr>
              <w:t>4.5</w:t>
            </w:r>
          </w:p>
        </w:tc>
      </w:tr>
      <w:tr w:rsidR="005820AF" w:rsidRPr="001F70BE" w14:paraId="3B7CFEA7" w14:textId="77777777" w:rsidTr="00AA2559">
        <w:trPr>
          <w:trHeight w:val="300"/>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7BFA67C4" w14:textId="77777777" w:rsidR="005820AF" w:rsidRPr="00AA2559" w:rsidRDefault="005820AF" w:rsidP="00A20B35">
            <w:pPr>
              <w:spacing w:before="20" w:after="20"/>
              <w:rPr>
                <w:rFonts w:cs="Calibri"/>
                <w:b/>
                <w:bCs/>
                <w:color w:val="000000"/>
                <w:lang w:eastAsia="en-AU"/>
              </w:rPr>
            </w:pPr>
            <w:r w:rsidRPr="00AA2559">
              <w:rPr>
                <w:rFonts w:cs="Calibri"/>
                <w:b/>
                <w:color w:val="000000"/>
                <w:lang w:eastAsia="en-AU"/>
              </w:rPr>
              <w:t>Service approval type</w:t>
            </w:r>
          </w:p>
        </w:tc>
        <w:tc>
          <w:tcPr>
            <w:tcW w:w="708" w:type="dxa"/>
            <w:noWrap/>
            <w:hideMark/>
          </w:tcPr>
          <w:p w14:paraId="506BD4D2"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B.1</w:t>
            </w:r>
          </w:p>
        </w:tc>
        <w:tc>
          <w:tcPr>
            <w:tcW w:w="1418" w:type="dxa"/>
            <w:noWrap/>
            <w:hideMark/>
          </w:tcPr>
          <w:p w14:paraId="53D057A0"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Status Quo</w:t>
            </w:r>
          </w:p>
        </w:tc>
        <w:tc>
          <w:tcPr>
            <w:tcW w:w="1016" w:type="dxa"/>
            <w:noWrap/>
            <w:hideMark/>
          </w:tcPr>
          <w:p w14:paraId="7ABE7F12"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-0.7</w:t>
            </w:r>
          </w:p>
        </w:tc>
        <w:tc>
          <w:tcPr>
            <w:tcW w:w="1016" w:type="dxa"/>
            <w:noWrap/>
            <w:hideMark/>
          </w:tcPr>
          <w:p w14:paraId="791DCF98"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0.45</w:t>
            </w:r>
          </w:p>
        </w:tc>
        <w:tc>
          <w:tcPr>
            <w:tcW w:w="968" w:type="dxa"/>
            <w:noWrap/>
            <w:hideMark/>
          </w:tcPr>
          <w:p w14:paraId="07B1F661"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0.3</w:t>
            </w:r>
          </w:p>
        </w:tc>
        <w:tc>
          <w:tcPr>
            <w:tcW w:w="969" w:type="dxa"/>
            <w:noWrap/>
            <w:hideMark/>
          </w:tcPr>
          <w:p w14:paraId="514599F7"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0.4</w:t>
            </w:r>
          </w:p>
        </w:tc>
        <w:tc>
          <w:tcPr>
            <w:tcW w:w="992" w:type="dxa"/>
            <w:noWrap/>
            <w:hideMark/>
          </w:tcPr>
          <w:p w14:paraId="76307171"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b/>
                <w:color w:val="000000"/>
                <w:lang w:eastAsia="en-AU"/>
              </w:rPr>
            </w:pPr>
            <w:r w:rsidRPr="001F70BE">
              <w:rPr>
                <w:rFonts w:cs="Calibri"/>
                <w:b/>
                <w:color w:val="000000"/>
                <w:lang w:eastAsia="en-AU"/>
              </w:rPr>
              <w:t>0.45</w:t>
            </w:r>
          </w:p>
        </w:tc>
      </w:tr>
      <w:tr w:rsidR="005820AF" w:rsidRPr="001F70BE" w14:paraId="044D8D6E" w14:textId="77777777" w:rsidTr="00AA2559">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45421739" w14:textId="77777777" w:rsidR="005820AF" w:rsidRPr="00AA2559" w:rsidRDefault="005820AF" w:rsidP="00A20B35">
            <w:pPr>
              <w:spacing w:before="20" w:after="20"/>
              <w:rPr>
                <w:rFonts w:cs="Calibri"/>
                <w:b/>
                <w:color w:val="000000"/>
                <w:lang w:eastAsia="en-AU"/>
              </w:rPr>
            </w:pPr>
          </w:p>
        </w:tc>
        <w:tc>
          <w:tcPr>
            <w:tcW w:w="708" w:type="dxa"/>
            <w:noWrap/>
            <w:hideMark/>
          </w:tcPr>
          <w:p w14:paraId="1381B549"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B.2</w:t>
            </w:r>
          </w:p>
        </w:tc>
        <w:tc>
          <w:tcPr>
            <w:tcW w:w="1418" w:type="dxa"/>
            <w:noWrap/>
            <w:hideMark/>
          </w:tcPr>
          <w:p w14:paraId="7214613F"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Alignment</w:t>
            </w:r>
          </w:p>
        </w:tc>
        <w:tc>
          <w:tcPr>
            <w:tcW w:w="1016" w:type="dxa"/>
            <w:noWrap/>
            <w:hideMark/>
          </w:tcPr>
          <w:p w14:paraId="12E3A2C7"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-0.35</w:t>
            </w:r>
          </w:p>
        </w:tc>
        <w:tc>
          <w:tcPr>
            <w:tcW w:w="1016" w:type="dxa"/>
            <w:noWrap/>
            <w:hideMark/>
          </w:tcPr>
          <w:p w14:paraId="41E86D8E"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0.6</w:t>
            </w:r>
          </w:p>
        </w:tc>
        <w:tc>
          <w:tcPr>
            <w:tcW w:w="968" w:type="dxa"/>
            <w:noWrap/>
            <w:hideMark/>
          </w:tcPr>
          <w:p w14:paraId="0CBFC272"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0.6</w:t>
            </w:r>
          </w:p>
        </w:tc>
        <w:tc>
          <w:tcPr>
            <w:tcW w:w="969" w:type="dxa"/>
            <w:noWrap/>
            <w:hideMark/>
          </w:tcPr>
          <w:p w14:paraId="33934B6F"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0.6</w:t>
            </w:r>
          </w:p>
        </w:tc>
        <w:tc>
          <w:tcPr>
            <w:tcW w:w="992" w:type="dxa"/>
            <w:noWrap/>
            <w:hideMark/>
          </w:tcPr>
          <w:p w14:paraId="34C1A7C2"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b/>
                <w:color w:val="000000"/>
                <w:lang w:eastAsia="en-AU"/>
              </w:rPr>
            </w:pPr>
            <w:r w:rsidRPr="001F70BE">
              <w:rPr>
                <w:rFonts w:cs="Calibri"/>
                <w:b/>
                <w:color w:val="000000"/>
                <w:lang w:eastAsia="en-AU"/>
              </w:rPr>
              <w:t>1.45</w:t>
            </w:r>
          </w:p>
        </w:tc>
      </w:tr>
      <w:tr w:rsidR="005820AF" w:rsidRPr="001F70BE" w14:paraId="62BEE078" w14:textId="77777777" w:rsidTr="00AA2559">
        <w:trPr>
          <w:trHeight w:val="300"/>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2E37612C" w14:textId="77777777" w:rsidR="005820AF" w:rsidRPr="00AA2559" w:rsidRDefault="005820AF" w:rsidP="00A20B35">
            <w:pPr>
              <w:spacing w:before="20" w:after="20"/>
              <w:rPr>
                <w:rFonts w:cs="Calibri"/>
                <w:b/>
                <w:bCs/>
                <w:color w:val="000000"/>
                <w:lang w:eastAsia="en-AU"/>
              </w:rPr>
            </w:pPr>
            <w:r w:rsidRPr="00AA2559">
              <w:rPr>
                <w:rFonts w:cs="Calibri"/>
                <w:b/>
                <w:color w:val="000000"/>
                <w:lang w:eastAsia="en-AU"/>
              </w:rPr>
              <w:t>Staffing</w:t>
            </w:r>
          </w:p>
        </w:tc>
        <w:tc>
          <w:tcPr>
            <w:tcW w:w="708" w:type="dxa"/>
            <w:noWrap/>
            <w:hideMark/>
          </w:tcPr>
          <w:p w14:paraId="1D978EE8"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C.1</w:t>
            </w:r>
          </w:p>
        </w:tc>
        <w:tc>
          <w:tcPr>
            <w:tcW w:w="1418" w:type="dxa"/>
            <w:noWrap/>
            <w:hideMark/>
          </w:tcPr>
          <w:p w14:paraId="5A521D6A"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Status Quo</w:t>
            </w:r>
          </w:p>
        </w:tc>
        <w:tc>
          <w:tcPr>
            <w:tcW w:w="1016" w:type="dxa"/>
            <w:noWrap/>
            <w:hideMark/>
          </w:tcPr>
          <w:p w14:paraId="1B3F621F"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-1.05</w:t>
            </w:r>
          </w:p>
        </w:tc>
        <w:tc>
          <w:tcPr>
            <w:tcW w:w="1016" w:type="dxa"/>
            <w:noWrap/>
            <w:hideMark/>
          </w:tcPr>
          <w:p w14:paraId="69A40757"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0.15</w:t>
            </w:r>
          </w:p>
        </w:tc>
        <w:tc>
          <w:tcPr>
            <w:tcW w:w="968" w:type="dxa"/>
            <w:noWrap/>
            <w:hideMark/>
          </w:tcPr>
          <w:p w14:paraId="54BA8AC4"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2.4</w:t>
            </w:r>
          </w:p>
        </w:tc>
        <w:tc>
          <w:tcPr>
            <w:tcW w:w="969" w:type="dxa"/>
            <w:noWrap/>
            <w:hideMark/>
          </w:tcPr>
          <w:p w14:paraId="136A6C34" w14:textId="2B26A23F" w:rsidR="005820AF" w:rsidRPr="001F70BE"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Pr>
                <w:rFonts w:cs="Calibri"/>
                <w:color w:val="000000"/>
                <w:lang w:eastAsia="en-AU"/>
              </w:rPr>
              <w:t>1.4</w:t>
            </w:r>
          </w:p>
        </w:tc>
        <w:tc>
          <w:tcPr>
            <w:tcW w:w="992" w:type="dxa"/>
            <w:noWrap/>
            <w:hideMark/>
          </w:tcPr>
          <w:p w14:paraId="74C5C90D" w14:textId="1F6F1CC5" w:rsidR="005820AF" w:rsidRPr="001F70BE"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b/>
                <w:color w:val="000000"/>
                <w:lang w:eastAsia="en-AU"/>
              </w:rPr>
            </w:pPr>
            <w:r>
              <w:rPr>
                <w:rFonts w:cs="Calibri"/>
                <w:b/>
                <w:color w:val="000000"/>
                <w:lang w:eastAsia="en-AU"/>
              </w:rPr>
              <w:t>2.9</w:t>
            </w:r>
          </w:p>
        </w:tc>
      </w:tr>
      <w:tr w:rsidR="005820AF" w:rsidRPr="001F70BE" w14:paraId="7F7DE630" w14:textId="77777777" w:rsidTr="00AA2559">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4FB65966" w14:textId="77777777" w:rsidR="005820AF" w:rsidRPr="00AA2559" w:rsidRDefault="005820AF" w:rsidP="00A20B35">
            <w:pPr>
              <w:spacing w:before="20" w:after="20"/>
              <w:rPr>
                <w:rFonts w:cs="Calibri"/>
                <w:b/>
                <w:color w:val="000000"/>
                <w:lang w:eastAsia="en-AU"/>
              </w:rPr>
            </w:pPr>
          </w:p>
        </w:tc>
        <w:tc>
          <w:tcPr>
            <w:tcW w:w="708" w:type="dxa"/>
            <w:noWrap/>
            <w:hideMark/>
          </w:tcPr>
          <w:p w14:paraId="219076EC"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C.2</w:t>
            </w:r>
          </w:p>
        </w:tc>
        <w:tc>
          <w:tcPr>
            <w:tcW w:w="1418" w:type="dxa"/>
            <w:noWrap/>
            <w:hideMark/>
          </w:tcPr>
          <w:p w14:paraId="3E2EFF8B"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Alignment</w:t>
            </w:r>
          </w:p>
        </w:tc>
        <w:tc>
          <w:tcPr>
            <w:tcW w:w="1016" w:type="dxa"/>
            <w:noWrap/>
            <w:hideMark/>
          </w:tcPr>
          <w:p w14:paraId="2C0E6019"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-0.88</w:t>
            </w:r>
          </w:p>
        </w:tc>
        <w:tc>
          <w:tcPr>
            <w:tcW w:w="1016" w:type="dxa"/>
            <w:noWrap/>
            <w:hideMark/>
          </w:tcPr>
          <w:p w14:paraId="3E896870"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0.15</w:t>
            </w:r>
          </w:p>
        </w:tc>
        <w:tc>
          <w:tcPr>
            <w:tcW w:w="968" w:type="dxa"/>
            <w:noWrap/>
            <w:hideMark/>
          </w:tcPr>
          <w:p w14:paraId="387863DC" w14:textId="09E8E085" w:rsidR="005820AF" w:rsidRPr="001F70BE"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Pr>
                <w:rFonts w:cs="Calibri"/>
                <w:color w:val="000000"/>
                <w:lang w:eastAsia="en-AU"/>
              </w:rPr>
              <w:t>2.7</w:t>
            </w:r>
          </w:p>
        </w:tc>
        <w:tc>
          <w:tcPr>
            <w:tcW w:w="969" w:type="dxa"/>
            <w:noWrap/>
            <w:hideMark/>
          </w:tcPr>
          <w:p w14:paraId="7D9BBA39" w14:textId="194D02A6" w:rsidR="005820AF" w:rsidRPr="001F70BE"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Pr>
                <w:rFonts w:cs="Calibri"/>
                <w:color w:val="000000"/>
                <w:lang w:eastAsia="en-AU"/>
              </w:rPr>
              <w:t>1.6</w:t>
            </w:r>
          </w:p>
        </w:tc>
        <w:tc>
          <w:tcPr>
            <w:tcW w:w="992" w:type="dxa"/>
            <w:noWrap/>
            <w:hideMark/>
          </w:tcPr>
          <w:p w14:paraId="5A440B9A" w14:textId="6A531BBC" w:rsidR="005820AF" w:rsidRPr="001F70BE"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b/>
                <w:color w:val="000000"/>
                <w:lang w:eastAsia="en-AU"/>
              </w:rPr>
            </w:pPr>
            <w:r>
              <w:rPr>
                <w:rFonts w:cs="Calibri"/>
                <w:b/>
                <w:color w:val="000000"/>
                <w:lang w:eastAsia="en-AU"/>
              </w:rPr>
              <w:t>3.57</w:t>
            </w:r>
          </w:p>
        </w:tc>
      </w:tr>
      <w:tr w:rsidR="005820AF" w:rsidRPr="001F70BE" w14:paraId="686CC4B8" w14:textId="77777777" w:rsidTr="00AA2559">
        <w:trPr>
          <w:trHeight w:val="300"/>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1BF4B813" w14:textId="1EEDFA8B" w:rsidR="005820AF" w:rsidRPr="00AA2559" w:rsidRDefault="005820AF" w:rsidP="00A20B35">
            <w:pPr>
              <w:spacing w:before="20" w:after="20"/>
              <w:rPr>
                <w:rFonts w:cs="Calibri"/>
                <w:b/>
                <w:bCs/>
                <w:color w:val="000000"/>
                <w:lang w:eastAsia="en-AU"/>
              </w:rPr>
            </w:pPr>
            <w:r w:rsidRPr="00AA2559">
              <w:rPr>
                <w:rFonts w:cs="Calibri"/>
                <w:b/>
                <w:color w:val="000000"/>
                <w:lang w:eastAsia="en-AU"/>
              </w:rPr>
              <w:t>Health</w:t>
            </w:r>
            <w:r w:rsidR="002113C8">
              <w:rPr>
                <w:rFonts w:cs="Calibri"/>
                <w:b/>
                <w:color w:val="000000"/>
                <w:lang w:eastAsia="en-AU"/>
              </w:rPr>
              <w:t>, safety and wellbeing</w:t>
            </w:r>
          </w:p>
        </w:tc>
        <w:tc>
          <w:tcPr>
            <w:tcW w:w="708" w:type="dxa"/>
            <w:noWrap/>
            <w:hideMark/>
          </w:tcPr>
          <w:p w14:paraId="16467577"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D.1</w:t>
            </w:r>
          </w:p>
        </w:tc>
        <w:tc>
          <w:tcPr>
            <w:tcW w:w="1418" w:type="dxa"/>
            <w:noWrap/>
            <w:hideMark/>
          </w:tcPr>
          <w:p w14:paraId="2815116D"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Status Quo</w:t>
            </w:r>
          </w:p>
        </w:tc>
        <w:tc>
          <w:tcPr>
            <w:tcW w:w="1016" w:type="dxa"/>
            <w:noWrap/>
            <w:hideMark/>
          </w:tcPr>
          <w:p w14:paraId="4B4A491B"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-2.1</w:t>
            </w:r>
          </w:p>
        </w:tc>
        <w:tc>
          <w:tcPr>
            <w:tcW w:w="1016" w:type="dxa"/>
            <w:noWrap/>
            <w:hideMark/>
          </w:tcPr>
          <w:p w14:paraId="7BE367B9"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w:t>
            </w:r>
          </w:p>
        </w:tc>
        <w:tc>
          <w:tcPr>
            <w:tcW w:w="968" w:type="dxa"/>
            <w:noWrap/>
            <w:hideMark/>
          </w:tcPr>
          <w:p w14:paraId="5E0F1905"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1.65</w:t>
            </w:r>
          </w:p>
        </w:tc>
        <w:tc>
          <w:tcPr>
            <w:tcW w:w="969" w:type="dxa"/>
            <w:noWrap/>
            <w:hideMark/>
          </w:tcPr>
          <w:p w14:paraId="043FB58E"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w:t>
            </w:r>
          </w:p>
        </w:tc>
        <w:tc>
          <w:tcPr>
            <w:tcW w:w="992" w:type="dxa"/>
            <w:noWrap/>
            <w:hideMark/>
          </w:tcPr>
          <w:p w14:paraId="1B24A8CF"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b/>
                <w:color w:val="000000"/>
                <w:lang w:eastAsia="en-AU"/>
              </w:rPr>
            </w:pPr>
            <w:r w:rsidRPr="001F70BE">
              <w:rPr>
                <w:rFonts w:cs="Calibri"/>
                <w:b/>
                <w:color w:val="000000"/>
                <w:lang w:eastAsia="en-AU"/>
              </w:rPr>
              <w:t>-0.45</w:t>
            </w:r>
          </w:p>
        </w:tc>
      </w:tr>
      <w:tr w:rsidR="005820AF" w:rsidRPr="001F70BE" w14:paraId="0F0D891B" w14:textId="77777777" w:rsidTr="00AA2559">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2FC3B78A" w14:textId="77777777" w:rsidR="005820AF" w:rsidRPr="00AA2559" w:rsidRDefault="005820AF" w:rsidP="00A20B35">
            <w:pPr>
              <w:spacing w:before="20" w:after="20"/>
              <w:rPr>
                <w:rFonts w:cs="Calibri"/>
                <w:b/>
                <w:color w:val="000000"/>
                <w:lang w:eastAsia="en-AU"/>
              </w:rPr>
            </w:pPr>
          </w:p>
        </w:tc>
        <w:tc>
          <w:tcPr>
            <w:tcW w:w="708" w:type="dxa"/>
            <w:noWrap/>
            <w:hideMark/>
          </w:tcPr>
          <w:p w14:paraId="0264E3CE"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D.2</w:t>
            </w:r>
          </w:p>
        </w:tc>
        <w:tc>
          <w:tcPr>
            <w:tcW w:w="1418" w:type="dxa"/>
            <w:noWrap/>
            <w:hideMark/>
          </w:tcPr>
          <w:p w14:paraId="738411ED"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Alignment</w:t>
            </w:r>
          </w:p>
        </w:tc>
        <w:tc>
          <w:tcPr>
            <w:tcW w:w="1016" w:type="dxa"/>
            <w:noWrap/>
            <w:hideMark/>
          </w:tcPr>
          <w:p w14:paraId="2CB0A4DE"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-1.4</w:t>
            </w:r>
          </w:p>
        </w:tc>
        <w:tc>
          <w:tcPr>
            <w:tcW w:w="1016" w:type="dxa"/>
            <w:noWrap/>
            <w:hideMark/>
          </w:tcPr>
          <w:p w14:paraId="0FB1951E"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w:t>
            </w:r>
          </w:p>
        </w:tc>
        <w:tc>
          <w:tcPr>
            <w:tcW w:w="968" w:type="dxa"/>
            <w:noWrap/>
            <w:hideMark/>
          </w:tcPr>
          <w:p w14:paraId="2AB269C8"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2.1</w:t>
            </w:r>
          </w:p>
        </w:tc>
        <w:tc>
          <w:tcPr>
            <w:tcW w:w="969" w:type="dxa"/>
            <w:noWrap/>
            <w:hideMark/>
          </w:tcPr>
          <w:p w14:paraId="1990D4E2"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0.2</w:t>
            </w:r>
          </w:p>
        </w:tc>
        <w:tc>
          <w:tcPr>
            <w:tcW w:w="992" w:type="dxa"/>
            <w:noWrap/>
            <w:hideMark/>
          </w:tcPr>
          <w:p w14:paraId="6443908E"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b/>
                <w:color w:val="000000"/>
                <w:lang w:eastAsia="en-AU"/>
              </w:rPr>
            </w:pPr>
            <w:r w:rsidRPr="001F70BE">
              <w:rPr>
                <w:rFonts w:cs="Calibri"/>
                <w:b/>
                <w:color w:val="000000"/>
                <w:lang w:eastAsia="en-AU"/>
              </w:rPr>
              <w:t>0.9</w:t>
            </w:r>
          </w:p>
        </w:tc>
      </w:tr>
      <w:tr w:rsidR="005820AF" w:rsidRPr="001F70BE" w14:paraId="7CC6D520" w14:textId="77777777" w:rsidTr="00AA2559">
        <w:trPr>
          <w:trHeight w:val="300"/>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15518B68" w14:textId="77777777" w:rsidR="005820AF" w:rsidRPr="00AA2559" w:rsidRDefault="005820AF" w:rsidP="00A20B35">
            <w:pPr>
              <w:spacing w:before="20" w:after="20"/>
              <w:rPr>
                <w:rFonts w:cs="Calibri"/>
                <w:b/>
                <w:bCs/>
                <w:color w:val="000000"/>
                <w:lang w:eastAsia="en-AU"/>
              </w:rPr>
            </w:pPr>
            <w:r w:rsidRPr="00AA2559">
              <w:rPr>
                <w:rFonts w:cs="Calibri"/>
                <w:b/>
                <w:color w:val="000000"/>
                <w:lang w:eastAsia="en-AU"/>
              </w:rPr>
              <w:t>Equipment and facilities</w:t>
            </w:r>
          </w:p>
        </w:tc>
        <w:tc>
          <w:tcPr>
            <w:tcW w:w="708" w:type="dxa"/>
            <w:noWrap/>
            <w:hideMark/>
          </w:tcPr>
          <w:p w14:paraId="745DC9E7"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E.1</w:t>
            </w:r>
          </w:p>
        </w:tc>
        <w:tc>
          <w:tcPr>
            <w:tcW w:w="1418" w:type="dxa"/>
            <w:noWrap/>
            <w:hideMark/>
          </w:tcPr>
          <w:p w14:paraId="4D179ACE"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Status Quo</w:t>
            </w:r>
          </w:p>
        </w:tc>
        <w:tc>
          <w:tcPr>
            <w:tcW w:w="1016" w:type="dxa"/>
            <w:noWrap/>
            <w:hideMark/>
          </w:tcPr>
          <w:p w14:paraId="1D9A9C4B"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-1.4</w:t>
            </w:r>
          </w:p>
        </w:tc>
        <w:tc>
          <w:tcPr>
            <w:tcW w:w="1016" w:type="dxa"/>
            <w:noWrap/>
            <w:hideMark/>
          </w:tcPr>
          <w:p w14:paraId="4F6A9959"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w:t>
            </w:r>
          </w:p>
        </w:tc>
        <w:tc>
          <w:tcPr>
            <w:tcW w:w="968" w:type="dxa"/>
            <w:noWrap/>
            <w:hideMark/>
          </w:tcPr>
          <w:p w14:paraId="4789DCB3"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1.8</w:t>
            </w:r>
          </w:p>
        </w:tc>
        <w:tc>
          <w:tcPr>
            <w:tcW w:w="969" w:type="dxa"/>
            <w:noWrap/>
            <w:hideMark/>
          </w:tcPr>
          <w:p w14:paraId="0EE4920D"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0.8</w:t>
            </w:r>
          </w:p>
        </w:tc>
        <w:tc>
          <w:tcPr>
            <w:tcW w:w="992" w:type="dxa"/>
            <w:noWrap/>
            <w:hideMark/>
          </w:tcPr>
          <w:p w14:paraId="71C3BA16"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b/>
                <w:color w:val="000000"/>
                <w:lang w:eastAsia="en-AU"/>
              </w:rPr>
            </w:pPr>
            <w:r w:rsidRPr="001F70BE">
              <w:rPr>
                <w:rFonts w:cs="Calibri"/>
                <w:b/>
                <w:color w:val="000000"/>
                <w:lang w:eastAsia="en-AU"/>
              </w:rPr>
              <w:t>1.2</w:t>
            </w:r>
          </w:p>
        </w:tc>
      </w:tr>
      <w:tr w:rsidR="005820AF" w:rsidRPr="001F70BE" w14:paraId="709598C1" w14:textId="77777777" w:rsidTr="00AA2559">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72EB25A2" w14:textId="77777777" w:rsidR="005820AF" w:rsidRPr="00AA2559" w:rsidRDefault="005820AF" w:rsidP="00A20B35">
            <w:pPr>
              <w:spacing w:before="20" w:after="20"/>
              <w:rPr>
                <w:rFonts w:cs="Calibri"/>
                <w:b/>
                <w:color w:val="000000"/>
                <w:lang w:eastAsia="en-AU"/>
              </w:rPr>
            </w:pPr>
          </w:p>
        </w:tc>
        <w:tc>
          <w:tcPr>
            <w:tcW w:w="708" w:type="dxa"/>
            <w:noWrap/>
            <w:hideMark/>
          </w:tcPr>
          <w:p w14:paraId="420F9F2E"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E.2</w:t>
            </w:r>
          </w:p>
        </w:tc>
        <w:tc>
          <w:tcPr>
            <w:tcW w:w="1418" w:type="dxa"/>
            <w:noWrap/>
            <w:hideMark/>
          </w:tcPr>
          <w:p w14:paraId="6C5A6DC4"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Alignment</w:t>
            </w:r>
          </w:p>
        </w:tc>
        <w:tc>
          <w:tcPr>
            <w:tcW w:w="1016" w:type="dxa"/>
            <w:noWrap/>
            <w:hideMark/>
          </w:tcPr>
          <w:p w14:paraId="6431F209"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-1.75</w:t>
            </w:r>
          </w:p>
        </w:tc>
        <w:tc>
          <w:tcPr>
            <w:tcW w:w="1016" w:type="dxa"/>
            <w:noWrap/>
            <w:hideMark/>
          </w:tcPr>
          <w:p w14:paraId="6B1F2A98"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w:t>
            </w:r>
          </w:p>
        </w:tc>
        <w:tc>
          <w:tcPr>
            <w:tcW w:w="968" w:type="dxa"/>
            <w:noWrap/>
            <w:hideMark/>
          </w:tcPr>
          <w:p w14:paraId="25B1F591"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2.1</w:t>
            </w:r>
          </w:p>
        </w:tc>
        <w:tc>
          <w:tcPr>
            <w:tcW w:w="969" w:type="dxa"/>
            <w:noWrap/>
            <w:hideMark/>
          </w:tcPr>
          <w:p w14:paraId="37268854"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0.8</w:t>
            </w:r>
          </w:p>
        </w:tc>
        <w:tc>
          <w:tcPr>
            <w:tcW w:w="992" w:type="dxa"/>
            <w:noWrap/>
            <w:hideMark/>
          </w:tcPr>
          <w:p w14:paraId="5C48D163"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b/>
                <w:color w:val="000000"/>
                <w:lang w:eastAsia="en-AU"/>
              </w:rPr>
            </w:pPr>
            <w:r w:rsidRPr="001F70BE">
              <w:rPr>
                <w:rFonts w:cs="Calibri"/>
                <w:b/>
                <w:color w:val="000000"/>
                <w:lang w:eastAsia="en-AU"/>
              </w:rPr>
              <w:t>1.15</w:t>
            </w:r>
          </w:p>
        </w:tc>
      </w:tr>
      <w:tr w:rsidR="005820AF" w:rsidRPr="001F70BE" w14:paraId="320F9967" w14:textId="77777777" w:rsidTr="00AA2559">
        <w:trPr>
          <w:trHeight w:val="300"/>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3612237E" w14:textId="6BB296C6" w:rsidR="005820AF" w:rsidRPr="00AA2559" w:rsidRDefault="005820AF" w:rsidP="00A20B35">
            <w:pPr>
              <w:spacing w:before="20" w:after="20"/>
              <w:rPr>
                <w:rFonts w:cs="Calibri"/>
                <w:b/>
                <w:bCs/>
                <w:color w:val="000000"/>
                <w:lang w:eastAsia="en-AU"/>
              </w:rPr>
            </w:pPr>
            <w:r w:rsidRPr="00AA2559">
              <w:rPr>
                <w:rFonts w:cs="Calibri"/>
                <w:b/>
                <w:color w:val="000000"/>
                <w:lang w:eastAsia="en-AU"/>
              </w:rPr>
              <w:t>Complaints</w:t>
            </w:r>
            <w:r w:rsidR="005A6B33">
              <w:rPr>
                <w:rFonts w:cs="Calibri"/>
                <w:b/>
                <w:color w:val="000000"/>
                <w:lang w:eastAsia="en-AU"/>
              </w:rPr>
              <w:t xml:space="preserve"> and serious incidents</w:t>
            </w:r>
          </w:p>
        </w:tc>
        <w:tc>
          <w:tcPr>
            <w:tcW w:w="708" w:type="dxa"/>
            <w:noWrap/>
            <w:hideMark/>
          </w:tcPr>
          <w:p w14:paraId="70E86A84"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F.1</w:t>
            </w:r>
          </w:p>
        </w:tc>
        <w:tc>
          <w:tcPr>
            <w:tcW w:w="1418" w:type="dxa"/>
            <w:noWrap/>
            <w:hideMark/>
          </w:tcPr>
          <w:p w14:paraId="1F4B50AD"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Status Quo</w:t>
            </w:r>
          </w:p>
        </w:tc>
        <w:tc>
          <w:tcPr>
            <w:tcW w:w="1016" w:type="dxa"/>
            <w:noWrap/>
            <w:hideMark/>
          </w:tcPr>
          <w:p w14:paraId="2762C71A"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w:t>
            </w:r>
          </w:p>
        </w:tc>
        <w:tc>
          <w:tcPr>
            <w:tcW w:w="1016" w:type="dxa"/>
            <w:noWrap/>
            <w:hideMark/>
          </w:tcPr>
          <w:p w14:paraId="137D0A83"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0.3</w:t>
            </w:r>
          </w:p>
        </w:tc>
        <w:tc>
          <w:tcPr>
            <w:tcW w:w="968" w:type="dxa"/>
            <w:noWrap/>
            <w:hideMark/>
          </w:tcPr>
          <w:p w14:paraId="3F0903CE"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1.2</w:t>
            </w:r>
          </w:p>
        </w:tc>
        <w:tc>
          <w:tcPr>
            <w:tcW w:w="969" w:type="dxa"/>
            <w:noWrap/>
            <w:hideMark/>
          </w:tcPr>
          <w:p w14:paraId="57E3C2DC"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0.8</w:t>
            </w:r>
          </w:p>
        </w:tc>
        <w:tc>
          <w:tcPr>
            <w:tcW w:w="992" w:type="dxa"/>
            <w:noWrap/>
            <w:hideMark/>
          </w:tcPr>
          <w:p w14:paraId="57B767A2"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b/>
                <w:color w:val="000000"/>
                <w:lang w:eastAsia="en-AU"/>
              </w:rPr>
            </w:pPr>
            <w:r w:rsidRPr="001F70BE">
              <w:rPr>
                <w:rFonts w:cs="Calibri"/>
                <w:b/>
                <w:color w:val="000000"/>
                <w:lang w:eastAsia="en-AU"/>
              </w:rPr>
              <w:t>2.3</w:t>
            </w:r>
          </w:p>
        </w:tc>
      </w:tr>
      <w:tr w:rsidR="005820AF" w:rsidRPr="001F70BE" w14:paraId="2B20CD1A" w14:textId="77777777" w:rsidTr="00AA2559">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1B7CDF4F" w14:textId="77777777" w:rsidR="005820AF" w:rsidRPr="00AA2559" w:rsidRDefault="005820AF" w:rsidP="00A20B35">
            <w:pPr>
              <w:spacing w:before="20" w:after="20"/>
              <w:rPr>
                <w:rFonts w:cs="Calibri"/>
                <w:b/>
                <w:color w:val="000000"/>
                <w:lang w:eastAsia="en-AU"/>
              </w:rPr>
            </w:pPr>
          </w:p>
        </w:tc>
        <w:tc>
          <w:tcPr>
            <w:tcW w:w="708" w:type="dxa"/>
            <w:noWrap/>
            <w:hideMark/>
          </w:tcPr>
          <w:p w14:paraId="208F99D7"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F.2</w:t>
            </w:r>
          </w:p>
        </w:tc>
        <w:tc>
          <w:tcPr>
            <w:tcW w:w="1418" w:type="dxa"/>
            <w:noWrap/>
            <w:hideMark/>
          </w:tcPr>
          <w:p w14:paraId="400D932A"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Alignment</w:t>
            </w:r>
          </w:p>
        </w:tc>
        <w:tc>
          <w:tcPr>
            <w:tcW w:w="1016" w:type="dxa"/>
            <w:noWrap/>
            <w:hideMark/>
          </w:tcPr>
          <w:p w14:paraId="63D385BA"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w:t>
            </w:r>
          </w:p>
        </w:tc>
        <w:tc>
          <w:tcPr>
            <w:tcW w:w="1016" w:type="dxa"/>
            <w:noWrap/>
            <w:hideMark/>
          </w:tcPr>
          <w:p w14:paraId="44BE17BF"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0.3</w:t>
            </w:r>
          </w:p>
        </w:tc>
        <w:tc>
          <w:tcPr>
            <w:tcW w:w="968" w:type="dxa"/>
            <w:noWrap/>
            <w:hideMark/>
          </w:tcPr>
          <w:p w14:paraId="4BA1D8CC"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1.2</w:t>
            </w:r>
          </w:p>
        </w:tc>
        <w:tc>
          <w:tcPr>
            <w:tcW w:w="969" w:type="dxa"/>
            <w:noWrap/>
            <w:hideMark/>
          </w:tcPr>
          <w:p w14:paraId="1B06DEDB"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0.8</w:t>
            </w:r>
          </w:p>
        </w:tc>
        <w:tc>
          <w:tcPr>
            <w:tcW w:w="992" w:type="dxa"/>
            <w:noWrap/>
            <w:hideMark/>
          </w:tcPr>
          <w:p w14:paraId="71A03BBE"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b/>
                <w:color w:val="000000"/>
                <w:lang w:eastAsia="en-AU"/>
              </w:rPr>
            </w:pPr>
            <w:r w:rsidRPr="001F70BE">
              <w:rPr>
                <w:rFonts w:cs="Calibri"/>
                <w:b/>
                <w:color w:val="000000"/>
                <w:lang w:eastAsia="en-AU"/>
              </w:rPr>
              <w:t>2.3</w:t>
            </w:r>
          </w:p>
        </w:tc>
      </w:tr>
      <w:tr w:rsidR="005820AF" w:rsidRPr="001F70BE" w14:paraId="03042D9B" w14:textId="77777777" w:rsidTr="00AA2559">
        <w:trPr>
          <w:trHeight w:val="300"/>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246939A3" w14:textId="77777777" w:rsidR="005820AF" w:rsidRPr="00AA2559" w:rsidRDefault="005820AF" w:rsidP="00A20B35">
            <w:pPr>
              <w:spacing w:before="20" w:after="20"/>
              <w:rPr>
                <w:rFonts w:cs="Calibri"/>
                <w:b/>
                <w:bCs/>
                <w:color w:val="000000"/>
                <w:lang w:eastAsia="en-AU"/>
              </w:rPr>
            </w:pPr>
            <w:r w:rsidRPr="00AA2559">
              <w:rPr>
                <w:rFonts w:cs="Calibri"/>
                <w:b/>
                <w:color w:val="000000"/>
                <w:lang w:eastAsia="en-AU"/>
              </w:rPr>
              <w:t>Registers and record-keeping</w:t>
            </w:r>
          </w:p>
        </w:tc>
        <w:tc>
          <w:tcPr>
            <w:tcW w:w="708" w:type="dxa"/>
            <w:noWrap/>
            <w:hideMark/>
          </w:tcPr>
          <w:p w14:paraId="73D4D7DC"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G.1</w:t>
            </w:r>
          </w:p>
        </w:tc>
        <w:tc>
          <w:tcPr>
            <w:tcW w:w="1418" w:type="dxa"/>
            <w:noWrap/>
            <w:hideMark/>
          </w:tcPr>
          <w:p w14:paraId="476A1539"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Status Quo</w:t>
            </w:r>
          </w:p>
        </w:tc>
        <w:tc>
          <w:tcPr>
            <w:tcW w:w="1016" w:type="dxa"/>
            <w:noWrap/>
            <w:hideMark/>
          </w:tcPr>
          <w:p w14:paraId="4BBD00C0"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0.35</w:t>
            </w:r>
          </w:p>
        </w:tc>
        <w:tc>
          <w:tcPr>
            <w:tcW w:w="1016" w:type="dxa"/>
            <w:noWrap/>
            <w:hideMark/>
          </w:tcPr>
          <w:p w14:paraId="2CD2A5CF"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0.45</w:t>
            </w:r>
          </w:p>
        </w:tc>
        <w:tc>
          <w:tcPr>
            <w:tcW w:w="968" w:type="dxa"/>
            <w:noWrap/>
            <w:hideMark/>
          </w:tcPr>
          <w:p w14:paraId="282FCACC"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1.8</w:t>
            </w:r>
          </w:p>
        </w:tc>
        <w:tc>
          <w:tcPr>
            <w:tcW w:w="969" w:type="dxa"/>
            <w:noWrap/>
            <w:hideMark/>
          </w:tcPr>
          <w:p w14:paraId="4C83AA5B"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0.8</w:t>
            </w:r>
          </w:p>
        </w:tc>
        <w:tc>
          <w:tcPr>
            <w:tcW w:w="992" w:type="dxa"/>
            <w:noWrap/>
            <w:hideMark/>
          </w:tcPr>
          <w:p w14:paraId="722B5260"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b/>
                <w:color w:val="000000"/>
                <w:lang w:eastAsia="en-AU"/>
              </w:rPr>
            </w:pPr>
            <w:r w:rsidRPr="001F70BE">
              <w:rPr>
                <w:rFonts w:cs="Calibri"/>
                <w:b/>
                <w:color w:val="000000"/>
                <w:lang w:eastAsia="en-AU"/>
              </w:rPr>
              <w:t>3.4</w:t>
            </w:r>
          </w:p>
        </w:tc>
      </w:tr>
      <w:tr w:rsidR="005820AF" w:rsidRPr="001F70BE" w14:paraId="1A6709C9" w14:textId="77777777" w:rsidTr="00AA2559">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5256492E" w14:textId="77777777" w:rsidR="005820AF" w:rsidRPr="00AA2559" w:rsidRDefault="005820AF" w:rsidP="00A20B35">
            <w:pPr>
              <w:spacing w:before="20" w:after="20"/>
              <w:rPr>
                <w:rFonts w:cs="Calibri"/>
                <w:b/>
                <w:color w:val="000000"/>
                <w:lang w:eastAsia="en-AU"/>
              </w:rPr>
            </w:pPr>
          </w:p>
        </w:tc>
        <w:tc>
          <w:tcPr>
            <w:tcW w:w="708" w:type="dxa"/>
            <w:noWrap/>
            <w:hideMark/>
          </w:tcPr>
          <w:p w14:paraId="53425A8E"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G.2</w:t>
            </w:r>
          </w:p>
        </w:tc>
        <w:tc>
          <w:tcPr>
            <w:tcW w:w="1418" w:type="dxa"/>
            <w:noWrap/>
            <w:hideMark/>
          </w:tcPr>
          <w:p w14:paraId="3398D932"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Alignment</w:t>
            </w:r>
          </w:p>
        </w:tc>
        <w:tc>
          <w:tcPr>
            <w:tcW w:w="1016" w:type="dxa"/>
            <w:noWrap/>
            <w:hideMark/>
          </w:tcPr>
          <w:p w14:paraId="09D12451"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0.35</w:t>
            </w:r>
          </w:p>
        </w:tc>
        <w:tc>
          <w:tcPr>
            <w:tcW w:w="1016" w:type="dxa"/>
            <w:noWrap/>
            <w:hideMark/>
          </w:tcPr>
          <w:p w14:paraId="376AE00A"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0.45</w:t>
            </w:r>
          </w:p>
        </w:tc>
        <w:tc>
          <w:tcPr>
            <w:tcW w:w="968" w:type="dxa"/>
            <w:noWrap/>
            <w:hideMark/>
          </w:tcPr>
          <w:p w14:paraId="1A21A458"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2.1</w:t>
            </w:r>
          </w:p>
        </w:tc>
        <w:tc>
          <w:tcPr>
            <w:tcW w:w="969" w:type="dxa"/>
            <w:noWrap/>
            <w:hideMark/>
          </w:tcPr>
          <w:p w14:paraId="17AA8D1A"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0.8</w:t>
            </w:r>
          </w:p>
        </w:tc>
        <w:tc>
          <w:tcPr>
            <w:tcW w:w="992" w:type="dxa"/>
            <w:noWrap/>
            <w:hideMark/>
          </w:tcPr>
          <w:p w14:paraId="04F3DCB7"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b/>
                <w:color w:val="000000"/>
                <w:lang w:eastAsia="en-AU"/>
              </w:rPr>
            </w:pPr>
            <w:r w:rsidRPr="001F70BE">
              <w:rPr>
                <w:rFonts w:cs="Calibri"/>
                <w:b/>
                <w:color w:val="000000"/>
                <w:lang w:eastAsia="en-AU"/>
              </w:rPr>
              <w:t>3.7</w:t>
            </w:r>
          </w:p>
        </w:tc>
      </w:tr>
      <w:tr w:rsidR="005820AF" w:rsidRPr="001F70BE" w14:paraId="39EC5964" w14:textId="77777777" w:rsidTr="00AA2559">
        <w:trPr>
          <w:trHeight w:val="300"/>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7DEF2B6C" w14:textId="77777777" w:rsidR="005820AF" w:rsidRPr="00AA2559" w:rsidRDefault="005820AF" w:rsidP="00A20B35">
            <w:pPr>
              <w:spacing w:before="20" w:after="20"/>
              <w:rPr>
                <w:rFonts w:cs="Calibri"/>
                <w:b/>
                <w:bCs/>
                <w:color w:val="000000"/>
                <w:lang w:eastAsia="en-AU"/>
              </w:rPr>
            </w:pPr>
            <w:r w:rsidRPr="00AA2559">
              <w:rPr>
                <w:rFonts w:cs="Calibri"/>
                <w:b/>
                <w:color w:val="000000"/>
                <w:lang w:eastAsia="en-AU"/>
              </w:rPr>
              <w:t>Fees</w:t>
            </w:r>
          </w:p>
        </w:tc>
        <w:tc>
          <w:tcPr>
            <w:tcW w:w="708" w:type="dxa"/>
            <w:noWrap/>
            <w:hideMark/>
          </w:tcPr>
          <w:p w14:paraId="5B61D268"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H.1</w:t>
            </w:r>
          </w:p>
        </w:tc>
        <w:tc>
          <w:tcPr>
            <w:tcW w:w="1418" w:type="dxa"/>
            <w:noWrap/>
            <w:hideMark/>
          </w:tcPr>
          <w:p w14:paraId="52D1C981"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Status Quo</w:t>
            </w:r>
          </w:p>
        </w:tc>
        <w:tc>
          <w:tcPr>
            <w:tcW w:w="1016" w:type="dxa"/>
            <w:noWrap/>
            <w:hideMark/>
          </w:tcPr>
          <w:p w14:paraId="552C3F04" w14:textId="46629C1E" w:rsidR="005820AF" w:rsidRPr="001F70BE"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Pr>
                <w:rFonts w:cs="Calibri"/>
                <w:color w:val="000000"/>
                <w:lang w:eastAsia="en-AU"/>
              </w:rPr>
              <w:t>-2.45</w:t>
            </w:r>
          </w:p>
        </w:tc>
        <w:tc>
          <w:tcPr>
            <w:tcW w:w="1016" w:type="dxa"/>
            <w:noWrap/>
            <w:hideMark/>
          </w:tcPr>
          <w:p w14:paraId="1D7A5E89"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0.3</w:t>
            </w:r>
          </w:p>
        </w:tc>
        <w:tc>
          <w:tcPr>
            <w:tcW w:w="968" w:type="dxa"/>
            <w:noWrap/>
            <w:hideMark/>
          </w:tcPr>
          <w:p w14:paraId="7A897EB0"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w:t>
            </w:r>
          </w:p>
        </w:tc>
        <w:tc>
          <w:tcPr>
            <w:tcW w:w="969" w:type="dxa"/>
            <w:noWrap/>
            <w:hideMark/>
          </w:tcPr>
          <w:p w14:paraId="07CE2CBD"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w:t>
            </w:r>
          </w:p>
        </w:tc>
        <w:tc>
          <w:tcPr>
            <w:tcW w:w="992" w:type="dxa"/>
            <w:noWrap/>
            <w:hideMark/>
          </w:tcPr>
          <w:p w14:paraId="0B96F973" w14:textId="5B993DF8" w:rsidR="005820AF" w:rsidRPr="001F70BE"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b/>
                <w:color w:val="000000"/>
                <w:lang w:eastAsia="en-AU"/>
              </w:rPr>
            </w:pPr>
            <w:r>
              <w:rPr>
                <w:rFonts w:cs="Calibri"/>
                <w:b/>
                <w:color w:val="000000"/>
                <w:lang w:eastAsia="en-AU"/>
              </w:rPr>
              <w:t>-2.15</w:t>
            </w:r>
          </w:p>
        </w:tc>
      </w:tr>
      <w:tr w:rsidR="005820AF" w:rsidRPr="001F70BE" w14:paraId="4A2809A0" w14:textId="77777777" w:rsidTr="00AA2559">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3B2E160A" w14:textId="77777777" w:rsidR="005820AF" w:rsidRPr="00AA2559" w:rsidRDefault="005820AF" w:rsidP="00A20B35">
            <w:pPr>
              <w:spacing w:before="20" w:after="20"/>
              <w:rPr>
                <w:rFonts w:cs="Calibri"/>
                <w:b/>
                <w:color w:val="000000"/>
                <w:lang w:eastAsia="en-AU"/>
              </w:rPr>
            </w:pPr>
          </w:p>
        </w:tc>
        <w:tc>
          <w:tcPr>
            <w:tcW w:w="708" w:type="dxa"/>
            <w:noWrap/>
            <w:hideMark/>
          </w:tcPr>
          <w:p w14:paraId="721046C3"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H.2</w:t>
            </w:r>
          </w:p>
        </w:tc>
        <w:tc>
          <w:tcPr>
            <w:tcW w:w="1418" w:type="dxa"/>
            <w:noWrap/>
            <w:hideMark/>
          </w:tcPr>
          <w:p w14:paraId="75778B77"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Alignment</w:t>
            </w:r>
          </w:p>
        </w:tc>
        <w:tc>
          <w:tcPr>
            <w:tcW w:w="1016" w:type="dxa"/>
            <w:noWrap/>
            <w:hideMark/>
          </w:tcPr>
          <w:p w14:paraId="062E5257" w14:textId="2D959FEA" w:rsidR="005820AF" w:rsidRPr="001F70BE"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Pr>
                <w:rFonts w:cs="Calibri"/>
                <w:color w:val="000000"/>
                <w:lang w:eastAsia="en-AU"/>
              </w:rPr>
              <w:t>-2.1</w:t>
            </w:r>
          </w:p>
        </w:tc>
        <w:tc>
          <w:tcPr>
            <w:tcW w:w="1016" w:type="dxa"/>
            <w:noWrap/>
            <w:hideMark/>
          </w:tcPr>
          <w:p w14:paraId="3A197BB1"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0.45</w:t>
            </w:r>
          </w:p>
        </w:tc>
        <w:tc>
          <w:tcPr>
            <w:tcW w:w="968" w:type="dxa"/>
            <w:noWrap/>
            <w:hideMark/>
          </w:tcPr>
          <w:p w14:paraId="7EAB15F4"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w:t>
            </w:r>
          </w:p>
        </w:tc>
        <w:tc>
          <w:tcPr>
            <w:tcW w:w="969" w:type="dxa"/>
            <w:noWrap/>
            <w:hideMark/>
          </w:tcPr>
          <w:p w14:paraId="04763DFC"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w:t>
            </w:r>
          </w:p>
        </w:tc>
        <w:tc>
          <w:tcPr>
            <w:tcW w:w="992" w:type="dxa"/>
            <w:noWrap/>
            <w:hideMark/>
          </w:tcPr>
          <w:p w14:paraId="4734A844" w14:textId="209A9C86" w:rsidR="005820AF" w:rsidRPr="001F70BE"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b/>
                <w:color w:val="000000"/>
                <w:lang w:eastAsia="en-AU"/>
              </w:rPr>
            </w:pPr>
            <w:r>
              <w:rPr>
                <w:rFonts w:cs="Calibri"/>
                <w:b/>
                <w:color w:val="000000"/>
                <w:lang w:eastAsia="en-AU"/>
              </w:rPr>
              <w:t>-1.65</w:t>
            </w:r>
          </w:p>
        </w:tc>
      </w:tr>
      <w:tr w:rsidR="005820AF" w:rsidRPr="001F70BE" w14:paraId="694EA130" w14:textId="77777777" w:rsidTr="00AA2559">
        <w:trPr>
          <w:trHeight w:val="300"/>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7D061F8E" w14:textId="77777777" w:rsidR="005820AF" w:rsidRPr="00AA2559" w:rsidRDefault="005820AF" w:rsidP="00A20B35">
            <w:pPr>
              <w:spacing w:before="20" w:after="20"/>
              <w:rPr>
                <w:rFonts w:cs="Calibri"/>
                <w:b/>
                <w:bCs/>
                <w:color w:val="000000"/>
                <w:lang w:eastAsia="en-AU"/>
              </w:rPr>
            </w:pPr>
            <w:r w:rsidRPr="00AA2559">
              <w:rPr>
                <w:rFonts w:cs="Calibri"/>
                <w:b/>
                <w:color w:val="000000"/>
                <w:lang w:eastAsia="en-AU"/>
              </w:rPr>
              <w:t>Exemptions or waivers</w:t>
            </w:r>
          </w:p>
        </w:tc>
        <w:tc>
          <w:tcPr>
            <w:tcW w:w="708" w:type="dxa"/>
            <w:noWrap/>
            <w:hideMark/>
          </w:tcPr>
          <w:p w14:paraId="6EF58205"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I.1</w:t>
            </w:r>
          </w:p>
        </w:tc>
        <w:tc>
          <w:tcPr>
            <w:tcW w:w="1418" w:type="dxa"/>
            <w:noWrap/>
            <w:hideMark/>
          </w:tcPr>
          <w:p w14:paraId="5B89E856"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Status Quo</w:t>
            </w:r>
          </w:p>
        </w:tc>
        <w:tc>
          <w:tcPr>
            <w:tcW w:w="1016" w:type="dxa"/>
            <w:noWrap/>
            <w:hideMark/>
          </w:tcPr>
          <w:p w14:paraId="54A30215"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w:t>
            </w:r>
          </w:p>
        </w:tc>
        <w:tc>
          <w:tcPr>
            <w:tcW w:w="1016" w:type="dxa"/>
            <w:noWrap/>
            <w:hideMark/>
          </w:tcPr>
          <w:p w14:paraId="0C93CD7A"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-0.15</w:t>
            </w:r>
          </w:p>
        </w:tc>
        <w:tc>
          <w:tcPr>
            <w:tcW w:w="968" w:type="dxa"/>
            <w:noWrap/>
            <w:hideMark/>
          </w:tcPr>
          <w:p w14:paraId="1D3E7FBD" w14:textId="1CBBBFBD" w:rsidR="005820AF" w:rsidRPr="001F70BE"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Pr>
                <w:rFonts w:cs="Calibri"/>
                <w:color w:val="000000"/>
                <w:lang w:eastAsia="en-AU"/>
              </w:rPr>
              <w:t>-0.9</w:t>
            </w:r>
          </w:p>
        </w:tc>
        <w:tc>
          <w:tcPr>
            <w:tcW w:w="969" w:type="dxa"/>
            <w:noWrap/>
            <w:hideMark/>
          </w:tcPr>
          <w:p w14:paraId="01B734E7" w14:textId="73F735FD" w:rsidR="005820AF" w:rsidRPr="001F70BE"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Pr>
                <w:rFonts w:cs="Calibri"/>
                <w:color w:val="000000"/>
                <w:lang w:eastAsia="en-AU"/>
              </w:rPr>
              <w:t>-0.6</w:t>
            </w:r>
          </w:p>
        </w:tc>
        <w:tc>
          <w:tcPr>
            <w:tcW w:w="992" w:type="dxa"/>
            <w:noWrap/>
            <w:hideMark/>
          </w:tcPr>
          <w:p w14:paraId="6C754115" w14:textId="5E7CB5B3" w:rsidR="005820AF" w:rsidRPr="001F70BE"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b/>
                <w:color w:val="000000"/>
                <w:lang w:eastAsia="en-AU"/>
              </w:rPr>
            </w:pPr>
            <w:r>
              <w:rPr>
                <w:rFonts w:cs="Calibri"/>
                <w:b/>
                <w:color w:val="000000"/>
                <w:lang w:eastAsia="en-AU"/>
              </w:rPr>
              <w:t>-1.65</w:t>
            </w:r>
          </w:p>
        </w:tc>
      </w:tr>
      <w:tr w:rsidR="005820AF" w:rsidRPr="001F70BE" w14:paraId="346BC6F4" w14:textId="77777777" w:rsidTr="00F94642">
        <w:trPr>
          <w:trHeight w:val="300"/>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088AA833" w14:textId="77777777" w:rsidR="005820AF" w:rsidRPr="001F70BE" w:rsidRDefault="005820AF" w:rsidP="00A20B35">
            <w:pPr>
              <w:spacing w:before="20" w:after="20"/>
              <w:rPr>
                <w:rFonts w:cs="Calibri"/>
                <w:color w:val="000000"/>
                <w:lang w:eastAsia="en-AU"/>
              </w:rPr>
            </w:pPr>
          </w:p>
        </w:tc>
        <w:tc>
          <w:tcPr>
            <w:tcW w:w="708" w:type="dxa"/>
            <w:noWrap/>
            <w:hideMark/>
          </w:tcPr>
          <w:p w14:paraId="4A63665F"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I.2</w:t>
            </w:r>
          </w:p>
        </w:tc>
        <w:tc>
          <w:tcPr>
            <w:tcW w:w="1418" w:type="dxa"/>
            <w:noWrap/>
            <w:hideMark/>
          </w:tcPr>
          <w:p w14:paraId="625B2D0A" w14:textId="77777777" w:rsidR="005820AF" w:rsidRPr="001F70BE"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Alignment</w:t>
            </w:r>
          </w:p>
        </w:tc>
        <w:tc>
          <w:tcPr>
            <w:tcW w:w="1016" w:type="dxa"/>
            <w:noWrap/>
            <w:hideMark/>
          </w:tcPr>
          <w:p w14:paraId="5EDBD35D"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0.7</w:t>
            </w:r>
          </w:p>
        </w:tc>
        <w:tc>
          <w:tcPr>
            <w:tcW w:w="1016" w:type="dxa"/>
            <w:noWrap/>
            <w:hideMark/>
          </w:tcPr>
          <w:p w14:paraId="324884DB" w14:textId="77777777" w:rsidR="005820AF" w:rsidRPr="001F70BE"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1F70BE">
              <w:rPr>
                <w:rFonts w:cs="Calibri"/>
                <w:color w:val="000000"/>
                <w:lang w:eastAsia="en-AU"/>
              </w:rPr>
              <w:t>0.3</w:t>
            </w:r>
          </w:p>
        </w:tc>
        <w:tc>
          <w:tcPr>
            <w:tcW w:w="968" w:type="dxa"/>
            <w:noWrap/>
          </w:tcPr>
          <w:p w14:paraId="231D98E2" w14:textId="5D4BE35F" w:rsidR="005820AF" w:rsidRPr="001F70BE"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Pr>
                <w:rFonts w:cs="Calibri"/>
                <w:color w:val="000000"/>
                <w:lang w:eastAsia="en-AU"/>
              </w:rPr>
              <w:t>1.5</w:t>
            </w:r>
          </w:p>
        </w:tc>
        <w:tc>
          <w:tcPr>
            <w:tcW w:w="969" w:type="dxa"/>
            <w:noWrap/>
          </w:tcPr>
          <w:p w14:paraId="417EC8FA" w14:textId="597FB6FF" w:rsidR="005820AF" w:rsidRPr="001F70BE"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Pr>
                <w:rFonts w:cs="Calibri"/>
                <w:color w:val="000000"/>
                <w:lang w:eastAsia="en-AU"/>
              </w:rPr>
              <w:t>1</w:t>
            </w:r>
          </w:p>
        </w:tc>
        <w:tc>
          <w:tcPr>
            <w:tcW w:w="992" w:type="dxa"/>
            <w:noWrap/>
            <w:hideMark/>
          </w:tcPr>
          <w:p w14:paraId="37F10579" w14:textId="045C30E4" w:rsidR="00F94642" w:rsidRPr="001F70BE"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b/>
                <w:color w:val="000000"/>
                <w:lang w:eastAsia="en-AU"/>
              </w:rPr>
            </w:pPr>
            <w:r>
              <w:rPr>
                <w:rFonts w:cs="Calibri"/>
                <w:b/>
                <w:color w:val="000000"/>
                <w:lang w:eastAsia="en-AU"/>
              </w:rPr>
              <w:t>3.5</w:t>
            </w:r>
          </w:p>
        </w:tc>
      </w:tr>
    </w:tbl>
    <w:p w14:paraId="25BC49DF" w14:textId="30D4EB3A" w:rsidR="005820AF" w:rsidRDefault="005820AF" w:rsidP="005820AF">
      <w:pPr>
        <w:pStyle w:val="EYBodytextwithparaspace"/>
        <w:spacing w:after="120"/>
        <w:rPr>
          <w:rFonts w:ascii="Arial" w:hAnsi="Arial" w:cs="Arial"/>
          <w:i/>
          <w:sz w:val="16"/>
          <w:szCs w:val="16"/>
        </w:rPr>
      </w:pPr>
      <w:r w:rsidRPr="0049005B">
        <w:rPr>
          <w:rFonts w:ascii="Arial" w:hAnsi="Arial" w:cs="Arial"/>
          <w:i/>
          <w:sz w:val="16"/>
          <w:szCs w:val="16"/>
        </w:rPr>
        <w:t>*</w:t>
      </w:r>
      <w:r>
        <w:rPr>
          <w:rFonts w:ascii="Arial" w:hAnsi="Arial" w:cs="Arial"/>
          <w:i/>
          <w:sz w:val="16"/>
          <w:szCs w:val="16"/>
        </w:rPr>
        <w:t>N</w:t>
      </w:r>
      <w:r w:rsidRPr="0049005B">
        <w:rPr>
          <w:rFonts w:ascii="Arial" w:hAnsi="Arial" w:cs="Arial"/>
          <w:i/>
          <w:sz w:val="16"/>
          <w:szCs w:val="16"/>
        </w:rPr>
        <w:t xml:space="preserve">o ‘Status Quo’ option was assessed </w:t>
      </w:r>
      <w:r>
        <w:rPr>
          <w:rFonts w:ascii="Arial" w:hAnsi="Arial" w:cs="Arial"/>
          <w:i/>
          <w:sz w:val="16"/>
          <w:szCs w:val="16"/>
        </w:rPr>
        <w:t>for</w:t>
      </w:r>
      <w:r w:rsidRPr="0049005B">
        <w:rPr>
          <w:rFonts w:ascii="Arial" w:hAnsi="Arial" w:cs="Arial"/>
          <w:i/>
          <w:sz w:val="16"/>
          <w:szCs w:val="16"/>
        </w:rPr>
        <w:t xml:space="preserve"> the ap</w:t>
      </w:r>
      <w:r>
        <w:rPr>
          <w:rFonts w:ascii="Arial" w:hAnsi="Arial" w:cs="Arial"/>
          <w:i/>
          <w:sz w:val="16"/>
          <w:szCs w:val="16"/>
        </w:rPr>
        <w:t>proval applications regulations due to the change in terminology and process resulting from amendments to the Act</w:t>
      </w:r>
    </w:p>
    <w:p w14:paraId="73305C8E" w14:textId="027E6820" w:rsidR="00511CB8" w:rsidRDefault="00511CB8" w:rsidP="00511CB8">
      <w:pPr>
        <w:pStyle w:val="Caption"/>
      </w:pPr>
      <w:bookmarkStart w:id="277" w:name="_Toc32592840"/>
      <w:r w:rsidRPr="00215708">
        <w:lastRenderedPageBreak/>
        <w:t xml:space="preserve">Table </w:t>
      </w:r>
      <w:r w:rsidRPr="00215708">
        <w:fldChar w:fldCharType="begin"/>
      </w:r>
      <w:r w:rsidRPr="00215708">
        <w:instrText xml:space="preserve"> SEQ Table \* ARABIC </w:instrText>
      </w:r>
      <w:r w:rsidRPr="00215708">
        <w:fldChar w:fldCharType="separate"/>
      </w:r>
      <w:r w:rsidR="00493211">
        <w:rPr>
          <w:noProof/>
        </w:rPr>
        <w:t>57</w:t>
      </w:r>
      <w:r w:rsidRPr="00215708">
        <w:fldChar w:fldCharType="end"/>
      </w:r>
      <w:r w:rsidRPr="00215708">
        <w:t xml:space="preserve"> Total weighted scores by option and area of regulation</w:t>
      </w:r>
      <w:bookmarkEnd w:id="277"/>
    </w:p>
    <w:tbl>
      <w:tblPr>
        <w:tblStyle w:val="TableGrid"/>
        <w:tblW w:w="9209" w:type="dxa"/>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ayout w:type="fixed"/>
        <w:tblLook w:val="04A0" w:firstRow="1" w:lastRow="0" w:firstColumn="1" w:lastColumn="0" w:noHBand="0" w:noVBand="1"/>
      </w:tblPr>
      <w:tblGrid>
        <w:gridCol w:w="1271"/>
        <w:gridCol w:w="567"/>
        <w:gridCol w:w="2268"/>
        <w:gridCol w:w="1134"/>
        <w:gridCol w:w="1134"/>
        <w:gridCol w:w="930"/>
        <w:gridCol w:w="930"/>
        <w:gridCol w:w="975"/>
      </w:tblGrid>
      <w:tr w:rsidR="005820AF" w:rsidRPr="001F70BE" w14:paraId="742112EF" w14:textId="77777777" w:rsidTr="00AA2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right w:val="none" w:sz="0" w:space="0" w:color="auto"/>
            </w:tcBorders>
            <w:noWrap/>
            <w:hideMark/>
          </w:tcPr>
          <w:p w14:paraId="6F2B2BC4" w14:textId="77777777" w:rsidR="005820AF" w:rsidRPr="00B41DE3" w:rsidRDefault="005820AF" w:rsidP="00A20B35">
            <w:pPr>
              <w:spacing w:before="20" w:after="20"/>
              <w:rPr>
                <w:rFonts w:cs="Calibri"/>
                <w:lang w:eastAsia="en-AU"/>
              </w:rPr>
            </w:pPr>
            <w:r w:rsidRPr="00B41DE3">
              <w:rPr>
                <w:rFonts w:cs="Calibri"/>
                <w:lang w:eastAsia="en-AU"/>
              </w:rPr>
              <w:t>Option</w:t>
            </w:r>
          </w:p>
        </w:tc>
        <w:tc>
          <w:tcPr>
            <w:tcW w:w="2835" w:type="dxa"/>
            <w:gridSpan w:val="2"/>
            <w:tcBorders>
              <w:left w:val="none" w:sz="0" w:space="0" w:color="auto"/>
              <w:right w:val="none" w:sz="0" w:space="0" w:color="auto"/>
            </w:tcBorders>
            <w:noWrap/>
            <w:hideMark/>
          </w:tcPr>
          <w:p w14:paraId="663AF676" w14:textId="77777777" w:rsidR="005820AF" w:rsidRPr="00B41DE3" w:rsidRDefault="005820AF" w:rsidP="00A20B35">
            <w:pPr>
              <w:spacing w:before="20" w:after="20"/>
              <w:cnfStyle w:val="100000000000" w:firstRow="1" w:lastRow="0" w:firstColumn="0" w:lastColumn="0" w:oddVBand="0" w:evenVBand="0" w:oddHBand="0" w:evenHBand="0" w:firstRowFirstColumn="0" w:firstRowLastColumn="0" w:lastRowFirstColumn="0" w:lastRowLastColumn="0"/>
              <w:rPr>
                <w:rFonts w:cs="Calibri"/>
                <w:lang w:eastAsia="en-AU"/>
              </w:rPr>
            </w:pPr>
            <w:r w:rsidRPr="00B41DE3">
              <w:rPr>
                <w:rFonts w:cs="Calibri"/>
                <w:lang w:eastAsia="en-AU"/>
              </w:rPr>
              <w:t>Area of regulation</w:t>
            </w:r>
          </w:p>
        </w:tc>
        <w:tc>
          <w:tcPr>
            <w:tcW w:w="1134" w:type="dxa"/>
            <w:tcBorders>
              <w:left w:val="none" w:sz="0" w:space="0" w:color="auto"/>
              <w:right w:val="none" w:sz="0" w:space="0" w:color="auto"/>
            </w:tcBorders>
            <w:hideMark/>
          </w:tcPr>
          <w:p w14:paraId="7F0DFB3C" w14:textId="77777777" w:rsidR="005820AF" w:rsidRPr="00B41DE3" w:rsidRDefault="005820AF" w:rsidP="00A20B35">
            <w:pPr>
              <w:spacing w:before="20" w:after="20"/>
              <w:jc w:val="center"/>
              <w:cnfStyle w:val="100000000000" w:firstRow="1" w:lastRow="0" w:firstColumn="0" w:lastColumn="0" w:oddVBand="0" w:evenVBand="0" w:oddHBand="0" w:evenHBand="0" w:firstRowFirstColumn="0" w:firstRowLastColumn="0" w:lastRowFirstColumn="0" w:lastRowLastColumn="0"/>
              <w:rPr>
                <w:rFonts w:cs="Calibri"/>
                <w:lang w:eastAsia="en-AU"/>
              </w:rPr>
            </w:pPr>
            <w:r w:rsidRPr="00B41DE3">
              <w:rPr>
                <w:rFonts w:cs="Calibri"/>
                <w:lang w:eastAsia="en-AU"/>
              </w:rPr>
              <w:t>Cost to industry</w:t>
            </w:r>
          </w:p>
        </w:tc>
        <w:tc>
          <w:tcPr>
            <w:tcW w:w="1134" w:type="dxa"/>
            <w:tcBorders>
              <w:left w:val="none" w:sz="0" w:space="0" w:color="auto"/>
              <w:right w:val="none" w:sz="0" w:space="0" w:color="auto"/>
            </w:tcBorders>
            <w:hideMark/>
          </w:tcPr>
          <w:p w14:paraId="566C1BFD" w14:textId="77777777" w:rsidR="005820AF" w:rsidRPr="00B41DE3" w:rsidRDefault="005820AF" w:rsidP="00A20B35">
            <w:pPr>
              <w:spacing w:before="20" w:after="20"/>
              <w:jc w:val="center"/>
              <w:cnfStyle w:val="100000000000" w:firstRow="1" w:lastRow="0" w:firstColumn="0" w:lastColumn="0" w:oddVBand="0" w:evenVBand="0" w:oddHBand="0" w:evenHBand="0" w:firstRowFirstColumn="0" w:firstRowLastColumn="0" w:lastRowFirstColumn="0" w:lastRowLastColumn="0"/>
              <w:rPr>
                <w:rFonts w:cs="Calibri"/>
                <w:lang w:eastAsia="en-AU"/>
              </w:rPr>
            </w:pPr>
            <w:r w:rsidRPr="00B41DE3">
              <w:rPr>
                <w:rFonts w:cs="Calibri"/>
                <w:lang w:eastAsia="en-AU"/>
              </w:rPr>
              <w:t>Cost to regulator</w:t>
            </w:r>
          </w:p>
        </w:tc>
        <w:tc>
          <w:tcPr>
            <w:tcW w:w="930" w:type="dxa"/>
            <w:tcBorders>
              <w:left w:val="none" w:sz="0" w:space="0" w:color="auto"/>
              <w:right w:val="none" w:sz="0" w:space="0" w:color="auto"/>
            </w:tcBorders>
            <w:noWrap/>
            <w:hideMark/>
          </w:tcPr>
          <w:p w14:paraId="0C7AA808" w14:textId="77777777" w:rsidR="005820AF" w:rsidRPr="00B41DE3" w:rsidRDefault="005820AF" w:rsidP="00A20B35">
            <w:pPr>
              <w:spacing w:before="20" w:after="20"/>
              <w:jc w:val="center"/>
              <w:cnfStyle w:val="100000000000" w:firstRow="1" w:lastRow="0" w:firstColumn="0" w:lastColumn="0" w:oddVBand="0" w:evenVBand="0" w:oddHBand="0" w:evenHBand="0" w:firstRowFirstColumn="0" w:firstRowLastColumn="0" w:lastRowFirstColumn="0" w:lastRowLastColumn="0"/>
              <w:rPr>
                <w:rFonts w:cs="Calibri"/>
                <w:lang w:eastAsia="en-AU"/>
              </w:rPr>
            </w:pPr>
            <w:r w:rsidRPr="00B41DE3">
              <w:rPr>
                <w:rFonts w:cs="Calibri"/>
                <w:lang w:eastAsia="en-AU"/>
              </w:rPr>
              <w:t>Safety</w:t>
            </w:r>
          </w:p>
        </w:tc>
        <w:tc>
          <w:tcPr>
            <w:tcW w:w="930" w:type="dxa"/>
            <w:tcBorders>
              <w:left w:val="none" w:sz="0" w:space="0" w:color="auto"/>
              <w:right w:val="none" w:sz="0" w:space="0" w:color="auto"/>
            </w:tcBorders>
            <w:noWrap/>
            <w:hideMark/>
          </w:tcPr>
          <w:p w14:paraId="588CFCB1" w14:textId="77777777" w:rsidR="005820AF" w:rsidRPr="00B41DE3" w:rsidRDefault="005820AF" w:rsidP="00A20B35">
            <w:pPr>
              <w:spacing w:before="20" w:after="20"/>
              <w:jc w:val="center"/>
              <w:cnfStyle w:val="100000000000" w:firstRow="1" w:lastRow="0" w:firstColumn="0" w:lastColumn="0" w:oddVBand="0" w:evenVBand="0" w:oddHBand="0" w:evenHBand="0" w:firstRowFirstColumn="0" w:firstRowLastColumn="0" w:lastRowFirstColumn="0" w:lastRowLastColumn="0"/>
              <w:rPr>
                <w:rFonts w:cs="Calibri"/>
                <w:lang w:eastAsia="en-AU"/>
              </w:rPr>
            </w:pPr>
            <w:r w:rsidRPr="00B41DE3">
              <w:rPr>
                <w:rFonts w:cs="Calibri"/>
                <w:lang w:eastAsia="en-AU"/>
              </w:rPr>
              <w:t>Quality</w:t>
            </w:r>
          </w:p>
        </w:tc>
        <w:tc>
          <w:tcPr>
            <w:tcW w:w="975" w:type="dxa"/>
            <w:tcBorders>
              <w:left w:val="none" w:sz="0" w:space="0" w:color="auto"/>
            </w:tcBorders>
            <w:noWrap/>
            <w:hideMark/>
          </w:tcPr>
          <w:p w14:paraId="33C6FE93" w14:textId="77777777" w:rsidR="005820AF" w:rsidRPr="00B41DE3" w:rsidRDefault="005820AF" w:rsidP="00A20B35">
            <w:pPr>
              <w:spacing w:before="20" w:after="20"/>
              <w:jc w:val="center"/>
              <w:cnfStyle w:val="100000000000" w:firstRow="1" w:lastRow="0" w:firstColumn="0" w:lastColumn="0" w:oddVBand="0" w:evenVBand="0" w:oddHBand="0" w:evenHBand="0" w:firstRowFirstColumn="0" w:firstRowLastColumn="0" w:lastRowFirstColumn="0" w:lastRowLastColumn="0"/>
              <w:rPr>
                <w:rFonts w:cs="Calibri"/>
                <w:lang w:eastAsia="en-AU"/>
              </w:rPr>
            </w:pPr>
            <w:r w:rsidRPr="00B41DE3">
              <w:rPr>
                <w:rFonts w:cs="Calibri"/>
                <w:lang w:eastAsia="en-AU"/>
              </w:rPr>
              <w:t>Total Score</w:t>
            </w:r>
          </w:p>
        </w:tc>
      </w:tr>
      <w:tr w:rsidR="005820AF" w:rsidRPr="001F70BE" w14:paraId="569CDE47" w14:textId="77777777" w:rsidTr="00AA2559">
        <w:tc>
          <w:tcPr>
            <w:cnfStyle w:val="001000000000" w:firstRow="0" w:lastRow="0" w:firstColumn="1" w:lastColumn="0" w:oddVBand="0" w:evenVBand="0" w:oddHBand="0" w:evenHBand="0" w:firstRowFirstColumn="0" w:firstRowLastColumn="0" w:lastRowFirstColumn="0" w:lastRowLastColumn="0"/>
            <w:tcW w:w="1271" w:type="dxa"/>
            <w:vMerge w:val="restart"/>
            <w:noWrap/>
            <w:hideMark/>
          </w:tcPr>
          <w:p w14:paraId="33E04A3E" w14:textId="77777777" w:rsidR="005820AF" w:rsidRPr="00B41DE3" w:rsidRDefault="005820AF" w:rsidP="00A20B35">
            <w:pPr>
              <w:spacing w:before="20" w:after="20"/>
              <w:rPr>
                <w:rFonts w:cs="Calibri"/>
                <w:color w:val="000000"/>
                <w:lang w:eastAsia="en-AU"/>
              </w:rPr>
            </w:pPr>
            <w:r w:rsidRPr="00B41DE3">
              <w:rPr>
                <w:rFonts w:cs="Calibri"/>
                <w:color w:val="000000"/>
                <w:lang w:eastAsia="en-AU"/>
              </w:rPr>
              <w:t>Status Quo</w:t>
            </w:r>
          </w:p>
        </w:tc>
        <w:tc>
          <w:tcPr>
            <w:tcW w:w="567" w:type="dxa"/>
            <w:noWrap/>
            <w:hideMark/>
          </w:tcPr>
          <w:p w14:paraId="3E8D0A42"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A.1</w:t>
            </w:r>
          </w:p>
        </w:tc>
        <w:tc>
          <w:tcPr>
            <w:tcW w:w="2268" w:type="dxa"/>
            <w:noWrap/>
            <w:hideMark/>
          </w:tcPr>
          <w:p w14:paraId="43CF68BB"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Approval applications</w:t>
            </w:r>
          </w:p>
        </w:tc>
        <w:tc>
          <w:tcPr>
            <w:tcW w:w="1134" w:type="dxa"/>
            <w:noWrap/>
            <w:hideMark/>
          </w:tcPr>
          <w:p w14:paraId="06F1B736"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w:t>
            </w:r>
          </w:p>
        </w:tc>
        <w:tc>
          <w:tcPr>
            <w:tcW w:w="1134" w:type="dxa"/>
            <w:noWrap/>
            <w:hideMark/>
          </w:tcPr>
          <w:p w14:paraId="020E4DF7"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w:t>
            </w:r>
          </w:p>
        </w:tc>
        <w:tc>
          <w:tcPr>
            <w:tcW w:w="930" w:type="dxa"/>
            <w:noWrap/>
            <w:hideMark/>
          </w:tcPr>
          <w:p w14:paraId="79D1AACF"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w:t>
            </w:r>
          </w:p>
        </w:tc>
        <w:tc>
          <w:tcPr>
            <w:tcW w:w="930" w:type="dxa"/>
            <w:noWrap/>
            <w:hideMark/>
          </w:tcPr>
          <w:p w14:paraId="7B92BC3C"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w:t>
            </w:r>
          </w:p>
        </w:tc>
        <w:tc>
          <w:tcPr>
            <w:tcW w:w="975" w:type="dxa"/>
            <w:noWrap/>
            <w:hideMark/>
          </w:tcPr>
          <w:p w14:paraId="474C5670"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w:t>
            </w:r>
          </w:p>
        </w:tc>
      </w:tr>
      <w:tr w:rsidR="005820AF" w:rsidRPr="001F70BE" w14:paraId="04532869" w14:textId="77777777" w:rsidTr="00AA2559">
        <w:tc>
          <w:tcPr>
            <w:cnfStyle w:val="001000000000" w:firstRow="0" w:lastRow="0" w:firstColumn="1" w:lastColumn="0" w:oddVBand="0" w:evenVBand="0" w:oddHBand="0" w:evenHBand="0" w:firstRowFirstColumn="0" w:firstRowLastColumn="0" w:lastRowFirstColumn="0" w:lastRowLastColumn="0"/>
            <w:tcW w:w="1271" w:type="dxa"/>
            <w:vMerge/>
            <w:noWrap/>
            <w:hideMark/>
          </w:tcPr>
          <w:p w14:paraId="5B083098" w14:textId="77777777" w:rsidR="005820AF" w:rsidRPr="00B41DE3" w:rsidRDefault="005820AF" w:rsidP="00A20B35">
            <w:pPr>
              <w:spacing w:before="20" w:after="20"/>
              <w:jc w:val="right"/>
              <w:rPr>
                <w:rFonts w:cs="Calibri"/>
                <w:color w:val="000000"/>
                <w:lang w:eastAsia="en-AU"/>
              </w:rPr>
            </w:pPr>
          </w:p>
        </w:tc>
        <w:tc>
          <w:tcPr>
            <w:tcW w:w="567" w:type="dxa"/>
            <w:noWrap/>
            <w:hideMark/>
          </w:tcPr>
          <w:p w14:paraId="643D1926"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B.1</w:t>
            </w:r>
          </w:p>
        </w:tc>
        <w:tc>
          <w:tcPr>
            <w:tcW w:w="2268" w:type="dxa"/>
            <w:noWrap/>
            <w:hideMark/>
          </w:tcPr>
          <w:p w14:paraId="16FAB028"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Service types</w:t>
            </w:r>
          </w:p>
        </w:tc>
        <w:tc>
          <w:tcPr>
            <w:tcW w:w="1134" w:type="dxa"/>
            <w:noWrap/>
            <w:hideMark/>
          </w:tcPr>
          <w:p w14:paraId="2A44B0D8"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-0.7</w:t>
            </w:r>
          </w:p>
        </w:tc>
        <w:tc>
          <w:tcPr>
            <w:tcW w:w="1134" w:type="dxa"/>
            <w:noWrap/>
            <w:hideMark/>
          </w:tcPr>
          <w:p w14:paraId="28411ECB"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0.45</w:t>
            </w:r>
          </w:p>
        </w:tc>
        <w:tc>
          <w:tcPr>
            <w:tcW w:w="930" w:type="dxa"/>
            <w:noWrap/>
            <w:hideMark/>
          </w:tcPr>
          <w:p w14:paraId="654720CB"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0.3</w:t>
            </w:r>
          </w:p>
        </w:tc>
        <w:tc>
          <w:tcPr>
            <w:tcW w:w="930" w:type="dxa"/>
            <w:noWrap/>
            <w:hideMark/>
          </w:tcPr>
          <w:p w14:paraId="74C1FDC9"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0.4</w:t>
            </w:r>
          </w:p>
        </w:tc>
        <w:tc>
          <w:tcPr>
            <w:tcW w:w="975" w:type="dxa"/>
            <w:noWrap/>
            <w:hideMark/>
          </w:tcPr>
          <w:p w14:paraId="5131F364"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0.45</w:t>
            </w:r>
          </w:p>
        </w:tc>
      </w:tr>
      <w:tr w:rsidR="005820AF" w:rsidRPr="001F70BE" w14:paraId="5AE7E9FB" w14:textId="77777777" w:rsidTr="00AA2559">
        <w:tc>
          <w:tcPr>
            <w:cnfStyle w:val="001000000000" w:firstRow="0" w:lastRow="0" w:firstColumn="1" w:lastColumn="0" w:oddVBand="0" w:evenVBand="0" w:oddHBand="0" w:evenHBand="0" w:firstRowFirstColumn="0" w:firstRowLastColumn="0" w:lastRowFirstColumn="0" w:lastRowLastColumn="0"/>
            <w:tcW w:w="1271" w:type="dxa"/>
            <w:vMerge/>
            <w:noWrap/>
            <w:hideMark/>
          </w:tcPr>
          <w:p w14:paraId="0541F8E6" w14:textId="77777777" w:rsidR="005820AF" w:rsidRPr="00B41DE3" w:rsidRDefault="005820AF" w:rsidP="00A20B35">
            <w:pPr>
              <w:spacing w:before="20" w:after="20"/>
              <w:jc w:val="right"/>
              <w:rPr>
                <w:rFonts w:cs="Calibri"/>
                <w:color w:val="000000"/>
                <w:lang w:eastAsia="en-AU"/>
              </w:rPr>
            </w:pPr>
          </w:p>
        </w:tc>
        <w:tc>
          <w:tcPr>
            <w:tcW w:w="567" w:type="dxa"/>
            <w:noWrap/>
            <w:hideMark/>
          </w:tcPr>
          <w:p w14:paraId="4EF63E3C"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C.1</w:t>
            </w:r>
          </w:p>
        </w:tc>
        <w:tc>
          <w:tcPr>
            <w:tcW w:w="2268" w:type="dxa"/>
            <w:noWrap/>
            <w:hideMark/>
          </w:tcPr>
          <w:p w14:paraId="57BE63DB"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Staffing</w:t>
            </w:r>
          </w:p>
        </w:tc>
        <w:tc>
          <w:tcPr>
            <w:tcW w:w="1134" w:type="dxa"/>
            <w:noWrap/>
            <w:hideMark/>
          </w:tcPr>
          <w:p w14:paraId="3E099D27"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-1.05</w:t>
            </w:r>
          </w:p>
        </w:tc>
        <w:tc>
          <w:tcPr>
            <w:tcW w:w="1134" w:type="dxa"/>
            <w:noWrap/>
            <w:hideMark/>
          </w:tcPr>
          <w:p w14:paraId="11DEBDC8"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0.15</w:t>
            </w:r>
          </w:p>
        </w:tc>
        <w:tc>
          <w:tcPr>
            <w:tcW w:w="930" w:type="dxa"/>
            <w:noWrap/>
            <w:hideMark/>
          </w:tcPr>
          <w:p w14:paraId="2923689D"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2.4</w:t>
            </w:r>
          </w:p>
        </w:tc>
        <w:tc>
          <w:tcPr>
            <w:tcW w:w="930" w:type="dxa"/>
            <w:noWrap/>
            <w:hideMark/>
          </w:tcPr>
          <w:p w14:paraId="4E712966" w14:textId="22C6E41D" w:rsidR="005820AF" w:rsidRPr="00B41DE3"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Pr>
                <w:rFonts w:cs="Calibri"/>
                <w:color w:val="000000"/>
                <w:lang w:eastAsia="en-AU"/>
              </w:rPr>
              <w:t>1.4</w:t>
            </w:r>
          </w:p>
        </w:tc>
        <w:tc>
          <w:tcPr>
            <w:tcW w:w="975" w:type="dxa"/>
            <w:noWrap/>
            <w:hideMark/>
          </w:tcPr>
          <w:p w14:paraId="664E0A24" w14:textId="714DDADA" w:rsidR="005820AF" w:rsidRPr="00B41DE3"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Pr>
                <w:rFonts w:cs="Calibri"/>
                <w:color w:val="000000"/>
                <w:lang w:eastAsia="en-AU"/>
              </w:rPr>
              <w:t>2.9</w:t>
            </w:r>
          </w:p>
        </w:tc>
      </w:tr>
      <w:tr w:rsidR="005820AF" w:rsidRPr="001F70BE" w14:paraId="278597EE" w14:textId="77777777" w:rsidTr="00AA2559">
        <w:tc>
          <w:tcPr>
            <w:cnfStyle w:val="001000000000" w:firstRow="0" w:lastRow="0" w:firstColumn="1" w:lastColumn="0" w:oddVBand="0" w:evenVBand="0" w:oddHBand="0" w:evenHBand="0" w:firstRowFirstColumn="0" w:firstRowLastColumn="0" w:lastRowFirstColumn="0" w:lastRowLastColumn="0"/>
            <w:tcW w:w="1271" w:type="dxa"/>
            <w:vMerge/>
            <w:noWrap/>
            <w:hideMark/>
          </w:tcPr>
          <w:p w14:paraId="0E083966" w14:textId="77777777" w:rsidR="005820AF" w:rsidRPr="00B41DE3" w:rsidRDefault="005820AF" w:rsidP="00A20B35">
            <w:pPr>
              <w:spacing w:before="20" w:after="20"/>
              <w:jc w:val="right"/>
              <w:rPr>
                <w:rFonts w:cs="Calibri"/>
                <w:color w:val="000000"/>
                <w:lang w:eastAsia="en-AU"/>
              </w:rPr>
            </w:pPr>
          </w:p>
        </w:tc>
        <w:tc>
          <w:tcPr>
            <w:tcW w:w="567" w:type="dxa"/>
            <w:noWrap/>
            <w:hideMark/>
          </w:tcPr>
          <w:p w14:paraId="6C8EB127"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D.1</w:t>
            </w:r>
          </w:p>
        </w:tc>
        <w:tc>
          <w:tcPr>
            <w:tcW w:w="2268" w:type="dxa"/>
            <w:noWrap/>
            <w:hideMark/>
          </w:tcPr>
          <w:p w14:paraId="392F20BA" w14:textId="64D2581C" w:rsidR="005820AF" w:rsidRPr="00B41DE3" w:rsidRDefault="002113C8"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Pr>
                <w:rFonts w:cs="Calibri"/>
                <w:color w:val="000000"/>
                <w:lang w:eastAsia="en-AU"/>
              </w:rPr>
              <w:t>Health, safety and wellbeing</w:t>
            </w:r>
          </w:p>
        </w:tc>
        <w:tc>
          <w:tcPr>
            <w:tcW w:w="1134" w:type="dxa"/>
            <w:noWrap/>
            <w:hideMark/>
          </w:tcPr>
          <w:p w14:paraId="60074746"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-2.1</w:t>
            </w:r>
          </w:p>
        </w:tc>
        <w:tc>
          <w:tcPr>
            <w:tcW w:w="1134" w:type="dxa"/>
            <w:noWrap/>
            <w:hideMark/>
          </w:tcPr>
          <w:p w14:paraId="1246421E"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w:t>
            </w:r>
          </w:p>
        </w:tc>
        <w:tc>
          <w:tcPr>
            <w:tcW w:w="930" w:type="dxa"/>
            <w:noWrap/>
            <w:hideMark/>
          </w:tcPr>
          <w:p w14:paraId="2C632BC7"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1.65</w:t>
            </w:r>
          </w:p>
        </w:tc>
        <w:tc>
          <w:tcPr>
            <w:tcW w:w="930" w:type="dxa"/>
            <w:noWrap/>
            <w:hideMark/>
          </w:tcPr>
          <w:p w14:paraId="73933194"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w:t>
            </w:r>
          </w:p>
        </w:tc>
        <w:tc>
          <w:tcPr>
            <w:tcW w:w="975" w:type="dxa"/>
            <w:noWrap/>
            <w:hideMark/>
          </w:tcPr>
          <w:p w14:paraId="70E1F51F"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-0.45</w:t>
            </w:r>
          </w:p>
        </w:tc>
      </w:tr>
      <w:tr w:rsidR="005820AF" w:rsidRPr="001F70BE" w14:paraId="08C67942" w14:textId="77777777" w:rsidTr="00AA2559">
        <w:tc>
          <w:tcPr>
            <w:cnfStyle w:val="001000000000" w:firstRow="0" w:lastRow="0" w:firstColumn="1" w:lastColumn="0" w:oddVBand="0" w:evenVBand="0" w:oddHBand="0" w:evenHBand="0" w:firstRowFirstColumn="0" w:firstRowLastColumn="0" w:lastRowFirstColumn="0" w:lastRowLastColumn="0"/>
            <w:tcW w:w="1271" w:type="dxa"/>
            <w:vMerge/>
            <w:noWrap/>
            <w:hideMark/>
          </w:tcPr>
          <w:p w14:paraId="4B224E11" w14:textId="77777777" w:rsidR="005820AF" w:rsidRPr="00B41DE3" w:rsidRDefault="005820AF" w:rsidP="00A20B35">
            <w:pPr>
              <w:spacing w:before="20" w:after="20"/>
              <w:jc w:val="right"/>
              <w:rPr>
                <w:rFonts w:cs="Calibri"/>
                <w:color w:val="000000"/>
                <w:lang w:eastAsia="en-AU"/>
              </w:rPr>
            </w:pPr>
          </w:p>
        </w:tc>
        <w:tc>
          <w:tcPr>
            <w:tcW w:w="567" w:type="dxa"/>
            <w:noWrap/>
            <w:hideMark/>
          </w:tcPr>
          <w:p w14:paraId="7E19BC63"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E.1</w:t>
            </w:r>
          </w:p>
        </w:tc>
        <w:tc>
          <w:tcPr>
            <w:tcW w:w="2268" w:type="dxa"/>
            <w:noWrap/>
            <w:hideMark/>
          </w:tcPr>
          <w:p w14:paraId="3C5D167B"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Equipment and facilities</w:t>
            </w:r>
          </w:p>
        </w:tc>
        <w:tc>
          <w:tcPr>
            <w:tcW w:w="1134" w:type="dxa"/>
            <w:noWrap/>
            <w:hideMark/>
          </w:tcPr>
          <w:p w14:paraId="5A34318B"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-1.4</w:t>
            </w:r>
          </w:p>
        </w:tc>
        <w:tc>
          <w:tcPr>
            <w:tcW w:w="1134" w:type="dxa"/>
            <w:noWrap/>
            <w:hideMark/>
          </w:tcPr>
          <w:p w14:paraId="1F5D7891"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w:t>
            </w:r>
          </w:p>
        </w:tc>
        <w:tc>
          <w:tcPr>
            <w:tcW w:w="930" w:type="dxa"/>
            <w:noWrap/>
            <w:hideMark/>
          </w:tcPr>
          <w:p w14:paraId="5FE708B3"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1.8</w:t>
            </w:r>
          </w:p>
        </w:tc>
        <w:tc>
          <w:tcPr>
            <w:tcW w:w="930" w:type="dxa"/>
            <w:noWrap/>
            <w:hideMark/>
          </w:tcPr>
          <w:p w14:paraId="3D459371"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0.8</w:t>
            </w:r>
          </w:p>
        </w:tc>
        <w:tc>
          <w:tcPr>
            <w:tcW w:w="975" w:type="dxa"/>
            <w:noWrap/>
            <w:hideMark/>
          </w:tcPr>
          <w:p w14:paraId="31363CC7"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1.2</w:t>
            </w:r>
          </w:p>
        </w:tc>
      </w:tr>
      <w:tr w:rsidR="005820AF" w:rsidRPr="001F70BE" w14:paraId="30146EC4" w14:textId="77777777" w:rsidTr="00AA2559">
        <w:tc>
          <w:tcPr>
            <w:cnfStyle w:val="001000000000" w:firstRow="0" w:lastRow="0" w:firstColumn="1" w:lastColumn="0" w:oddVBand="0" w:evenVBand="0" w:oddHBand="0" w:evenHBand="0" w:firstRowFirstColumn="0" w:firstRowLastColumn="0" w:lastRowFirstColumn="0" w:lastRowLastColumn="0"/>
            <w:tcW w:w="1271" w:type="dxa"/>
            <w:vMerge/>
            <w:noWrap/>
            <w:hideMark/>
          </w:tcPr>
          <w:p w14:paraId="4126A015" w14:textId="77777777" w:rsidR="005820AF" w:rsidRPr="00B41DE3" w:rsidRDefault="005820AF" w:rsidP="00A20B35">
            <w:pPr>
              <w:spacing w:before="20" w:after="20"/>
              <w:jc w:val="right"/>
              <w:rPr>
                <w:rFonts w:cs="Calibri"/>
                <w:color w:val="000000"/>
                <w:lang w:eastAsia="en-AU"/>
              </w:rPr>
            </w:pPr>
          </w:p>
        </w:tc>
        <w:tc>
          <w:tcPr>
            <w:tcW w:w="567" w:type="dxa"/>
            <w:noWrap/>
            <w:hideMark/>
          </w:tcPr>
          <w:p w14:paraId="01D82DEF"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F.1</w:t>
            </w:r>
          </w:p>
        </w:tc>
        <w:tc>
          <w:tcPr>
            <w:tcW w:w="2268" w:type="dxa"/>
            <w:noWrap/>
            <w:hideMark/>
          </w:tcPr>
          <w:p w14:paraId="5D66D74E" w14:textId="154B2643"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Complaints</w:t>
            </w:r>
            <w:r w:rsidR="005A6B33">
              <w:rPr>
                <w:rFonts w:cs="Calibri"/>
                <w:color w:val="000000"/>
                <w:lang w:eastAsia="en-AU"/>
              </w:rPr>
              <w:t xml:space="preserve"> and serious incidents</w:t>
            </w:r>
          </w:p>
        </w:tc>
        <w:tc>
          <w:tcPr>
            <w:tcW w:w="1134" w:type="dxa"/>
            <w:noWrap/>
            <w:hideMark/>
          </w:tcPr>
          <w:p w14:paraId="4D5EAEFE"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w:t>
            </w:r>
          </w:p>
        </w:tc>
        <w:tc>
          <w:tcPr>
            <w:tcW w:w="1134" w:type="dxa"/>
            <w:noWrap/>
            <w:hideMark/>
          </w:tcPr>
          <w:p w14:paraId="446C2715"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0.3</w:t>
            </w:r>
          </w:p>
        </w:tc>
        <w:tc>
          <w:tcPr>
            <w:tcW w:w="930" w:type="dxa"/>
            <w:noWrap/>
            <w:hideMark/>
          </w:tcPr>
          <w:p w14:paraId="04241E2F"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1.2</w:t>
            </w:r>
          </w:p>
        </w:tc>
        <w:tc>
          <w:tcPr>
            <w:tcW w:w="930" w:type="dxa"/>
            <w:noWrap/>
            <w:hideMark/>
          </w:tcPr>
          <w:p w14:paraId="78A6A479"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0.8</w:t>
            </w:r>
          </w:p>
        </w:tc>
        <w:tc>
          <w:tcPr>
            <w:tcW w:w="975" w:type="dxa"/>
            <w:noWrap/>
            <w:hideMark/>
          </w:tcPr>
          <w:p w14:paraId="2C00A706"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2.3</w:t>
            </w:r>
          </w:p>
        </w:tc>
      </w:tr>
      <w:tr w:rsidR="005820AF" w:rsidRPr="001F70BE" w14:paraId="42867DE3" w14:textId="77777777" w:rsidTr="00AA2559">
        <w:tc>
          <w:tcPr>
            <w:cnfStyle w:val="001000000000" w:firstRow="0" w:lastRow="0" w:firstColumn="1" w:lastColumn="0" w:oddVBand="0" w:evenVBand="0" w:oddHBand="0" w:evenHBand="0" w:firstRowFirstColumn="0" w:firstRowLastColumn="0" w:lastRowFirstColumn="0" w:lastRowLastColumn="0"/>
            <w:tcW w:w="1271" w:type="dxa"/>
            <w:vMerge/>
            <w:noWrap/>
            <w:hideMark/>
          </w:tcPr>
          <w:p w14:paraId="1AEA2A06" w14:textId="77777777" w:rsidR="005820AF" w:rsidRPr="00B41DE3" w:rsidRDefault="005820AF" w:rsidP="00A20B35">
            <w:pPr>
              <w:spacing w:before="20" w:after="20"/>
              <w:jc w:val="right"/>
              <w:rPr>
                <w:rFonts w:cs="Calibri"/>
                <w:color w:val="000000"/>
                <w:lang w:eastAsia="en-AU"/>
              </w:rPr>
            </w:pPr>
          </w:p>
        </w:tc>
        <w:tc>
          <w:tcPr>
            <w:tcW w:w="567" w:type="dxa"/>
            <w:noWrap/>
            <w:hideMark/>
          </w:tcPr>
          <w:p w14:paraId="245AF356"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G.1</w:t>
            </w:r>
          </w:p>
        </w:tc>
        <w:tc>
          <w:tcPr>
            <w:tcW w:w="2268" w:type="dxa"/>
            <w:noWrap/>
            <w:hideMark/>
          </w:tcPr>
          <w:p w14:paraId="5035E4D6"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Registers and record-keeping</w:t>
            </w:r>
          </w:p>
        </w:tc>
        <w:tc>
          <w:tcPr>
            <w:tcW w:w="1134" w:type="dxa"/>
            <w:noWrap/>
            <w:hideMark/>
          </w:tcPr>
          <w:p w14:paraId="3E98C13B"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0.35</w:t>
            </w:r>
          </w:p>
        </w:tc>
        <w:tc>
          <w:tcPr>
            <w:tcW w:w="1134" w:type="dxa"/>
            <w:noWrap/>
            <w:hideMark/>
          </w:tcPr>
          <w:p w14:paraId="0539C5F6"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0.45</w:t>
            </w:r>
          </w:p>
        </w:tc>
        <w:tc>
          <w:tcPr>
            <w:tcW w:w="930" w:type="dxa"/>
            <w:noWrap/>
            <w:hideMark/>
          </w:tcPr>
          <w:p w14:paraId="146C1376"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1.8</w:t>
            </w:r>
          </w:p>
        </w:tc>
        <w:tc>
          <w:tcPr>
            <w:tcW w:w="930" w:type="dxa"/>
            <w:noWrap/>
            <w:hideMark/>
          </w:tcPr>
          <w:p w14:paraId="113345F9"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0.8</w:t>
            </w:r>
          </w:p>
        </w:tc>
        <w:tc>
          <w:tcPr>
            <w:tcW w:w="975" w:type="dxa"/>
            <w:noWrap/>
            <w:hideMark/>
          </w:tcPr>
          <w:p w14:paraId="77102C75"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3.4</w:t>
            </w:r>
          </w:p>
        </w:tc>
      </w:tr>
      <w:tr w:rsidR="005820AF" w:rsidRPr="001F70BE" w14:paraId="51FDE9CB" w14:textId="77777777" w:rsidTr="00AA2559">
        <w:tc>
          <w:tcPr>
            <w:cnfStyle w:val="001000000000" w:firstRow="0" w:lastRow="0" w:firstColumn="1" w:lastColumn="0" w:oddVBand="0" w:evenVBand="0" w:oddHBand="0" w:evenHBand="0" w:firstRowFirstColumn="0" w:firstRowLastColumn="0" w:lastRowFirstColumn="0" w:lastRowLastColumn="0"/>
            <w:tcW w:w="1271" w:type="dxa"/>
            <w:vMerge/>
            <w:noWrap/>
            <w:hideMark/>
          </w:tcPr>
          <w:p w14:paraId="3C985132" w14:textId="77777777" w:rsidR="005820AF" w:rsidRPr="00B41DE3" w:rsidRDefault="005820AF" w:rsidP="00A20B35">
            <w:pPr>
              <w:spacing w:before="20" w:after="20"/>
              <w:jc w:val="right"/>
              <w:rPr>
                <w:rFonts w:cs="Calibri"/>
                <w:color w:val="000000"/>
                <w:lang w:eastAsia="en-AU"/>
              </w:rPr>
            </w:pPr>
          </w:p>
        </w:tc>
        <w:tc>
          <w:tcPr>
            <w:tcW w:w="567" w:type="dxa"/>
            <w:noWrap/>
            <w:hideMark/>
          </w:tcPr>
          <w:p w14:paraId="3A6FBBF0"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H.1</w:t>
            </w:r>
          </w:p>
        </w:tc>
        <w:tc>
          <w:tcPr>
            <w:tcW w:w="2268" w:type="dxa"/>
            <w:noWrap/>
            <w:hideMark/>
          </w:tcPr>
          <w:p w14:paraId="6B89B8AE"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Fees</w:t>
            </w:r>
          </w:p>
        </w:tc>
        <w:tc>
          <w:tcPr>
            <w:tcW w:w="1134" w:type="dxa"/>
            <w:noWrap/>
            <w:hideMark/>
          </w:tcPr>
          <w:p w14:paraId="1D7EEAE4" w14:textId="733CC370" w:rsidR="005820AF" w:rsidRPr="00B41DE3"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Pr>
                <w:rFonts w:cs="Calibri"/>
                <w:color w:val="000000"/>
                <w:lang w:eastAsia="en-AU"/>
              </w:rPr>
              <w:t>-2.45</w:t>
            </w:r>
          </w:p>
        </w:tc>
        <w:tc>
          <w:tcPr>
            <w:tcW w:w="1134" w:type="dxa"/>
            <w:noWrap/>
            <w:hideMark/>
          </w:tcPr>
          <w:p w14:paraId="2905F416"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0.3</w:t>
            </w:r>
          </w:p>
        </w:tc>
        <w:tc>
          <w:tcPr>
            <w:tcW w:w="930" w:type="dxa"/>
            <w:noWrap/>
            <w:hideMark/>
          </w:tcPr>
          <w:p w14:paraId="6471BFDD"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w:t>
            </w:r>
          </w:p>
        </w:tc>
        <w:tc>
          <w:tcPr>
            <w:tcW w:w="930" w:type="dxa"/>
            <w:noWrap/>
            <w:hideMark/>
          </w:tcPr>
          <w:p w14:paraId="7ADA733F"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w:t>
            </w:r>
          </w:p>
        </w:tc>
        <w:tc>
          <w:tcPr>
            <w:tcW w:w="975" w:type="dxa"/>
            <w:noWrap/>
            <w:hideMark/>
          </w:tcPr>
          <w:p w14:paraId="298442A8" w14:textId="627E022D" w:rsidR="005820AF" w:rsidRPr="00B41DE3"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Pr>
                <w:rFonts w:cs="Calibri"/>
                <w:color w:val="000000"/>
                <w:lang w:eastAsia="en-AU"/>
              </w:rPr>
              <w:t>-2.15</w:t>
            </w:r>
          </w:p>
        </w:tc>
      </w:tr>
      <w:tr w:rsidR="005820AF" w:rsidRPr="001F70BE" w14:paraId="3B0C2723" w14:textId="77777777" w:rsidTr="00AA2559">
        <w:tc>
          <w:tcPr>
            <w:cnfStyle w:val="001000000000" w:firstRow="0" w:lastRow="0" w:firstColumn="1" w:lastColumn="0" w:oddVBand="0" w:evenVBand="0" w:oddHBand="0" w:evenHBand="0" w:firstRowFirstColumn="0" w:firstRowLastColumn="0" w:lastRowFirstColumn="0" w:lastRowLastColumn="0"/>
            <w:tcW w:w="1271" w:type="dxa"/>
            <w:vMerge/>
            <w:tcBorders>
              <w:bottom w:val="single" w:sz="4" w:space="0" w:color="004EA8" w:themeColor="accent1"/>
            </w:tcBorders>
            <w:noWrap/>
            <w:hideMark/>
          </w:tcPr>
          <w:p w14:paraId="14FEE485" w14:textId="77777777" w:rsidR="005820AF" w:rsidRPr="00B41DE3" w:rsidRDefault="005820AF" w:rsidP="00A20B35">
            <w:pPr>
              <w:spacing w:before="20" w:after="20"/>
              <w:jc w:val="right"/>
              <w:rPr>
                <w:rFonts w:cs="Calibri"/>
                <w:color w:val="000000"/>
                <w:lang w:eastAsia="en-AU"/>
              </w:rPr>
            </w:pPr>
          </w:p>
        </w:tc>
        <w:tc>
          <w:tcPr>
            <w:tcW w:w="567" w:type="dxa"/>
            <w:tcBorders>
              <w:bottom w:val="single" w:sz="4" w:space="0" w:color="004EA8" w:themeColor="accent1"/>
            </w:tcBorders>
            <w:noWrap/>
            <w:hideMark/>
          </w:tcPr>
          <w:p w14:paraId="119178A5"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I.1</w:t>
            </w:r>
          </w:p>
        </w:tc>
        <w:tc>
          <w:tcPr>
            <w:tcW w:w="2268" w:type="dxa"/>
            <w:tcBorders>
              <w:bottom w:val="single" w:sz="4" w:space="0" w:color="004EA8" w:themeColor="accent1"/>
            </w:tcBorders>
            <w:noWrap/>
            <w:hideMark/>
          </w:tcPr>
          <w:p w14:paraId="14CDF982"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Exemptions or waivers</w:t>
            </w:r>
          </w:p>
        </w:tc>
        <w:tc>
          <w:tcPr>
            <w:tcW w:w="1134" w:type="dxa"/>
            <w:tcBorders>
              <w:bottom w:val="single" w:sz="4" w:space="0" w:color="004EA8" w:themeColor="accent1"/>
            </w:tcBorders>
            <w:noWrap/>
            <w:hideMark/>
          </w:tcPr>
          <w:p w14:paraId="3CE9A01B"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w:t>
            </w:r>
          </w:p>
        </w:tc>
        <w:tc>
          <w:tcPr>
            <w:tcW w:w="1134" w:type="dxa"/>
            <w:tcBorders>
              <w:bottom w:val="single" w:sz="4" w:space="0" w:color="004EA8" w:themeColor="accent1"/>
            </w:tcBorders>
            <w:noWrap/>
            <w:hideMark/>
          </w:tcPr>
          <w:p w14:paraId="69B00845"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-0.15</w:t>
            </w:r>
          </w:p>
        </w:tc>
        <w:tc>
          <w:tcPr>
            <w:tcW w:w="930" w:type="dxa"/>
            <w:tcBorders>
              <w:bottom w:val="single" w:sz="4" w:space="0" w:color="004EA8" w:themeColor="accent1"/>
            </w:tcBorders>
            <w:noWrap/>
            <w:hideMark/>
          </w:tcPr>
          <w:p w14:paraId="213A1E74" w14:textId="6B2989F6" w:rsidR="005820AF" w:rsidRPr="00B41DE3"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Pr>
                <w:rFonts w:cs="Calibri"/>
                <w:color w:val="000000"/>
                <w:lang w:eastAsia="en-AU"/>
              </w:rPr>
              <w:t>-0.9</w:t>
            </w:r>
          </w:p>
        </w:tc>
        <w:tc>
          <w:tcPr>
            <w:tcW w:w="930" w:type="dxa"/>
            <w:tcBorders>
              <w:bottom w:val="single" w:sz="4" w:space="0" w:color="004EA8" w:themeColor="accent1"/>
            </w:tcBorders>
            <w:noWrap/>
            <w:hideMark/>
          </w:tcPr>
          <w:p w14:paraId="4DAF0462" w14:textId="51DE0DB3" w:rsidR="005820AF" w:rsidRPr="00B41DE3"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Pr>
                <w:rFonts w:cs="Calibri"/>
                <w:color w:val="000000"/>
                <w:lang w:eastAsia="en-AU"/>
              </w:rPr>
              <w:t>-0.6</w:t>
            </w:r>
          </w:p>
        </w:tc>
        <w:tc>
          <w:tcPr>
            <w:tcW w:w="975" w:type="dxa"/>
            <w:tcBorders>
              <w:bottom w:val="single" w:sz="4" w:space="0" w:color="004EA8" w:themeColor="accent1"/>
            </w:tcBorders>
            <w:noWrap/>
            <w:hideMark/>
          </w:tcPr>
          <w:p w14:paraId="4E47FEF0" w14:textId="37B9CC15" w:rsidR="005820AF" w:rsidRPr="00B41DE3"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Pr>
                <w:rFonts w:cs="Calibri"/>
                <w:color w:val="000000"/>
                <w:lang w:eastAsia="en-AU"/>
              </w:rPr>
              <w:t>-1.65</w:t>
            </w:r>
          </w:p>
        </w:tc>
      </w:tr>
      <w:tr w:rsidR="005820AF" w:rsidRPr="00AA2559" w14:paraId="145BA38F" w14:textId="77777777" w:rsidTr="00F94642">
        <w:tc>
          <w:tcPr>
            <w:cnfStyle w:val="001000000000" w:firstRow="0" w:lastRow="0" w:firstColumn="1" w:lastColumn="0" w:oddVBand="0" w:evenVBand="0" w:oddHBand="0" w:evenHBand="0" w:firstRowFirstColumn="0" w:firstRowLastColumn="0" w:lastRowFirstColumn="0" w:lastRowLastColumn="0"/>
            <w:tcW w:w="1271" w:type="dxa"/>
            <w:tcBorders>
              <w:right w:val="nil"/>
            </w:tcBorders>
            <w:noWrap/>
            <w:hideMark/>
          </w:tcPr>
          <w:p w14:paraId="5C463D69" w14:textId="77777777" w:rsidR="005820AF" w:rsidRPr="00AA2559" w:rsidRDefault="005820AF" w:rsidP="00A20B35">
            <w:pPr>
              <w:spacing w:before="20" w:after="20"/>
              <w:rPr>
                <w:rFonts w:cs="Calibri"/>
                <w:b/>
                <w:color w:val="000000"/>
                <w:lang w:eastAsia="en-AU"/>
              </w:rPr>
            </w:pPr>
            <w:r w:rsidRPr="00AA2559">
              <w:rPr>
                <w:rFonts w:cs="Calibri"/>
                <w:b/>
                <w:color w:val="000000"/>
                <w:lang w:eastAsia="en-AU"/>
              </w:rPr>
              <w:t>Total</w:t>
            </w:r>
          </w:p>
        </w:tc>
        <w:tc>
          <w:tcPr>
            <w:tcW w:w="567" w:type="dxa"/>
            <w:tcBorders>
              <w:left w:val="nil"/>
              <w:right w:val="nil"/>
            </w:tcBorders>
            <w:noWrap/>
            <w:hideMark/>
          </w:tcPr>
          <w:p w14:paraId="0DAEBADE" w14:textId="77777777" w:rsidR="005820AF" w:rsidRPr="00AA2559"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b/>
                <w:bCs/>
                <w:color w:val="000000"/>
                <w:lang w:eastAsia="en-AU"/>
              </w:rPr>
            </w:pPr>
          </w:p>
        </w:tc>
        <w:tc>
          <w:tcPr>
            <w:tcW w:w="2268" w:type="dxa"/>
            <w:tcBorders>
              <w:left w:val="nil"/>
              <w:right w:val="nil"/>
            </w:tcBorders>
            <w:noWrap/>
            <w:hideMark/>
          </w:tcPr>
          <w:p w14:paraId="03438256" w14:textId="77777777" w:rsidR="005820AF" w:rsidRPr="00AA2559"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b/>
                <w:bCs/>
                <w:color w:val="000000"/>
                <w:lang w:eastAsia="en-AU"/>
              </w:rPr>
            </w:pPr>
          </w:p>
        </w:tc>
        <w:tc>
          <w:tcPr>
            <w:tcW w:w="1134" w:type="dxa"/>
            <w:tcBorders>
              <w:left w:val="nil"/>
              <w:right w:val="nil"/>
            </w:tcBorders>
            <w:noWrap/>
          </w:tcPr>
          <w:p w14:paraId="4FEBCCBF" w14:textId="32F3A815" w:rsidR="005820AF" w:rsidRPr="00AA2559"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b/>
                <w:bCs/>
                <w:color w:val="000000"/>
                <w:lang w:eastAsia="en-AU"/>
              </w:rPr>
            </w:pPr>
            <w:r>
              <w:rPr>
                <w:rFonts w:cs="Calibri"/>
                <w:b/>
                <w:bCs/>
                <w:color w:val="000000"/>
                <w:lang w:eastAsia="en-AU"/>
              </w:rPr>
              <w:t>-7.35</w:t>
            </w:r>
          </w:p>
        </w:tc>
        <w:tc>
          <w:tcPr>
            <w:tcW w:w="1134" w:type="dxa"/>
            <w:tcBorders>
              <w:left w:val="nil"/>
              <w:right w:val="nil"/>
            </w:tcBorders>
            <w:noWrap/>
          </w:tcPr>
          <w:p w14:paraId="241A9B60" w14:textId="36239414" w:rsidR="005820AF" w:rsidRPr="00AA2559"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b/>
                <w:bCs/>
                <w:color w:val="000000"/>
                <w:lang w:eastAsia="en-AU"/>
              </w:rPr>
            </w:pPr>
            <w:r>
              <w:rPr>
                <w:rFonts w:cs="Calibri"/>
                <w:b/>
                <w:bCs/>
                <w:color w:val="000000"/>
                <w:lang w:eastAsia="en-AU"/>
              </w:rPr>
              <w:t>1.5</w:t>
            </w:r>
          </w:p>
        </w:tc>
        <w:tc>
          <w:tcPr>
            <w:tcW w:w="930" w:type="dxa"/>
            <w:tcBorders>
              <w:left w:val="nil"/>
              <w:right w:val="nil"/>
            </w:tcBorders>
            <w:noWrap/>
          </w:tcPr>
          <w:p w14:paraId="2BC77024" w14:textId="65E8CD9D" w:rsidR="005820AF" w:rsidRPr="00AA2559"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b/>
                <w:bCs/>
                <w:color w:val="000000"/>
                <w:lang w:eastAsia="en-AU"/>
              </w:rPr>
            </w:pPr>
            <w:r>
              <w:rPr>
                <w:rFonts w:cs="Calibri"/>
                <w:b/>
                <w:bCs/>
                <w:color w:val="000000"/>
                <w:lang w:eastAsia="en-AU"/>
              </w:rPr>
              <w:t>8.25</w:t>
            </w:r>
          </w:p>
        </w:tc>
        <w:tc>
          <w:tcPr>
            <w:tcW w:w="930" w:type="dxa"/>
            <w:tcBorders>
              <w:left w:val="nil"/>
              <w:right w:val="nil"/>
            </w:tcBorders>
            <w:noWrap/>
          </w:tcPr>
          <w:p w14:paraId="1D25ECBF" w14:textId="3782D7C7" w:rsidR="005820AF" w:rsidRPr="00AA2559"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b/>
                <w:bCs/>
                <w:color w:val="000000"/>
                <w:lang w:eastAsia="en-AU"/>
              </w:rPr>
            </w:pPr>
            <w:r>
              <w:rPr>
                <w:rFonts w:cs="Calibri"/>
                <w:b/>
                <w:bCs/>
                <w:color w:val="000000"/>
                <w:lang w:eastAsia="en-AU"/>
              </w:rPr>
              <w:t>3.6</w:t>
            </w:r>
          </w:p>
        </w:tc>
        <w:tc>
          <w:tcPr>
            <w:tcW w:w="975" w:type="dxa"/>
            <w:tcBorders>
              <w:left w:val="nil"/>
            </w:tcBorders>
            <w:noWrap/>
          </w:tcPr>
          <w:p w14:paraId="52F822CB" w14:textId="2B0290AD" w:rsidR="005820AF" w:rsidRPr="00AA2559"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b/>
                <w:bCs/>
                <w:color w:val="000000"/>
                <w:lang w:eastAsia="en-AU"/>
              </w:rPr>
            </w:pPr>
            <w:r>
              <w:rPr>
                <w:rFonts w:cs="Calibri"/>
                <w:b/>
                <w:bCs/>
                <w:color w:val="000000"/>
                <w:lang w:eastAsia="en-AU"/>
              </w:rPr>
              <w:t>6.0</w:t>
            </w:r>
          </w:p>
        </w:tc>
      </w:tr>
      <w:tr w:rsidR="005820AF" w:rsidRPr="001F70BE" w14:paraId="640FA61D" w14:textId="77777777" w:rsidTr="00AA2559">
        <w:tc>
          <w:tcPr>
            <w:cnfStyle w:val="001000000000" w:firstRow="0" w:lastRow="0" w:firstColumn="1" w:lastColumn="0" w:oddVBand="0" w:evenVBand="0" w:oddHBand="0" w:evenHBand="0" w:firstRowFirstColumn="0" w:firstRowLastColumn="0" w:lastRowFirstColumn="0" w:lastRowLastColumn="0"/>
            <w:tcW w:w="1271" w:type="dxa"/>
            <w:vMerge w:val="restart"/>
            <w:noWrap/>
            <w:hideMark/>
          </w:tcPr>
          <w:p w14:paraId="1A9E6850" w14:textId="77777777" w:rsidR="005820AF" w:rsidRPr="00B41DE3" w:rsidRDefault="005820AF" w:rsidP="00A20B35">
            <w:pPr>
              <w:spacing w:before="20" w:after="20"/>
              <w:rPr>
                <w:rFonts w:cs="Calibri"/>
                <w:color w:val="000000"/>
                <w:lang w:eastAsia="en-AU"/>
              </w:rPr>
            </w:pPr>
            <w:r w:rsidRPr="00B41DE3">
              <w:rPr>
                <w:rFonts w:cs="Calibri"/>
                <w:color w:val="000000"/>
                <w:lang w:eastAsia="en-AU"/>
              </w:rPr>
              <w:t>Alignment</w:t>
            </w:r>
          </w:p>
        </w:tc>
        <w:tc>
          <w:tcPr>
            <w:tcW w:w="567" w:type="dxa"/>
            <w:noWrap/>
            <w:hideMark/>
          </w:tcPr>
          <w:p w14:paraId="4A1483DA"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A.2</w:t>
            </w:r>
          </w:p>
        </w:tc>
        <w:tc>
          <w:tcPr>
            <w:tcW w:w="2268" w:type="dxa"/>
            <w:noWrap/>
            <w:hideMark/>
          </w:tcPr>
          <w:p w14:paraId="10132448"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Approval applications</w:t>
            </w:r>
          </w:p>
        </w:tc>
        <w:tc>
          <w:tcPr>
            <w:tcW w:w="1134" w:type="dxa"/>
            <w:noWrap/>
            <w:hideMark/>
          </w:tcPr>
          <w:p w14:paraId="496388B7"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1.05</w:t>
            </w:r>
          </w:p>
        </w:tc>
        <w:tc>
          <w:tcPr>
            <w:tcW w:w="1134" w:type="dxa"/>
            <w:noWrap/>
            <w:hideMark/>
          </w:tcPr>
          <w:p w14:paraId="0A80B4EB"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0.45</w:t>
            </w:r>
          </w:p>
        </w:tc>
        <w:tc>
          <w:tcPr>
            <w:tcW w:w="930" w:type="dxa"/>
            <w:noWrap/>
            <w:hideMark/>
          </w:tcPr>
          <w:p w14:paraId="06A94616"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1.8</w:t>
            </w:r>
          </w:p>
        </w:tc>
        <w:tc>
          <w:tcPr>
            <w:tcW w:w="930" w:type="dxa"/>
            <w:noWrap/>
            <w:hideMark/>
          </w:tcPr>
          <w:p w14:paraId="26F25BA3"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1.2</w:t>
            </w:r>
          </w:p>
        </w:tc>
        <w:tc>
          <w:tcPr>
            <w:tcW w:w="975" w:type="dxa"/>
            <w:noWrap/>
            <w:hideMark/>
          </w:tcPr>
          <w:p w14:paraId="3AB2450C"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4.5</w:t>
            </w:r>
          </w:p>
        </w:tc>
      </w:tr>
      <w:tr w:rsidR="005820AF" w:rsidRPr="001F70BE" w14:paraId="0F3FF430" w14:textId="77777777" w:rsidTr="00AA2559">
        <w:tc>
          <w:tcPr>
            <w:cnfStyle w:val="001000000000" w:firstRow="0" w:lastRow="0" w:firstColumn="1" w:lastColumn="0" w:oddVBand="0" w:evenVBand="0" w:oddHBand="0" w:evenHBand="0" w:firstRowFirstColumn="0" w:firstRowLastColumn="0" w:lastRowFirstColumn="0" w:lastRowLastColumn="0"/>
            <w:tcW w:w="1271" w:type="dxa"/>
            <w:vMerge/>
            <w:noWrap/>
            <w:hideMark/>
          </w:tcPr>
          <w:p w14:paraId="47648EAF" w14:textId="77777777" w:rsidR="005820AF" w:rsidRPr="00B41DE3" w:rsidRDefault="005820AF" w:rsidP="00A20B35">
            <w:pPr>
              <w:spacing w:before="20" w:after="20"/>
              <w:jc w:val="right"/>
              <w:rPr>
                <w:rFonts w:cs="Calibri"/>
                <w:color w:val="000000"/>
                <w:lang w:eastAsia="en-AU"/>
              </w:rPr>
            </w:pPr>
          </w:p>
        </w:tc>
        <w:tc>
          <w:tcPr>
            <w:tcW w:w="567" w:type="dxa"/>
            <w:noWrap/>
            <w:hideMark/>
          </w:tcPr>
          <w:p w14:paraId="77C2BBD8"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B.2</w:t>
            </w:r>
          </w:p>
        </w:tc>
        <w:tc>
          <w:tcPr>
            <w:tcW w:w="2268" w:type="dxa"/>
            <w:noWrap/>
            <w:hideMark/>
          </w:tcPr>
          <w:p w14:paraId="04AD395F"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Service types</w:t>
            </w:r>
          </w:p>
        </w:tc>
        <w:tc>
          <w:tcPr>
            <w:tcW w:w="1134" w:type="dxa"/>
            <w:noWrap/>
            <w:hideMark/>
          </w:tcPr>
          <w:p w14:paraId="047E9435"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-0.35</w:t>
            </w:r>
          </w:p>
        </w:tc>
        <w:tc>
          <w:tcPr>
            <w:tcW w:w="1134" w:type="dxa"/>
            <w:noWrap/>
            <w:hideMark/>
          </w:tcPr>
          <w:p w14:paraId="07086C8E"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0.6</w:t>
            </w:r>
          </w:p>
        </w:tc>
        <w:tc>
          <w:tcPr>
            <w:tcW w:w="930" w:type="dxa"/>
            <w:noWrap/>
            <w:hideMark/>
          </w:tcPr>
          <w:p w14:paraId="69393902"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0.6</w:t>
            </w:r>
          </w:p>
        </w:tc>
        <w:tc>
          <w:tcPr>
            <w:tcW w:w="930" w:type="dxa"/>
            <w:noWrap/>
            <w:hideMark/>
          </w:tcPr>
          <w:p w14:paraId="534CEF1F"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0.6</w:t>
            </w:r>
          </w:p>
        </w:tc>
        <w:tc>
          <w:tcPr>
            <w:tcW w:w="975" w:type="dxa"/>
            <w:noWrap/>
            <w:hideMark/>
          </w:tcPr>
          <w:p w14:paraId="497E5998"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1.45</w:t>
            </w:r>
          </w:p>
        </w:tc>
      </w:tr>
      <w:tr w:rsidR="005820AF" w:rsidRPr="001F70BE" w14:paraId="0EE06A45" w14:textId="77777777" w:rsidTr="00AA2559">
        <w:tc>
          <w:tcPr>
            <w:cnfStyle w:val="001000000000" w:firstRow="0" w:lastRow="0" w:firstColumn="1" w:lastColumn="0" w:oddVBand="0" w:evenVBand="0" w:oddHBand="0" w:evenHBand="0" w:firstRowFirstColumn="0" w:firstRowLastColumn="0" w:lastRowFirstColumn="0" w:lastRowLastColumn="0"/>
            <w:tcW w:w="1271" w:type="dxa"/>
            <w:vMerge/>
            <w:noWrap/>
            <w:hideMark/>
          </w:tcPr>
          <w:p w14:paraId="2387925B" w14:textId="77777777" w:rsidR="005820AF" w:rsidRPr="00B41DE3" w:rsidRDefault="005820AF" w:rsidP="00A20B35">
            <w:pPr>
              <w:spacing w:before="20" w:after="20"/>
              <w:jc w:val="right"/>
              <w:rPr>
                <w:rFonts w:cs="Calibri"/>
                <w:color w:val="000000"/>
                <w:lang w:eastAsia="en-AU"/>
              </w:rPr>
            </w:pPr>
          </w:p>
        </w:tc>
        <w:tc>
          <w:tcPr>
            <w:tcW w:w="567" w:type="dxa"/>
            <w:noWrap/>
            <w:hideMark/>
          </w:tcPr>
          <w:p w14:paraId="23067A63"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C.2</w:t>
            </w:r>
          </w:p>
        </w:tc>
        <w:tc>
          <w:tcPr>
            <w:tcW w:w="2268" w:type="dxa"/>
            <w:noWrap/>
            <w:hideMark/>
          </w:tcPr>
          <w:p w14:paraId="4A91ECD3"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Staffing</w:t>
            </w:r>
          </w:p>
        </w:tc>
        <w:tc>
          <w:tcPr>
            <w:tcW w:w="1134" w:type="dxa"/>
            <w:noWrap/>
            <w:hideMark/>
          </w:tcPr>
          <w:p w14:paraId="5B3731B8"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-0.88</w:t>
            </w:r>
          </w:p>
        </w:tc>
        <w:tc>
          <w:tcPr>
            <w:tcW w:w="1134" w:type="dxa"/>
            <w:noWrap/>
            <w:hideMark/>
          </w:tcPr>
          <w:p w14:paraId="6F7B3C3A"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0.15</w:t>
            </w:r>
          </w:p>
        </w:tc>
        <w:tc>
          <w:tcPr>
            <w:tcW w:w="930" w:type="dxa"/>
            <w:noWrap/>
            <w:hideMark/>
          </w:tcPr>
          <w:p w14:paraId="65C27BD9" w14:textId="16BD09E9" w:rsidR="005820AF" w:rsidRPr="00B41DE3"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Pr>
                <w:rFonts w:cs="Calibri"/>
                <w:color w:val="000000"/>
                <w:lang w:eastAsia="en-AU"/>
              </w:rPr>
              <w:t>2.7</w:t>
            </w:r>
          </w:p>
        </w:tc>
        <w:tc>
          <w:tcPr>
            <w:tcW w:w="930" w:type="dxa"/>
            <w:noWrap/>
            <w:hideMark/>
          </w:tcPr>
          <w:p w14:paraId="71161A8E" w14:textId="749635E8" w:rsidR="005820AF" w:rsidRPr="00B41DE3"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Pr>
                <w:rFonts w:cs="Calibri"/>
                <w:color w:val="000000"/>
                <w:lang w:eastAsia="en-AU"/>
              </w:rPr>
              <w:t>1.6</w:t>
            </w:r>
          </w:p>
        </w:tc>
        <w:tc>
          <w:tcPr>
            <w:tcW w:w="975" w:type="dxa"/>
            <w:noWrap/>
            <w:hideMark/>
          </w:tcPr>
          <w:p w14:paraId="7805BAE9" w14:textId="728F0D82" w:rsidR="005820AF" w:rsidRPr="00B41DE3"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Pr>
                <w:rFonts w:cs="Calibri"/>
                <w:color w:val="000000"/>
                <w:lang w:eastAsia="en-AU"/>
              </w:rPr>
              <w:t>3.57</w:t>
            </w:r>
          </w:p>
        </w:tc>
      </w:tr>
      <w:tr w:rsidR="005820AF" w:rsidRPr="001F70BE" w14:paraId="685DF287" w14:textId="77777777" w:rsidTr="00AA2559">
        <w:tc>
          <w:tcPr>
            <w:cnfStyle w:val="001000000000" w:firstRow="0" w:lastRow="0" w:firstColumn="1" w:lastColumn="0" w:oddVBand="0" w:evenVBand="0" w:oddHBand="0" w:evenHBand="0" w:firstRowFirstColumn="0" w:firstRowLastColumn="0" w:lastRowFirstColumn="0" w:lastRowLastColumn="0"/>
            <w:tcW w:w="1271" w:type="dxa"/>
            <w:vMerge/>
            <w:noWrap/>
            <w:hideMark/>
          </w:tcPr>
          <w:p w14:paraId="525982A7" w14:textId="77777777" w:rsidR="005820AF" w:rsidRPr="00B41DE3" w:rsidRDefault="005820AF" w:rsidP="00A20B35">
            <w:pPr>
              <w:spacing w:before="20" w:after="20"/>
              <w:jc w:val="right"/>
              <w:rPr>
                <w:rFonts w:cs="Calibri"/>
                <w:color w:val="000000"/>
                <w:lang w:eastAsia="en-AU"/>
              </w:rPr>
            </w:pPr>
          </w:p>
        </w:tc>
        <w:tc>
          <w:tcPr>
            <w:tcW w:w="567" w:type="dxa"/>
            <w:noWrap/>
            <w:hideMark/>
          </w:tcPr>
          <w:p w14:paraId="4EF6133D"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D.2</w:t>
            </w:r>
          </w:p>
        </w:tc>
        <w:tc>
          <w:tcPr>
            <w:tcW w:w="2268" w:type="dxa"/>
            <w:noWrap/>
            <w:hideMark/>
          </w:tcPr>
          <w:p w14:paraId="514CEB71" w14:textId="1FA1779C"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Health</w:t>
            </w:r>
            <w:r w:rsidR="002113C8">
              <w:rPr>
                <w:rFonts w:cs="Calibri"/>
                <w:color w:val="000000"/>
                <w:lang w:eastAsia="en-AU"/>
              </w:rPr>
              <w:t>, safety and wellbeing</w:t>
            </w:r>
          </w:p>
        </w:tc>
        <w:tc>
          <w:tcPr>
            <w:tcW w:w="1134" w:type="dxa"/>
            <w:noWrap/>
            <w:hideMark/>
          </w:tcPr>
          <w:p w14:paraId="0EF1378E"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-1.4</w:t>
            </w:r>
          </w:p>
        </w:tc>
        <w:tc>
          <w:tcPr>
            <w:tcW w:w="1134" w:type="dxa"/>
            <w:noWrap/>
            <w:hideMark/>
          </w:tcPr>
          <w:p w14:paraId="56ECEC78"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w:t>
            </w:r>
          </w:p>
        </w:tc>
        <w:tc>
          <w:tcPr>
            <w:tcW w:w="930" w:type="dxa"/>
            <w:noWrap/>
            <w:hideMark/>
          </w:tcPr>
          <w:p w14:paraId="5A38A609"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2.1</w:t>
            </w:r>
          </w:p>
        </w:tc>
        <w:tc>
          <w:tcPr>
            <w:tcW w:w="930" w:type="dxa"/>
            <w:noWrap/>
            <w:hideMark/>
          </w:tcPr>
          <w:p w14:paraId="4A469D6E"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0.2</w:t>
            </w:r>
          </w:p>
        </w:tc>
        <w:tc>
          <w:tcPr>
            <w:tcW w:w="975" w:type="dxa"/>
            <w:noWrap/>
            <w:hideMark/>
          </w:tcPr>
          <w:p w14:paraId="12126FF6"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0.9</w:t>
            </w:r>
          </w:p>
        </w:tc>
      </w:tr>
      <w:tr w:rsidR="005820AF" w:rsidRPr="001F70BE" w14:paraId="189BEEB2" w14:textId="77777777" w:rsidTr="00AA2559">
        <w:tc>
          <w:tcPr>
            <w:cnfStyle w:val="001000000000" w:firstRow="0" w:lastRow="0" w:firstColumn="1" w:lastColumn="0" w:oddVBand="0" w:evenVBand="0" w:oddHBand="0" w:evenHBand="0" w:firstRowFirstColumn="0" w:firstRowLastColumn="0" w:lastRowFirstColumn="0" w:lastRowLastColumn="0"/>
            <w:tcW w:w="1271" w:type="dxa"/>
            <w:vMerge/>
            <w:noWrap/>
            <w:hideMark/>
          </w:tcPr>
          <w:p w14:paraId="772E0DCA" w14:textId="77777777" w:rsidR="005820AF" w:rsidRPr="00B41DE3" w:rsidRDefault="005820AF" w:rsidP="00A20B35">
            <w:pPr>
              <w:spacing w:before="20" w:after="20"/>
              <w:jc w:val="right"/>
              <w:rPr>
                <w:rFonts w:cs="Calibri"/>
                <w:color w:val="000000"/>
                <w:lang w:eastAsia="en-AU"/>
              </w:rPr>
            </w:pPr>
          </w:p>
        </w:tc>
        <w:tc>
          <w:tcPr>
            <w:tcW w:w="567" w:type="dxa"/>
            <w:noWrap/>
            <w:hideMark/>
          </w:tcPr>
          <w:p w14:paraId="3CD3FC0A"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E.2</w:t>
            </w:r>
          </w:p>
        </w:tc>
        <w:tc>
          <w:tcPr>
            <w:tcW w:w="2268" w:type="dxa"/>
            <w:noWrap/>
            <w:hideMark/>
          </w:tcPr>
          <w:p w14:paraId="2B78D6A3"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Equipment and facilities</w:t>
            </w:r>
          </w:p>
        </w:tc>
        <w:tc>
          <w:tcPr>
            <w:tcW w:w="1134" w:type="dxa"/>
            <w:noWrap/>
            <w:hideMark/>
          </w:tcPr>
          <w:p w14:paraId="55CEFE3C"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-1.75</w:t>
            </w:r>
          </w:p>
        </w:tc>
        <w:tc>
          <w:tcPr>
            <w:tcW w:w="1134" w:type="dxa"/>
            <w:noWrap/>
            <w:hideMark/>
          </w:tcPr>
          <w:p w14:paraId="00FC2788"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w:t>
            </w:r>
          </w:p>
        </w:tc>
        <w:tc>
          <w:tcPr>
            <w:tcW w:w="930" w:type="dxa"/>
            <w:noWrap/>
            <w:hideMark/>
          </w:tcPr>
          <w:p w14:paraId="648536D0"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2.1</w:t>
            </w:r>
          </w:p>
        </w:tc>
        <w:tc>
          <w:tcPr>
            <w:tcW w:w="930" w:type="dxa"/>
            <w:noWrap/>
            <w:hideMark/>
          </w:tcPr>
          <w:p w14:paraId="6594C26C"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0.8</w:t>
            </w:r>
          </w:p>
        </w:tc>
        <w:tc>
          <w:tcPr>
            <w:tcW w:w="975" w:type="dxa"/>
            <w:noWrap/>
            <w:hideMark/>
          </w:tcPr>
          <w:p w14:paraId="16F38E04"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1.15</w:t>
            </w:r>
          </w:p>
        </w:tc>
      </w:tr>
      <w:tr w:rsidR="005820AF" w:rsidRPr="001F70BE" w14:paraId="2F7FD987" w14:textId="77777777" w:rsidTr="00AA2559">
        <w:tc>
          <w:tcPr>
            <w:cnfStyle w:val="001000000000" w:firstRow="0" w:lastRow="0" w:firstColumn="1" w:lastColumn="0" w:oddVBand="0" w:evenVBand="0" w:oddHBand="0" w:evenHBand="0" w:firstRowFirstColumn="0" w:firstRowLastColumn="0" w:lastRowFirstColumn="0" w:lastRowLastColumn="0"/>
            <w:tcW w:w="1271" w:type="dxa"/>
            <w:vMerge/>
            <w:noWrap/>
            <w:hideMark/>
          </w:tcPr>
          <w:p w14:paraId="3120E1D4" w14:textId="77777777" w:rsidR="005820AF" w:rsidRPr="00B41DE3" w:rsidRDefault="005820AF" w:rsidP="00A20B35">
            <w:pPr>
              <w:spacing w:before="20" w:after="20"/>
              <w:jc w:val="right"/>
              <w:rPr>
                <w:rFonts w:cs="Calibri"/>
                <w:color w:val="000000"/>
                <w:lang w:eastAsia="en-AU"/>
              </w:rPr>
            </w:pPr>
          </w:p>
        </w:tc>
        <w:tc>
          <w:tcPr>
            <w:tcW w:w="567" w:type="dxa"/>
            <w:noWrap/>
            <w:hideMark/>
          </w:tcPr>
          <w:p w14:paraId="55846093"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F.2</w:t>
            </w:r>
          </w:p>
        </w:tc>
        <w:tc>
          <w:tcPr>
            <w:tcW w:w="2268" w:type="dxa"/>
            <w:noWrap/>
            <w:hideMark/>
          </w:tcPr>
          <w:p w14:paraId="5279CA15" w14:textId="19899E7B"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Complaints</w:t>
            </w:r>
            <w:r w:rsidR="005A6B33">
              <w:rPr>
                <w:rFonts w:cs="Calibri"/>
                <w:color w:val="000000"/>
                <w:lang w:eastAsia="en-AU"/>
              </w:rPr>
              <w:t xml:space="preserve"> and serious incidents</w:t>
            </w:r>
          </w:p>
        </w:tc>
        <w:tc>
          <w:tcPr>
            <w:tcW w:w="1134" w:type="dxa"/>
            <w:noWrap/>
            <w:hideMark/>
          </w:tcPr>
          <w:p w14:paraId="254A69F0"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w:t>
            </w:r>
          </w:p>
        </w:tc>
        <w:tc>
          <w:tcPr>
            <w:tcW w:w="1134" w:type="dxa"/>
            <w:noWrap/>
            <w:hideMark/>
          </w:tcPr>
          <w:p w14:paraId="32CEDBA7"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0.3</w:t>
            </w:r>
          </w:p>
        </w:tc>
        <w:tc>
          <w:tcPr>
            <w:tcW w:w="930" w:type="dxa"/>
            <w:noWrap/>
            <w:hideMark/>
          </w:tcPr>
          <w:p w14:paraId="44CD69BD"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1.2</w:t>
            </w:r>
          </w:p>
        </w:tc>
        <w:tc>
          <w:tcPr>
            <w:tcW w:w="930" w:type="dxa"/>
            <w:noWrap/>
            <w:hideMark/>
          </w:tcPr>
          <w:p w14:paraId="175E49DC"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0.8</w:t>
            </w:r>
          </w:p>
        </w:tc>
        <w:tc>
          <w:tcPr>
            <w:tcW w:w="975" w:type="dxa"/>
            <w:noWrap/>
            <w:hideMark/>
          </w:tcPr>
          <w:p w14:paraId="17443A5E"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2.3</w:t>
            </w:r>
          </w:p>
        </w:tc>
      </w:tr>
      <w:tr w:rsidR="005820AF" w:rsidRPr="001F70BE" w14:paraId="25C93491" w14:textId="77777777" w:rsidTr="00AA2559">
        <w:tc>
          <w:tcPr>
            <w:cnfStyle w:val="001000000000" w:firstRow="0" w:lastRow="0" w:firstColumn="1" w:lastColumn="0" w:oddVBand="0" w:evenVBand="0" w:oddHBand="0" w:evenHBand="0" w:firstRowFirstColumn="0" w:firstRowLastColumn="0" w:lastRowFirstColumn="0" w:lastRowLastColumn="0"/>
            <w:tcW w:w="1271" w:type="dxa"/>
            <w:vMerge/>
            <w:noWrap/>
            <w:hideMark/>
          </w:tcPr>
          <w:p w14:paraId="56C8DE6B" w14:textId="77777777" w:rsidR="005820AF" w:rsidRPr="00B41DE3" w:rsidRDefault="005820AF" w:rsidP="00A20B35">
            <w:pPr>
              <w:spacing w:before="20" w:after="20"/>
              <w:jc w:val="right"/>
              <w:rPr>
                <w:rFonts w:cs="Calibri"/>
                <w:color w:val="000000"/>
                <w:lang w:eastAsia="en-AU"/>
              </w:rPr>
            </w:pPr>
          </w:p>
        </w:tc>
        <w:tc>
          <w:tcPr>
            <w:tcW w:w="567" w:type="dxa"/>
            <w:noWrap/>
            <w:hideMark/>
          </w:tcPr>
          <w:p w14:paraId="7309888F"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G.2</w:t>
            </w:r>
          </w:p>
        </w:tc>
        <w:tc>
          <w:tcPr>
            <w:tcW w:w="2268" w:type="dxa"/>
            <w:noWrap/>
            <w:hideMark/>
          </w:tcPr>
          <w:p w14:paraId="4FC8C00C"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Registers and record-keeping</w:t>
            </w:r>
          </w:p>
        </w:tc>
        <w:tc>
          <w:tcPr>
            <w:tcW w:w="1134" w:type="dxa"/>
            <w:noWrap/>
            <w:hideMark/>
          </w:tcPr>
          <w:p w14:paraId="637C6DFD"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0.35</w:t>
            </w:r>
          </w:p>
        </w:tc>
        <w:tc>
          <w:tcPr>
            <w:tcW w:w="1134" w:type="dxa"/>
            <w:noWrap/>
            <w:hideMark/>
          </w:tcPr>
          <w:p w14:paraId="379476C0"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0.45</w:t>
            </w:r>
          </w:p>
        </w:tc>
        <w:tc>
          <w:tcPr>
            <w:tcW w:w="930" w:type="dxa"/>
            <w:noWrap/>
            <w:hideMark/>
          </w:tcPr>
          <w:p w14:paraId="559C768B"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2.1</w:t>
            </w:r>
          </w:p>
        </w:tc>
        <w:tc>
          <w:tcPr>
            <w:tcW w:w="930" w:type="dxa"/>
            <w:noWrap/>
            <w:hideMark/>
          </w:tcPr>
          <w:p w14:paraId="6E7CA7AE"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0.8</w:t>
            </w:r>
          </w:p>
        </w:tc>
        <w:tc>
          <w:tcPr>
            <w:tcW w:w="975" w:type="dxa"/>
            <w:noWrap/>
            <w:hideMark/>
          </w:tcPr>
          <w:p w14:paraId="3F39C1B6"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3.7</w:t>
            </w:r>
          </w:p>
        </w:tc>
      </w:tr>
      <w:tr w:rsidR="005820AF" w:rsidRPr="001F70BE" w14:paraId="50B01B22" w14:textId="77777777" w:rsidTr="00AA2559">
        <w:tc>
          <w:tcPr>
            <w:cnfStyle w:val="001000000000" w:firstRow="0" w:lastRow="0" w:firstColumn="1" w:lastColumn="0" w:oddVBand="0" w:evenVBand="0" w:oddHBand="0" w:evenHBand="0" w:firstRowFirstColumn="0" w:firstRowLastColumn="0" w:lastRowFirstColumn="0" w:lastRowLastColumn="0"/>
            <w:tcW w:w="1271" w:type="dxa"/>
            <w:vMerge/>
            <w:noWrap/>
            <w:hideMark/>
          </w:tcPr>
          <w:p w14:paraId="32F26329" w14:textId="77777777" w:rsidR="005820AF" w:rsidRPr="00B41DE3" w:rsidRDefault="005820AF" w:rsidP="00A20B35">
            <w:pPr>
              <w:spacing w:before="20" w:after="20"/>
              <w:jc w:val="right"/>
              <w:rPr>
                <w:rFonts w:cs="Calibri"/>
                <w:color w:val="000000"/>
                <w:lang w:eastAsia="en-AU"/>
              </w:rPr>
            </w:pPr>
          </w:p>
        </w:tc>
        <w:tc>
          <w:tcPr>
            <w:tcW w:w="567" w:type="dxa"/>
            <w:noWrap/>
            <w:hideMark/>
          </w:tcPr>
          <w:p w14:paraId="17D2F67C"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H.2</w:t>
            </w:r>
          </w:p>
        </w:tc>
        <w:tc>
          <w:tcPr>
            <w:tcW w:w="2268" w:type="dxa"/>
            <w:noWrap/>
            <w:hideMark/>
          </w:tcPr>
          <w:p w14:paraId="1346BDAE"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Fees</w:t>
            </w:r>
          </w:p>
        </w:tc>
        <w:tc>
          <w:tcPr>
            <w:tcW w:w="1134" w:type="dxa"/>
            <w:noWrap/>
            <w:hideMark/>
          </w:tcPr>
          <w:p w14:paraId="1BE76C64" w14:textId="2DCDFE6A" w:rsidR="005820AF" w:rsidRPr="00B41DE3"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Pr>
                <w:rFonts w:cs="Calibri"/>
                <w:color w:val="000000"/>
                <w:lang w:eastAsia="en-AU"/>
              </w:rPr>
              <w:t>-2.1</w:t>
            </w:r>
          </w:p>
        </w:tc>
        <w:tc>
          <w:tcPr>
            <w:tcW w:w="1134" w:type="dxa"/>
            <w:noWrap/>
            <w:hideMark/>
          </w:tcPr>
          <w:p w14:paraId="18360A4D"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0.45</w:t>
            </w:r>
          </w:p>
        </w:tc>
        <w:tc>
          <w:tcPr>
            <w:tcW w:w="930" w:type="dxa"/>
            <w:noWrap/>
            <w:hideMark/>
          </w:tcPr>
          <w:p w14:paraId="6C35FADF"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w:t>
            </w:r>
          </w:p>
        </w:tc>
        <w:tc>
          <w:tcPr>
            <w:tcW w:w="930" w:type="dxa"/>
            <w:noWrap/>
            <w:hideMark/>
          </w:tcPr>
          <w:p w14:paraId="6DE6211D"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w:t>
            </w:r>
          </w:p>
        </w:tc>
        <w:tc>
          <w:tcPr>
            <w:tcW w:w="975" w:type="dxa"/>
            <w:noWrap/>
            <w:hideMark/>
          </w:tcPr>
          <w:p w14:paraId="30914927" w14:textId="0A4EC077" w:rsidR="005820AF" w:rsidRPr="00B41DE3"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Pr>
                <w:rFonts w:cs="Calibri"/>
                <w:color w:val="000000"/>
                <w:lang w:eastAsia="en-AU"/>
              </w:rPr>
              <w:t>-1.65</w:t>
            </w:r>
          </w:p>
        </w:tc>
      </w:tr>
      <w:tr w:rsidR="005820AF" w:rsidRPr="001F70BE" w14:paraId="2A033FCD" w14:textId="77777777" w:rsidTr="00F94642">
        <w:tc>
          <w:tcPr>
            <w:cnfStyle w:val="001000000000" w:firstRow="0" w:lastRow="0" w:firstColumn="1" w:lastColumn="0" w:oddVBand="0" w:evenVBand="0" w:oddHBand="0" w:evenHBand="0" w:firstRowFirstColumn="0" w:firstRowLastColumn="0" w:lastRowFirstColumn="0" w:lastRowLastColumn="0"/>
            <w:tcW w:w="1271" w:type="dxa"/>
            <w:vMerge/>
            <w:tcBorders>
              <w:bottom w:val="single" w:sz="4" w:space="0" w:color="004EA8" w:themeColor="accent1"/>
            </w:tcBorders>
            <w:noWrap/>
            <w:hideMark/>
          </w:tcPr>
          <w:p w14:paraId="0F0DC983" w14:textId="77777777" w:rsidR="005820AF" w:rsidRPr="00B41DE3" w:rsidRDefault="005820AF" w:rsidP="00A20B35">
            <w:pPr>
              <w:spacing w:before="20" w:after="20"/>
              <w:jc w:val="right"/>
              <w:rPr>
                <w:rFonts w:cs="Calibri"/>
                <w:color w:val="000000"/>
                <w:lang w:eastAsia="en-AU"/>
              </w:rPr>
            </w:pPr>
          </w:p>
        </w:tc>
        <w:tc>
          <w:tcPr>
            <w:tcW w:w="567" w:type="dxa"/>
            <w:tcBorders>
              <w:bottom w:val="single" w:sz="4" w:space="0" w:color="004EA8" w:themeColor="accent1"/>
            </w:tcBorders>
            <w:noWrap/>
            <w:hideMark/>
          </w:tcPr>
          <w:p w14:paraId="1EF8581F"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I.2</w:t>
            </w:r>
          </w:p>
        </w:tc>
        <w:tc>
          <w:tcPr>
            <w:tcW w:w="2268" w:type="dxa"/>
            <w:tcBorders>
              <w:bottom w:val="single" w:sz="4" w:space="0" w:color="004EA8" w:themeColor="accent1"/>
            </w:tcBorders>
            <w:noWrap/>
            <w:hideMark/>
          </w:tcPr>
          <w:p w14:paraId="38595336" w14:textId="77777777" w:rsidR="005820AF" w:rsidRPr="00B41DE3"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Exemptions or waivers</w:t>
            </w:r>
          </w:p>
        </w:tc>
        <w:tc>
          <w:tcPr>
            <w:tcW w:w="1134" w:type="dxa"/>
            <w:tcBorders>
              <w:bottom w:val="single" w:sz="4" w:space="0" w:color="004EA8" w:themeColor="accent1"/>
            </w:tcBorders>
            <w:noWrap/>
            <w:hideMark/>
          </w:tcPr>
          <w:p w14:paraId="55DA1010"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0.7</w:t>
            </w:r>
          </w:p>
        </w:tc>
        <w:tc>
          <w:tcPr>
            <w:tcW w:w="1134" w:type="dxa"/>
            <w:tcBorders>
              <w:bottom w:val="single" w:sz="4" w:space="0" w:color="004EA8" w:themeColor="accent1"/>
            </w:tcBorders>
            <w:noWrap/>
            <w:hideMark/>
          </w:tcPr>
          <w:p w14:paraId="29A720A9" w14:textId="77777777" w:rsidR="005820AF" w:rsidRPr="00B41DE3" w:rsidRDefault="005820AF"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B41DE3">
              <w:rPr>
                <w:rFonts w:cs="Calibri"/>
                <w:color w:val="000000"/>
                <w:lang w:eastAsia="en-AU"/>
              </w:rPr>
              <w:t>0.3</w:t>
            </w:r>
          </w:p>
        </w:tc>
        <w:tc>
          <w:tcPr>
            <w:tcW w:w="930" w:type="dxa"/>
            <w:tcBorders>
              <w:bottom w:val="single" w:sz="4" w:space="0" w:color="004EA8" w:themeColor="accent1"/>
            </w:tcBorders>
            <w:noWrap/>
          </w:tcPr>
          <w:p w14:paraId="0B9CCDFD" w14:textId="693A8C82" w:rsidR="005820AF" w:rsidRPr="00B41DE3"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Pr>
                <w:rFonts w:cs="Calibri"/>
                <w:color w:val="000000"/>
                <w:lang w:eastAsia="en-AU"/>
              </w:rPr>
              <w:t>1.5</w:t>
            </w:r>
          </w:p>
        </w:tc>
        <w:tc>
          <w:tcPr>
            <w:tcW w:w="930" w:type="dxa"/>
            <w:tcBorders>
              <w:bottom w:val="single" w:sz="4" w:space="0" w:color="004EA8" w:themeColor="accent1"/>
            </w:tcBorders>
            <w:noWrap/>
          </w:tcPr>
          <w:p w14:paraId="1997072E" w14:textId="59F3DE57" w:rsidR="005820AF" w:rsidRPr="00B41DE3"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Pr>
                <w:rFonts w:cs="Calibri"/>
                <w:color w:val="000000"/>
                <w:lang w:eastAsia="en-AU"/>
              </w:rPr>
              <w:t>1</w:t>
            </w:r>
          </w:p>
        </w:tc>
        <w:tc>
          <w:tcPr>
            <w:tcW w:w="975" w:type="dxa"/>
            <w:tcBorders>
              <w:bottom w:val="single" w:sz="4" w:space="0" w:color="004EA8" w:themeColor="accent1"/>
            </w:tcBorders>
            <w:noWrap/>
            <w:hideMark/>
          </w:tcPr>
          <w:p w14:paraId="51FB1FE4" w14:textId="32900558" w:rsidR="005820AF" w:rsidRPr="00B41DE3"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Pr>
                <w:rFonts w:cs="Calibri"/>
                <w:color w:val="000000"/>
                <w:lang w:eastAsia="en-AU"/>
              </w:rPr>
              <w:t>3.5</w:t>
            </w:r>
          </w:p>
        </w:tc>
      </w:tr>
      <w:tr w:rsidR="005820AF" w:rsidRPr="00AA2559" w14:paraId="63FC8BDC" w14:textId="77777777" w:rsidTr="00F94642">
        <w:tc>
          <w:tcPr>
            <w:cnfStyle w:val="001000000000" w:firstRow="0" w:lastRow="0" w:firstColumn="1" w:lastColumn="0" w:oddVBand="0" w:evenVBand="0" w:oddHBand="0" w:evenHBand="0" w:firstRowFirstColumn="0" w:firstRowLastColumn="0" w:lastRowFirstColumn="0" w:lastRowLastColumn="0"/>
            <w:tcW w:w="1271" w:type="dxa"/>
            <w:tcBorders>
              <w:right w:val="nil"/>
            </w:tcBorders>
            <w:noWrap/>
            <w:hideMark/>
          </w:tcPr>
          <w:p w14:paraId="59B36A5F" w14:textId="77777777" w:rsidR="005820AF" w:rsidRPr="00AA2559" w:rsidRDefault="005820AF" w:rsidP="00A20B35">
            <w:pPr>
              <w:spacing w:before="20" w:after="20"/>
              <w:rPr>
                <w:rFonts w:cs="Calibri"/>
                <w:b/>
                <w:color w:val="000000"/>
                <w:lang w:eastAsia="en-AU"/>
              </w:rPr>
            </w:pPr>
            <w:r w:rsidRPr="00AA2559">
              <w:rPr>
                <w:rFonts w:cs="Calibri"/>
                <w:b/>
                <w:color w:val="000000"/>
                <w:lang w:eastAsia="en-AU"/>
              </w:rPr>
              <w:t>Total</w:t>
            </w:r>
          </w:p>
        </w:tc>
        <w:tc>
          <w:tcPr>
            <w:tcW w:w="567" w:type="dxa"/>
            <w:tcBorders>
              <w:left w:val="nil"/>
              <w:right w:val="nil"/>
            </w:tcBorders>
            <w:noWrap/>
            <w:hideMark/>
          </w:tcPr>
          <w:p w14:paraId="5304A29D" w14:textId="77777777" w:rsidR="005820AF" w:rsidRPr="00AA2559"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b/>
                <w:bCs/>
                <w:color w:val="000000"/>
                <w:lang w:eastAsia="en-AU"/>
              </w:rPr>
            </w:pPr>
          </w:p>
        </w:tc>
        <w:tc>
          <w:tcPr>
            <w:tcW w:w="2268" w:type="dxa"/>
            <w:tcBorders>
              <w:left w:val="nil"/>
              <w:right w:val="nil"/>
            </w:tcBorders>
            <w:noWrap/>
            <w:hideMark/>
          </w:tcPr>
          <w:p w14:paraId="73DF54A6" w14:textId="77777777" w:rsidR="005820AF" w:rsidRPr="00AA2559" w:rsidRDefault="005820AF" w:rsidP="00A20B35">
            <w:pPr>
              <w:spacing w:before="20" w:after="20"/>
              <w:cnfStyle w:val="000000000000" w:firstRow="0" w:lastRow="0" w:firstColumn="0" w:lastColumn="0" w:oddVBand="0" w:evenVBand="0" w:oddHBand="0" w:evenHBand="0" w:firstRowFirstColumn="0" w:firstRowLastColumn="0" w:lastRowFirstColumn="0" w:lastRowLastColumn="0"/>
              <w:rPr>
                <w:rFonts w:cs="Calibri"/>
                <w:b/>
                <w:bCs/>
                <w:color w:val="000000"/>
                <w:lang w:eastAsia="en-AU"/>
              </w:rPr>
            </w:pPr>
          </w:p>
        </w:tc>
        <w:tc>
          <w:tcPr>
            <w:tcW w:w="1134" w:type="dxa"/>
            <w:tcBorders>
              <w:left w:val="nil"/>
              <w:right w:val="nil"/>
            </w:tcBorders>
            <w:noWrap/>
          </w:tcPr>
          <w:p w14:paraId="59BF488F" w14:textId="2CDB04EB" w:rsidR="005820AF" w:rsidRPr="00AA2559"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b/>
                <w:bCs/>
                <w:color w:val="000000"/>
                <w:lang w:eastAsia="en-AU"/>
              </w:rPr>
            </w:pPr>
            <w:r>
              <w:rPr>
                <w:rFonts w:cs="Calibri"/>
                <w:b/>
                <w:bCs/>
                <w:color w:val="000000"/>
                <w:lang w:eastAsia="en-AU"/>
              </w:rPr>
              <w:t>-4.38</w:t>
            </w:r>
          </w:p>
        </w:tc>
        <w:tc>
          <w:tcPr>
            <w:tcW w:w="1134" w:type="dxa"/>
            <w:tcBorders>
              <w:left w:val="nil"/>
              <w:right w:val="nil"/>
            </w:tcBorders>
            <w:noWrap/>
          </w:tcPr>
          <w:p w14:paraId="1A4F714A" w14:textId="577AB7E2" w:rsidR="005820AF" w:rsidRPr="00AA2559"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b/>
                <w:bCs/>
                <w:color w:val="000000"/>
                <w:lang w:eastAsia="en-AU"/>
              </w:rPr>
            </w:pPr>
            <w:r>
              <w:rPr>
                <w:rFonts w:cs="Calibri"/>
                <w:b/>
                <w:bCs/>
                <w:color w:val="000000"/>
                <w:lang w:eastAsia="en-AU"/>
              </w:rPr>
              <w:t>2.7</w:t>
            </w:r>
          </w:p>
        </w:tc>
        <w:tc>
          <w:tcPr>
            <w:tcW w:w="930" w:type="dxa"/>
            <w:tcBorders>
              <w:left w:val="nil"/>
              <w:right w:val="nil"/>
            </w:tcBorders>
            <w:noWrap/>
          </w:tcPr>
          <w:p w14:paraId="74B9E777" w14:textId="2051CCEF" w:rsidR="005820AF" w:rsidRPr="00AA2559"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b/>
                <w:bCs/>
                <w:color w:val="000000"/>
                <w:lang w:eastAsia="en-AU"/>
              </w:rPr>
            </w:pPr>
            <w:r>
              <w:rPr>
                <w:rFonts w:cs="Calibri"/>
                <w:b/>
                <w:bCs/>
                <w:color w:val="000000"/>
                <w:lang w:eastAsia="en-AU"/>
              </w:rPr>
              <w:t>14.1</w:t>
            </w:r>
          </w:p>
        </w:tc>
        <w:tc>
          <w:tcPr>
            <w:tcW w:w="930" w:type="dxa"/>
            <w:tcBorders>
              <w:left w:val="nil"/>
              <w:right w:val="nil"/>
            </w:tcBorders>
            <w:noWrap/>
          </w:tcPr>
          <w:p w14:paraId="1AF1BA4B" w14:textId="09D5C6A2" w:rsidR="005820AF" w:rsidRPr="00AA2559"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b/>
                <w:bCs/>
                <w:color w:val="000000"/>
                <w:lang w:eastAsia="en-AU"/>
              </w:rPr>
            </w:pPr>
            <w:r>
              <w:rPr>
                <w:rFonts w:cs="Calibri"/>
                <w:b/>
                <w:bCs/>
                <w:color w:val="000000"/>
                <w:lang w:eastAsia="en-AU"/>
              </w:rPr>
              <w:t>7.0</w:t>
            </w:r>
          </w:p>
        </w:tc>
        <w:tc>
          <w:tcPr>
            <w:tcW w:w="975" w:type="dxa"/>
            <w:tcBorders>
              <w:left w:val="nil"/>
            </w:tcBorders>
            <w:noWrap/>
          </w:tcPr>
          <w:p w14:paraId="46847EAD" w14:textId="624D0C9F" w:rsidR="005820AF" w:rsidRPr="00AA2559" w:rsidRDefault="00F94642" w:rsidP="00A20B35">
            <w:pPr>
              <w:spacing w:before="20" w:after="20"/>
              <w:jc w:val="center"/>
              <w:cnfStyle w:val="000000000000" w:firstRow="0" w:lastRow="0" w:firstColumn="0" w:lastColumn="0" w:oddVBand="0" w:evenVBand="0" w:oddHBand="0" w:evenHBand="0" w:firstRowFirstColumn="0" w:firstRowLastColumn="0" w:lastRowFirstColumn="0" w:lastRowLastColumn="0"/>
              <w:rPr>
                <w:rFonts w:cs="Calibri"/>
                <w:b/>
                <w:bCs/>
                <w:color w:val="000000"/>
                <w:lang w:eastAsia="en-AU"/>
              </w:rPr>
            </w:pPr>
            <w:r>
              <w:rPr>
                <w:rFonts w:cs="Calibri"/>
                <w:b/>
                <w:bCs/>
                <w:color w:val="000000"/>
                <w:lang w:eastAsia="en-AU"/>
              </w:rPr>
              <w:t>19.42</w:t>
            </w:r>
          </w:p>
        </w:tc>
      </w:tr>
    </w:tbl>
    <w:p w14:paraId="64322841" w14:textId="2E7E1C08" w:rsidR="00511CB8" w:rsidRDefault="00511CB8" w:rsidP="00511CB8">
      <w:pPr>
        <w:pStyle w:val="Caption"/>
      </w:pPr>
      <w:bookmarkStart w:id="278" w:name="_Toc32592841"/>
      <w:r w:rsidRPr="00215708">
        <w:t xml:space="preserve">Table </w:t>
      </w:r>
      <w:r w:rsidRPr="00215708">
        <w:fldChar w:fldCharType="begin"/>
      </w:r>
      <w:r w:rsidRPr="00215708">
        <w:instrText xml:space="preserve"> SEQ Table \* ARABIC </w:instrText>
      </w:r>
      <w:r w:rsidRPr="00215708">
        <w:fldChar w:fldCharType="separate"/>
      </w:r>
      <w:r w:rsidR="00493211">
        <w:rPr>
          <w:noProof/>
        </w:rPr>
        <w:t>58</w:t>
      </w:r>
      <w:r w:rsidRPr="00215708">
        <w:fldChar w:fldCharType="end"/>
      </w:r>
      <w:r w:rsidRPr="00215708">
        <w:t xml:space="preserve"> Overall total weighted scores by option</w:t>
      </w:r>
      <w:bookmarkEnd w:id="278"/>
    </w:p>
    <w:tbl>
      <w:tblPr>
        <w:tblStyle w:val="TableGrid"/>
        <w:tblW w:w="9209" w:type="dxa"/>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ayout w:type="fixed"/>
        <w:tblLook w:val="04A0" w:firstRow="1" w:lastRow="0" w:firstColumn="1" w:lastColumn="0" w:noHBand="0" w:noVBand="1"/>
      </w:tblPr>
      <w:tblGrid>
        <w:gridCol w:w="2896"/>
        <w:gridCol w:w="1294"/>
        <w:gridCol w:w="1295"/>
        <w:gridCol w:w="1295"/>
        <w:gridCol w:w="1295"/>
        <w:gridCol w:w="1134"/>
      </w:tblGrid>
      <w:tr w:rsidR="005820AF" w:rsidRPr="001372F2" w14:paraId="1DD92F01" w14:textId="77777777" w:rsidTr="00AA2559">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896" w:type="dxa"/>
            <w:tcBorders>
              <w:right w:val="none" w:sz="0" w:space="0" w:color="auto"/>
            </w:tcBorders>
            <w:noWrap/>
            <w:hideMark/>
          </w:tcPr>
          <w:p w14:paraId="75466643" w14:textId="77777777" w:rsidR="005820AF" w:rsidRPr="001372F2" w:rsidRDefault="005820AF" w:rsidP="006F5D67">
            <w:pPr>
              <w:spacing w:before="40" w:after="40"/>
              <w:rPr>
                <w:rFonts w:cs="Calibri"/>
                <w:lang w:eastAsia="en-AU"/>
              </w:rPr>
            </w:pPr>
            <w:r w:rsidRPr="001372F2">
              <w:rPr>
                <w:rFonts w:cs="Calibri"/>
                <w:lang w:eastAsia="en-AU"/>
              </w:rPr>
              <w:t>Option</w:t>
            </w:r>
          </w:p>
        </w:tc>
        <w:tc>
          <w:tcPr>
            <w:tcW w:w="1294" w:type="dxa"/>
            <w:tcBorders>
              <w:left w:val="none" w:sz="0" w:space="0" w:color="auto"/>
              <w:right w:val="none" w:sz="0" w:space="0" w:color="auto"/>
            </w:tcBorders>
            <w:hideMark/>
          </w:tcPr>
          <w:p w14:paraId="28CE08CF" w14:textId="77777777" w:rsidR="005820AF" w:rsidRPr="001372F2" w:rsidRDefault="005820AF" w:rsidP="006F5D67">
            <w:pPr>
              <w:spacing w:before="40" w:after="40"/>
              <w:jc w:val="center"/>
              <w:cnfStyle w:val="100000000000" w:firstRow="1" w:lastRow="0" w:firstColumn="0" w:lastColumn="0" w:oddVBand="0" w:evenVBand="0" w:oddHBand="0" w:evenHBand="0" w:firstRowFirstColumn="0" w:firstRowLastColumn="0" w:lastRowFirstColumn="0" w:lastRowLastColumn="0"/>
              <w:rPr>
                <w:rFonts w:cs="Calibri"/>
                <w:lang w:eastAsia="en-AU"/>
              </w:rPr>
            </w:pPr>
            <w:r w:rsidRPr="001372F2">
              <w:rPr>
                <w:rFonts w:cs="Calibri"/>
                <w:lang w:eastAsia="en-AU"/>
              </w:rPr>
              <w:t>Cost to industry</w:t>
            </w:r>
          </w:p>
        </w:tc>
        <w:tc>
          <w:tcPr>
            <w:tcW w:w="1295" w:type="dxa"/>
            <w:tcBorders>
              <w:left w:val="none" w:sz="0" w:space="0" w:color="auto"/>
              <w:right w:val="none" w:sz="0" w:space="0" w:color="auto"/>
            </w:tcBorders>
            <w:hideMark/>
          </w:tcPr>
          <w:p w14:paraId="0334B968" w14:textId="77777777" w:rsidR="005820AF" w:rsidRPr="001372F2" w:rsidRDefault="005820AF" w:rsidP="006F5D67">
            <w:pPr>
              <w:spacing w:before="40" w:after="40"/>
              <w:jc w:val="center"/>
              <w:cnfStyle w:val="100000000000" w:firstRow="1" w:lastRow="0" w:firstColumn="0" w:lastColumn="0" w:oddVBand="0" w:evenVBand="0" w:oddHBand="0" w:evenHBand="0" w:firstRowFirstColumn="0" w:firstRowLastColumn="0" w:lastRowFirstColumn="0" w:lastRowLastColumn="0"/>
              <w:rPr>
                <w:rFonts w:cs="Calibri"/>
                <w:lang w:eastAsia="en-AU"/>
              </w:rPr>
            </w:pPr>
            <w:r w:rsidRPr="001372F2">
              <w:rPr>
                <w:rFonts w:cs="Calibri"/>
                <w:lang w:eastAsia="en-AU"/>
              </w:rPr>
              <w:t>Cost to regulator</w:t>
            </w:r>
          </w:p>
        </w:tc>
        <w:tc>
          <w:tcPr>
            <w:tcW w:w="1295" w:type="dxa"/>
            <w:tcBorders>
              <w:left w:val="none" w:sz="0" w:space="0" w:color="auto"/>
              <w:right w:val="none" w:sz="0" w:space="0" w:color="auto"/>
            </w:tcBorders>
            <w:noWrap/>
            <w:hideMark/>
          </w:tcPr>
          <w:p w14:paraId="18B973D8" w14:textId="77777777" w:rsidR="005820AF" w:rsidRPr="001372F2" w:rsidRDefault="005820AF" w:rsidP="006F5D67">
            <w:pPr>
              <w:spacing w:before="40" w:after="40"/>
              <w:jc w:val="center"/>
              <w:cnfStyle w:val="100000000000" w:firstRow="1" w:lastRow="0" w:firstColumn="0" w:lastColumn="0" w:oddVBand="0" w:evenVBand="0" w:oddHBand="0" w:evenHBand="0" w:firstRowFirstColumn="0" w:firstRowLastColumn="0" w:lastRowFirstColumn="0" w:lastRowLastColumn="0"/>
              <w:rPr>
                <w:rFonts w:cs="Calibri"/>
                <w:lang w:eastAsia="en-AU"/>
              </w:rPr>
            </w:pPr>
            <w:r w:rsidRPr="001372F2">
              <w:rPr>
                <w:rFonts w:cs="Calibri"/>
                <w:lang w:eastAsia="en-AU"/>
              </w:rPr>
              <w:t>Safety</w:t>
            </w:r>
          </w:p>
        </w:tc>
        <w:tc>
          <w:tcPr>
            <w:tcW w:w="1295" w:type="dxa"/>
            <w:tcBorders>
              <w:left w:val="none" w:sz="0" w:space="0" w:color="auto"/>
              <w:right w:val="none" w:sz="0" w:space="0" w:color="auto"/>
            </w:tcBorders>
            <w:noWrap/>
            <w:hideMark/>
          </w:tcPr>
          <w:p w14:paraId="1D9DEDA1" w14:textId="77777777" w:rsidR="005820AF" w:rsidRPr="001372F2" w:rsidRDefault="005820AF" w:rsidP="006F5D67">
            <w:pPr>
              <w:spacing w:before="40" w:after="40"/>
              <w:jc w:val="center"/>
              <w:cnfStyle w:val="100000000000" w:firstRow="1" w:lastRow="0" w:firstColumn="0" w:lastColumn="0" w:oddVBand="0" w:evenVBand="0" w:oddHBand="0" w:evenHBand="0" w:firstRowFirstColumn="0" w:firstRowLastColumn="0" w:lastRowFirstColumn="0" w:lastRowLastColumn="0"/>
              <w:rPr>
                <w:rFonts w:cs="Calibri"/>
                <w:lang w:eastAsia="en-AU"/>
              </w:rPr>
            </w:pPr>
            <w:r w:rsidRPr="001372F2">
              <w:rPr>
                <w:rFonts w:cs="Calibri"/>
                <w:lang w:eastAsia="en-AU"/>
              </w:rPr>
              <w:t>Quality</w:t>
            </w:r>
          </w:p>
        </w:tc>
        <w:tc>
          <w:tcPr>
            <w:tcW w:w="1134" w:type="dxa"/>
            <w:tcBorders>
              <w:left w:val="none" w:sz="0" w:space="0" w:color="auto"/>
            </w:tcBorders>
            <w:noWrap/>
            <w:hideMark/>
          </w:tcPr>
          <w:p w14:paraId="4EB200E5" w14:textId="77777777" w:rsidR="005820AF" w:rsidRPr="001372F2" w:rsidRDefault="005820AF" w:rsidP="006F5D67">
            <w:pPr>
              <w:spacing w:before="40" w:after="40"/>
              <w:jc w:val="center"/>
              <w:cnfStyle w:val="100000000000" w:firstRow="1" w:lastRow="0" w:firstColumn="0" w:lastColumn="0" w:oddVBand="0" w:evenVBand="0" w:oddHBand="0" w:evenHBand="0" w:firstRowFirstColumn="0" w:firstRowLastColumn="0" w:lastRowFirstColumn="0" w:lastRowLastColumn="0"/>
              <w:rPr>
                <w:rFonts w:cs="Calibri"/>
                <w:lang w:eastAsia="en-AU"/>
              </w:rPr>
            </w:pPr>
            <w:r w:rsidRPr="001372F2">
              <w:rPr>
                <w:rFonts w:cs="Calibri"/>
                <w:lang w:eastAsia="en-AU"/>
              </w:rPr>
              <w:t>Total Score</w:t>
            </w:r>
          </w:p>
        </w:tc>
      </w:tr>
      <w:tr w:rsidR="00F94642" w:rsidRPr="001372F2" w14:paraId="2746F9FD" w14:textId="77777777" w:rsidTr="00F94642">
        <w:trPr>
          <w:trHeight w:val="300"/>
        </w:trPr>
        <w:tc>
          <w:tcPr>
            <w:cnfStyle w:val="001000000000" w:firstRow="0" w:lastRow="0" w:firstColumn="1" w:lastColumn="0" w:oddVBand="0" w:evenVBand="0" w:oddHBand="0" w:evenHBand="0" w:firstRowFirstColumn="0" w:firstRowLastColumn="0" w:lastRowFirstColumn="0" w:lastRowLastColumn="0"/>
            <w:tcW w:w="2896" w:type="dxa"/>
            <w:noWrap/>
            <w:hideMark/>
          </w:tcPr>
          <w:p w14:paraId="2FECFCBA" w14:textId="77777777" w:rsidR="00F94642" w:rsidRPr="001372F2" w:rsidRDefault="00F94642" w:rsidP="006F5D67">
            <w:pPr>
              <w:spacing w:before="40" w:after="40"/>
              <w:rPr>
                <w:rFonts w:cs="Calibri"/>
                <w:color w:val="000000"/>
                <w:lang w:eastAsia="en-AU"/>
              </w:rPr>
            </w:pPr>
            <w:r w:rsidRPr="001372F2">
              <w:rPr>
                <w:rFonts w:cs="Calibri"/>
                <w:color w:val="000000"/>
                <w:lang w:eastAsia="en-AU"/>
              </w:rPr>
              <w:t>Status Quo</w:t>
            </w:r>
          </w:p>
        </w:tc>
        <w:tc>
          <w:tcPr>
            <w:tcW w:w="1294" w:type="dxa"/>
            <w:noWrap/>
          </w:tcPr>
          <w:p w14:paraId="31A82A5D" w14:textId="298D0256" w:rsidR="00F94642" w:rsidRPr="00AA2559" w:rsidRDefault="00F94642" w:rsidP="006F5D67">
            <w:pPr>
              <w:spacing w:before="40" w:after="40"/>
              <w:jc w:val="center"/>
              <w:cnfStyle w:val="000000000000" w:firstRow="0" w:lastRow="0" w:firstColumn="0" w:lastColumn="0" w:oddVBand="0" w:evenVBand="0" w:oddHBand="0" w:evenHBand="0" w:firstRowFirstColumn="0" w:firstRowLastColumn="0" w:lastRowFirstColumn="0" w:lastRowLastColumn="0"/>
              <w:rPr>
                <w:rFonts w:cs="Calibri"/>
                <w:bCs/>
                <w:color w:val="000000"/>
                <w:lang w:eastAsia="en-AU"/>
              </w:rPr>
            </w:pPr>
            <w:r w:rsidRPr="0073689A">
              <w:t>-7.35</w:t>
            </w:r>
          </w:p>
        </w:tc>
        <w:tc>
          <w:tcPr>
            <w:tcW w:w="1295" w:type="dxa"/>
            <w:noWrap/>
          </w:tcPr>
          <w:p w14:paraId="1B6DED81" w14:textId="219F5E82" w:rsidR="00F94642" w:rsidRPr="00AA2559" w:rsidRDefault="00F94642" w:rsidP="006F5D67">
            <w:pPr>
              <w:spacing w:before="40" w:after="40"/>
              <w:jc w:val="center"/>
              <w:cnfStyle w:val="000000000000" w:firstRow="0" w:lastRow="0" w:firstColumn="0" w:lastColumn="0" w:oddVBand="0" w:evenVBand="0" w:oddHBand="0" w:evenHBand="0" w:firstRowFirstColumn="0" w:firstRowLastColumn="0" w:lastRowFirstColumn="0" w:lastRowLastColumn="0"/>
              <w:rPr>
                <w:rFonts w:cs="Calibri"/>
                <w:bCs/>
                <w:color w:val="000000"/>
                <w:lang w:eastAsia="en-AU"/>
              </w:rPr>
            </w:pPr>
            <w:r w:rsidRPr="0073689A">
              <w:t>1.5</w:t>
            </w:r>
          </w:p>
        </w:tc>
        <w:tc>
          <w:tcPr>
            <w:tcW w:w="1295" w:type="dxa"/>
            <w:noWrap/>
          </w:tcPr>
          <w:p w14:paraId="633D3EC9" w14:textId="79F95CB7" w:rsidR="00F94642" w:rsidRPr="00AA2559" w:rsidRDefault="00F94642" w:rsidP="006F5D67">
            <w:pPr>
              <w:spacing w:before="40" w:after="40"/>
              <w:jc w:val="center"/>
              <w:cnfStyle w:val="000000000000" w:firstRow="0" w:lastRow="0" w:firstColumn="0" w:lastColumn="0" w:oddVBand="0" w:evenVBand="0" w:oddHBand="0" w:evenHBand="0" w:firstRowFirstColumn="0" w:firstRowLastColumn="0" w:lastRowFirstColumn="0" w:lastRowLastColumn="0"/>
              <w:rPr>
                <w:rFonts w:cs="Calibri"/>
                <w:bCs/>
                <w:color w:val="000000"/>
                <w:lang w:eastAsia="en-AU"/>
              </w:rPr>
            </w:pPr>
            <w:r w:rsidRPr="0073689A">
              <w:t>8.25</w:t>
            </w:r>
          </w:p>
        </w:tc>
        <w:tc>
          <w:tcPr>
            <w:tcW w:w="1295" w:type="dxa"/>
            <w:noWrap/>
          </w:tcPr>
          <w:p w14:paraId="3F9E8574" w14:textId="6E66E139" w:rsidR="00F94642" w:rsidRPr="00AA2559" w:rsidRDefault="00F94642" w:rsidP="006F5D67">
            <w:pPr>
              <w:spacing w:before="40" w:after="40"/>
              <w:jc w:val="center"/>
              <w:cnfStyle w:val="000000000000" w:firstRow="0" w:lastRow="0" w:firstColumn="0" w:lastColumn="0" w:oddVBand="0" w:evenVBand="0" w:oddHBand="0" w:evenHBand="0" w:firstRowFirstColumn="0" w:firstRowLastColumn="0" w:lastRowFirstColumn="0" w:lastRowLastColumn="0"/>
              <w:rPr>
                <w:rFonts w:cs="Calibri"/>
                <w:bCs/>
                <w:color w:val="000000"/>
                <w:lang w:eastAsia="en-AU"/>
              </w:rPr>
            </w:pPr>
            <w:r w:rsidRPr="0073689A">
              <w:t>3.6</w:t>
            </w:r>
          </w:p>
        </w:tc>
        <w:tc>
          <w:tcPr>
            <w:tcW w:w="1134" w:type="dxa"/>
            <w:noWrap/>
          </w:tcPr>
          <w:p w14:paraId="3F728437" w14:textId="7BDB3493" w:rsidR="00F94642" w:rsidRPr="00B50BC1" w:rsidRDefault="00F94642" w:rsidP="006F5D67">
            <w:pPr>
              <w:spacing w:before="40" w:after="40"/>
              <w:jc w:val="center"/>
              <w:cnfStyle w:val="000000000000" w:firstRow="0" w:lastRow="0" w:firstColumn="0" w:lastColumn="0" w:oddVBand="0" w:evenVBand="0" w:oddHBand="0" w:evenHBand="0" w:firstRowFirstColumn="0" w:firstRowLastColumn="0" w:lastRowFirstColumn="0" w:lastRowLastColumn="0"/>
              <w:rPr>
                <w:rFonts w:cs="Calibri"/>
                <w:bCs/>
                <w:color w:val="000000"/>
                <w:lang w:eastAsia="en-AU"/>
              </w:rPr>
            </w:pPr>
            <w:r w:rsidRPr="0073689A">
              <w:t>6.0</w:t>
            </w:r>
          </w:p>
        </w:tc>
      </w:tr>
      <w:tr w:rsidR="00F94642" w:rsidRPr="001372F2" w14:paraId="41D73002" w14:textId="77777777" w:rsidTr="00F94642">
        <w:trPr>
          <w:trHeight w:val="300"/>
        </w:trPr>
        <w:tc>
          <w:tcPr>
            <w:cnfStyle w:val="001000000000" w:firstRow="0" w:lastRow="0" w:firstColumn="1" w:lastColumn="0" w:oddVBand="0" w:evenVBand="0" w:oddHBand="0" w:evenHBand="0" w:firstRowFirstColumn="0" w:firstRowLastColumn="0" w:lastRowFirstColumn="0" w:lastRowLastColumn="0"/>
            <w:tcW w:w="2896" w:type="dxa"/>
            <w:noWrap/>
            <w:hideMark/>
          </w:tcPr>
          <w:p w14:paraId="68F127BD" w14:textId="77777777" w:rsidR="00F94642" w:rsidRPr="001372F2" w:rsidRDefault="00F94642" w:rsidP="006F5D67">
            <w:pPr>
              <w:spacing w:before="40" w:after="40"/>
              <w:rPr>
                <w:rFonts w:cs="Calibri"/>
                <w:color w:val="000000"/>
                <w:lang w:eastAsia="en-AU"/>
              </w:rPr>
            </w:pPr>
            <w:r w:rsidRPr="001372F2">
              <w:rPr>
                <w:rFonts w:cs="Calibri"/>
                <w:color w:val="000000"/>
                <w:lang w:eastAsia="en-AU"/>
              </w:rPr>
              <w:t>Alignment</w:t>
            </w:r>
          </w:p>
        </w:tc>
        <w:tc>
          <w:tcPr>
            <w:tcW w:w="1294" w:type="dxa"/>
            <w:noWrap/>
          </w:tcPr>
          <w:p w14:paraId="068E6CC8" w14:textId="4ECCE93E" w:rsidR="00F94642" w:rsidRPr="00AA2559" w:rsidRDefault="00F94642" w:rsidP="006F5D67">
            <w:pPr>
              <w:spacing w:before="40" w:after="40"/>
              <w:jc w:val="center"/>
              <w:cnfStyle w:val="000000000000" w:firstRow="0" w:lastRow="0" w:firstColumn="0" w:lastColumn="0" w:oddVBand="0" w:evenVBand="0" w:oddHBand="0" w:evenHBand="0" w:firstRowFirstColumn="0" w:firstRowLastColumn="0" w:lastRowFirstColumn="0" w:lastRowLastColumn="0"/>
              <w:rPr>
                <w:rFonts w:cs="Calibri"/>
                <w:bCs/>
                <w:color w:val="000000"/>
                <w:lang w:eastAsia="en-AU"/>
              </w:rPr>
            </w:pPr>
            <w:r w:rsidRPr="00E32950">
              <w:t>-4.38</w:t>
            </w:r>
          </w:p>
        </w:tc>
        <w:tc>
          <w:tcPr>
            <w:tcW w:w="1295" w:type="dxa"/>
            <w:noWrap/>
          </w:tcPr>
          <w:p w14:paraId="20EFF672" w14:textId="261CC219" w:rsidR="00F94642" w:rsidRPr="00AA2559" w:rsidRDefault="00F94642" w:rsidP="006F5D67">
            <w:pPr>
              <w:spacing w:before="40" w:after="40"/>
              <w:jc w:val="center"/>
              <w:cnfStyle w:val="000000000000" w:firstRow="0" w:lastRow="0" w:firstColumn="0" w:lastColumn="0" w:oddVBand="0" w:evenVBand="0" w:oddHBand="0" w:evenHBand="0" w:firstRowFirstColumn="0" w:firstRowLastColumn="0" w:lastRowFirstColumn="0" w:lastRowLastColumn="0"/>
              <w:rPr>
                <w:rFonts w:cs="Calibri"/>
                <w:bCs/>
                <w:color w:val="000000"/>
                <w:lang w:eastAsia="en-AU"/>
              </w:rPr>
            </w:pPr>
            <w:r w:rsidRPr="00E32950">
              <w:t>2.7</w:t>
            </w:r>
          </w:p>
        </w:tc>
        <w:tc>
          <w:tcPr>
            <w:tcW w:w="1295" w:type="dxa"/>
            <w:noWrap/>
          </w:tcPr>
          <w:p w14:paraId="30CE3953" w14:textId="384EF301" w:rsidR="00F94642" w:rsidRPr="00AA2559" w:rsidRDefault="00F94642" w:rsidP="006F5D67">
            <w:pPr>
              <w:spacing w:before="40" w:after="40"/>
              <w:jc w:val="center"/>
              <w:cnfStyle w:val="000000000000" w:firstRow="0" w:lastRow="0" w:firstColumn="0" w:lastColumn="0" w:oddVBand="0" w:evenVBand="0" w:oddHBand="0" w:evenHBand="0" w:firstRowFirstColumn="0" w:firstRowLastColumn="0" w:lastRowFirstColumn="0" w:lastRowLastColumn="0"/>
              <w:rPr>
                <w:rFonts w:cs="Calibri"/>
                <w:bCs/>
                <w:color w:val="000000"/>
                <w:lang w:eastAsia="en-AU"/>
              </w:rPr>
            </w:pPr>
            <w:r w:rsidRPr="00E32950">
              <w:t>14.1</w:t>
            </w:r>
          </w:p>
        </w:tc>
        <w:tc>
          <w:tcPr>
            <w:tcW w:w="1295" w:type="dxa"/>
            <w:noWrap/>
          </w:tcPr>
          <w:p w14:paraId="7279EAAF" w14:textId="47CD3080" w:rsidR="00F94642" w:rsidRPr="00AA2559" w:rsidRDefault="00F94642" w:rsidP="006F5D67">
            <w:pPr>
              <w:spacing w:before="40" w:after="40"/>
              <w:jc w:val="center"/>
              <w:cnfStyle w:val="000000000000" w:firstRow="0" w:lastRow="0" w:firstColumn="0" w:lastColumn="0" w:oddVBand="0" w:evenVBand="0" w:oddHBand="0" w:evenHBand="0" w:firstRowFirstColumn="0" w:firstRowLastColumn="0" w:lastRowFirstColumn="0" w:lastRowLastColumn="0"/>
              <w:rPr>
                <w:rFonts w:cs="Calibri"/>
                <w:bCs/>
                <w:color w:val="000000"/>
                <w:lang w:eastAsia="en-AU"/>
              </w:rPr>
            </w:pPr>
            <w:r w:rsidRPr="00E32950">
              <w:t>7.0</w:t>
            </w:r>
          </w:p>
        </w:tc>
        <w:tc>
          <w:tcPr>
            <w:tcW w:w="1134" w:type="dxa"/>
            <w:noWrap/>
          </w:tcPr>
          <w:p w14:paraId="4A2D2AFE" w14:textId="25CA6EC0" w:rsidR="00F94642" w:rsidRPr="00B50BC1" w:rsidRDefault="00F94642" w:rsidP="006F5D67">
            <w:pPr>
              <w:spacing w:before="40" w:after="40"/>
              <w:jc w:val="center"/>
              <w:cnfStyle w:val="000000000000" w:firstRow="0" w:lastRow="0" w:firstColumn="0" w:lastColumn="0" w:oddVBand="0" w:evenVBand="0" w:oddHBand="0" w:evenHBand="0" w:firstRowFirstColumn="0" w:firstRowLastColumn="0" w:lastRowFirstColumn="0" w:lastRowLastColumn="0"/>
              <w:rPr>
                <w:rFonts w:cs="Calibri"/>
                <w:bCs/>
                <w:color w:val="000000"/>
                <w:lang w:eastAsia="en-AU"/>
              </w:rPr>
            </w:pPr>
            <w:r w:rsidRPr="00E32950">
              <w:t>19.42</w:t>
            </w:r>
          </w:p>
        </w:tc>
      </w:tr>
    </w:tbl>
    <w:p w14:paraId="15B04914" w14:textId="4E361432" w:rsidR="00511CB8" w:rsidRDefault="00511CB8" w:rsidP="00511CB8">
      <w:pPr>
        <w:pStyle w:val="Caption"/>
      </w:pPr>
      <w:bookmarkStart w:id="279" w:name="_Toc32592842"/>
      <w:r w:rsidRPr="00511CB8">
        <w:lastRenderedPageBreak/>
        <w:t xml:space="preserve">Table </w:t>
      </w:r>
      <w:r w:rsidRPr="00511CB8">
        <w:fldChar w:fldCharType="begin"/>
      </w:r>
      <w:r w:rsidRPr="00511CB8">
        <w:instrText xml:space="preserve"> SEQ Table \* ARABIC </w:instrText>
      </w:r>
      <w:r w:rsidRPr="00511CB8">
        <w:fldChar w:fldCharType="separate"/>
      </w:r>
      <w:r w:rsidR="00493211">
        <w:rPr>
          <w:noProof/>
        </w:rPr>
        <w:t>59</w:t>
      </w:r>
      <w:r w:rsidRPr="00511CB8">
        <w:fldChar w:fldCharType="end"/>
      </w:r>
      <w:r w:rsidRPr="00511CB8">
        <w:t xml:space="preserve"> </w:t>
      </w:r>
      <w:r>
        <w:t>Overall cost per service</w:t>
      </w:r>
      <w:bookmarkEnd w:id="279"/>
      <w:r w:rsidRPr="00511CB8">
        <w:t xml:space="preserve"> </w:t>
      </w:r>
    </w:p>
    <w:tbl>
      <w:tblPr>
        <w:tblStyle w:val="TableGrid"/>
        <w:tblW w:w="9209" w:type="dxa"/>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ayout w:type="fixed"/>
        <w:tblLook w:val="04A0" w:firstRow="1" w:lastRow="0" w:firstColumn="1" w:lastColumn="0" w:noHBand="0" w:noVBand="1"/>
      </w:tblPr>
      <w:tblGrid>
        <w:gridCol w:w="2828"/>
        <w:gridCol w:w="1595"/>
        <w:gridCol w:w="1595"/>
        <w:gridCol w:w="1595"/>
        <w:gridCol w:w="1596"/>
      </w:tblGrid>
      <w:tr w:rsidR="005820AF" w:rsidRPr="00C076D9" w14:paraId="2083B628" w14:textId="77777777" w:rsidTr="00AA2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Borders>
              <w:right w:val="none" w:sz="0" w:space="0" w:color="auto"/>
            </w:tcBorders>
            <w:noWrap/>
            <w:hideMark/>
          </w:tcPr>
          <w:p w14:paraId="44481AF5" w14:textId="77777777" w:rsidR="005820AF" w:rsidRPr="00C076D9" w:rsidRDefault="005820AF" w:rsidP="00AA2559">
            <w:pPr>
              <w:spacing w:after="60"/>
              <w:rPr>
                <w:rFonts w:cs="Calibri"/>
                <w:lang w:eastAsia="en-AU"/>
              </w:rPr>
            </w:pPr>
          </w:p>
        </w:tc>
        <w:tc>
          <w:tcPr>
            <w:tcW w:w="1595" w:type="dxa"/>
            <w:tcBorders>
              <w:left w:val="none" w:sz="0" w:space="0" w:color="auto"/>
              <w:right w:val="none" w:sz="0" w:space="0" w:color="auto"/>
            </w:tcBorders>
            <w:noWrap/>
            <w:hideMark/>
          </w:tcPr>
          <w:p w14:paraId="1D3F0ACA" w14:textId="77777777" w:rsidR="005820AF" w:rsidRPr="00C076D9" w:rsidRDefault="005820AF" w:rsidP="00AA2559">
            <w:pPr>
              <w:spacing w:after="60"/>
              <w:jc w:val="center"/>
              <w:cnfStyle w:val="100000000000" w:firstRow="1" w:lastRow="0" w:firstColumn="0" w:lastColumn="0" w:oddVBand="0" w:evenVBand="0" w:oddHBand="0" w:evenHBand="0" w:firstRowFirstColumn="0" w:firstRowLastColumn="0" w:lastRowFirstColumn="0" w:lastRowLastColumn="0"/>
              <w:rPr>
                <w:rFonts w:cs="Calibri"/>
                <w:lang w:eastAsia="en-AU"/>
              </w:rPr>
            </w:pPr>
            <w:r w:rsidRPr="00C076D9">
              <w:rPr>
                <w:rFonts w:cs="Calibri"/>
                <w:lang w:eastAsia="en-AU"/>
              </w:rPr>
              <w:t>Current</w:t>
            </w:r>
          </w:p>
        </w:tc>
        <w:tc>
          <w:tcPr>
            <w:tcW w:w="1595" w:type="dxa"/>
            <w:tcBorders>
              <w:left w:val="none" w:sz="0" w:space="0" w:color="auto"/>
              <w:right w:val="none" w:sz="0" w:space="0" w:color="auto"/>
            </w:tcBorders>
            <w:noWrap/>
            <w:hideMark/>
          </w:tcPr>
          <w:p w14:paraId="168D9C6F" w14:textId="77777777" w:rsidR="005820AF" w:rsidRPr="00C076D9" w:rsidRDefault="005820AF" w:rsidP="00AA2559">
            <w:pPr>
              <w:spacing w:after="60"/>
              <w:jc w:val="center"/>
              <w:cnfStyle w:val="100000000000" w:firstRow="1" w:lastRow="0" w:firstColumn="0" w:lastColumn="0" w:oddVBand="0" w:evenVBand="0" w:oddHBand="0" w:evenHBand="0" w:firstRowFirstColumn="0" w:firstRowLastColumn="0" w:lastRowFirstColumn="0" w:lastRowLastColumn="0"/>
              <w:rPr>
                <w:rFonts w:cs="Calibri"/>
                <w:lang w:eastAsia="en-AU"/>
              </w:rPr>
            </w:pPr>
            <w:r w:rsidRPr="00C076D9">
              <w:rPr>
                <w:rFonts w:cs="Calibri"/>
                <w:lang w:eastAsia="en-AU"/>
              </w:rPr>
              <w:t>Proposed</w:t>
            </w:r>
          </w:p>
        </w:tc>
        <w:tc>
          <w:tcPr>
            <w:tcW w:w="1595" w:type="dxa"/>
            <w:tcBorders>
              <w:left w:val="none" w:sz="0" w:space="0" w:color="auto"/>
              <w:right w:val="none" w:sz="0" w:space="0" w:color="auto"/>
            </w:tcBorders>
            <w:noWrap/>
            <w:hideMark/>
          </w:tcPr>
          <w:p w14:paraId="51B718E1" w14:textId="77777777" w:rsidR="005820AF" w:rsidRPr="00C076D9" w:rsidRDefault="005820AF" w:rsidP="00AA2559">
            <w:pPr>
              <w:spacing w:after="60"/>
              <w:jc w:val="center"/>
              <w:cnfStyle w:val="100000000000" w:firstRow="1" w:lastRow="0" w:firstColumn="0" w:lastColumn="0" w:oddVBand="0" w:evenVBand="0" w:oddHBand="0" w:evenHBand="0" w:firstRowFirstColumn="0" w:firstRowLastColumn="0" w:lastRowFirstColumn="0" w:lastRowLastColumn="0"/>
              <w:rPr>
                <w:rFonts w:cs="Calibri"/>
                <w:lang w:eastAsia="en-AU"/>
              </w:rPr>
            </w:pPr>
            <w:r w:rsidRPr="00C076D9">
              <w:rPr>
                <w:rFonts w:cs="Calibri"/>
                <w:lang w:eastAsia="en-AU"/>
              </w:rPr>
              <w:t>$ Difference</w:t>
            </w:r>
          </w:p>
        </w:tc>
        <w:tc>
          <w:tcPr>
            <w:tcW w:w="1596" w:type="dxa"/>
            <w:tcBorders>
              <w:left w:val="none" w:sz="0" w:space="0" w:color="auto"/>
            </w:tcBorders>
            <w:noWrap/>
            <w:hideMark/>
          </w:tcPr>
          <w:p w14:paraId="78423F4F" w14:textId="77777777" w:rsidR="005820AF" w:rsidRPr="00C076D9" w:rsidRDefault="005820AF" w:rsidP="00AA2559">
            <w:pPr>
              <w:spacing w:after="60"/>
              <w:jc w:val="center"/>
              <w:cnfStyle w:val="100000000000" w:firstRow="1" w:lastRow="0" w:firstColumn="0" w:lastColumn="0" w:oddVBand="0" w:evenVBand="0" w:oddHBand="0" w:evenHBand="0" w:firstRowFirstColumn="0" w:firstRowLastColumn="0" w:lastRowFirstColumn="0" w:lastRowLastColumn="0"/>
              <w:rPr>
                <w:rFonts w:cs="Calibri"/>
                <w:lang w:eastAsia="en-AU"/>
              </w:rPr>
            </w:pPr>
            <w:r w:rsidRPr="00C076D9">
              <w:rPr>
                <w:rFonts w:cs="Calibri"/>
                <w:lang w:eastAsia="en-AU"/>
              </w:rPr>
              <w:t>% Difference</w:t>
            </w:r>
          </w:p>
        </w:tc>
      </w:tr>
      <w:tr w:rsidR="005820AF" w:rsidRPr="00C076D9" w14:paraId="47179AFD" w14:textId="77777777" w:rsidTr="00AA2559">
        <w:tc>
          <w:tcPr>
            <w:cnfStyle w:val="001000000000" w:firstRow="0" w:lastRow="0" w:firstColumn="1" w:lastColumn="0" w:oddVBand="0" w:evenVBand="0" w:oddHBand="0" w:evenHBand="0" w:firstRowFirstColumn="0" w:firstRowLastColumn="0" w:lastRowFirstColumn="0" w:lastRowLastColumn="0"/>
            <w:tcW w:w="2828" w:type="dxa"/>
            <w:noWrap/>
            <w:hideMark/>
          </w:tcPr>
          <w:p w14:paraId="77EFEB21" w14:textId="7B645294" w:rsidR="005820AF" w:rsidRPr="00C076D9" w:rsidRDefault="005820AF" w:rsidP="002113C8">
            <w:pPr>
              <w:spacing w:after="60"/>
              <w:rPr>
                <w:rFonts w:cs="Calibri"/>
                <w:color w:val="000000"/>
                <w:lang w:eastAsia="en-AU"/>
              </w:rPr>
            </w:pPr>
            <w:r w:rsidRPr="00C076D9">
              <w:rPr>
                <w:rFonts w:cs="Calibri"/>
                <w:color w:val="000000"/>
                <w:lang w:eastAsia="en-AU"/>
              </w:rPr>
              <w:t xml:space="preserve">Initial </w:t>
            </w:r>
            <w:r w:rsidR="002113C8">
              <w:rPr>
                <w:rFonts w:cs="Calibri"/>
                <w:color w:val="000000"/>
                <w:lang w:eastAsia="en-AU"/>
              </w:rPr>
              <w:t>approvals</w:t>
            </w:r>
            <w:r w:rsidRPr="00C076D9">
              <w:rPr>
                <w:rFonts w:cs="Calibri"/>
                <w:color w:val="000000"/>
                <w:lang w:eastAsia="en-AU"/>
              </w:rPr>
              <w:t xml:space="preserve"> for new services</w:t>
            </w:r>
          </w:p>
        </w:tc>
        <w:tc>
          <w:tcPr>
            <w:tcW w:w="1595" w:type="dxa"/>
            <w:noWrap/>
            <w:hideMark/>
          </w:tcPr>
          <w:p w14:paraId="4A1C3F95" w14:textId="4BBEAD62" w:rsidR="005820AF" w:rsidRPr="00C076D9" w:rsidRDefault="005820AF" w:rsidP="00AA2559">
            <w:pPr>
              <w:spacing w:after="6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C076D9">
              <w:rPr>
                <w:rFonts w:cs="Calibri"/>
                <w:color w:val="000000"/>
                <w:lang w:eastAsia="en-AU"/>
              </w:rPr>
              <w:t>$9,694</w:t>
            </w:r>
          </w:p>
        </w:tc>
        <w:tc>
          <w:tcPr>
            <w:tcW w:w="1595" w:type="dxa"/>
            <w:noWrap/>
            <w:hideMark/>
          </w:tcPr>
          <w:p w14:paraId="38C014DD" w14:textId="17006EAE" w:rsidR="005820AF" w:rsidRPr="00C076D9" w:rsidRDefault="005820AF" w:rsidP="00AA2559">
            <w:pPr>
              <w:spacing w:after="6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C076D9">
              <w:rPr>
                <w:rFonts w:cs="Calibri"/>
                <w:color w:val="000000"/>
                <w:lang w:eastAsia="en-AU"/>
              </w:rPr>
              <w:t>$9,694</w:t>
            </w:r>
          </w:p>
        </w:tc>
        <w:tc>
          <w:tcPr>
            <w:tcW w:w="1595" w:type="dxa"/>
            <w:noWrap/>
            <w:hideMark/>
          </w:tcPr>
          <w:p w14:paraId="3BED450B" w14:textId="77777777" w:rsidR="005820AF" w:rsidRPr="00C076D9" w:rsidRDefault="005820AF" w:rsidP="00AA2559">
            <w:pPr>
              <w:spacing w:after="6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C076D9">
              <w:rPr>
                <w:rFonts w:cs="Calibri"/>
                <w:color w:val="000000"/>
                <w:lang w:eastAsia="en-AU"/>
              </w:rPr>
              <w:t>$0.00</w:t>
            </w:r>
          </w:p>
        </w:tc>
        <w:tc>
          <w:tcPr>
            <w:tcW w:w="1596" w:type="dxa"/>
            <w:noWrap/>
            <w:hideMark/>
          </w:tcPr>
          <w:p w14:paraId="187E79E9" w14:textId="77777777" w:rsidR="005820AF" w:rsidRPr="00C076D9" w:rsidRDefault="005820AF" w:rsidP="00AA2559">
            <w:pPr>
              <w:spacing w:after="6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C076D9">
              <w:rPr>
                <w:rFonts w:cs="Calibri"/>
                <w:color w:val="000000"/>
                <w:lang w:eastAsia="en-AU"/>
              </w:rPr>
              <w:t>0.00%</w:t>
            </w:r>
          </w:p>
        </w:tc>
      </w:tr>
      <w:tr w:rsidR="005820AF" w:rsidRPr="00C076D9" w14:paraId="69E006E5" w14:textId="77777777" w:rsidTr="00AA2559">
        <w:tc>
          <w:tcPr>
            <w:cnfStyle w:val="001000000000" w:firstRow="0" w:lastRow="0" w:firstColumn="1" w:lastColumn="0" w:oddVBand="0" w:evenVBand="0" w:oddHBand="0" w:evenHBand="0" w:firstRowFirstColumn="0" w:firstRowLastColumn="0" w:lastRowFirstColumn="0" w:lastRowLastColumn="0"/>
            <w:tcW w:w="2828" w:type="dxa"/>
            <w:noWrap/>
            <w:hideMark/>
          </w:tcPr>
          <w:p w14:paraId="6FA1B05A" w14:textId="4079EE79" w:rsidR="005820AF" w:rsidRPr="00C076D9" w:rsidRDefault="005820AF" w:rsidP="00AA2559">
            <w:pPr>
              <w:spacing w:after="60"/>
              <w:rPr>
                <w:rFonts w:cs="Calibri"/>
                <w:color w:val="000000"/>
                <w:lang w:eastAsia="en-AU"/>
              </w:rPr>
            </w:pPr>
            <w:r w:rsidRPr="00C076D9">
              <w:rPr>
                <w:rFonts w:cs="Calibri"/>
                <w:color w:val="000000"/>
                <w:lang w:eastAsia="en-AU"/>
              </w:rPr>
              <w:t>Ongoing costs</w:t>
            </w:r>
          </w:p>
        </w:tc>
        <w:tc>
          <w:tcPr>
            <w:tcW w:w="1595" w:type="dxa"/>
            <w:noWrap/>
            <w:hideMark/>
          </w:tcPr>
          <w:p w14:paraId="28F761BC" w14:textId="22DBD75F" w:rsidR="005820AF" w:rsidRPr="00C076D9" w:rsidRDefault="005820AF" w:rsidP="00AA2559">
            <w:pPr>
              <w:spacing w:after="6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C076D9">
              <w:rPr>
                <w:rFonts w:cs="Calibri"/>
                <w:color w:val="000000"/>
                <w:lang w:eastAsia="en-AU"/>
              </w:rPr>
              <w:t>$75,202</w:t>
            </w:r>
          </w:p>
        </w:tc>
        <w:tc>
          <w:tcPr>
            <w:tcW w:w="1595" w:type="dxa"/>
            <w:noWrap/>
            <w:hideMark/>
          </w:tcPr>
          <w:p w14:paraId="356D38A6" w14:textId="300EE19A" w:rsidR="005820AF" w:rsidRPr="00C076D9" w:rsidRDefault="005820AF" w:rsidP="00AA2559">
            <w:pPr>
              <w:spacing w:after="6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C076D9">
              <w:rPr>
                <w:rFonts w:cs="Calibri"/>
                <w:color w:val="000000"/>
                <w:lang w:eastAsia="en-AU"/>
              </w:rPr>
              <w:t>$74,984</w:t>
            </w:r>
          </w:p>
        </w:tc>
        <w:tc>
          <w:tcPr>
            <w:tcW w:w="1595" w:type="dxa"/>
            <w:noWrap/>
            <w:hideMark/>
          </w:tcPr>
          <w:p w14:paraId="3A22F97E" w14:textId="77777777" w:rsidR="005820AF" w:rsidRPr="00C076D9" w:rsidRDefault="005820AF" w:rsidP="00AA2559">
            <w:pPr>
              <w:spacing w:after="6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C076D9">
              <w:rPr>
                <w:rFonts w:cs="Calibri"/>
                <w:color w:val="000000"/>
                <w:lang w:eastAsia="en-AU"/>
              </w:rPr>
              <w:t>$218.90</w:t>
            </w:r>
          </w:p>
        </w:tc>
        <w:tc>
          <w:tcPr>
            <w:tcW w:w="1596" w:type="dxa"/>
            <w:noWrap/>
            <w:hideMark/>
          </w:tcPr>
          <w:p w14:paraId="6ACA31A9" w14:textId="77777777" w:rsidR="005820AF" w:rsidRPr="00C076D9" w:rsidRDefault="005820AF" w:rsidP="00AA2559">
            <w:pPr>
              <w:spacing w:after="6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C076D9">
              <w:rPr>
                <w:rFonts w:cs="Calibri"/>
                <w:color w:val="000000"/>
                <w:lang w:eastAsia="en-AU"/>
              </w:rPr>
              <w:t>0.29%</w:t>
            </w:r>
          </w:p>
        </w:tc>
      </w:tr>
    </w:tbl>
    <w:p w14:paraId="3A46C8C7" w14:textId="48EDFC3A" w:rsidR="00511CB8" w:rsidRDefault="00511CB8" w:rsidP="00511CB8">
      <w:pPr>
        <w:pStyle w:val="Caption"/>
      </w:pPr>
      <w:bookmarkStart w:id="280" w:name="_Toc32592843"/>
      <w:r w:rsidRPr="00511CB8">
        <w:t xml:space="preserve">Table </w:t>
      </w:r>
      <w:r w:rsidRPr="00511CB8">
        <w:fldChar w:fldCharType="begin"/>
      </w:r>
      <w:r w:rsidRPr="00511CB8">
        <w:instrText xml:space="preserve"> SEQ Table \* ARABIC </w:instrText>
      </w:r>
      <w:r w:rsidRPr="00511CB8">
        <w:fldChar w:fldCharType="separate"/>
      </w:r>
      <w:r w:rsidR="00493211">
        <w:rPr>
          <w:noProof/>
        </w:rPr>
        <w:t>60</w:t>
      </w:r>
      <w:r w:rsidRPr="00511CB8">
        <w:fldChar w:fldCharType="end"/>
      </w:r>
      <w:r w:rsidRPr="00511CB8">
        <w:t xml:space="preserve"> </w:t>
      </w:r>
      <w:r w:rsidRPr="00C076D9">
        <w:t>Projected cost to industry over 10 years – NPV*</w:t>
      </w:r>
      <w:bookmarkEnd w:id="280"/>
    </w:p>
    <w:tbl>
      <w:tblPr>
        <w:tblStyle w:val="TableGrid"/>
        <w:tblW w:w="9209" w:type="dxa"/>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ayout w:type="fixed"/>
        <w:tblLook w:val="04A0" w:firstRow="1" w:lastRow="0" w:firstColumn="1" w:lastColumn="0" w:noHBand="0" w:noVBand="1"/>
      </w:tblPr>
      <w:tblGrid>
        <w:gridCol w:w="2828"/>
        <w:gridCol w:w="1595"/>
        <w:gridCol w:w="1595"/>
        <w:gridCol w:w="1595"/>
        <w:gridCol w:w="1596"/>
      </w:tblGrid>
      <w:tr w:rsidR="005820AF" w:rsidRPr="00042E6A" w14:paraId="722DB09B" w14:textId="77777777" w:rsidTr="00AA2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Borders>
              <w:right w:val="none" w:sz="0" w:space="0" w:color="auto"/>
            </w:tcBorders>
            <w:noWrap/>
            <w:hideMark/>
          </w:tcPr>
          <w:p w14:paraId="7DAE3980" w14:textId="77777777" w:rsidR="005820AF" w:rsidRPr="00C076D9" w:rsidRDefault="005820AF" w:rsidP="00AA2559">
            <w:pPr>
              <w:spacing w:after="60"/>
              <w:rPr>
                <w:rFonts w:cs="Calibri"/>
                <w:lang w:eastAsia="en-AU"/>
              </w:rPr>
            </w:pPr>
          </w:p>
        </w:tc>
        <w:tc>
          <w:tcPr>
            <w:tcW w:w="1595" w:type="dxa"/>
            <w:tcBorders>
              <w:left w:val="none" w:sz="0" w:space="0" w:color="auto"/>
              <w:right w:val="none" w:sz="0" w:space="0" w:color="auto"/>
            </w:tcBorders>
            <w:noWrap/>
            <w:hideMark/>
          </w:tcPr>
          <w:p w14:paraId="1FE0F10B" w14:textId="77777777" w:rsidR="005820AF" w:rsidRPr="00C076D9" w:rsidRDefault="005820AF" w:rsidP="00AA2559">
            <w:pPr>
              <w:spacing w:after="60"/>
              <w:jc w:val="center"/>
              <w:cnfStyle w:val="100000000000" w:firstRow="1" w:lastRow="0" w:firstColumn="0" w:lastColumn="0" w:oddVBand="0" w:evenVBand="0" w:oddHBand="0" w:evenHBand="0" w:firstRowFirstColumn="0" w:firstRowLastColumn="0" w:lastRowFirstColumn="0" w:lastRowLastColumn="0"/>
              <w:rPr>
                <w:rFonts w:cs="Calibri"/>
                <w:lang w:eastAsia="en-AU"/>
              </w:rPr>
            </w:pPr>
            <w:r w:rsidRPr="00C076D9">
              <w:rPr>
                <w:rFonts w:cs="Calibri"/>
                <w:lang w:eastAsia="en-AU"/>
              </w:rPr>
              <w:t>Current</w:t>
            </w:r>
          </w:p>
        </w:tc>
        <w:tc>
          <w:tcPr>
            <w:tcW w:w="1595" w:type="dxa"/>
            <w:tcBorders>
              <w:left w:val="none" w:sz="0" w:space="0" w:color="auto"/>
              <w:right w:val="none" w:sz="0" w:space="0" w:color="auto"/>
            </w:tcBorders>
            <w:noWrap/>
            <w:hideMark/>
          </w:tcPr>
          <w:p w14:paraId="138BEB1F" w14:textId="77777777" w:rsidR="005820AF" w:rsidRPr="00C076D9" w:rsidRDefault="005820AF" w:rsidP="00AA2559">
            <w:pPr>
              <w:spacing w:after="60"/>
              <w:jc w:val="center"/>
              <w:cnfStyle w:val="100000000000" w:firstRow="1" w:lastRow="0" w:firstColumn="0" w:lastColumn="0" w:oddVBand="0" w:evenVBand="0" w:oddHBand="0" w:evenHBand="0" w:firstRowFirstColumn="0" w:firstRowLastColumn="0" w:lastRowFirstColumn="0" w:lastRowLastColumn="0"/>
              <w:rPr>
                <w:rFonts w:cs="Calibri"/>
                <w:lang w:eastAsia="en-AU"/>
              </w:rPr>
            </w:pPr>
            <w:r w:rsidRPr="00C076D9">
              <w:rPr>
                <w:rFonts w:cs="Calibri"/>
                <w:lang w:eastAsia="en-AU"/>
              </w:rPr>
              <w:t>Proposed</w:t>
            </w:r>
          </w:p>
        </w:tc>
        <w:tc>
          <w:tcPr>
            <w:tcW w:w="1595" w:type="dxa"/>
            <w:tcBorders>
              <w:left w:val="none" w:sz="0" w:space="0" w:color="auto"/>
              <w:right w:val="none" w:sz="0" w:space="0" w:color="auto"/>
            </w:tcBorders>
            <w:noWrap/>
            <w:hideMark/>
          </w:tcPr>
          <w:p w14:paraId="79C7B99C" w14:textId="77777777" w:rsidR="005820AF" w:rsidRPr="00C076D9" w:rsidRDefault="005820AF" w:rsidP="00AA2559">
            <w:pPr>
              <w:spacing w:after="60"/>
              <w:jc w:val="center"/>
              <w:cnfStyle w:val="100000000000" w:firstRow="1" w:lastRow="0" w:firstColumn="0" w:lastColumn="0" w:oddVBand="0" w:evenVBand="0" w:oddHBand="0" w:evenHBand="0" w:firstRowFirstColumn="0" w:firstRowLastColumn="0" w:lastRowFirstColumn="0" w:lastRowLastColumn="0"/>
              <w:rPr>
                <w:rFonts w:cs="Calibri"/>
                <w:lang w:eastAsia="en-AU"/>
              </w:rPr>
            </w:pPr>
            <w:r w:rsidRPr="00C076D9">
              <w:rPr>
                <w:rFonts w:cs="Calibri"/>
                <w:lang w:eastAsia="en-AU"/>
              </w:rPr>
              <w:t>$ Difference</w:t>
            </w:r>
          </w:p>
        </w:tc>
        <w:tc>
          <w:tcPr>
            <w:tcW w:w="1596" w:type="dxa"/>
            <w:tcBorders>
              <w:left w:val="none" w:sz="0" w:space="0" w:color="auto"/>
            </w:tcBorders>
            <w:noWrap/>
            <w:hideMark/>
          </w:tcPr>
          <w:p w14:paraId="7E287C18" w14:textId="77777777" w:rsidR="005820AF" w:rsidRPr="00C076D9" w:rsidRDefault="005820AF" w:rsidP="00AA2559">
            <w:pPr>
              <w:spacing w:after="60"/>
              <w:jc w:val="center"/>
              <w:cnfStyle w:val="100000000000" w:firstRow="1" w:lastRow="0" w:firstColumn="0" w:lastColumn="0" w:oddVBand="0" w:evenVBand="0" w:oddHBand="0" w:evenHBand="0" w:firstRowFirstColumn="0" w:firstRowLastColumn="0" w:lastRowFirstColumn="0" w:lastRowLastColumn="0"/>
              <w:rPr>
                <w:rFonts w:cs="Calibri"/>
                <w:lang w:eastAsia="en-AU"/>
              </w:rPr>
            </w:pPr>
            <w:r w:rsidRPr="00C076D9">
              <w:rPr>
                <w:rFonts w:cs="Calibri"/>
                <w:lang w:eastAsia="en-AU"/>
              </w:rPr>
              <w:t>% Difference</w:t>
            </w:r>
          </w:p>
        </w:tc>
      </w:tr>
      <w:tr w:rsidR="005820AF" w:rsidRPr="00C076D9" w14:paraId="769015A9" w14:textId="77777777" w:rsidTr="00AA2559">
        <w:tc>
          <w:tcPr>
            <w:cnfStyle w:val="001000000000" w:firstRow="0" w:lastRow="0" w:firstColumn="1" w:lastColumn="0" w:oddVBand="0" w:evenVBand="0" w:oddHBand="0" w:evenHBand="0" w:firstRowFirstColumn="0" w:firstRowLastColumn="0" w:lastRowFirstColumn="0" w:lastRowLastColumn="0"/>
            <w:tcW w:w="2828" w:type="dxa"/>
            <w:noWrap/>
            <w:hideMark/>
          </w:tcPr>
          <w:p w14:paraId="5DDD2F4E" w14:textId="62905C06" w:rsidR="005820AF" w:rsidRPr="00C076D9" w:rsidRDefault="005820AF" w:rsidP="002113C8">
            <w:pPr>
              <w:spacing w:after="60"/>
              <w:rPr>
                <w:rFonts w:cs="Calibri"/>
                <w:color w:val="000000"/>
                <w:lang w:eastAsia="en-AU"/>
              </w:rPr>
            </w:pPr>
            <w:r w:rsidRPr="00C076D9">
              <w:rPr>
                <w:rFonts w:cs="Calibri"/>
                <w:color w:val="000000"/>
                <w:lang w:eastAsia="en-AU"/>
              </w:rPr>
              <w:t xml:space="preserve">Initial </w:t>
            </w:r>
            <w:r w:rsidR="002113C8">
              <w:rPr>
                <w:rFonts w:cs="Calibri"/>
                <w:color w:val="000000"/>
                <w:lang w:eastAsia="en-AU"/>
              </w:rPr>
              <w:t>approvals</w:t>
            </w:r>
            <w:r w:rsidRPr="00C076D9">
              <w:rPr>
                <w:rFonts w:cs="Calibri"/>
                <w:color w:val="000000"/>
                <w:lang w:eastAsia="en-AU"/>
              </w:rPr>
              <w:t xml:space="preserve"> for new services</w:t>
            </w:r>
          </w:p>
        </w:tc>
        <w:tc>
          <w:tcPr>
            <w:tcW w:w="1595" w:type="dxa"/>
            <w:noWrap/>
            <w:hideMark/>
          </w:tcPr>
          <w:p w14:paraId="096CAD10" w14:textId="519D88FC" w:rsidR="005820AF" w:rsidRPr="00C076D9" w:rsidRDefault="005820AF" w:rsidP="00AA2559">
            <w:pPr>
              <w:spacing w:after="6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C076D9">
              <w:rPr>
                <w:rFonts w:cs="Calibri"/>
                <w:color w:val="000000"/>
                <w:lang w:eastAsia="en-AU"/>
              </w:rPr>
              <w:t>$1,938,888</w:t>
            </w:r>
          </w:p>
        </w:tc>
        <w:tc>
          <w:tcPr>
            <w:tcW w:w="1595" w:type="dxa"/>
            <w:noWrap/>
            <w:hideMark/>
          </w:tcPr>
          <w:p w14:paraId="2937FD9B" w14:textId="6059D9F9" w:rsidR="005820AF" w:rsidRPr="00C076D9" w:rsidRDefault="005820AF" w:rsidP="00AA2559">
            <w:pPr>
              <w:spacing w:after="6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C076D9">
              <w:rPr>
                <w:rFonts w:cs="Calibri"/>
                <w:color w:val="000000"/>
                <w:lang w:eastAsia="en-AU"/>
              </w:rPr>
              <w:t>$1,938,888</w:t>
            </w:r>
          </w:p>
        </w:tc>
        <w:tc>
          <w:tcPr>
            <w:tcW w:w="1595" w:type="dxa"/>
            <w:noWrap/>
            <w:hideMark/>
          </w:tcPr>
          <w:p w14:paraId="6408DF06" w14:textId="77777777" w:rsidR="005820AF" w:rsidRPr="00C076D9" w:rsidRDefault="005820AF" w:rsidP="00AA2559">
            <w:pPr>
              <w:spacing w:after="6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C076D9">
              <w:rPr>
                <w:rFonts w:cs="Calibri"/>
                <w:color w:val="000000"/>
                <w:lang w:eastAsia="en-AU"/>
              </w:rPr>
              <w:t>$0.00</w:t>
            </w:r>
          </w:p>
        </w:tc>
        <w:tc>
          <w:tcPr>
            <w:tcW w:w="1596" w:type="dxa"/>
            <w:noWrap/>
            <w:hideMark/>
          </w:tcPr>
          <w:p w14:paraId="4360E077" w14:textId="77777777" w:rsidR="005820AF" w:rsidRPr="00C076D9" w:rsidRDefault="005820AF" w:rsidP="00AA2559">
            <w:pPr>
              <w:spacing w:after="6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C076D9">
              <w:rPr>
                <w:rFonts w:cs="Calibri"/>
                <w:color w:val="000000"/>
                <w:lang w:eastAsia="en-AU"/>
              </w:rPr>
              <w:t>0.00%</w:t>
            </w:r>
          </w:p>
        </w:tc>
      </w:tr>
      <w:tr w:rsidR="005820AF" w:rsidRPr="00C076D9" w14:paraId="54E0DD55" w14:textId="77777777" w:rsidTr="00AA2559">
        <w:tc>
          <w:tcPr>
            <w:cnfStyle w:val="001000000000" w:firstRow="0" w:lastRow="0" w:firstColumn="1" w:lastColumn="0" w:oddVBand="0" w:evenVBand="0" w:oddHBand="0" w:evenHBand="0" w:firstRowFirstColumn="0" w:firstRowLastColumn="0" w:lastRowFirstColumn="0" w:lastRowLastColumn="0"/>
            <w:tcW w:w="2828" w:type="dxa"/>
            <w:noWrap/>
            <w:hideMark/>
          </w:tcPr>
          <w:p w14:paraId="109BEBD5" w14:textId="77777777" w:rsidR="005820AF" w:rsidRPr="00C076D9" w:rsidRDefault="005820AF" w:rsidP="00AA2559">
            <w:pPr>
              <w:spacing w:after="60"/>
              <w:rPr>
                <w:rFonts w:cs="Calibri"/>
                <w:color w:val="000000"/>
                <w:lang w:eastAsia="en-AU"/>
              </w:rPr>
            </w:pPr>
            <w:r w:rsidRPr="00C076D9">
              <w:rPr>
                <w:rFonts w:cs="Calibri"/>
                <w:color w:val="000000"/>
                <w:lang w:eastAsia="en-AU"/>
              </w:rPr>
              <w:t>Ongoing costs</w:t>
            </w:r>
          </w:p>
        </w:tc>
        <w:tc>
          <w:tcPr>
            <w:tcW w:w="1595" w:type="dxa"/>
            <w:noWrap/>
            <w:hideMark/>
          </w:tcPr>
          <w:p w14:paraId="48B31289" w14:textId="086D7777" w:rsidR="005820AF" w:rsidRPr="00C076D9" w:rsidRDefault="005820AF" w:rsidP="00AA2559">
            <w:pPr>
              <w:spacing w:after="6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C076D9">
              <w:rPr>
                <w:rFonts w:cs="Calibri"/>
                <w:color w:val="000000"/>
                <w:lang w:eastAsia="en-AU"/>
              </w:rPr>
              <w:t>$244,387,699</w:t>
            </w:r>
          </w:p>
        </w:tc>
        <w:tc>
          <w:tcPr>
            <w:tcW w:w="1595" w:type="dxa"/>
            <w:noWrap/>
            <w:hideMark/>
          </w:tcPr>
          <w:p w14:paraId="18DAE88A" w14:textId="27F7858A" w:rsidR="005820AF" w:rsidRPr="00C076D9" w:rsidRDefault="005820AF" w:rsidP="00AA2559">
            <w:pPr>
              <w:spacing w:after="6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C076D9">
              <w:rPr>
                <w:rFonts w:cs="Calibri"/>
                <w:color w:val="000000"/>
                <w:lang w:eastAsia="en-AU"/>
              </w:rPr>
              <w:t>$234,363,856</w:t>
            </w:r>
          </w:p>
        </w:tc>
        <w:tc>
          <w:tcPr>
            <w:tcW w:w="1595" w:type="dxa"/>
            <w:noWrap/>
            <w:hideMark/>
          </w:tcPr>
          <w:p w14:paraId="2117B6A6" w14:textId="2BCE1BF8" w:rsidR="005820AF" w:rsidRPr="00C076D9" w:rsidRDefault="005820AF" w:rsidP="00AA2559">
            <w:pPr>
              <w:spacing w:after="6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C076D9">
              <w:rPr>
                <w:rFonts w:cs="Calibri"/>
                <w:color w:val="000000"/>
                <w:lang w:eastAsia="en-AU"/>
              </w:rPr>
              <w:t>$10,023,843</w:t>
            </w:r>
          </w:p>
        </w:tc>
        <w:tc>
          <w:tcPr>
            <w:tcW w:w="1596" w:type="dxa"/>
            <w:noWrap/>
            <w:hideMark/>
          </w:tcPr>
          <w:p w14:paraId="25C6C0D8" w14:textId="77777777" w:rsidR="005820AF" w:rsidRPr="00C076D9" w:rsidRDefault="005820AF" w:rsidP="00AA2559">
            <w:pPr>
              <w:spacing w:after="60"/>
              <w:jc w:val="center"/>
              <w:cnfStyle w:val="000000000000" w:firstRow="0" w:lastRow="0" w:firstColumn="0" w:lastColumn="0" w:oddVBand="0" w:evenVBand="0" w:oddHBand="0" w:evenHBand="0" w:firstRowFirstColumn="0" w:firstRowLastColumn="0" w:lastRowFirstColumn="0" w:lastRowLastColumn="0"/>
              <w:rPr>
                <w:rFonts w:cs="Calibri"/>
                <w:color w:val="000000"/>
                <w:lang w:eastAsia="en-AU"/>
              </w:rPr>
            </w:pPr>
            <w:r w:rsidRPr="00C076D9">
              <w:rPr>
                <w:rFonts w:cs="Calibri"/>
                <w:color w:val="000000"/>
                <w:lang w:eastAsia="en-AU"/>
              </w:rPr>
              <w:t>4.19%</w:t>
            </w:r>
          </w:p>
        </w:tc>
      </w:tr>
    </w:tbl>
    <w:p w14:paraId="5197EEED" w14:textId="77777777" w:rsidR="005820AF" w:rsidRPr="009C5EE7" w:rsidRDefault="005820AF" w:rsidP="002B49E4">
      <w:pPr>
        <w:pStyle w:val="EYBodytextwithparaspace"/>
        <w:spacing w:before="120" w:after="120"/>
        <w:rPr>
          <w:rFonts w:ascii="Arial" w:hAnsi="Arial" w:cs="Arial"/>
          <w:i/>
          <w:sz w:val="16"/>
          <w:szCs w:val="16"/>
        </w:rPr>
      </w:pPr>
      <w:r w:rsidRPr="00C076D9">
        <w:rPr>
          <w:rFonts w:ascii="Arial" w:hAnsi="Arial" w:cs="Arial"/>
          <w:i/>
          <w:sz w:val="16"/>
          <w:szCs w:val="16"/>
        </w:rPr>
        <w:t>*Net Present Value costs calculated at a four per cent real discount rate</w:t>
      </w:r>
    </w:p>
    <w:p w14:paraId="4CB5ED43" w14:textId="77777777" w:rsidR="005820AF" w:rsidRPr="00237579" w:rsidRDefault="005820AF" w:rsidP="005820AF">
      <w:pPr>
        <w:pStyle w:val="EYBodytextwithparaspace"/>
        <w:spacing w:before="120" w:after="120"/>
        <w:rPr>
          <w:rFonts w:ascii="Arial" w:hAnsi="Arial" w:cs="Arial"/>
          <w:b/>
          <w:i/>
          <w:sz w:val="22"/>
          <w:szCs w:val="22"/>
        </w:rPr>
      </w:pPr>
      <w:r w:rsidRPr="00237579">
        <w:rPr>
          <w:rFonts w:ascii="Arial" w:hAnsi="Arial" w:cs="Arial"/>
          <w:b/>
          <w:i/>
          <w:sz w:val="22"/>
          <w:szCs w:val="22"/>
        </w:rPr>
        <w:t>Preferred Option</w:t>
      </w:r>
    </w:p>
    <w:p w14:paraId="7A5C0425" w14:textId="77777777" w:rsidR="005820AF" w:rsidRPr="00237579" w:rsidRDefault="005820AF" w:rsidP="005820AF">
      <w:pPr>
        <w:pStyle w:val="EYBodytextwithparaspace"/>
        <w:spacing w:before="120" w:after="120"/>
        <w:rPr>
          <w:rFonts w:ascii="Arial" w:hAnsi="Arial" w:cs="Arial"/>
          <w:sz w:val="22"/>
          <w:szCs w:val="22"/>
        </w:rPr>
      </w:pPr>
      <w:r w:rsidRPr="00237579">
        <w:rPr>
          <w:rFonts w:ascii="Arial" w:hAnsi="Arial" w:cs="Arial"/>
          <w:sz w:val="22"/>
          <w:szCs w:val="22"/>
        </w:rPr>
        <w:t>Although the proposed regulations have been presented in regulatory areas, the effects of the various areas need to be considered as a whole with an “on balance” assessment.</w:t>
      </w:r>
    </w:p>
    <w:p w14:paraId="3717F35B" w14:textId="03C43517" w:rsidR="005820AF" w:rsidRPr="00237579" w:rsidRDefault="005820AF" w:rsidP="005820AF">
      <w:pPr>
        <w:pStyle w:val="EYBodytextwithparaspace"/>
        <w:spacing w:before="120" w:after="120"/>
        <w:rPr>
          <w:rFonts w:ascii="Arial" w:hAnsi="Arial" w:cs="Arial"/>
          <w:sz w:val="22"/>
          <w:szCs w:val="22"/>
        </w:rPr>
      </w:pPr>
      <w:r w:rsidRPr="00237579">
        <w:rPr>
          <w:rFonts w:ascii="Arial" w:hAnsi="Arial" w:cs="Arial"/>
          <w:sz w:val="22"/>
          <w:szCs w:val="22"/>
        </w:rPr>
        <w:t xml:space="preserve">Based on the overall total weighted score as shown in </w:t>
      </w:r>
      <w:r w:rsidRPr="00511CB8">
        <w:rPr>
          <w:rFonts w:ascii="Arial" w:hAnsi="Arial" w:cs="Arial"/>
          <w:sz w:val="22"/>
          <w:szCs w:val="22"/>
        </w:rPr>
        <w:t xml:space="preserve">Table </w:t>
      </w:r>
      <w:r w:rsidR="00511CB8">
        <w:rPr>
          <w:rFonts w:ascii="Arial" w:hAnsi="Arial" w:cs="Arial"/>
          <w:sz w:val="22"/>
          <w:szCs w:val="22"/>
        </w:rPr>
        <w:t>58</w:t>
      </w:r>
      <w:r w:rsidRPr="00237579">
        <w:rPr>
          <w:rFonts w:ascii="Arial" w:hAnsi="Arial" w:cs="Arial"/>
          <w:sz w:val="22"/>
          <w:szCs w:val="22"/>
        </w:rPr>
        <w:t xml:space="preserve"> and on the </w:t>
      </w:r>
      <w:r w:rsidR="00237579" w:rsidRPr="00237579">
        <w:rPr>
          <w:rFonts w:ascii="Arial" w:hAnsi="Arial" w:cs="Arial"/>
          <w:sz w:val="22"/>
          <w:szCs w:val="22"/>
        </w:rPr>
        <w:t xml:space="preserve">net present value </w:t>
      </w:r>
      <w:r w:rsidRPr="00237579">
        <w:rPr>
          <w:rFonts w:ascii="Arial" w:hAnsi="Arial" w:cs="Arial"/>
          <w:sz w:val="22"/>
          <w:szCs w:val="22"/>
        </w:rPr>
        <w:t xml:space="preserve">and percentage shown in </w:t>
      </w:r>
      <w:r w:rsidRPr="00511CB8">
        <w:rPr>
          <w:rFonts w:ascii="Arial" w:hAnsi="Arial" w:cs="Arial"/>
          <w:sz w:val="22"/>
          <w:szCs w:val="22"/>
        </w:rPr>
        <w:t xml:space="preserve">Table </w:t>
      </w:r>
      <w:r w:rsidR="00511CB8">
        <w:rPr>
          <w:rFonts w:ascii="Arial" w:hAnsi="Arial" w:cs="Arial"/>
          <w:sz w:val="22"/>
          <w:szCs w:val="22"/>
        </w:rPr>
        <w:t>60</w:t>
      </w:r>
      <w:r w:rsidRPr="00237579">
        <w:rPr>
          <w:rFonts w:ascii="Arial" w:hAnsi="Arial" w:cs="Arial"/>
          <w:sz w:val="22"/>
          <w:szCs w:val="22"/>
        </w:rPr>
        <w:t xml:space="preserve">, </w:t>
      </w:r>
      <w:r w:rsidRPr="00237579">
        <w:rPr>
          <w:rFonts w:ascii="Arial" w:hAnsi="Arial" w:cs="Arial"/>
          <w:b/>
          <w:sz w:val="22"/>
          <w:szCs w:val="22"/>
        </w:rPr>
        <w:t>Alignment</w:t>
      </w:r>
      <w:r w:rsidRPr="00237579">
        <w:rPr>
          <w:rFonts w:ascii="Arial" w:hAnsi="Arial" w:cs="Arial"/>
          <w:sz w:val="22"/>
          <w:szCs w:val="22"/>
        </w:rPr>
        <w:t xml:space="preserve"> is the preferred option, over retaining current regulations.</w:t>
      </w:r>
    </w:p>
    <w:p w14:paraId="2CDFC3E6" w14:textId="2BA6CDFF" w:rsidR="005820AF" w:rsidRPr="00237579" w:rsidRDefault="005820AF" w:rsidP="005820AF">
      <w:pPr>
        <w:pStyle w:val="EYBodytextwithparaspace"/>
        <w:spacing w:before="120" w:after="120"/>
        <w:rPr>
          <w:rFonts w:ascii="Arial" w:hAnsi="Arial" w:cs="Arial"/>
          <w:sz w:val="22"/>
          <w:szCs w:val="22"/>
        </w:rPr>
      </w:pPr>
      <w:r w:rsidRPr="00237579">
        <w:rPr>
          <w:rFonts w:ascii="Arial" w:hAnsi="Arial" w:cs="Arial"/>
          <w:sz w:val="22"/>
          <w:szCs w:val="22"/>
        </w:rPr>
        <w:t xml:space="preserve">The RIS has identified that the proposed new </w:t>
      </w:r>
      <w:r w:rsidR="00237579" w:rsidRPr="00237579">
        <w:rPr>
          <w:rFonts w:ascii="Arial" w:hAnsi="Arial" w:cs="Arial"/>
          <w:sz w:val="22"/>
          <w:szCs w:val="22"/>
        </w:rPr>
        <w:t>r</w:t>
      </w:r>
      <w:r w:rsidRPr="00237579">
        <w:rPr>
          <w:rFonts w:ascii="Arial" w:hAnsi="Arial" w:cs="Arial"/>
          <w:sz w:val="22"/>
          <w:szCs w:val="22"/>
        </w:rPr>
        <w:t xml:space="preserve">egulations are expected to </w:t>
      </w:r>
      <w:r w:rsidRPr="00237579">
        <w:rPr>
          <w:rFonts w:ascii="Arial" w:hAnsi="Arial" w:cs="Arial"/>
          <w:b/>
          <w:sz w:val="22"/>
          <w:szCs w:val="22"/>
        </w:rPr>
        <w:t>slightly decrease</w:t>
      </w:r>
      <w:r w:rsidRPr="00237579">
        <w:rPr>
          <w:rFonts w:ascii="Arial" w:hAnsi="Arial" w:cs="Arial"/>
          <w:sz w:val="22"/>
          <w:szCs w:val="22"/>
        </w:rPr>
        <w:t xml:space="preserve"> the cost of the provision of children’s services by approximately $10 million in net present value terms over ten years, representing a </w:t>
      </w:r>
      <w:r w:rsidRPr="00237579">
        <w:rPr>
          <w:rFonts w:ascii="Arial" w:hAnsi="Arial" w:cs="Arial"/>
          <w:b/>
          <w:sz w:val="22"/>
          <w:szCs w:val="22"/>
        </w:rPr>
        <w:t>reduction of 4.19 per cent</w:t>
      </w:r>
      <w:r w:rsidRPr="00237579">
        <w:rPr>
          <w:rFonts w:ascii="Arial" w:hAnsi="Arial" w:cs="Arial"/>
          <w:sz w:val="22"/>
          <w:szCs w:val="22"/>
        </w:rPr>
        <w:t xml:space="preserve"> on the expected cost of service provision if the current regulatory settings continued.</w:t>
      </w:r>
    </w:p>
    <w:p w14:paraId="1F6B203B" w14:textId="7779A54B" w:rsidR="005820AF" w:rsidRPr="00237579" w:rsidRDefault="005820AF" w:rsidP="005820AF">
      <w:pPr>
        <w:pStyle w:val="EYBodytextwithparaspace"/>
        <w:spacing w:before="120" w:after="120"/>
        <w:rPr>
          <w:rFonts w:ascii="Arial" w:hAnsi="Arial" w:cs="Arial"/>
          <w:sz w:val="22"/>
          <w:szCs w:val="22"/>
        </w:rPr>
      </w:pPr>
      <w:r w:rsidRPr="00237579">
        <w:rPr>
          <w:rFonts w:ascii="Arial" w:hAnsi="Arial" w:cs="Arial"/>
          <w:sz w:val="22"/>
          <w:szCs w:val="22"/>
        </w:rPr>
        <w:t>For new market entrants, the cost of setting up a children’s service – in terms of the equipment and facilities required to be purchased – will not change under the alignment option, remaining at an estimated $9,694</w:t>
      </w:r>
      <w:r w:rsidR="00237579" w:rsidRPr="00237579">
        <w:rPr>
          <w:rFonts w:ascii="Arial" w:hAnsi="Arial" w:cs="Arial"/>
          <w:sz w:val="22"/>
          <w:szCs w:val="22"/>
        </w:rPr>
        <w:t xml:space="preserve"> per service </w:t>
      </w:r>
      <w:r w:rsidR="00237579" w:rsidRPr="00511CB8">
        <w:rPr>
          <w:rFonts w:ascii="Arial" w:hAnsi="Arial" w:cs="Arial"/>
          <w:sz w:val="22"/>
          <w:szCs w:val="22"/>
        </w:rPr>
        <w:t xml:space="preserve">(see Table </w:t>
      </w:r>
      <w:r w:rsidR="00511CB8" w:rsidRPr="00511CB8">
        <w:rPr>
          <w:rFonts w:ascii="Arial" w:hAnsi="Arial" w:cs="Arial"/>
          <w:sz w:val="22"/>
          <w:szCs w:val="22"/>
        </w:rPr>
        <w:t>59</w:t>
      </w:r>
      <w:r w:rsidR="00237579" w:rsidRPr="00511CB8">
        <w:rPr>
          <w:rFonts w:ascii="Arial" w:hAnsi="Arial" w:cs="Arial"/>
          <w:sz w:val="22"/>
          <w:szCs w:val="22"/>
        </w:rPr>
        <w:t>).</w:t>
      </w:r>
    </w:p>
    <w:p w14:paraId="6BC02A75" w14:textId="3CC41BCB" w:rsidR="005820AF" w:rsidRPr="00237579" w:rsidRDefault="005820AF" w:rsidP="005820AF">
      <w:pPr>
        <w:pStyle w:val="EYBodytextwithparaspace"/>
        <w:spacing w:before="120" w:after="120"/>
        <w:rPr>
          <w:rFonts w:ascii="Arial" w:hAnsi="Arial" w:cs="Arial"/>
          <w:sz w:val="22"/>
          <w:szCs w:val="22"/>
        </w:rPr>
      </w:pPr>
      <w:r w:rsidRPr="00237579">
        <w:rPr>
          <w:rFonts w:ascii="Arial" w:hAnsi="Arial" w:cs="Arial"/>
          <w:sz w:val="22"/>
          <w:szCs w:val="22"/>
        </w:rPr>
        <w:t>The estimated annual ongoing cost to operate a children’s service is expected to decrease slightly, from $75,202</w:t>
      </w:r>
      <w:r w:rsidR="00237579" w:rsidRPr="00237579">
        <w:rPr>
          <w:rFonts w:ascii="Arial" w:hAnsi="Arial" w:cs="Arial"/>
          <w:sz w:val="22"/>
          <w:szCs w:val="22"/>
        </w:rPr>
        <w:t xml:space="preserve"> </w:t>
      </w:r>
      <w:r w:rsidRPr="00237579">
        <w:rPr>
          <w:rFonts w:ascii="Arial" w:hAnsi="Arial" w:cs="Arial"/>
          <w:sz w:val="22"/>
          <w:szCs w:val="22"/>
        </w:rPr>
        <w:t>to $74,</w:t>
      </w:r>
      <w:r w:rsidRPr="00511CB8">
        <w:rPr>
          <w:rFonts w:ascii="Arial" w:hAnsi="Arial" w:cs="Arial"/>
          <w:sz w:val="22"/>
          <w:szCs w:val="22"/>
        </w:rPr>
        <w:t>984</w:t>
      </w:r>
      <w:r w:rsidR="00237579" w:rsidRPr="00511CB8">
        <w:rPr>
          <w:rFonts w:ascii="Arial" w:hAnsi="Arial" w:cs="Arial"/>
          <w:sz w:val="22"/>
          <w:szCs w:val="22"/>
        </w:rPr>
        <w:t xml:space="preserve"> (see Table </w:t>
      </w:r>
      <w:r w:rsidR="00511CB8" w:rsidRPr="00511CB8">
        <w:rPr>
          <w:rFonts w:ascii="Arial" w:hAnsi="Arial" w:cs="Arial"/>
          <w:sz w:val="22"/>
          <w:szCs w:val="22"/>
        </w:rPr>
        <w:t>59</w:t>
      </w:r>
      <w:r w:rsidR="00237579" w:rsidRPr="00511CB8">
        <w:rPr>
          <w:rFonts w:ascii="Arial" w:hAnsi="Arial" w:cs="Arial"/>
          <w:sz w:val="22"/>
          <w:szCs w:val="22"/>
        </w:rPr>
        <w:t>)</w:t>
      </w:r>
      <w:r w:rsidRPr="00511CB8">
        <w:rPr>
          <w:rFonts w:ascii="Arial" w:hAnsi="Arial" w:cs="Arial"/>
          <w:sz w:val="22"/>
          <w:szCs w:val="22"/>
        </w:rPr>
        <w:t>. Staffing</w:t>
      </w:r>
      <w:r w:rsidRPr="00237579">
        <w:rPr>
          <w:rFonts w:ascii="Arial" w:hAnsi="Arial" w:cs="Arial"/>
          <w:sz w:val="22"/>
          <w:szCs w:val="22"/>
        </w:rPr>
        <w:t xml:space="preserve"> costs comprise the bulk of these ongoing costs. This difference between the two options flows primarily from the reduced requirement for staff first-aid certification and the allowance for staff to be actively working towards qualifications under the alignment option.</w:t>
      </w:r>
    </w:p>
    <w:p w14:paraId="4629BF18" w14:textId="37CD33F4" w:rsidR="005820AF" w:rsidRPr="00237579" w:rsidRDefault="005820AF" w:rsidP="005820AF">
      <w:pPr>
        <w:pStyle w:val="EYBodytextwithparaspace"/>
        <w:spacing w:before="120" w:after="120"/>
        <w:rPr>
          <w:rFonts w:ascii="Arial" w:hAnsi="Arial" w:cs="Arial"/>
          <w:sz w:val="22"/>
          <w:szCs w:val="22"/>
        </w:rPr>
      </w:pPr>
      <w:r w:rsidRPr="00237579">
        <w:rPr>
          <w:rFonts w:ascii="Arial" w:hAnsi="Arial" w:cs="Arial"/>
          <w:sz w:val="22"/>
          <w:szCs w:val="22"/>
        </w:rPr>
        <w:t>The proposed changes include requirements to strengthen standards (such as the alignment of ratios) but also provide more flexibility to providers (educators at occasional care services will be able to ‘</w:t>
      </w:r>
      <w:r w:rsidR="002B49E4">
        <w:rPr>
          <w:rFonts w:ascii="Arial" w:hAnsi="Arial" w:cs="Arial"/>
          <w:sz w:val="22"/>
          <w:szCs w:val="22"/>
        </w:rPr>
        <w:t xml:space="preserve">actively </w:t>
      </w:r>
      <w:r w:rsidRPr="00237579">
        <w:rPr>
          <w:rFonts w:ascii="Arial" w:hAnsi="Arial" w:cs="Arial"/>
          <w:sz w:val="22"/>
          <w:szCs w:val="22"/>
        </w:rPr>
        <w:t>work towards’ their qualifications). Thus the impact of alignment will vary depending on the particular circumstances of individual services. Larger</w:t>
      </w:r>
      <w:r w:rsidR="002B49E4">
        <w:rPr>
          <w:rFonts w:ascii="Arial" w:hAnsi="Arial" w:cs="Arial"/>
          <w:sz w:val="22"/>
          <w:szCs w:val="22"/>
        </w:rPr>
        <w:t xml:space="preserve"> services or multi-service providers, </w:t>
      </w:r>
      <w:r w:rsidRPr="00237579">
        <w:rPr>
          <w:rFonts w:ascii="Arial" w:hAnsi="Arial" w:cs="Arial"/>
          <w:sz w:val="22"/>
          <w:szCs w:val="22"/>
        </w:rPr>
        <w:t>such as those operating at the limits of the existing ratios and those operating for longer hours, are most likely to be most impacted.</w:t>
      </w:r>
    </w:p>
    <w:p w14:paraId="4A94C779" w14:textId="7E65AA04" w:rsidR="005820AF" w:rsidRPr="00237579" w:rsidRDefault="005820AF" w:rsidP="005820AF">
      <w:pPr>
        <w:pStyle w:val="EYBodytextwithparaspace"/>
        <w:spacing w:before="120" w:after="120"/>
        <w:rPr>
          <w:rFonts w:ascii="Arial" w:hAnsi="Arial" w:cs="Arial"/>
          <w:sz w:val="22"/>
          <w:szCs w:val="22"/>
        </w:rPr>
      </w:pPr>
      <w:r w:rsidRPr="00237579">
        <w:rPr>
          <w:rFonts w:ascii="Arial" w:hAnsi="Arial" w:cs="Arial"/>
          <w:sz w:val="22"/>
          <w:szCs w:val="22"/>
        </w:rPr>
        <w:t xml:space="preserve">However, transitional and savings provisions in the proposed regulations provide time and options for existing services to adjust to new requirements. </w:t>
      </w:r>
      <w:r w:rsidR="00237579" w:rsidRPr="00237579">
        <w:rPr>
          <w:rFonts w:ascii="Arial" w:hAnsi="Arial" w:cs="Arial"/>
          <w:sz w:val="22"/>
          <w:szCs w:val="22"/>
        </w:rPr>
        <w:t>S</w:t>
      </w:r>
      <w:r w:rsidRPr="00237579">
        <w:rPr>
          <w:rFonts w:ascii="Arial" w:hAnsi="Arial" w:cs="Arial"/>
          <w:sz w:val="22"/>
          <w:szCs w:val="22"/>
        </w:rPr>
        <w:t>ervices that are unable to meet increased requirements (</w:t>
      </w:r>
      <w:r w:rsidR="00310C03">
        <w:rPr>
          <w:rFonts w:ascii="Arial" w:hAnsi="Arial" w:cs="Arial"/>
          <w:sz w:val="22"/>
          <w:szCs w:val="22"/>
        </w:rPr>
        <w:t>e.g. staffing qualifications</w:t>
      </w:r>
      <w:r w:rsidRPr="00237579">
        <w:rPr>
          <w:rFonts w:ascii="Arial" w:hAnsi="Arial" w:cs="Arial"/>
          <w:sz w:val="22"/>
          <w:szCs w:val="22"/>
        </w:rPr>
        <w:t>) can apply for a waiver or could have conditions imposed on their service approval (e.g. restricting the duration of time they may care for children), effectively maintaining the status quo.</w:t>
      </w:r>
    </w:p>
    <w:p w14:paraId="48B538EF" w14:textId="04F0E5CA" w:rsidR="005820AF" w:rsidRPr="00237579" w:rsidRDefault="005820AF" w:rsidP="005820AF">
      <w:pPr>
        <w:pStyle w:val="EYBodytextwithparaspace"/>
        <w:spacing w:before="120" w:after="120"/>
        <w:rPr>
          <w:rFonts w:ascii="Arial" w:hAnsi="Arial" w:cs="Arial"/>
          <w:sz w:val="22"/>
          <w:szCs w:val="22"/>
        </w:rPr>
      </w:pPr>
      <w:r w:rsidRPr="00237579">
        <w:rPr>
          <w:rFonts w:ascii="Arial" w:hAnsi="Arial" w:cs="Arial"/>
          <w:sz w:val="22"/>
          <w:szCs w:val="22"/>
        </w:rPr>
        <w:lastRenderedPageBreak/>
        <w:t xml:space="preserve">A summary of the current and proposed regulations with the anticipated cost/benefit/flexibility is </w:t>
      </w:r>
      <w:r w:rsidRPr="00511CB8">
        <w:rPr>
          <w:rFonts w:ascii="Arial" w:hAnsi="Arial" w:cs="Arial"/>
          <w:sz w:val="22"/>
          <w:szCs w:val="22"/>
        </w:rPr>
        <w:t xml:space="preserve">provided at Appendix </w:t>
      </w:r>
      <w:r w:rsidR="00511CB8" w:rsidRPr="00511CB8">
        <w:rPr>
          <w:rFonts w:ascii="Arial" w:hAnsi="Arial" w:cs="Arial"/>
          <w:sz w:val="22"/>
          <w:szCs w:val="22"/>
        </w:rPr>
        <w:t>10.1</w:t>
      </w:r>
      <w:r w:rsidRPr="00511CB8">
        <w:rPr>
          <w:rFonts w:ascii="Arial" w:hAnsi="Arial" w:cs="Arial"/>
          <w:sz w:val="22"/>
          <w:szCs w:val="22"/>
        </w:rPr>
        <w:t xml:space="preserve"> and should</w:t>
      </w:r>
      <w:r w:rsidRPr="00237579">
        <w:rPr>
          <w:rFonts w:ascii="Arial" w:hAnsi="Arial" w:cs="Arial"/>
          <w:sz w:val="22"/>
          <w:szCs w:val="22"/>
        </w:rPr>
        <w:t xml:space="preserve"> be viewed in conjunction with the Children’s Services R</w:t>
      </w:r>
      <w:r w:rsidR="002B49E4">
        <w:rPr>
          <w:rFonts w:ascii="Arial" w:hAnsi="Arial" w:cs="Arial"/>
          <w:sz w:val="22"/>
          <w:szCs w:val="22"/>
        </w:rPr>
        <w:t>egulations 2020 exposure draft.</w:t>
      </w:r>
    </w:p>
    <w:p w14:paraId="6B5609B4" w14:textId="77777777" w:rsidR="005820AF" w:rsidRPr="00DB2778" w:rsidRDefault="005820AF" w:rsidP="005820AF">
      <w:pPr>
        <w:pStyle w:val="EYBodytextwithparaspace"/>
        <w:spacing w:before="120" w:after="120"/>
        <w:rPr>
          <w:rFonts w:asciiTheme="minorHAnsi" w:hAnsiTheme="minorHAnsi" w:cstheme="minorHAnsi"/>
          <w:b/>
          <w:sz w:val="22"/>
          <w:szCs w:val="22"/>
        </w:rPr>
      </w:pPr>
      <w:r w:rsidRPr="00DB2778">
        <w:rPr>
          <w:rFonts w:asciiTheme="minorHAnsi" w:hAnsiTheme="minorHAnsi" w:cstheme="minorHAnsi"/>
          <w:b/>
          <w:sz w:val="22"/>
          <w:szCs w:val="22"/>
        </w:rPr>
        <w:t>Competition assessment</w:t>
      </w:r>
    </w:p>
    <w:p w14:paraId="5EBF3945" w14:textId="77777777" w:rsidR="005820AF" w:rsidRPr="00237579" w:rsidRDefault="005820AF" w:rsidP="005820AF">
      <w:pPr>
        <w:spacing w:before="120"/>
        <w:rPr>
          <w:rFonts w:ascii="Arial" w:hAnsi="Arial" w:cs="Arial"/>
          <w:szCs w:val="22"/>
        </w:rPr>
      </w:pPr>
      <w:r w:rsidRPr="00237579">
        <w:rPr>
          <w:rFonts w:ascii="Arial" w:hAnsi="Arial" w:cs="Arial"/>
          <w:szCs w:val="22"/>
        </w:rPr>
        <w:t>Any regulatory proposal needs to be scrutinised to assess whether it would have an adverse impact on the ability of firms or individuals to enter and participate in the market. As a matter of good public policy, it is a fundamental principle in Victoria that any new legislation (both primary and subordinate) will not be made that restricts competition unless it can be demonstrated that:</w:t>
      </w:r>
    </w:p>
    <w:p w14:paraId="69050812" w14:textId="77777777" w:rsidR="005820AF" w:rsidRPr="00237579" w:rsidRDefault="005820AF" w:rsidP="002806C5">
      <w:pPr>
        <w:numPr>
          <w:ilvl w:val="0"/>
          <w:numId w:val="72"/>
        </w:numPr>
        <w:spacing w:before="120" w:line="259" w:lineRule="auto"/>
        <w:rPr>
          <w:rFonts w:ascii="Arial" w:hAnsi="Arial" w:cs="Arial"/>
          <w:szCs w:val="22"/>
        </w:rPr>
      </w:pPr>
      <w:r w:rsidRPr="00237579">
        <w:rPr>
          <w:rFonts w:ascii="Arial" w:hAnsi="Arial" w:cs="Arial"/>
          <w:szCs w:val="22"/>
        </w:rPr>
        <w:t>the benefits of the restriction outweigh the costs, and</w:t>
      </w:r>
    </w:p>
    <w:p w14:paraId="01138BFC" w14:textId="77777777" w:rsidR="005820AF" w:rsidRPr="00237579" w:rsidRDefault="005820AF" w:rsidP="002806C5">
      <w:pPr>
        <w:numPr>
          <w:ilvl w:val="0"/>
          <w:numId w:val="72"/>
        </w:numPr>
        <w:spacing w:before="120" w:line="259" w:lineRule="auto"/>
        <w:rPr>
          <w:rFonts w:ascii="Arial" w:hAnsi="Arial" w:cs="Arial"/>
          <w:szCs w:val="22"/>
        </w:rPr>
      </w:pPr>
      <w:proofErr w:type="gramStart"/>
      <w:r w:rsidRPr="00237579">
        <w:rPr>
          <w:rFonts w:ascii="Arial" w:hAnsi="Arial" w:cs="Arial"/>
          <w:szCs w:val="22"/>
        </w:rPr>
        <w:t>the</w:t>
      </w:r>
      <w:proofErr w:type="gramEnd"/>
      <w:r w:rsidRPr="00237579">
        <w:rPr>
          <w:rFonts w:ascii="Arial" w:hAnsi="Arial" w:cs="Arial"/>
          <w:szCs w:val="22"/>
        </w:rPr>
        <w:t xml:space="preserve"> objectives of the legislation can only be achieved by restricting competition.</w:t>
      </w:r>
    </w:p>
    <w:p w14:paraId="65EDF62C" w14:textId="77777777" w:rsidR="005820AF" w:rsidRPr="00237579" w:rsidRDefault="005820AF" w:rsidP="005820AF">
      <w:pPr>
        <w:spacing w:before="120"/>
        <w:rPr>
          <w:rFonts w:ascii="Arial" w:hAnsi="Arial" w:cs="Arial"/>
          <w:szCs w:val="22"/>
        </w:rPr>
      </w:pPr>
      <w:r w:rsidRPr="00237579">
        <w:rPr>
          <w:rFonts w:ascii="Arial" w:hAnsi="Arial" w:cs="Arial"/>
          <w:szCs w:val="22"/>
        </w:rPr>
        <w:t>A measure is likely to have an impact on competition if any of the questions in the below table can be answered in the affirmative. This analysis considers only those impacts felt within the market for children’s services regulated by the Victorian regime (not service in scope of the NQF).</w:t>
      </w:r>
    </w:p>
    <w:tbl>
      <w:tblPr>
        <w:tblStyle w:val="TableGrid"/>
        <w:tblW w:w="5000" w:type="pct"/>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ayout w:type="fixed"/>
        <w:tblLook w:val="04A0" w:firstRow="1" w:lastRow="0" w:firstColumn="1" w:lastColumn="0" w:noHBand="0" w:noVBand="1"/>
        <w:tblCaption w:val="Table heading"/>
      </w:tblPr>
      <w:tblGrid>
        <w:gridCol w:w="3323"/>
        <w:gridCol w:w="1361"/>
        <w:gridCol w:w="4938"/>
      </w:tblGrid>
      <w:tr w:rsidR="005820AF" w:rsidRPr="00D55F3A" w14:paraId="5EAD8B9B" w14:textId="77777777" w:rsidTr="00D55F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pct"/>
            <w:tcBorders>
              <w:right w:val="none" w:sz="0" w:space="0" w:color="auto"/>
            </w:tcBorders>
            <w:hideMark/>
          </w:tcPr>
          <w:p w14:paraId="7509D597" w14:textId="77777777" w:rsidR="005820AF" w:rsidRPr="00D55F3A" w:rsidRDefault="005820AF" w:rsidP="00D55F3A">
            <w:pPr>
              <w:spacing w:after="60"/>
              <w:rPr>
                <w:rFonts w:cs="Arial"/>
              </w:rPr>
            </w:pPr>
            <w:r w:rsidRPr="00D55F3A">
              <w:rPr>
                <w:rFonts w:cs="Arial"/>
              </w:rPr>
              <w:t>Test question</w:t>
            </w:r>
          </w:p>
        </w:tc>
        <w:tc>
          <w:tcPr>
            <w:tcW w:w="707" w:type="pct"/>
            <w:tcBorders>
              <w:left w:val="none" w:sz="0" w:space="0" w:color="auto"/>
              <w:right w:val="none" w:sz="0" w:space="0" w:color="auto"/>
            </w:tcBorders>
            <w:hideMark/>
          </w:tcPr>
          <w:p w14:paraId="155404D5" w14:textId="77777777" w:rsidR="005820AF" w:rsidRPr="00D55F3A" w:rsidRDefault="005820AF" w:rsidP="00D55F3A">
            <w:pPr>
              <w:spacing w:after="60"/>
              <w:jc w:val="center"/>
              <w:cnfStyle w:val="100000000000" w:firstRow="1" w:lastRow="0" w:firstColumn="0" w:lastColumn="0" w:oddVBand="0" w:evenVBand="0" w:oddHBand="0" w:evenHBand="0" w:firstRowFirstColumn="0" w:firstRowLastColumn="0" w:lastRowFirstColumn="0" w:lastRowLastColumn="0"/>
              <w:rPr>
                <w:rFonts w:cs="Arial"/>
              </w:rPr>
            </w:pPr>
            <w:r w:rsidRPr="00D55F3A">
              <w:rPr>
                <w:rFonts w:cs="Arial"/>
              </w:rPr>
              <w:t>Assessment</w:t>
            </w:r>
          </w:p>
        </w:tc>
        <w:tc>
          <w:tcPr>
            <w:tcW w:w="2565" w:type="pct"/>
            <w:tcBorders>
              <w:left w:val="none" w:sz="0" w:space="0" w:color="auto"/>
            </w:tcBorders>
            <w:hideMark/>
          </w:tcPr>
          <w:p w14:paraId="534A2656" w14:textId="77777777" w:rsidR="005820AF" w:rsidRPr="00D55F3A" w:rsidRDefault="005820AF" w:rsidP="00D55F3A">
            <w:pPr>
              <w:spacing w:after="60"/>
              <w:cnfStyle w:val="100000000000" w:firstRow="1" w:lastRow="0" w:firstColumn="0" w:lastColumn="0" w:oddVBand="0" w:evenVBand="0" w:oddHBand="0" w:evenHBand="0" w:firstRowFirstColumn="0" w:firstRowLastColumn="0" w:lastRowFirstColumn="0" w:lastRowLastColumn="0"/>
              <w:rPr>
                <w:rFonts w:cs="Arial"/>
              </w:rPr>
            </w:pPr>
            <w:r w:rsidRPr="00D55F3A">
              <w:rPr>
                <w:rFonts w:cs="Arial"/>
              </w:rPr>
              <w:t>Reason</w:t>
            </w:r>
          </w:p>
        </w:tc>
      </w:tr>
      <w:tr w:rsidR="005820AF" w:rsidRPr="00D55F3A" w14:paraId="4E3DD7BC" w14:textId="77777777" w:rsidTr="00D55F3A">
        <w:tc>
          <w:tcPr>
            <w:cnfStyle w:val="001000000000" w:firstRow="0" w:lastRow="0" w:firstColumn="1" w:lastColumn="0" w:oddVBand="0" w:evenVBand="0" w:oddHBand="0" w:evenHBand="0" w:firstRowFirstColumn="0" w:firstRowLastColumn="0" w:lastRowFirstColumn="0" w:lastRowLastColumn="0"/>
            <w:tcW w:w="1727" w:type="pct"/>
          </w:tcPr>
          <w:p w14:paraId="42D19565" w14:textId="77777777" w:rsidR="005820AF" w:rsidRPr="00D55F3A" w:rsidRDefault="005820AF" w:rsidP="00D55F3A">
            <w:pPr>
              <w:spacing w:after="60"/>
              <w:rPr>
                <w:rFonts w:cs="Arial"/>
                <w:color w:val="FFFFFF" w:themeColor="background1"/>
              </w:rPr>
            </w:pPr>
            <w:r w:rsidRPr="00D55F3A">
              <w:rPr>
                <w:rFonts w:cs="Arial"/>
              </w:rPr>
              <w:t>Is the proposed measure likely to affect the market structure of the affected sector(s) – i.e. will it reduce the number of participants in the market, or increase the size of incumbent firms?</w:t>
            </w:r>
          </w:p>
        </w:tc>
        <w:tc>
          <w:tcPr>
            <w:tcW w:w="707" w:type="pct"/>
          </w:tcPr>
          <w:p w14:paraId="7D5D2698" w14:textId="77777777" w:rsidR="005820AF" w:rsidRPr="00D55F3A" w:rsidRDefault="005820AF" w:rsidP="00D55F3A">
            <w:pPr>
              <w:spacing w:after="60"/>
              <w:jc w:val="center"/>
              <w:cnfStyle w:val="000000000000" w:firstRow="0" w:lastRow="0" w:firstColumn="0" w:lastColumn="0" w:oddVBand="0" w:evenVBand="0" w:oddHBand="0" w:evenHBand="0" w:firstRowFirstColumn="0" w:firstRowLastColumn="0" w:lastRowFirstColumn="0" w:lastRowLastColumn="0"/>
              <w:rPr>
                <w:rFonts w:cs="Arial"/>
                <w:bCs/>
              </w:rPr>
            </w:pPr>
            <w:r w:rsidRPr="00D55F3A">
              <w:rPr>
                <w:rFonts w:cs="Arial"/>
                <w:bCs/>
              </w:rPr>
              <w:t>No</w:t>
            </w:r>
          </w:p>
        </w:tc>
        <w:tc>
          <w:tcPr>
            <w:tcW w:w="2565" w:type="pct"/>
          </w:tcPr>
          <w:p w14:paraId="799E8C6D" w14:textId="756CD711" w:rsidR="005820AF" w:rsidRPr="00D55F3A" w:rsidRDefault="005820AF" w:rsidP="00D55F3A">
            <w:pPr>
              <w:spacing w:after="60"/>
              <w:cnfStyle w:val="000000000000" w:firstRow="0" w:lastRow="0" w:firstColumn="0" w:lastColumn="0" w:oddVBand="0" w:evenVBand="0" w:oddHBand="0" w:evenHBand="0" w:firstRowFirstColumn="0" w:firstRowLastColumn="0" w:lastRowFirstColumn="0" w:lastRowLastColumn="0"/>
              <w:rPr>
                <w:rFonts w:cs="Arial"/>
                <w:bCs/>
              </w:rPr>
            </w:pPr>
            <w:r w:rsidRPr="00D55F3A">
              <w:rPr>
                <w:rFonts w:cs="Arial"/>
                <w:bCs/>
              </w:rPr>
              <w:t xml:space="preserve">Although some small services will face increased regulatory burdens under the proposed Regulations, transitional and </w:t>
            </w:r>
            <w:r w:rsidR="00F05A17">
              <w:rPr>
                <w:rFonts w:cs="Arial"/>
                <w:bCs/>
              </w:rPr>
              <w:t>savings</w:t>
            </w:r>
            <w:r w:rsidR="00F05A17" w:rsidRPr="00D55F3A">
              <w:rPr>
                <w:rFonts w:cs="Arial"/>
                <w:bCs/>
              </w:rPr>
              <w:t xml:space="preserve"> </w:t>
            </w:r>
            <w:r w:rsidRPr="00D55F3A">
              <w:rPr>
                <w:rFonts w:cs="Arial"/>
                <w:bCs/>
              </w:rPr>
              <w:t xml:space="preserve">provisions should negate the possibility of their ceasing to operate and exiting the sector. </w:t>
            </w:r>
          </w:p>
          <w:p w14:paraId="527E3180" w14:textId="77777777" w:rsidR="005820AF" w:rsidRPr="00D55F3A" w:rsidRDefault="005820AF" w:rsidP="00D55F3A">
            <w:pPr>
              <w:spacing w:after="60"/>
              <w:cnfStyle w:val="000000000000" w:firstRow="0" w:lastRow="0" w:firstColumn="0" w:lastColumn="0" w:oddVBand="0" w:evenVBand="0" w:oddHBand="0" w:evenHBand="0" w:firstRowFirstColumn="0" w:firstRowLastColumn="0" w:lastRowFirstColumn="0" w:lastRowLastColumn="0"/>
              <w:rPr>
                <w:rFonts w:cs="Arial"/>
                <w:bCs/>
              </w:rPr>
            </w:pPr>
            <w:r w:rsidRPr="00D55F3A">
              <w:rPr>
                <w:rFonts w:cs="Arial"/>
                <w:bCs/>
              </w:rPr>
              <w:t>Meanwhile, alignment with the NQF may make it easier for providers to operate across both regimes. This could lead to an increase in competition in the occasional care sector.</w:t>
            </w:r>
          </w:p>
        </w:tc>
      </w:tr>
      <w:tr w:rsidR="005820AF" w:rsidRPr="00D55F3A" w14:paraId="5A30B78E" w14:textId="77777777" w:rsidTr="00D55F3A">
        <w:tc>
          <w:tcPr>
            <w:cnfStyle w:val="001000000000" w:firstRow="0" w:lastRow="0" w:firstColumn="1" w:lastColumn="0" w:oddVBand="0" w:evenVBand="0" w:oddHBand="0" w:evenHBand="0" w:firstRowFirstColumn="0" w:firstRowLastColumn="0" w:lastRowFirstColumn="0" w:lastRowLastColumn="0"/>
            <w:tcW w:w="1727" w:type="pct"/>
          </w:tcPr>
          <w:p w14:paraId="358A3824" w14:textId="77777777" w:rsidR="005820AF" w:rsidRPr="00D55F3A" w:rsidRDefault="005820AF" w:rsidP="00D55F3A">
            <w:pPr>
              <w:spacing w:after="60"/>
              <w:rPr>
                <w:rFonts w:cs="Arial"/>
              </w:rPr>
            </w:pPr>
            <w:r w:rsidRPr="00D55F3A">
              <w:rPr>
                <w:rFonts w:cs="Arial"/>
              </w:rPr>
              <w:t>Will it be more difficult for new firms or individuals to enter the industry after the imposition of the proposed measure?</w:t>
            </w:r>
          </w:p>
        </w:tc>
        <w:tc>
          <w:tcPr>
            <w:tcW w:w="707" w:type="pct"/>
          </w:tcPr>
          <w:p w14:paraId="129885B0" w14:textId="77777777" w:rsidR="005820AF" w:rsidRPr="00D55F3A" w:rsidRDefault="005820AF" w:rsidP="00D55F3A">
            <w:pPr>
              <w:spacing w:after="60"/>
              <w:jc w:val="center"/>
              <w:cnfStyle w:val="000000000000" w:firstRow="0" w:lastRow="0" w:firstColumn="0" w:lastColumn="0" w:oddVBand="0" w:evenVBand="0" w:oddHBand="0" w:evenHBand="0" w:firstRowFirstColumn="0" w:firstRowLastColumn="0" w:lastRowFirstColumn="0" w:lastRowLastColumn="0"/>
              <w:rPr>
                <w:rFonts w:cs="Arial"/>
                <w:bCs/>
              </w:rPr>
            </w:pPr>
            <w:r w:rsidRPr="00D55F3A">
              <w:rPr>
                <w:rFonts w:cs="Arial"/>
                <w:bCs/>
              </w:rPr>
              <w:t>No</w:t>
            </w:r>
          </w:p>
        </w:tc>
        <w:tc>
          <w:tcPr>
            <w:tcW w:w="2565" w:type="pct"/>
          </w:tcPr>
          <w:p w14:paraId="004D64CB" w14:textId="77777777" w:rsidR="005820AF" w:rsidRPr="00D55F3A" w:rsidRDefault="005820AF" w:rsidP="00D55F3A">
            <w:pPr>
              <w:spacing w:after="60"/>
              <w:cnfStyle w:val="000000000000" w:firstRow="0" w:lastRow="0" w:firstColumn="0" w:lastColumn="0" w:oddVBand="0" w:evenVBand="0" w:oddHBand="0" w:evenHBand="0" w:firstRowFirstColumn="0" w:firstRowLastColumn="0" w:lastRowFirstColumn="0" w:lastRowLastColumn="0"/>
              <w:rPr>
                <w:rFonts w:cs="Arial"/>
                <w:bCs/>
              </w:rPr>
            </w:pPr>
            <w:r w:rsidRPr="00D55F3A">
              <w:rPr>
                <w:rFonts w:cs="Arial"/>
                <w:bCs/>
              </w:rPr>
              <w:t>For new providers entering the industry, the proposed regulations impose higher requirements for services regarding staff to child ratios, qualifications and outdoor space. However, applications for waivers and/or the flexibility of the regulator to place conditions on service approvals where requirements cannot be met (but a clear case of service need is established e.g. services in rural areas), serves to mitigate any potential difficulty.</w:t>
            </w:r>
          </w:p>
          <w:p w14:paraId="34206789" w14:textId="77777777" w:rsidR="005820AF" w:rsidRPr="00D55F3A" w:rsidRDefault="005820AF" w:rsidP="00D55F3A">
            <w:pPr>
              <w:spacing w:after="60"/>
              <w:cnfStyle w:val="000000000000" w:firstRow="0" w:lastRow="0" w:firstColumn="0" w:lastColumn="0" w:oddVBand="0" w:evenVBand="0" w:oddHBand="0" w:evenHBand="0" w:firstRowFirstColumn="0" w:firstRowLastColumn="0" w:lastRowFirstColumn="0" w:lastRowLastColumn="0"/>
              <w:rPr>
                <w:rFonts w:cs="Arial"/>
                <w:bCs/>
              </w:rPr>
            </w:pPr>
            <w:r w:rsidRPr="00D55F3A">
              <w:rPr>
                <w:rFonts w:cs="Arial"/>
                <w:bCs/>
              </w:rPr>
              <w:t>Existing providers, particularly those operating under the NQF, will benefit from regulatory alignment, and transitional arrangements will support the adjustment process to new requirements.</w:t>
            </w:r>
          </w:p>
        </w:tc>
      </w:tr>
      <w:tr w:rsidR="005820AF" w:rsidRPr="00D55F3A" w14:paraId="676486A7" w14:textId="77777777" w:rsidTr="00D55F3A">
        <w:tc>
          <w:tcPr>
            <w:cnfStyle w:val="001000000000" w:firstRow="0" w:lastRow="0" w:firstColumn="1" w:lastColumn="0" w:oddVBand="0" w:evenVBand="0" w:oddHBand="0" w:evenHBand="0" w:firstRowFirstColumn="0" w:firstRowLastColumn="0" w:lastRowFirstColumn="0" w:lastRowLastColumn="0"/>
            <w:tcW w:w="1727" w:type="pct"/>
          </w:tcPr>
          <w:p w14:paraId="19FEA113" w14:textId="77777777" w:rsidR="005820AF" w:rsidRPr="00D55F3A" w:rsidRDefault="005820AF" w:rsidP="00D55F3A">
            <w:pPr>
              <w:spacing w:after="60"/>
              <w:rPr>
                <w:rFonts w:cs="Arial"/>
              </w:rPr>
            </w:pPr>
            <w:r w:rsidRPr="00D55F3A">
              <w:rPr>
                <w:rFonts w:cs="Arial"/>
              </w:rPr>
              <w:t>Will the costs/benefits associated with the proposed measure affect some firms or individuals substantially more than others (e.g. small firms, part-time participants in occupations etc.)?</w:t>
            </w:r>
          </w:p>
        </w:tc>
        <w:tc>
          <w:tcPr>
            <w:tcW w:w="707" w:type="pct"/>
          </w:tcPr>
          <w:p w14:paraId="58760B40" w14:textId="77777777" w:rsidR="005820AF" w:rsidRPr="00D55F3A" w:rsidRDefault="005820AF" w:rsidP="00D55F3A">
            <w:pPr>
              <w:spacing w:after="60"/>
              <w:jc w:val="center"/>
              <w:cnfStyle w:val="000000000000" w:firstRow="0" w:lastRow="0" w:firstColumn="0" w:lastColumn="0" w:oddVBand="0" w:evenVBand="0" w:oddHBand="0" w:evenHBand="0" w:firstRowFirstColumn="0" w:firstRowLastColumn="0" w:lastRowFirstColumn="0" w:lastRowLastColumn="0"/>
              <w:rPr>
                <w:rFonts w:cs="Arial"/>
                <w:bCs/>
              </w:rPr>
            </w:pPr>
            <w:r w:rsidRPr="00D55F3A">
              <w:rPr>
                <w:rFonts w:cs="Arial"/>
                <w:bCs/>
              </w:rPr>
              <w:t>No</w:t>
            </w:r>
          </w:p>
        </w:tc>
        <w:tc>
          <w:tcPr>
            <w:tcW w:w="2565" w:type="pct"/>
          </w:tcPr>
          <w:p w14:paraId="439A7CAD" w14:textId="77777777" w:rsidR="005820AF" w:rsidRPr="00D55F3A" w:rsidRDefault="005820AF" w:rsidP="00D55F3A">
            <w:pPr>
              <w:spacing w:after="60"/>
              <w:cnfStyle w:val="000000000000" w:firstRow="0" w:lastRow="0" w:firstColumn="0" w:lastColumn="0" w:oddVBand="0" w:evenVBand="0" w:oddHBand="0" w:evenHBand="0" w:firstRowFirstColumn="0" w:firstRowLastColumn="0" w:lastRowFirstColumn="0" w:lastRowLastColumn="0"/>
              <w:rPr>
                <w:rFonts w:cs="Arial"/>
                <w:bCs/>
              </w:rPr>
            </w:pPr>
            <w:r w:rsidRPr="00D55F3A">
              <w:rPr>
                <w:rFonts w:cs="Arial"/>
                <w:bCs/>
              </w:rPr>
              <w:t>The costs associated with the proposed requirements for qualified staff and outdoor space may affect small and large providers in similar ways.</w:t>
            </w:r>
          </w:p>
          <w:p w14:paraId="18ADDE4E" w14:textId="77777777" w:rsidR="005820AF" w:rsidRPr="00D55F3A" w:rsidRDefault="005820AF" w:rsidP="00D55F3A">
            <w:pPr>
              <w:spacing w:after="60"/>
              <w:cnfStyle w:val="000000000000" w:firstRow="0" w:lastRow="0" w:firstColumn="0" w:lastColumn="0" w:oddVBand="0" w:evenVBand="0" w:oddHBand="0" w:evenHBand="0" w:firstRowFirstColumn="0" w:firstRowLastColumn="0" w:lastRowFirstColumn="0" w:lastRowLastColumn="0"/>
              <w:rPr>
                <w:rFonts w:cs="Arial"/>
                <w:bCs/>
              </w:rPr>
            </w:pPr>
            <w:r w:rsidRPr="00D55F3A">
              <w:rPr>
                <w:rFonts w:cs="Arial"/>
                <w:bCs/>
              </w:rPr>
              <w:t>Both small and large providers may have to hire new staff, agree to support staff to upskill to a higher qualification, or restrict the number of places offered to children to meet the ratio requirements.</w:t>
            </w:r>
          </w:p>
          <w:p w14:paraId="61360790" w14:textId="1F3030E9" w:rsidR="005820AF" w:rsidRPr="00D55F3A" w:rsidRDefault="005820AF" w:rsidP="00D55F3A">
            <w:pPr>
              <w:spacing w:after="60"/>
              <w:cnfStyle w:val="000000000000" w:firstRow="0" w:lastRow="0" w:firstColumn="0" w:lastColumn="0" w:oddVBand="0" w:evenVBand="0" w:oddHBand="0" w:evenHBand="0" w:firstRowFirstColumn="0" w:firstRowLastColumn="0" w:lastRowFirstColumn="0" w:lastRowLastColumn="0"/>
              <w:rPr>
                <w:rFonts w:cs="Arial"/>
                <w:bCs/>
              </w:rPr>
            </w:pPr>
            <w:r w:rsidRPr="00D55F3A">
              <w:rPr>
                <w:rFonts w:cs="Arial"/>
                <w:bCs/>
              </w:rPr>
              <w:t xml:space="preserve">The benefits of better alignment with the NQF will be felt more by </w:t>
            </w:r>
            <w:r w:rsidR="002113C8">
              <w:rPr>
                <w:rFonts w:cs="Arial"/>
                <w:bCs/>
              </w:rPr>
              <w:t>multi-service</w:t>
            </w:r>
            <w:r w:rsidRPr="00D55F3A">
              <w:rPr>
                <w:rFonts w:cs="Arial"/>
                <w:bCs/>
              </w:rPr>
              <w:t xml:space="preserve"> providers, who may operate services under both regimes.</w:t>
            </w:r>
          </w:p>
          <w:p w14:paraId="70CD061D" w14:textId="34105E36" w:rsidR="005820AF" w:rsidRPr="00D55F3A" w:rsidRDefault="005820AF" w:rsidP="00D55F3A">
            <w:pPr>
              <w:spacing w:after="60"/>
              <w:cnfStyle w:val="000000000000" w:firstRow="0" w:lastRow="0" w:firstColumn="0" w:lastColumn="0" w:oddVBand="0" w:evenVBand="0" w:oddHBand="0" w:evenHBand="0" w:firstRowFirstColumn="0" w:firstRowLastColumn="0" w:lastRowFirstColumn="0" w:lastRowLastColumn="0"/>
              <w:rPr>
                <w:rFonts w:cs="Arial"/>
                <w:bCs/>
              </w:rPr>
            </w:pPr>
            <w:r w:rsidRPr="00D55F3A">
              <w:rPr>
                <w:rFonts w:cs="Arial"/>
                <w:bCs/>
              </w:rPr>
              <w:lastRenderedPageBreak/>
              <w:t xml:space="preserve">Transitional and </w:t>
            </w:r>
            <w:r w:rsidR="007C4093">
              <w:rPr>
                <w:rFonts w:cs="Arial"/>
                <w:bCs/>
              </w:rPr>
              <w:t>savings</w:t>
            </w:r>
            <w:r w:rsidR="007C4093" w:rsidRPr="00D55F3A">
              <w:rPr>
                <w:rFonts w:cs="Arial"/>
                <w:bCs/>
              </w:rPr>
              <w:t xml:space="preserve"> </w:t>
            </w:r>
            <w:r w:rsidRPr="00D55F3A">
              <w:rPr>
                <w:rFonts w:cs="Arial"/>
                <w:bCs/>
              </w:rPr>
              <w:t>provisions have been designed to ameliorate these effects, where possible.</w:t>
            </w:r>
          </w:p>
          <w:p w14:paraId="04706878" w14:textId="77777777" w:rsidR="005820AF" w:rsidRPr="00D55F3A" w:rsidRDefault="005820AF" w:rsidP="00D55F3A">
            <w:pPr>
              <w:spacing w:after="60"/>
              <w:cnfStyle w:val="000000000000" w:firstRow="0" w:lastRow="0" w:firstColumn="0" w:lastColumn="0" w:oddVBand="0" w:evenVBand="0" w:oddHBand="0" w:evenHBand="0" w:firstRowFirstColumn="0" w:firstRowLastColumn="0" w:lastRowFirstColumn="0" w:lastRowLastColumn="0"/>
              <w:rPr>
                <w:rFonts w:cs="Arial"/>
                <w:bCs/>
              </w:rPr>
            </w:pPr>
            <w:r w:rsidRPr="00D55F3A">
              <w:rPr>
                <w:rFonts w:cs="Arial"/>
                <w:bCs/>
              </w:rPr>
              <w:t>This applies to all existing children’s services.</w:t>
            </w:r>
          </w:p>
        </w:tc>
      </w:tr>
      <w:tr w:rsidR="005820AF" w:rsidRPr="00D55F3A" w14:paraId="7330BF24" w14:textId="77777777" w:rsidTr="00D55F3A">
        <w:tc>
          <w:tcPr>
            <w:cnfStyle w:val="001000000000" w:firstRow="0" w:lastRow="0" w:firstColumn="1" w:lastColumn="0" w:oddVBand="0" w:evenVBand="0" w:oddHBand="0" w:evenHBand="0" w:firstRowFirstColumn="0" w:firstRowLastColumn="0" w:lastRowFirstColumn="0" w:lastRowLastColumn="0"/>
            <w:tcW w:w="1727" w:type="pct"/>
          </w:tcPr>
          <w:p w14:paraId="168EA450" w14:textId="77777777" w:rsidR="005820AF" w:rsidRPr="00D55F3A" w:rsidRDefault="005820AF" w:rsidP="00D55F3A">
            <w:pPr>
              <w:spacing w:after="60"/>
              <w:rPr>
                <w:rFonts w:cs="Arial"/>
              </w:rPr>
            </w:pPr>
            <w:r w:rsidRPr="00D55F3A">
              <w:rPr>
                <w:rFonts w:cs="Arial"/>
              </w:rPr>
              <w:lastRenderedPageBreak/>
              <w:t>Will the proposed measure restrict the ability of businesses to choose the price, quality, range or location of their products?</w:t>
            </w:r>
          </w:p>
        </w:tc>
        <w:tc>
          <w:tcPr>
            <w:tcW w:w="707" w:type="pct"/>
          </w:tcPr>
          <w:p w14:paraId="79425D43" w14:textId="77777777" w:rsidR="005820AF" w:rsidRPr="00D55F3A" w:rsidRDefault="005820AF" w:rsidP="00D55F3A">
            <w:pPr>
              <w:spacing w:after="60"/>
              <w:jc w:val="center"/>
              <w:cnfStyle w:val="000000000000" w:firstRow="0" w:lastRow="0" w:firstColumn="0" w:lastColumn="0" w:oddVBand="0" w:evenVBand="0" w:oddHBand="0" w:evenHBand="0" w:firstRowFirstColumn="0" w:firstRowLastColumn="0" w:lastRowFirstColumn="0" w:lastRowLastColumn="0"/>
              <w:rPr>
                <w:rFonts w:cs="Arial"/>
                <w:bCs/>
              </w:rPr>
            </w:pPr>
            <w:r w:rsidRPr="00D55F3A">
              <w:rPr>
                <w:rFonts w:cs="Arial"/>
                <w:bCs/>
              </w:rPr>
              <w:t>Yes</w:t>
            </w:r>
          </w:p>
        </w:tc>
        <w:tc>
          <w:tcPr>
            <w:tcW w:w="2565" w:type="pct"/>
          </w:tcPr>
          <w:p w14:paraId="0200C922" w14:textId="77777777" w:rsidR="005820AF" w:rsidRPr="00D55F3A" w:rsidRDefault="005820AF" w:rsidP="00D55F3A">
            <w:pPr>
              <w:spacing w:after="60"/>
              <w:cnfStyle w:val="000000000000" w:firstRow="0" w:lastRow="0" w:firstColumn="0" w:lastColumn="0" w:oddVBand="0" w:evenVBand="0" w:oddHBand="0" w:evenHBand="0" w:firstRowFirstColumn="0" w:firstRowLastColumn="0" w:lastRowFirstColumn="0" w:lastRowLastColumn="0"/>
              <w:rPr>
                <w:rFonts w:cs="Arial"/>
                <w:bCs/>
              </w:rPr>
            </w:pPr>
            <w:r w:rsidRPr="00D55F3A">
              <w:rPr>
                <w:rFonts w:cs="Arial"/>
                <w:bCs/>
              </w:rPr>
              <w:t>The space requirements for new services will limit new providers’ ability to operate services in locations lacking the requisite outdoor space.</w:t>
            </w:r>
          </w:p>
        </w:tc>
      </w:tr>
      <w:tr w:rsidR="005820AF" w:rsidRPr="00D55F3A" w14:paraId="4424F304" w14:textId="77777777" w:rsidTr="00D55F3A">
        <w:tc>
          <w:tcPr>
            <w:cnfStyle w:val="001000000000" w:firstRow="0" w:lastRow="0" w:firstColumn="1" w:lastColumn="0" w:oddVBand="0" w:evenVBand="0" w:oddHBand="0" w:evenHBand="0" w:firstRowFirstColumn="0" w:firstRowLastColumn="0" w:lastRowFirstColumn="0" w:lastRowLastColumn="0"/>
            <w:tcW w:w="1727" w:type="pct"/>
          </w:tcPr>
          <w:p w14:paraId="3021C536" w14:textId="77777777" w:rsidR="005820AF" w:rsidRPr="00D55F3A" w:rsidRDefault="005820AF" w:rsidP="00D55F3A">
            <w:pPr>
              <w:spacing w:after="60"/>
              <w:rPr>
                <w:rFonts w:cs="Arial"/>
              </w:rPr>
            </w:pPr>
            <w:r w:rsidRPr="00D55F3A">
              <w:rPr>
                <w:rFonts w:cs="Arial"/>
              </w:rPr>
              <w:t>Will the proposed measure lead to higher ongoing costs for new entrants that existing firms do not have to meet?</w:t>
            </w:r>
          </w:p>
        </w:tc>
        <w:tc>
          <w:tcPr>
            <w:tcW w:w="707" w:type="pct"/>
          </w:tcPr>
          <w:p w14:paraId="1A978036" w14:textId="77777777" w:rsidR="005820AF" w:rsidRPr="00D55F3A" w:rsidRDefault="005820AF" w:rsidP="00D55F3A">
            <w:pPr>
              <w:spacing w:after="60"/>
              <w:jc w:val="center"/>
              <w:cnfStyle w:val="000000000000" w:firstRow="0" w:lastRow="0" w:firstColumn="0" w:lastColumn="0" w:oddVBand="0" w:evenVBand="0" w:oddHBand="0" w:evenHBand="0" w:firstRowFirstColumn="0" w:firstRowLastColumn="0" w:lastRowFirstColumn="0" w:lastRowLastColumn="0"/>
              <w:rPr>
                <w:rFonts w:cs="Arial"/>
                <w:bCs/>
              </w:rPr>
            </w:pPr>
            <w:r w:rsidRPr="00D55F3A">
              <w:rPr>
                <w:rFonts w:cs="Arial"/>
                <w:bCs/>
              </w:rPr>
              <w:t>No</w:t>
            </w:r>
          </w:p>
        </w:tc>
        <w:tc>
          <w:tcPr>
            <w:tcW w:w="2565" w:type="pct"/>
          </w:tcPr>
          <w:p w14:paraId="411E580E" w14:textId="76EA2658" w:rsidR="005820AF" w:rsidRPr="00D55F3A" w:rsidRDefault="005820AF" w:rsidP="00D55F3A">
            <w:pPr>
              <w:spacing w:after="60"/>
              <w:cnfStyle w:val="000000000000" w:firstRow="0" w:lastRow="0" w:firstColumn="0" w:lastColumn="0" w:oddVBand="0" w:evenVBand="0" w:oddHBand="0" w:evenHBand="0" w:firstRowFirstColumn="0" w:firstRowLastColumn="0" w:lastRowFirstColumn="0" w:lastRowLastColumn="0"/>
              <w:rPr>
                <w:rFonts w:cs="Arial"/>
                <w:bCs/>
              </w:rPr>
            </w:pPr>
            <w:r w:rsidRPr="00D55F3A">
              <w:rPr>
                <w:rFonts w:cs="Arial"/>
                <w:bCs/>
              </w:rPr>
              <w:t>Almost all the proposed regulatory changes will ultimately apply to existing service providers as well as new entrants. Although the requirement to provide outdoor space will apply to some existing services, the costs associated with that provision for new service operators are addressed by the proposed condition allowing</w:t>
            </w:r>
            <w:r w:rsidR="002113C8">
              <w:rPr>
                <w:rFonts w:cs="Arial"/>
                <w:bCs/>
              </w:rPr>
              <w:t xml:space="preserve"> existing</w:t>
            </w:r>
            <w:r w:rsidRPr="00D55F3A">
              <w:rPr>
                <w:rFonts w:cs="Arial"/>
                <w:bCs/>
              </w:rPr>
              <w:t xml:space="preserve"> providers to meet the requirement through access to a community space</w:t>
            </w:r>
            <w:r w:rsidR="00310C03">
              <w:rPr>
                <w:rFonts w:cs="Arial"/>
                <w:bCs/>
              </w:rPr>
              <w:t xml:space="preserve"> or limiting their operating hours</w:t>
            </w:r>
            <w:r w:rsidRPr="00D55F3A">
              <w:rPr>
                <w:rFonts w:cs="Arial"/>
                <w:bCs/>
              </w:rPr>
              <w:t xml:space="preserve">. </w:t>
            </w:r>
          </w:p>
        </w:tc>
      </w:tr>
      <w:tr w:rsidR="005820AF" w:rsidRPr="00D55F3A" w14:paraId="74F85109" w14:textId="77777777" w:rsidTr="00D55F3A">
        <w:tc>
          <w:tcPr>
            <w:cnfStyle w:val="001000000000" w:firstRow="0" w:lastRow="0" w:firstColumn="1" w:lastColumn="0" w:oddVBand="0" w:evenVBand="0" w:oddHBand="0" w:evenHBand="0" w:firstRowFirstColumn="0" w:firstRowLastColumn="0" w:lastRowFirstColumn="0" w:lastRowLastColumn="0"/>
            <w:tcW w:w="1727" w:type="pct"/>
          </w:tcPr>
          <w:p w14:paraId="588BC9CD" w14:textId="77777777" w:rsidR="005820AF" w:rsidRPr="00D55F3A" w:rsidRDefault="005820AF" w:rsidP="00D55F3A">
            <w:pPr>
              <w:spacing w:after="60"/>
              <w:rPr>
                <w:rFonts w:cs="Arial"/>
              </w:rPr>
            </w:pPr>
            <w:r w:rsidRPr="00D55F3A">
              <w:rPr>
                <w:rFonts w:cs="Arial"/>
              </w:rPr>
              <w:t>Is the ability or incentive to innovate or develop new products or services likely to be affected by the proposed measure?</w:t>
            </w:r>
          </w:p>
        </w:tc>
        <w:tc>
          <w:tcPr>
            <w:tcW w:w="707" w:type="pct"/>
          </w:tcPr>
          <w:p w14:paraId="05C9A627" w14:textId="77777777" w:rsidR="005820AF" w:rsidRPr="00D55F3A" w:rsidRDefault="005820AF" w:rsidP="00D55F3A">
            <w:pPr>
              <w:spacing w:after="60"/>
              <w:jc w:val="center"/>
              <w:cnfStyle w:val="000000000000" w:firstRow="0" w:lastRow="0" w:firstColumn="0" w:lastColumn="0" w:oddVBand="0" w:evenVBand="0" w:oddHBand="0" w:evenHBand="0" w:firstRowFirstColumn="0" w:firstRowLastColumn="0" w:lastRowFirstColumn="0" w:lastRowLastColumn="0"/>
              <w:rPr>
                <w:rFonts w:cs="Arial"/>
                <w:bCs/>
              </w:rPr>
            </w:pPr>
            <w:r w:rsidRPr="00D55F3A">
              <w:rPr>
                <w:rFonts w:cs="Arial"/>
                <w:bCs/>
              </w:rPr>
              <w:t>No</w:t>
            </w:r>
          </w:p>
        </w:tc>
        <w:tc>
          <w:tcPr>
            <w:tcW w:w="2565" w:type="pct"/>
          </w:tcPr>
          <w:p w14:paraId="23F7D021" w14:textId="77777777" w:rsidR="005820AF" w:rsidRPr="00D55F3A" w:rsidRDefault="005820AF" w:rsidP="00D55F3A">
            <w:pPr>
              <w:spacing w:after="60"/>
              <w:cnfStyle w:val="000000000000" w:firstRow="0" w:lastRow="0" w:firstColumn="0" w:lastColumn="0" w:oddVBand="0" w:evenVBand="0" w:oddHBand="0" w:evenHBand="0" w:firstRowFirstColumn="0" w:firstRowLastColumn="0" w:lastRowFirstColumn="0" w:lastRowLastColumn="0"/>
              <w:rPr>
                <w:rFonts w:cs="Arial"/>
                <w:bCs/>
              </w:rPr>
            </w:pPr>
            <w:r w:rsidRPr="00D55F3A">
              <w:rPr>
                <w:rFonts w:cs="Arial"/>
                <w:bCs/>
              </w:rPr>
              <w:t xml:space="preserve">The proposed regulations do not impose restrictions on the ability to innovate. </w:t>
            </w:r>
          </w:p>
        </w:tc>
      </w:tr>
    </w:tbl>
    <w:p w14:paraId="7549B84F" w14:textId="77777777" w:rsidR="005820AF" w:rsidRPr="00237579" w:rsidRDefault="005820AF" w:rsidP="005820AF">
      <w:pPr>
        <w:spacing w:before="120"/>
        <w:rPr>
          <w:rFonts w:ascii="Arial" w:hAnsi="Arial" w:cs="Arial"/>
          <w:szCs w:val="22"/>
        </w:rPr>
      </w:pPr>
      <w:r w:rsidRPr="00237579">
        <w:rPr>
          <w:rFonts w:ascii="Arial" w:hAnsi="Arial" w:cs="Arial"/>
          <w:szCs w:val="22"/>
        </w:rPr>
        <w:t xml:space="preserve">The proposed Regulations are not expected to have significant impacts on competition in the children’s services sector. Although some increased requirements – staffing and outdoor space – may make it harder for new providers to enter the market, these changes are incremental and do not pose a burden considerably greater than the existing requirements. Additionally, existing providers already operating under the NQF will benefit from the alignment where previously they were operating under two regimes, and other existing services will be supported to adapt to new requirements. </w:t>
      </w:r>
    </w:p>
    <w:p w14:paraId="28309A39" w14:textId="31D740FF" w:rsidR="005820AF" w:rsidRPr="00237579" w:rsidRDefault="005820AF" w:rsidP="005820AF">
      <w:pPr>
        <w:spacing w:before="120"/>
        <w:rPr>
          <w:rFonts w:ascii="Arial" w:hAnsi="Arial" w:cs="Arial"/>
          <w:szCs w:val="22"/>
        </w:rPr>
      </w:pPr>
      <w:r w:rsidRPr="00237579">
        <w:rPr>
          <w:rFonts w:ascii="Arial" w:hAnsi="Arial" w:cs="Arial"/>
          <w:szCs w:val="22"/>
        </w:rPr>
        <w:t>Increased requirements will not need to be met until 1 January 2022</w:t>
      </w:r>
      <w:r w:rsidR="00310C03">
        <w:rPr>
          <w:rFonts w:ascii="Arial" w:hAnsi="Arial" w:cs="Arial"/>
          <w:szCs w:val="22"/>
        </w:rPr>
        <w:t>,</w:t>
      </w:r>
      <w:r w:rsidRPr="00237579">
        <w:rPr>
          <w:rFonts w:ascii="Arial" w:hAnsi="Arial" w:cs="Arial"/>
          <w:szCs w:val="22"/>
        </w:rPr>
        <w:t xml:space="preserve"> and savings provisions for other requirements should enable existing services to continue operating without incurring significant additional costs if the proposed Regulations are made. However, there may be some services which either cannot or do not wish to continue operating in the face of new or increased costs; such services leaving the market may have a slight negative impact on market competition. This would be heightened if the services are located in rural or other areas without many other occasional care services. </w:t>
      </w:r>
    </w:p>
    <w:p w14:paraId="6B99495B" w14:textId="77777777" w:rsidR="005820AF" w:rsidRPr="00237579" w:rsidRDefault="005820AF" w:rsidP="005820AF">
      <w:pPr>
        <w:spacing w:before="120"/>
        <w:rPr>
          <w:rFonts w:ascii="Arial" w:hAnsi="Arial" w:cs="Arial"/>
          <w:szCs w:val="22"/>
        </w:rPr>
      </w:pPr>
      <w:r w:rsidRPr="00237579">
        <w:rPr>
          <w:rFonts w:ascii="Arial" w:hAnsi="Arial" w:cs="Arial"/>
          <w:szCs w:val="22"/>
        </w:rPr>
        <w:t>The Department expects the transitional period and provisions, along with the added flexibilities in the proposed Regulations – such as the ability for staff ‘actively working towards’ a qualification to be counted in staff to child ratios – to ensure that no service is forced to close under the proposed Regulations. It should be noted in this context, many occasional care services operate as an adjunct to another business or facility, such as a leisure centre or Neighbourhood House, and do not expect to make a profit from operating a children’s service even under the existing regulatory regime.</w:t>
      </w:r>
    </w:p>
    <w:p w14:paraId="72A0214A" w14:textId="77777777" w:rsidR="005820AF" w:rsidRPr="00DB2778" w:rsidRDefault="005820AF" w:rsidP="005820AF">
      <w:pPr>
        <w:tabs>
          <w:tab w:val="num" w:pos="0"/>
        </w:tabs>
        <w:spacing w:before="120"/>
        <w:rPr>
          <w:rFonts w:ascii="Arial" w:hAnsi="Arial" w:cs="Arial"/>
          <w:b/>
          <w:szCs w:val="22"/>
        </w:rPr>
      </w:pPr>
      <w:bookmarkStart w:id="281" w:name="_Toc21010899"/>
      <w:bookmarkStart w:id="282" w:name="_Toc21678848"/>
      <w:bookmarkStart w:id="283" w:name="_Toc30755089"/>
      <w:r w:rsidRPr="00DB2778">
        <w:rPr>
          <w:rFonts w:ascii="Arial" w:hAnsi="Arial" w:cs="Arial"/>
          <w:b/>
          <w:szCs w:val="22"/>
        </w:rPr>
        <w:t>Small business impacts</w:t>
      </w:r>
      <w:bookmarkEnd w:id="281"/>
      <w:bookmarkEnd w:id="282"/>
      <w:bookmarkEnd w:id="283"/>
    </w:p>
    <w:p w14:paraId="042A1031" w14:textId="77777777" w:rsidR="005820AF" w:rsidRPr="00237579" w:rsidRDefault="005820AF" w:rsidP="005820AF">
      <w:pPr>
        <w:spacing w:before="120"/>
        <w:rPr>
          <w:rFonts w:ascii="Arial" w:hAnsi="Arial" w:cs="Arial"/>
          <w:szCs w:val="22"/>
        </w:rPr>
      </w:pPr>
      <w:r w:rsidRPr="00237579">
        <w:rPr>
          <w:rFonts w:ascii="Arial" w:hAnsi="Arial" w:cs="Arial"/>
          <w:szCs w:val="22"/>
        </w:rPr>
        <w:t xml:space="preserve">The Australian Bureau of Statistics (ABS) defines a small business as a business employing fewer than 20 people, and the Australian Taxation Office (ATO) defines small business as an entity (individual, partnership, company or trust) that is carrying on a business and has less than $2 million in aggregated turnover. Note that a business that has less than $2 million in turnover may </w:t>
      </w:r>
      <w:r w:rsidRPr="00237579">
        <w:rPr>
          <w:rFonts w:ascii="Arial" w:hAnsi="Arial" w:cs="Arial"/>
          <w:szCs w:val="22"/>
        </w:rPr>
        <w:lastRenderedPageBreak/>
        <w:t>have 20 employees or more while a business with fewer than 20 employees may have turnover that exceeds $2 million per annum.</w:t>
      </w:r>
      <w:r w:rsidRPr="00237579">
        <w:rPr>
          <w:rFonts w:ascii="Arial" w:hAnsi="Arial" w:cs="Arial"/>
          <w:color w:val="222222"/>
          <w:szCs w:val="22"/>
          <w:shd w:val="clear" w:color="auto" w:fill="FFFFFF"/>
          <w:vertAlign w:val="superscript"/>
        </w:rPr>
        <w:footnoteReference w:id="68"/>
      </w:r>
    </w:p>
    <w:p w14:paraId="5CBBE876" w14:textId="77777777" w:rsidR="005820AF" w:rsidRPr="00237579" w:rsidRDefault="005820AF" w:rsidP="005820AF">
      <w:pPr>
        <w:spacing w:before="120"/>
        <w:rPr>
          <w:rFonts w:ascii="Arial" w:hAnsi="Arial" w:cs="Arial"/>
          <w:szCs w:val="22"/>
        </w:rPr>
      </w:pPr>
      <w:r w:rsidRPr="00237579">
        <w:rPr>
          <w:rFonts w:ascii="Arial" w:hAnsi="Arial" w:cs="Arial"/>
          <w:szCs w:val="22"/>
        </w:rPr>
        <w:t>In Victoria, small businesses make up approximately 97% of the State’s total businesses.</w:t>
      </w:r>
    </w:p>
    <w:p w14:paraId="2FD1EDB4" w14:textId="1DBF722A" w:rsidR="005820AF" w:rsidRPr="00237579" w:rsidRDefault="005820AF" w:rsidP="005820AF">
      <w:pPr>
        <w:spacing w:before="120"/>
        <w:rPr>
          <w:rFonts w:ascii="Arial" w:hAnsi="Arial" w:cs="Arial"/>
          <w:szCs w:val="22"/>
        </w:rPr>
      </w:pPr>
      <w:r w:rsidRPr="00237579">
        <w:rPr>
          <w:rFonts w:ascii="Arial" w:hAnsi="Arial" w:cs="Arial"/>
          <w:szCs w:val="22"/>
        </w:rPr>
        <w:t xml:space="preserve">As illustrated </w:t>
      </w:r>
      <w:r w:rsidRPr="00511CB8">
        <w:rPr>
          <w:rFonts w:ascii="Arial" w:hAnsi="Arial" w:cs="Arial"/>
          <w:szCs w:val="22"/>
        </w:rPr>
        <w:t xml:space="preserve">in </w:t>
      </w:r>
      <w:r w:rsidRPr="00511CB8">
        <w:rPr>
          <w:rFonts w:ascii="Arial" w:hAnsi="Arial" w:cs="Arial"/>
          <w:b/>
          <w:szCs w:val="22"/>
        </w:rPr>
        <w:fldChar w:fldCharType="begin"/>
      </w:r>
      <w:r w:rsidRPr="00511CB8">
        <w:rPr>
          <w:rFonts w:ascii="Arial" w:hAnsi="Arial" w:cs="Arial"/>
          <w:b/>
          <w:szCs w:val="22"/>
        </w:rPr>
        <w:instrText xml:space="preserve"> REF _Ref25752473 \h  \* MERGEFORMAT </w:instrText>
      </w:r>
      <w:r w:rsidRPr="00511CB8">
        <w:rPr>
          <w:rFonts w:ascii="Arial" w:hAnsi="Arial" w:cs="Arial"/>
          <w:b/>
          <w:szCs w:val="22"/>
        </w:rPr>
      </w:r>
      <w:r w:rsidRPr="00511CB8">
        <w:rPr>
          <w:rFonts w:ascii="Arial" w:hAnsi="Arial" w:cs="Arial"/>
          <w:b/>
          <w:szCs w:val="22"/>
        </w:rPr>
        <w:fldChar w:fldCharType="separate"/>
      </w:r>
      <w:r w:rsidR="00493211" w:rsidRPr="00493211">
        <w:rPr>
          <w:rFonts w:ascii="Arial" w:hAnsi="Arial" w:cs="Arial"/>
          <w:bCs/>
          <w:szCs w:val="22"/>
          <w:lang w:val="en-US"/>
        </w:rPr>
        <w:t>Figure 3</w:t>
      </w:r>
      <w:r w:rsidRPr="00511CB8">
        <w:rPr>
          <w:rFonts w:ascii="Arial" w:hAnsi="Arial" w:cs="Arial"/>
          <w:b/>
          <w:szCs w:val="22"/>
        </w:rPr>
        <w:fldChar w:fldCharType="end"/>
      </w:r>
      <w:r w:rsidRPr="00511CB8">
        <w:rPr>
          <w:rFonts w:ascii="Arial" w:hAnsi="Arial" w:cs="Arial"/>
          <w:szCs w:val="22"/>
        </w:rPr>
        <w:t xml:space="preserve"> in section 3.1,</w:t>
      </w:r>
      <w:r w:rsidRPr="00237579">
        <w:rPr>
          <w:rFonts w:ascii="Arial" w:hAnsi="Arial" w:cs="Arial"/>
          <w:szCs w:val="22"/>
        </w:rPr>
        <w:t xml:space="preserve"> children’s services are operated by a range of different management organisations, from private not-for-profit organisations through to local government.</w:t>
      </w:r>
    </w:p>
    <w:p w14:paraId="2398EF61" w14:textId="2DBE6154" w:rsidR="005820AF" w:rsidRPr="00237579" w:rsidRDefault="005820AF" w:rsidP="005820AF">
      <w:pPr>
        <w:spacing w:before="120"/>
        <w:rPr>
          <w:rFonts w:ascii="Arial" w:hAnsi="Arial" w:cs="Arial"/>
          <w:szCs w:val="22"/>
        </w:rPr>
      </w:pPr>
      <w:r w:rsidRPr="00237579">
        <w:rPr>
          <w:rFonts w:ascii="Arial" w:hAnsi="Arial" w:cs="Arial"/>
          <w:szCs w:val="22"/>
        </w:rPr>
        <w:t>It is difficult to determine the business size of a children’s service as it is often run as an adjunct service to another business (e.g. a gym or leisure centre) or as one of a range of service offerings wi</w:t>
      </w:r>
      <w:r w:rsidR="00310C03">
        <w:rPr>
          <w:rFonts w:ascii="Arial" w:hAnsi="Arial" w:cs="Arial"/>
          <w:szCs w:val="22"/>
        </w:rPr>
        <w:t>thin a community facility (e.g.</w:t>
      </w:r>
      <w:r w:rsidRPr="00237579">
        <w:rPr>
          <w:rFonts w:ascii="Arial" w:hAnsi="Arial" w:cs="Arial"/>
          <w:szCs w:val="22"/>
        </w:rPr>
        <w:t xml:space="preserve"> a Neighbourhood House). According to the ABS and ATO definitions, the entire gym or Neighbourhood House may well exceed either the $2 million annual turnover or 20 employee threshold. </w:t>
      </w:r>
      <w:r w:rsidR="002113C8">
        <w:rPr>
          <w:rFonts w:ascii="Arial" w:hAnsi="Arial" w:cs="Arial"/>
          <w:szCs w:val="22"/>
        </w:rPr>
        <w:t>However, t</w:t>
      </w:r>
      <w:r w:rsidRPr="00237579">
        <w:rPr>
          <w:rFonts w:ascii="Arial" w:hAnsi="Arial" w:cs="Arial"/>
          <w:szCs w:val="22"/>
        </w:rPr>
        <w:t>he amount of profit gained directly through the children’s service or number of staff employed in the service is more likely to fall under the thresholds. The Department is aware that gyms often run the children’s service aspect of their business at a loss, using it primarily to attract membership to the primary business, while local councils frequently subsidise the cost of occasional care provided at Neighbourhood Houses and other such facilities.</w:t>
      </w:r>
    </w:p>
    <w:p w14:paraId="3D241FAD" w14:textId="3FEC99F0" w:rsidR="005820AF" w:rsidRPr="00237579" w:rsidRDefault="005820AF" w:rsidP="005820AF">
      <w:pPr>
        <w:spacing w:before="120"/>
        <w:rPr>
          <w:rFonts w:ascii="Arial" w:hAnsi="Arial" w:cs="Arial"/>
          <w:szCs w:val="22"/>
        </w:rPr>
      </w:pPr>
      <w:r w:rsidRPr="00237579">
        <w:rPr>
          <w:rFonts w:ascii="Arial" w:hAnsi="Arial" w:cs="Arial"/>
          <w:szCs w:val="22"/>
        </w:rPr>
        <w:t xml:space="preserve">A recent sample (provided by Neighbourhood Houses Victoria) indicated that 95% of providers had a turnover of less than $2 million in 2017 and 52.5% have less than 15 employees. For the purpose of the following analysis of the impacts of the preferred option on small business, it is assumed that 90% of </w:t>
      </w:r>
      <w:r w:rsidR="00F3682F">
        <w:rPr>
          <w:rFonts w:ascii="Arial" w:hAnsi="Arial" w:cs="Arial"/>
          <w:szCs w:val="22"/>
        </w:rPr>
        <w:t xml:space="preserve">children’s service </w:t>
      </w:r>
      <w:r w:rsidRPr="00237579">
        <w:rPr>
          <w:rFonts w:ascii="Arial" w:hAnsi="Arial" w:cs="Arial"/>
          <w:szCs w:val="22"/>
        </w:rPr>
        <w:t>providers are small businesses.</w:t>
      </w:r>
    </w:p>
    <w:p w14:paraId="2DDFF59B" w14:textId="77777777" w:rsidR="005820AF" w:rsidRPr="00D31768" w:rsidRDefault="005820AF" w:rsidP="005820AF">
      <w:pPr>
        <w:spacing w:before="120"/>
        <w:rPr>
          <w:rFonts w:ascii="Arial" w:hAnsi="Arial" w:cs="Arial"/>
        </w:rPr>
      </w:pPr>
      <w:r w:rsidRPr="00D31768">
        <w:rPr>
          <w:rFonts w:ascii="Arial" w:hAnsi="Arial" w:cs="Arial"/>
        </w:rPr>
        <w:t xml:space="preserve">It is Victorian Government policy to specifically consider the impact of proposed regulations on small business in a RIS. Small businesses may experience disproportionate effects from regulatory requirements for a range of reasons, including limited resources to interpret compliance requirements, or to keep pace with regulatory changes and the cumulative effect of different requirements. </w:t>
      </w:r>
    </w:p>
    <w:p w14:paraId="03DE1946" w14:textId="77777777" w:rsidR="005820AF" w:rsidRPr="00D31768" w:rsidRDefault="005820AF" w:rsidP="005820AF">
      <w:pPr>
        <w:spacing w:before="120"/>
        <w:rPr>
          <w:rFonts w:ascii="Arial" w:hAnsi="Arial" w:cs="Arial"/>
        </w:rPr>
      </w:pPr>
      <w:r w:rsidRPr="00D31768">
        <w:rPr>
          <w:rFonts w:ascii="Arial" w:hAnsi="Arial" w:cs="Arial"/>
        </w:rPr>
        <w:t>An assessment of the small business impacts should consider matters such as:</w:t>
      </w:r>
    </w:p>
    <w:p w14:paraId="7A7C3D5C" w14:textId="77777777" w:rsidR="005820AF" w:rsidRPr="004B5E02" w:rsidRDefault="005820AF" w:rsidP="002806C5">
      <w:pPr>
        <w:pStyle w:val="ListParagraph"/>
        <w:numPr>
          <w:ilvl w:val="0"/>
          <w:numId w:val="97"/>
        </w:numPr>
        <w:spacing w:before="120" w:line="259" w:lineRule="auto"/>
        <w:rPr>
          <w:rFonts w:ascii="Arial" w:hAnsi="Arial" w:cs="Arial"/>
        </w:rPr>
      </w:pPr>
      <w:r w:rsidRPr="004B5E02">
        <w:rPr>
          <w:rFonts w:ascii="Arial" w:hAnsi="Arial" w:cs="Arial"/>
        </w:rPr>
        <w:t>Variation in the compliance burden</w:t>
      </w:r>
    </w:p>
    <w:p w14:paraId="0B4AF5B3" w14:textId="77777777" w:rsidR="005820AF" w:rsidRPr="004B5E02" w:rsidRDefault="005820AF" w:rsidP="002806C5">
      <w:pPr>
        <w:pStyle w:val="ListParagraph"/>
        <w:numPr>
          <w:ilvl w:val="0"/>
          <w:numId w:val="97"/>
        </w:numPr>
        <w:spacing w:before="120" w:line="259" w:lineRule="auto"/>
        <w:rPr>
          <w:rFonts w:ascii="Arial" w:hAnsi="Arial" w:cs="Arial"/>
        </w:rPr>
      </w:pPr>
      <w:r w:rsidRPr="004B5E02">
        <w:rPr>
          <w:rFonts w:ascii="Arial" w:hAnsi="Arial" w:cs="Arial"/>
        </w:rPr>
        <w:t>Whether any compliance flexibility options have been considered that will assist small businesses to meet the requirements of the proposed measure</w:t>
      </w:r>
    </w:p>
    <w:p w14:paraId="55C0907E" w14:textId="77777777" w:rsidR="005820AF" w:rsidRPr="004B5E02" w:rsidRDefault="005820AF" w:rsidP="002806C5">
      <w:pPr>
        <w:pStyle w:val="ListParagraph"/>
        <w:numPr>
          <w:ilvl w:val="0"/>
          <w:numId w:val="97"/>
        </w:numPr>
        <w:spacing w:before="120" w:line="259" w:lineRule="auto"/>
        <w:rPr>
          <w:rFonts w:ascii="Arial" w:hAnsi="Arial" w:cs="Arial"/>
        </w:rPr>
      </w:pPr>
      <w:r w:rsidRPr="004B5E02">
        <w:rPr>
          <w:rFonts w:ascii="Arial" w:hAnsi="Arial" w:cs="Arial"/>
        </w:rPr>
        <w:t>The likely extent of compliance by small versus large business</w:t>
      </w:r>
    </w:p>
    <w:p w14:paraId="57742204" w14:textId="77777777" w:rsidR="005820AF" w:rsidRPr="004B5E02" w:rsidRDefault="005820AF" w:rsidP="002806C5">
      <w:pPr>
        <w:pStyle w:val="ListParagraph"/>
        <w:numPr>
          <w:ilvl w:val="0"/>
          <w:numId w:val="97"/>
        </w:numPr>
        <w:spacing w:before="120" w:line="259" w:lineRule="auto"/>
        <w:rPr>
          <w:rFonts w:ascii="Arial" w:hAnsi="Arial" w:cs="Arial"/>
        </w:rPr>
      </w:pPr>
      <w:r w:rsidRPr="004B5E02">
        <w:rPr>
          <w:rFonts w:ascii="Arial" w:hAnsi="Arial" w:cs="Arial"/>
        </w:rPr>
        <w:t>The distribution of benefits arising from the proposed measure</w:t>
      </w:r>
    </w:p>
    <w:p w14:paraId="1D49D10A" w14:textId="77777777" w:rsidR="005820AF" w:rsidRPr="004B5E02" w:rsidRDefault="005820AF" w:rsidP="002806C5">
      <w:pPr>
        <w:pStyle w:val="ListParagraph"/>
        <w:numPr>
          <w:ilvl w:val="0"/>
          <w:numId w:val="97"/>
        </w:numPr>
        <w:spacing w:before="120" w:line="259" w:lineRule="auto"/>
        <w:rPr>
          <w:rFonts w:ascii="Arial" w:hAnsi="Arial" w:cs="Arial"/>
        </w:rPr>
      </w:pPr>
      <w:r w:rsidRPr="004B5E02">
        <w:rPr>
          <w:rFonts w:ascii="Arial" w:hAnsi="Arial" w:cs="Arial"/>
        </w:rPr>
        <w:t>The relative impacts of penalties for non-compliance.</w:t>
      </w:r>
    </w:p>
    <w:p w14:paraId="33E54174" w14:textId="77777777" w:rsidR="005820AF" w:rsidRPr="00D31768" w:rsidRDefault="005820AF" w:rsidP="005820AF">
      <w:pPr>
        <w:spacing w:before="120"/>
        <w:rPr>
          <w:rFonts w:ascii="Arial" w:hAnsi="Arial" w:cs="Arial"/>
        </w:rPr>
      </w:pPr>
      <w:r w:rsidRPr="00D31768">
        <w:rPr>
          <w:rFonts w:ascii="Arial" w:hAnsi="Arial" w:cs="Arial"/>
        </w:rPr>
        <w:t>The burden of complying with the proposed Regulations will vary depending on the size and resources of the service provider. Larger providers who may be better situated to ensure staff are appropriately qualified and rostered on in the correct ratios will experience a smaller compliance burden than smaller providers, who may need to employ an additional staff member to meet the new requirements. However, it is expected that transitional provisions and the new provision allowing staff to be ‘actively working towards’ the required qualification will ease the compliance burden for these smaller providers, who may be able to retain existing staff if they enrol in a course during the transitional period, such that they would be actively working towards the qualification by the time the new requirement comes into force. Notably, both the Certificate III and Diploma of Early Childhood Education and Care will be free to study from January 2020 under the Victorian government’s free TAFE courses policy.</w:t>
      </w:r>
      <w:r w:rsidRPr="00D31768">
        <w:rPr>
          <w:rFonts w:ascii="Arial" w:hAnsi="Arial" w:cs="Arial"/>
          <w:vertAlign w:val="superscript"/>
        </w:rPr>
        <w:footnoteReference w:id="69"/>
      </w:r>
      <w:r w:rsidRPr="00D31768">
        <w:rPr>
          <w:rFonts w:ascii="Arial" w:hAnsi="Arial" w:cs="Arial"/>
        </w:rPr>
        <w:t xml:space="preserve"> </w:t>
      </w:r>
    </w:p>
    <w:p w14:paraId="7D0CCA4A" w14:textId="77777777" w:rsidR="005820AF" w:rsidRPr="00D31768" w:rsidRDefault="005820AF" w:rsidP="005820AF">
      <w:pPr>
        <w:spacing w:before="120"/>
        <w:rPr>
          <w:rFonts w:ascii="Arial" w:hAnsi="Arial" w:cs="Arial"/>
        </w:rPr>
      </w:pPr>
      <w:r w:rsidRPr="00D31768">
        <w:rPr>
          <w:rFonts w:ascii="Arial" w:hAnsi="Arial" w:cs="Arial"/>
        </w:rPr>
        <w:lastRenderedPageBreak/>
        <w:t>Currently, only services holding the ‘standard’ licence type are required to provide outdoor space for children, with at least 7 square metres to be accessible per child. All other licence types are not required to provide any outdoor space.</w:t>
      </w:r>
    </w:p>
    <w:p w14:paraId="6EB98033" w14:textId="38AB3C15" w:rsidR="005820AF" w:rsidRPr="00D31768" w:rsidRDefault="005820AF" w:rsidP="005820AF">
      <w:pPr>
        <w:spacing w:before="120"/>
        <w:rPr>
          <w:rFonts w:ascii="Arial" w:hAnsi="Arial" w:cs="Arial"/>
        </w:rPr>
      </w:pPr>
      <w:r w:rsidRPr="00D31768">
        <w:rPr>
          <w:rFonts w:ascii="Arial" w:hAnsi="Arial" w:cs="Arial"/>
        </w:rPr>
        <w:t>Under the proposed Regulations, outdoor space would not be required for the new ‘Limited Hours’ service approval</w:t>
      </w:r>
      <w:r w:rsidR="00F3682F">
        <w:rPr>
          <w:rFonts w:ascii="Arial" w:hAnsi="Arial" w:cs="Arial"/>
        </w:rPr>
        <w:t xml:space="preserve"> type</w:t>
      </w:r>
      <w:r w:rsidRPr="00D31768">
        <w:rPr>
          <w:rFonts w:ascii="Arial" w:hAnsi="Arial" w:cs="Arial"/>
        </w:rPr>
        <w:t xml:space="preserve"> (that is, services providing education and care for </w:t>
      </w:r>
      <w:r w:rsidR="006F5D67">
        <w:rPr>
          <w:rFonts w:ascii="Arial" w:hAnsi="Arial" w:cs="Arial"/>
        </w:rPr>
        <w:t xml:space="preserve">each child </w:t>
      </w:r>
      <w:r w:rsidRPr="00D31768">
        <w:rPr>
          <w:rFonts w:ascii="Arial" w:hAnsi="Arial" w:cs="Arial"/>
        </w:rPr>
        <w:t xml:space="preserve">up to 3 hours per day for a maximum of 6 hours per week). However, all services holding the new ‘Occasional Care’ service approval </w:t>
      </w:r>
      <w:r w:rsidR="00F3682F">
        <w:rPr>
          <w:rFonts w:ascii="Arial" w:hAnsi="Arial" w:cs="Arial"/>
        </w:rPr>
        <w:t xml:space="preserve">type </w:t>
      </w:r>
      <w:r w:rsidRPr="00D31768">
        <w:rPr>
          <w:rFonts w:ascii="Arial" w:hAnsi="Arial" w:cs="Arial"/>
        </w:rPr>
        <w:t xml:space="preserve">will be required to provide 7 square metres of outdoor space per child, including those services which previously did not have to meet an outdoor space requirement. This requirement will create a compliance burden for smaller providers which may not have the resources to renovate or move their premises if necessary for compliance. However, the proposed conditions allowing for access to a community space or limited service duration create a compliance flexibility which will assist providers to meet the new requirement. </w:t>
      </w:r>
    </w:p>
    <w:p w14:paraId="5D782687" w14:textId="02E1CA1C" w:rsidR="005820AF" w:rsidRPr="00D31768" w:rsidRDefault="005820AF" w:rsidP="005820AF">
      <w:pPr>
        <w:spacing w:before="120"/>
        <w:rPr>
          <w:rFonts w:ascii="Arial" w:hAnsi="Arial" w:cs="Arial"/>
        </w:rPr>
      </w:pPr>
      <w:r w:rsidRPr="00D31768">
        <w:rPr>
          <w:rFonts w:ascii="Arial" w:hAnsi="Arial" w:cs="Arial"/>
        </w:rPr>
        <w:t xml:space="preserve">Benefits associated with reduced administrative burdens will flow to providers who already operate services under the NQF, as terminology and application processes will align with the national system. However, the shift from </w:t>
      </w:r>
      <w:r w:rsidR="002113C8">
        <w:rPr>
          <w:rFonts w:ascii="Arial" w:hAnsi="Arial" w:cs="Arial"/>
        </w:rPr>
        <w:t>fixed term licence approvals</w:t>
      </w:r>
      <w:r w:rsidRPr="00D31768">
        <w:rPr>
          <w:rFonts w:ascii="Arial" w:hAnsi="Arial" w:cs="Arial"/>
        </w:rPr>
        <w:t xml:space="preserve"> to perpetual approvals will have administrative benefits for all providers, including small businesses, who will no longer need to complete </w:t>
      </w:r>
      <w:r w:rsidR="002113C8">
        <w:rPr>
          <w:rFonts w:ascii="Arial" w:hAnsi="Arial" w:cs="Arial"/>
        </w:rPr>
        <w:t>periodic</w:t>
      </w:r>
      <w:r w:rsidRPr="00D31768">
        <w:rPr>
          <w:rFonts w:ascii="Arial" w:hAnsi="Arial" w:cs="Arial"/>
        </w:rPr>
        <w:t xml:space="preserve"> paperwork</w:t>
      </w:r>
      <w:r w:rsidR="002113C8">
        <w:rPr>
          <w:rFonts w:ascii="Arial" w:hAnsi="Arial" w:cs="Arial"/>
        </w:rPr>
        <w:t xml:space="preserve"> applications</w:t>
      </w:r>
      <w:r w:rsidRPr="00D31768">
        <w:rPr>
          <w:rFonts w:ascii="Arial" w:hAnsi="Arial" w:cs="Arial"/>
        </w:rPr>
        <w:t xml:space="preserve">. Feedback provided by the sector in relation to the 2019 amendments to the Act </w:t>
      </w:r>
      <w:r w:rsidR="00237579">
        <w:rPr>
          <w:rFonts w:ascii="Arial" w:hAnsi="Arial" w:cs="Arial"/>
        </w:rPr>
        <w:t>c</w:t>
      </w:r>
      <w:r w:rsidRPr="00D31768">
        <w:rPr>
          <w:rFonts w:ascii="Arial" w:hAnsi="Arial" w:cs="Arial"/>
        </w:rPr>
        <w:t xml:space="preserve">onsistently supported alignment for this reason </w:t>
      </w:r>
      <w:r w:rsidRPr="00511CB8">
        <w:rPr>
          <w:rFonts w:ascii="Arial" w:hAnsi="Arial" w:cs="Arial"/>
        </w:rPr>
        <w:t xml:space="preserve">(see section </w:t>
      </w:r>
      <w:r w:rsidRPr="00511CB8">
        <w:rPr>
          <w:rFonts w:ascii="Arial" w:hAnsi="Arial" w:cs="Arial"/>
        </w:rPr>
        <w:fldChar w:fldCharType="begin"/>
      </w:r>
      <w:r w:rsidRPr="00511CB8">
        <w:rPr>
          <w:rFonts w:ascii="Arial" w:hAnsi="Arial" w:cs="Arial"/>
        </w:rPr>
        <w:instrText xml:space="preserve"> REF _Ref25770651 \r \h  \* MERGEFORMAT </w:instrText>
      </w:r>
      <w:r w:rsidRPr="00511CB8">
        <w:rPr>
          <w:rFonts w:ascii="Arial" w:hAnsi="Arial" w:cs="Arial"/>
        </w:rPr>
      </w:r>
      <w:r w:rsidRPr="00511CB8">
        <w:rPr>
          <w:rFonts w:ascii="Arial" w:hAnsi="Arial" w:cs="Arial"/>
        </w:rPr>
        <w:fldChar w:fldCharType="separate"/>
      </w:r>
      <w:r w:rsidR="00493211" w:rsidRPr="00493211">
        <w:rPr>
          <w:rFonts w:ascii="Arial" w:hAnsi="Arial" w:cs="Arial"/>
          <w:bCs/>
          <w:lang w:val="en-US"/>
        </w:rPr>
        <w:t>8</w:t>
      </w:r>
      <w:r w:rsidRPr="00511CB8">
        <w:rPr>
          <w:rFonts w:ascii="Arial" w:hAnsi="Arial" w:cs="Arial"/>
        </w:rPr>
        <w:fldChar w:fldCharType="end"/>
      </w:r>
      <w:r w:rsidRPr="00511CB8">
        <w:rPr>
          <w:rFonts w:ascii="Arial" w:hAnsi="Arial" w:cs="Arial"/>
        </w:rPr>
        <w:t xml:space="preserve"> on consultation</w:t>
      </w:r>
      <w:r w:rsidRPr="00D31768">
        <w:rPr>
          <w:rFonts w:ascii="Arial" w:hAnsi="Arial" w:cs="Arial"/>
        </w:rPr>
        <w:t xml:space="preserve"> for further detail).</w:t>
      </w:r>
    </w:p>
    <w:p w14:paraId="656AE893" w14:textId="77777777" w:rsidR="005820AF" w:rsidRPr="00D31768" w:rsidRDefault="005820AF" w:rsidP="005820AF">
      <w:pPr>
        <w:spacing w:before="120"/>
        <w:rPr>
          <w:rFonts w:ascii="Arial" w:hAnsi="Arial" w:cs="Arial"/>
        </w:rPr>
      </w:pPr>
      <w:r w:rsidRPr="00D31768">
        <w:rPr>
          <w:rFonts w:ascii="Arial" w:hAnsi="Arial" w:cs="Arial"/>
        </w:rPr>
        <w:t>All providers are expected to benefit from alignment with the NQF in that parents will be assured that their children will receive the same safety, health and wellbeing outcomes by attending a children’s service as opposed to a service regulated by the national regime. This can be expected to assist small businesses in competing with larger providers. This expected benefit was articulated by a range of service providers consulted in relation to the 2019 Act amendments, with one theme of the feedback being the benefits of parents understanding that these services offer more than ‘just babysitting’.</w:t>
      </w:r>
    </w:p>
    <w:p w14:paraId="51693FF2" w14:textId="7A6BD7BF" w:rsidR="005820AF" w:rsidRDefault="005820AF" w:rsidP="005820AF">
      <w:pPr>
        <w:spacing w:before="120"/>
        <w:rPr>
          <w:rFonts w:ascii="Arial" w:hAnsi="Arial" w:cs="Arial"/>
        </w:rPr>
      </w:pPr>
      <w:r w:rsidRPr="00D31768">
        <w:rPr>
          <w:rFonts w:ascii="Arial" w:hAnsi="Arial" w:cs="Arial"/>
        </w:rPr>
        <w:t xml:space="preserve">The impacts of fees imposed by the proposed Regulations will have a greater impact on smaller businesses, given the smaller pool of resources these providers have to draw on to meet fees. Fees under the proposed Regulations are lower than those incurred by services operating under the NQF but, in many cases, are higher than those currently imposed by the existing Regulations. While some fees </w:t>
      </w:r>
      <w:r w:rsidR="002113C8">
        <w:rPr>
          <w:rFonts w:ascii="Arial" w:hAnsi="Arial" w:cs="Arial"/>
        </w:rPr>
        <w:t>newly impose</w:t>
      </w:r>
      <w:r w:rsidRPr="00D31768">
        <w:rPr>
          <w:rFonts w:ascii="Arial" w:hAnsi="Arial" w:cs="Arial"/>
        </w:rPr>
        <w:t xml:space="preserve"> a </w:t>
      </w:r>
      <w:r w:rsidR="002113C8">
        <w:rPr>
          <w:rFonts w:ascii="Arial" w:hAnsi="Arial" w:cs="Arial"/>
        </w:rPr>
        <w:t>modest</w:t>
      </w:r>
      <w:r w:rsidRPr="00D31768">
        <w:rPr>
          <w:rFonts w:ascii="Arial" w:hAnsi="Arial" w:cs="Arial"/>
        </w:rPr>
        <w:t xml:space="preserve"> cost on existing services, such as the annual service fee </w:t>
      </w:r>
      <w:r w:rsidR="002113C8">
        <w:rPr>
          <w:rFonts w:ascii="Arial" w:hAnsi="Arial" w:cs="Arial"/>
        </w:rPr>
        <w:t xml:space="preserve">for very small services </w:t>
      </w:r>
      <w:r w:rsidRPr="00D31768">
        <w:rPr>
          <w:rFonts w:ascii="Arial" w:hAnsi="Arial" w:cs="Arial"/>
        </w:rPr>
        <w:t xml:space="preserve">where previously there was a nil requirement, the overall effect is balanced by the lesser administrative requirements and simpler processes under the proposed regulations. </w:t>
      </w:r>
    </w:p>
    <w:p w14:paraId="4DC6FA02" w14:textId="708BD47D" w:rsidR="005820AF" w:rsidRPr="00215708" w:rsidRDefault="005820AF" w:rsidP="005820AF">
      <w:pPr>
        <w:spacing w:before="120"/>
        <w:rPr>
          <w:rFonts w:ascii="Arial" w:hAnsi="Arial" w:cs="Arial"/>
          <w:b/>
          <w:i/>
        </w:rPr>
      </w:pPr>
      <w:r w:rsidRPr="00215708">
        <w:rPr>
          <w:rFonts w:ascii="Arial" w:hAnsi="Arial" w:cs="Arial"/>
          <w:b/>
          <w:i/>
        </w:rPr>
        <w:t>Impact of penalties</w:t>
      </w:r>
    </w:p>
    <w:p w14:paraId="6572096C" w14:textId="5CBF64AA" w:rsidR="005820AF" w:rsidRPr="00215708" w:rsidRDefault="005820AF" w:rsidP="005820AF">
      <w:pPr>
        <w:spacing w:before="120"/>
        <w:rPr>
          <w:rFonts w:ascii="Arial" w:hAnsi="Arial" w:cs="Arial"/>
        </w:rPr>
      </w:pPr>
      <w:r w:rsidRPr="00215708">
        <w:rPr>
          <w:rFonts w:ascii="Arial" w:hAnsi="Arial" w:cs="Arial"/>
        </w:rPr>
        <w:t>Given the children’s services sector currently has a 90% rate of compliance</w:t>
      </w:r>
      <w:r w:rsidR="002113C8" w:rsidRPr="00215708">
        <w:rPr>
          <w:rFonts w:ascii="Arial" w:hAnsi="Arial" w:cs="Arial"/>
        </w:rPr>
        <w:t xml:space="preserve"> with current regulatory requirements</w:t>
      </w:r>
      <w:r w:rsidRPr="00215708">
        <w:rPr>
          <w:rFonts w:ascii="Arial" w:hAnsi="Arial" w:cs="Arial"/>
        </w:rPr>
        <w:t>, the relative impact of penalties for non-compliance in the proposed regulations is expected to be minimal.</w:t>
      </w:r>
    </w:p>
    <w:p w14:paraId="62E0673F" w14:textId="77777777" w:rsidR="005820AF" w:rsidRPr="00215708" w:rsidRDefault="005820AF" w:rsidP="005820AF">
      <w:pPr>
        <w:spacing w:before="120"/>
        <w:rPr>
          <w:rFonts w:ascii="Arial" w:hAnsi="Arial" w:cs="Arial"/>
        </w:rPr>
      </w:pPr>
      <w:r w:rsidRPr="00215708">
        <w:rPr>
          <w:rFonts w:ascii="Arial" w:hAnsi="Arial" w:cs="Arial"/>
        </w:rPr>
        <w:t>The two regulatory regimes currently take different approaches to financial penalties for offences:</w:t>
      </w:r>
    </w:p>
    <w:p w14:paraId="55E5D51F" w14:textId="77777777" w:rsidR="005820AF" w:rsidRPr="00215708" w:rsidRDefault="005820AF" w:rsidP="002806C5">
      <w:pPr>
        <w:pStyle w:val="ListParagraph"/>
        <w:numPr>
          <w:ilvl w:val="0"/>
          <w:numId w:val="98"/>
        </w:numPr>
        <w:autoSpaceDE w:val="0"/>
        <w:autoSpaceDN w:val="0"/>
        <w:adjustRightInd w:val="0"/>
        <w:spacing w:before="120"/>
        <w:rPr>
          <w:rFonts w:ascii="Arial" w:hAnsi="Arial" w:cs="Arial"/>
        </w:rPr>
      </w:pPr>
      <w:r w:rsidRPr="00215708">
        <w:rPr>
          <w:rFonts w:ascii="Arial" w:hAnsi="Arial" w:cs="Arial"/>
        </w:rPr>
        <w:t xml:space="preserve">Under the current CS Act (which uses the penalty unit approach), there is a single maximum penalty for both individuals and bodies corporate. </w:t>
      </w:r>
    </w:p>
    <w:p w14:paraId="6D2DDC0D" w14:textId="55074CA5" w:rsidR="005820AF" w:rsidRPr="00215708" w:rsidRDefault="005820AF" w:rsidP="002806C5">
      <w:pPr>
        <w:pStyle w:val="ListParagraph"/>
        <w:numPr>
          <w:ilvl w:val="0"/>
          <w:numId w:val="98"/>
        </w:numPr>
        <w:autoSpaceDE w:val="0"/>
        <w:autoSpaceDN w:val="0"/>
        <w:adjustRightInd w:val="0"/>
        <w:spacing w:before="120"/>
        <w:rPr>
          <w:rFonts w:ascii="Arial" w:hAnsi="Arial" w:cs="Arial"/>
        </w:rPr>
      </w:pPr>
      <w:r w:rsidRPr="00215708">
        <w:rPr>
          <w:rFonts w:ascii="Arial" w:hAnsi="Arial" w:cs="Arial"/>
        </w:rPr>
        <w:t xml:space="preserve">Under the National Law there are different maximum penalties for individuals and bodies corporate. The corporate multiplier is five times the individual amount (e.g. $2000 individual, $10,000 other), which is consistent with the approach in the </w:t>
      </w:r>
      <w:r w:rsidRPr="00215708">
        <w:rPr>
          <w:rFonts w:ascii="Arial" w:hAnsi="Arial" w:cs="Arial"/>
          <w:i/>
        </w:rPr>
        <w:t xml:space="preserve">Sentencing Act 1991 </w:t>
      </w:r>
      <w:r w:rsidRPr="00215708">
        <w:rPr>
          <w:rFonts w:ascii="Arial" w:hAnsi="Arial" w:cs="Arial"/>
        </w:rPr>
        <w:t xml:space="preserve">(Vic). </w:t>
      </w:r>
    </w:p>
    <w:p w14:paraId="14144AAF" w14:textId="5ACA6BC3" w:rsidR="002113C8" w:rsidRPr="00215708" w:rsidRDefault="002113C8" w:rsidP="002806C5">
      <w:pPr>
        <w:pStyle w:val="ListParagraph"/>
        <w:numPr>
          <w:ilvl w:val="0"/>
          <w:numId w:val="98"/>
        </w:numPr>
        <w:autoSpaceDE w:val="0"/>
        <w:autoSpaceDN w:val="0"/>
        <w:adjustRightInd w:val="0"/>
        <w:spacing w:before="120"/>
        <w:rPr>
          <w:rFonts w:ascii="Arial" w:hAnsi="Arial" w:cs="Arial"/>
        </w:rPr>
      </w:pPr>
      <w:r w:rsidRPr="00215708">
        <w:rPr>
          <w:rFonts w:ascii="Arial" w:hAnsi="Arial" w:cs="Arial"/>
        </w:rPr>
        <w:t>The penalty unit is inflation adjusted annually, whereas the monetary penalties in the NQF are fixed and have not been adjusted since the national scheme commenced.</w:t>
      </w:r>
    </w:p>
    <w:p w14:paraId="135FDE1B" w14:textId="77777777" w:rsidR="005820AF" w:rsidRDefault="005820AF" w:rsidP="005820AF">
      <w:pPr>
        <w:spacing w:before="120"/>
        <w:rPr>
          <w:rFonts w:ascii="Arial" w:hAnsi="Arial" w:cs="Arial"/>
        </w:rPr>
      </w:pPr>
      <w:r w:rsidRPr="00215708">
        <w:rPr>
          <w:rFonts w:ascii="Arial" w:hAnsi="Arial" w:cs="Arial"/>
        </w:rPr>
        <w:lastRenderedPageBreak/>
        <w:t>Generally, the maximum penalties under the CS Act and proposed regulations lie midway between</w:t>
      </w:r>
      <w:r w:rsidRPr="00D31768">
        <w:rPr>
          <w:rFonts w:ascii="Arial" w:hAnsi="Arial" w:cs="Arial"/>
        </w:rPr>
        <w:t xml:space="preserve"> the equivalent individual and corporate penalties in the NQF.</w:t>
      </w:r>
    </w:p>
    <w:p w14:paraId="5FD85D31" w14:textId="77777777" w:rsidR="005820AF" w:rsidRPr="00D31768" w:rsidRDefault="005820AF" w:rsidP="005820AF">
      <w:pPr>
        <w:overflowPunct w:val="0"/>
        <w:spacing w:before="120"/>
        <w:jc w:val="both"/>
        <w:textAlignment w:val="baseline"/>
        <w:rPr>
          <w:rFonts w:ascii="Arial" w:hAnsi="Arial" w:cs="Arial"/>
        </w:rPr>
      </w:pPr>
      <w:r w:rsidRPr="00D31768">
        <w:rPr>
          <w:rFonts w:ascii="Arial" w:hAnsi="Arial" w:cs="Arial"/>
        </w:rPr>
        <w:t>The considerations that have been applied to setting the proposed maximum penalties are:</w:t>
      </w:r>
    </w:p>
    <w:p w14:paraId="0A7C012A" w14:textId="77777777" w:rsidR="005820AF" w:rsidRPr="00D31768" w:rsidRDefault="005820AF" w:rsidP="002806C5">
      <w:pPr>
        <w:pStyle w:val="ListParagraph"/>
        <w:numPr>
          <w:ilvl w:val="0"/>
          <w:numId w:val="96"/>
        </w:numPr>
        <w:autoSpaceDE w:val="0"/>
        <w:autoSpaceDN w:val="0"/>
        <w:adjustRightInd w:val="0"/>
        <w:spacing w:before="120"/>
        <w:rPr>
          <w:rFonts w:ascii="Arial" w:hAnsi="Arial" w:cs="Arial"/>
        </w:rPr>
      </w:pPr>
      <w:r w:rsidRPr="00D31768">
        <w:rPr>
          <w:rFonts w:ascii="Arial" w:hAnsi="Arial" w:cs="Arial"/>
        </w:rPr>
        <w:t>To align as closely as possible to the NQF maximum amount</w:t>
      </w:r>
    </w:p>
    <w:p w14:paraId="52454BFF" w14:textId="77777777" w:rsidR="005820AF" w:rsidRPr="00D31768" w:rsidRDefault="005820AF" w:rsidP="002806C5">
      <w:pPr>
        <w:pStyle w:val="ListParagraph"/>
        <w:numPr>
          <w:ilvl w:val="0"/>
          <w:numId w:val="96"/>
        </w:numPr>
        <w:autoSpaceDE w:val="0"/>
        <w:autoSpaceDN w:val="0"/>
        <w:adjustRightInd w:val="0"/>
        <w:spacing w:before="120"/>
        <w:rPr>
          <w:rFonts w:ascii="Arial" w:hAnsi="Arial" w:cs="Arial"/>
        </w:rPr>
      </w:pPr>
      <w:r w:rsidRPr="00D31768">
        <w:rPr>
          <w:rFonts w:ascii="Arial" w:hAnsi="Arial" w:cs="Arial"/>
        </w:rPr>
        <w:t>The corporate multiplier has not been taken into account as the National Regulations only provide for single maximum penalties</w:t>
      </w:r>
    </w:p>
    <w:p w14:paraId="47816821" w14:textId="36EC16A7" w:rsidR="005820AF" w:rsidRPr="00CA51E7" w:rsidRDefault="005820AF" w:rsidP="002806C5">
      <w:pPr>
        <w:pStyle w:val="ListParagraph"/>
        <w:numPr>
          <w:ilvl w:val="0"/>
          <w:numId w:val="96"/>
        </w:numPr>
        <w:autoSpaceDE w:val="0"/>
        <w:autoSpaceDN w:val="0"/>
        <w:adjustRightInd w:val="0"/>
        <w:spacing w:before="120"/>
        <w:rPr>
          <w:rFonts w:ascii="Arial" w:hAnsi="Arial" w:cs="Arial"/>
        </w:rPr>
      </w:pPr>
      <w:r w:rsidRPr="00D31768">
        <w:rPr>
          <w:rFonts w:ascii="Arial" w:hAnsi="Arial" w:cs="Arial"/>
        </w:rPr>
        <w:t xml:space="preserve">To round the number of penalty units to a multiple of 5 </w:t>
      </w:r>
      <w:r w:rsidRPr="00F3682F">
        <w:rPr>
          <w:rFonts w:ascii="Arial" w:hAnsi="Arial" w:cs="Arial"/>
        </w:rPr>
        <w:t>(</w:t>
      </w:r>
      <w:r w:rsidR="00F3682F" w:rsidRPr="00F3682F">
        <w:rPr>
          <w:rFonts w:ascii="Arial" w:hAnsi="Arial" w:cs="Arial"/>
        </w:rPr>
        <w:t>as per</w:t>
      </w:r>
      <w:r w:rsidRPr="00F3682F">
        <w:rPr>
          <w:rFonts w:ascii="Arial" w:hAnsi="Arial" w:cs="Arial"/>
        </w:rPr>
        <w:t xml:space="preserve"> the </w:t>
      </w:r>
      <w:r w:rsidRPr="00F3682F">
        <w:rPr>
          <w:rFonts w:ascii="Arial" w:hAnsi="Arial" w:cs="Arial"/>
          <w:i/>
        </w:rPr>
        <w:t>Sentencing Act 1991</w:t>
      </w:r>
      <w:r w:rsidRPr="00F3682F">
        <w:rPr>
          <w:rFonts w:ascii="Arial" w:hAnsi="Arial" w:cs="Arial"/>
        </w:rPr>
        <w:t>)</w:t>
      </w:r>
    </w:p>
    <w:p w14:paraId="4A848272" w14:textId="77777777" w:rsidR="005820AF" w:rsidRPr="00D31768" w:rsidRDefault="005820AF" w:rsidP="002806C5">
      <w:pPr>
        <w:pStyle w:val="ListParagraph"/>
        <w:numPr>
          <w:ilvl w:val="0"/>
          <w:numId w:val="96"/>
        </w:numPr>
        <w:autoSpaceDE w:val="0"/>
        <w:autoSpaceDN w:val="0"/>
        <w:adjustRightInd w:val="0"/>
        <w:spacing w:before="120"/>
        <w:rPr>
          <w:rFonts w:ascii="Arial" w:hAnsi="Arial" w:cs="Arial"/>
        </w:rPr>
      </w:pPr>
      <w:r w:rsidRPr="00D31768">
        <w:rPr>
          <w:rFonts w:ascii="Arial" w:hAnsi="Arial" w:cs="Arial"/>
        </w:rPr>
        <w:t>To round downwards where necessary to ensure the new penalty is no higher than the equivalent NQF penalty, and allow some room for growth due to inflation adjustment of the penalty unit.</w:t>
      </w:r>
    </w:p>
    <w:p w14:paraId="588D1BB1" w14:textId="77777777" w:rsidR="005820AF" w:rsidRDefault="005820AF" w:rsidP="005820AF">
      <w:pPr>
        <w:spacing w:before="120"/>
        <w:rPr>
          <w:rFonts w:ascii="Arial" w:hAnsi="Arial" w:cs="Arial"/>
        </w:rPr>
      </w:pPr>
      <w:r w:rsidRPr="00D31768">
        <w:rPr>
          <w:rFonts w:ascii="Arial" w:hAnsi="Arial" w:cs="Arial"/>
        </w:rPr>
        <w:t>The policy decision was that the offences and penalties in the CS Act and Regulations are to be aligned as closely as possible with the equivalent offences and penalties in the NQF. In most cases, the proposed maximum penalties will be substantially lower, noting that the court has discretion to award penalties that are lower than the maximum.</w:t>
      </w:r>
    </w:p>
    <w:p w14:paraId="386C2BB2" w14:textId="36B0BAAD" w:rsidR="005820AF" w:rsidRPr="00D31768" w:rsidRDefault="005820AF" w:rsidP="00511CB8">
      <w:pPr>
        <w:spacing w:before="120"/>
        <w:rPr>
          <w:rFonts w:ascii="Arial" w:hAnsi="Arial" w:cs="Arial"/>
        </w:rPr>
      </w:pPr>
      <w:r w:rsidRPr="00215708">
        <w:rPr>
          <w:rFonts w:ascii="Arial" w:hAnsi="Arial" w:cs="Arial"/>
        </w:rPr>
        <w:t>The</w:t>
      </w:r>
      <w:r w:rsidR="00EC34E2" w:rsidRPr="00215708">
        <w:rPr>
          <w:rFonts w:ascii="Arial" w:hAnsi="Arial" w:cs="Arial"/>
        </w:rPr>
        <w:t xml:space="preserve"> regulatory power to </w:t>
      </w:r>
      <w:r w:rsidRPr="00215708">
        <w:rPr>
          <w:rFonts w:ascii="Arial" w:hAnsi="Arial" w:cs="Arial"/>
        </w:rPr>
        <w:t>issue compliance notices or compliance directions as an enforcement action for non-compliance</w:t>
      </w:r>
      <w:r w:rsidR="00EC34E2" w:rsidRPr="00215708">
        <w:rPr>
          <w:rFonts w:ascii="Arial" w:hAnsi="Arial" w:cs="Arial"/>
        </w:rPr>
        <w:t xml:space="preserve"> is provided for in the amended Act and is supported by regulations</w:t>
      </w:r>
      <w:r w:rsidRPr="00215708">
        <w:rPr>
          <w:rFonts w:ascii="Arial" w:hAnsi="Arial" w:cs="Arial"/>
        </w:rPr>
        <w:t>.</w:t>
      </w:r>
    </w:p>
    <w:p w14:paraId="28D50FB3" w14:textId="77777777" w:rsidR="005820AF" w:rsidRDefault="005820AF" w:rsidP="00511CB8">
      <w:pPr>
        <w:overflowPunct w:val="0"/>
        <w:spacing w:before="120"/>
        <w:textAlignment w:val="baseline"/>
        <w:rPr>
          <w:rFonts w:ascii="Arial" w:hAnsi="Arial" w:cs="Arial"/>
        </w:rPr>
      </w:pPr>
      <w:r w:rsidRPr="00D31768">
        <w:rPr>
          <w:rFonts w:ascii="Arial" w:hAnsi="Arial" w:cs="Arial"/>
        </w:rPr>
        <w:t>In setting a penalty unit as close as possible to the equivalent NQF amount, allowance will be made for future inflation adjustment of the penalty unit. The penalty units that apply in Victoria are inflation adjusted annually, therefore, it can be expected that the penalty amounts will steadily increase, whereas the level of penalties under the NQF can be assumed to remain unchanged for the foreseeable future.</w:t>
      </w:r>
    </w:p>
    <w:p w14:paraId="43DF0607" w14:textId="57FC723C" w:rsidR="00C01E92" w:rsidRPr="000107A9" w:rsidRDefault="00C01E92" w:rsidP="004F4E5D">
      <w:pPr>
        <w:pStyle w:val="Heading1"/>
        <w:numPr>
          <w:ilvl w:val="0"/>
          <w:numId w:val="12"/>
        </w:numPr>
      </w:pPr>
      <w:bookmarkStart w:id="284" w:name="_Toc24531614"/>
      <w:bookmarkStart w:id="285" w:name="_Toc25749861"/>
      <w:bookmarkStart w:id="286" w:name="_Ref25764077"/>
      <w:bookmarkStart w:id="287" w:name="_Ref25770651"/>
      <w:bookmarkStart w:id="288" w:name="_Ref27649829"/>
      <w:bookmarkStart w:id="289" w:name="_Toc30669625"/>
      <w:bookmarkStart w:id="290" w:name="_Toc32936896"/>
      <w:bookmarkEnd w:id="273"/>
      <w:bookmarkEnd w:id="274"/>
      <w:r w:rsidRPr="000107A9">
        <w:lastRenderedPageBreak/>
        <w:t>Consultation</w:t>
      </w:r>
      <w:bookmarkEnd w:id="284"/>
      <w:bookmarkEnd w:id="285"/>
      <w:bookmarkEnd w:id="286"/>
      <w:bookmarkEnd w:id="287"/>
      <w:bookmarkEnd w:id="288"/>
      <w:bookmarkEnd w:id="289"/>
      <w:bookmarkEnd w:id="290"/>
    </w:p>
    <w:p w14:paraId="5DF70372"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proposed Regulations are planned to commence in May 2020, before the current Regulations expire.</w:t>
      </w:r>
    </w:p>
    <w:p w14:paraId="684C2280"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In preparing this RIS, the Department has undertaken targeted engagement with key stakeholders and the sector in both the development of the </w:t>
      </w:r>
      <w:r w:rsidRPr="000107A9">
        <w:rPr>
          <w:rFonts w:asciiTheme="minorHAnsi" w:hAnsiTheme="minorHAnsi" w:cstheme="minorHAnsi"/>
          <w:i/>
          <w:sz w:val="22"/>
          <w:szCs w:val="22"/>
        </w:rPr>
        <w:t>Children’s Services Amendment Act 1996</w:t>
      </w:r>
      <w:r w:rsidRPr="000107A9">
        <w:rPr>
          <w:rFonts w:asciiTheme="minorHAnsi" w:hAnsiTheme="minorHAnsi" w:cstheme="minorHAnsi"/>
          <w:sz w:val="22"/>
          <w:szCs w:val="22"/>
        </w:rPr>
        <w:t xml:space="preserve"> (as part of the 2019 NQF Review process) and to canvas the key areas of regulatory alignment likely to impact the sector at an operational level, to determine the issues or concerns that needed to be addressed in the proposed Regulations, and to inform transitional arrangements and implementation plans.</w:t>
      </w:r>
    </w:p>
    <w:p w14:paraId="4BD46C87" w14:textId="4A8BFB7B" w:rsidR="00C01E92" w:rsidRPr="00D55F3A" w:rsidRDefault="00C01E92" w:rsidP="001D0060">
      <w:pPr>
        <w:pStyle w:val="EYBodytextwithparaspace"/>
        <w:spacing w:before="120" w:after="120"/>
        <w:rPr>
          <w:rFonts w:asciiTheme="minorHAnsi" w:hAnsiTheme="minorHAnsi" w:cstheme="minorHAnsi"/>
          <w:b/>
          <w:sz w:val="22"/>
          <w:szCs w:val="22"/>
        </w:rPr>
      </w:pPr>
      <w:bookmarkStart w:id="291" w:name="_Toc24531615"/>
      <w:bookmarkStart w:id="292" w:name="_Toc25749862"/>
      <w:bookmarkStart w:id="293" w:name="_Toc30669626"/>
      <w:r w:rsidRPr="00D55F3A">
        <w:rPr>
          <w:rFonts w:asciiTheme="minorHAnsi" w:hAnsiTheme="minorHAnsi" w:cstheme="minorHAnsi"/>
          <w:b/>
          <w:sz w:val="22"/>
          <w:szCs w:val="22"/>
        </w:rPr>
        <w:t xml:space="preserve">Consultation </w:t>
      </w:r>
      <w:bookmarkEnd w:id="291"/>
      <w:bookmarkEnd w:id="292"/>
      <w:r w:rsidRPr="00D55F3A">
        <w:rPr>
          <w:rFonts w:asciiTheme="minorHAnsi" w:hAnsiTheme="minorHAnsi" w:cstheme="minorHAnsi"/>
          <w:b/>
          <w:sz w:val="22"/>
          <w:szCs w:val="22"/>
        </w:rPr>
        <w:t>activity</w:t>
      </w:r>
      <w:bookmarkEnd w:id="293"/>
    </w:p>
    <w:p w14:paraId="2F5463B1"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NQF Review and Children’s Services Law Reform consultations took place in May and June 2019.</w:t>
      </w:r>
    </w:p>
    <w:p w14:paraId="53813F50"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Children’s Services Law Reform information sessions took place in October and November 2019.</w:t>
      </w:r>
    </w:p>
    <w:p w14:paraId="2066BAE1"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RIS public consultations on the proposed Children’s Services Regulations will take place in February 2020.</w:t>
      </w:r>
    </w:p>
    <w:p w14:paraId="201C02E9"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237579">
        <w:rPr>
          <w:rFonts w:asciiTheme="minorHAnsi" w:hAnsiTheme="minorHAnsi" w:cstheme="minorHAnsi"/>
          <w:sz w:val="22"/>
          <w:szCs w:val="22"/>
        </w:rPr>
        <w:t>The Department website was updated to notify the Victorian early childhood education and care</w:t>
      </w:r>
      <w:r w:rsidRPr="000107A9">
        <w:rPr>
          <w:rFonts w:asciiTheme="minorHAnsi" w:hAnsiTheme="minorHAnsi" w:cstheme="minorHAnsi"/>
          <w:sz w:val="22"/>
          <w:szCs w:val="22"/>
        </w:rPr>
        <w:t xml:space="preserve"> sector of the Children’s Services Act and Regulations reform project (Children’s Service Law Reform). This information included broad material on the proposed law reform and a detailed summary on the proposed changes (including what is not changing) aimed at aligning the Children’s Services Act with the National Law. The website also contained details on how the sector could get involved in the consultation on proposed changes.</w:t>
      </w:r>
    </w:p>
    <w:p w14:paraId="6DA86ED2" w14:textId="77777777" w:rsidR="00C01E92" w:rsidRPr="00237579" w:rsidRDefault="00C01E92" w:rsidP="00C01E92">
      <w:pPr>
        <w:pStyle w:val="EYBodytextwithparaspace"/>
        <w:spacing w:before="120" w:after="120"/>
        <w:rPr>
          <w:rFonts w:asciiTheme="minorHAnsi" w:hAnsiTheme="minorHAnsi" w:cstheme="minorHAnsi"/>
          <w:sz w:val="22"/>
          <w:szCs w:val="22"/>
        </w:rPr>
      </w:pPr>
      <w:r w:rsidRPr="00237579">
        <w:rPr>
          <w:rFonts w:asciiTheme="minorHAnsi" w:hAnsiTheme="minorHAnsi" w:cstheme="minorHAnsi"/>
          <w:sz w:val="22"/>
          <w:szCs w:val="22"/>
        </w:rPr>
        <w:t>All Victorian providers of children’s services were advised via email of the opportunity to participate in consultation sessions on the proposed changes. The information on the proposed reform was also included in the Early Childhood Update that is emailed to the sector, in monthly QARD newsletters, as well as the Department’s social media platforms.</w:t>
      </w:r>
    </w:p>
    <w:p w14:paraId="71B067BF"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237579">
        <w:rPr>
          <w:rFonts w:asciiTheme="minorHAnsi" w:hAnsiTheme="minorHAnsi" w:cstheme="minorHAnsi"/>
          <w:sz w:val="22"/>
          <w:szCs w:val="22"/>
        </w:rPr>
        <w:t>There were 15 face-to-face consultation sessions, held across metropolitan and regional Victoria, during May to June 2019. People representing a range of service types and stakeholders</w:t>
      </w:r>
      <w:r w:rsidRPr="000107A9">
        <w:rPr>
          <w:rFonts w:asciiTheme="minorHAnsi" w:hAnsiTheme="minorHAnsi" w:cstheme="minorHAnsi"/>
          <w:sz w:val="22"/>
          <w:szCs w:val="22"/>
        </w:rPr>
        <w:t xml:space="preserve"> attended the sessions and engaged well with the issues.</w:t>
      </w:r>
    </w:p>
    <w:p w14:paraId="1788F52A"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8 sessions held in May 2019: Melbourne CBD (x2); Warrnambool; Ballarat; Werribee (x2); Bendigo; and Moe</w:t>
      </w:r>
    </w:p>
    <w:p w14:paraId="7C31F996"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7 sessions held in June 2019: Ringwood (x2); Geelong; Dandenong (x2); Benalla; and Wodonga.</w:t>
      </w:r>
    </w:p>
    <w:p w14:paraId="2440EB93" w14:textId="77777777" w:rsidR="00C01E92" w:rsidRPr="00237579" w:rsidRDefault="00C01E92" w:rsidP="00C01E92">
      <w:pPr>
        <w:pStyle w:val="EYBodytextwithparaspace"/>
        <w:spacing w:before="120" w:after="120"/>
        <w:rPr>
          <w:rFonts w:asciiTheme="minorHAnsi" w:hAnsiTheme="minorHAnsi" w:cstheme="minorHAnsi"/>
          <w:sz w:val="22"/>
          <w:szCs w:val="22"/>
        </w:rPr>
      </w:pPr>
      <w:r w:rsidRPr="00237579">
        <w:rPr>
          <w:rFonts w:asciiTheme="minorHAnsi" w:hAnsiTheme="minorHAnsi" w:cstheme="minorHAnsi"/>
          <w:sz w:val="22"/>
          <w:szCs w:val="22"/>
        </w:rPr>
        <w:t>Attendees at the consultation sessions were invited to complete a feedback form, and 44 forms were received. No new issues were raised in consultations.</w:t>
      </w:r>
    </w:p>
    <w:p w14:paraId="699A3872" w14:textId="1C419FFA" w:rsidR="00C01E92" w:rsidRPr="00237579" w:rsidRDefault="00C01E92" w:rsidP="00C01E92">
      <w:pPr>
        <w:pStyle w:val="EYBodytextwithparaspace"/>
        <w:spacing w:before="120" w:after="120"/>
        <w:rPr>
          <w:rFonts w:asciiTheme="minorHAnsi" w:hAnsiTheme="minorHAnsi" w:cstheme="minorHAnsi"/>
          <w:sz w:val="22"/>
          <w:szCs w:val="22"/>
        </w:rPr>
      </w:pPr>
      <w:r w:rsidRPr="00237579">
        <w:rPr>
          <w:rFonts w:asciiTheme="minorHAnsi" w:hAnsiTheme="minorHAnsi" w:cstheme="minorHAnsi"/>
          <w:sz w:val="22"/>
          <w:szCs w:val="22"/>
        </w:rPr>
        <w:t>The following key stakeholders, peak bodies and multi-service providers were consulted via meetings and forums:</w:t>
      </w:r>
    </w:p>
    <w:tbl>
      <w:tblPr>
        <w:tblStyle w:val="TableGrid"/>
        <w:tblW w:w="0" w:type="auto"/>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3005"/>
        <w:gridCol w:w="3008"/>
        <w:gridCol w:w="3006"/>
      </w:tblGrid>
      <w:tr w:rsidR="00C01E92" w:rsidRPr="003E0DF9" w14:paraId="2C8434F1" w14:textId="77777777" w:rsidTr="00D55F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right w:val="none" w:sz="0" w:space="0" w:color="auto"/>
            </w:tcBorders>
          </w:tcPr>
          <w:p w14:paraId="5C7469A5" w14:textId="77777777" w:rsidR="00C01E92" w:rsidRPr="003E0DF9" w:rsidRDefault="00C01E92" w:rsidP="00D55F3A">
            <w:pPr>
              <w:pStyle w:val="EYBulletnoparaspace"/>
              <w:numPr>
                <w:ilvl w:val="0"/>
                <w:numId w:val="0"/>
              </w:numPr>
              <w:spacing w:after="60"/>
              <w:contextualSpacing w:val="0"/>
              <w:rPr>
                <w:rFonts w:ascii="Arial Narrow" w:hAnsi="Arial Narrow" w:cstheme="minorHAnsi"/>
                <w:sz w:val="22"/>
                <w:szCs w:val="22"/>
              </w:rPr>
            </w:pPr>
            <w:r w:rsidRPr="003E0DF9">
              <w:rPr>
                <w:rFonts w:ascii="Arial Narrow" w:hAnsi="Arial Narrow" w:cstheme="minorHAnsi"/>
                <w:sz w:val="22"/>
                <w:szCs w:val="22"/>
              </w:rPr>
              <w:t>Internal Governance Groups</w:t>
            </w:r>
          </w:p>
        </w:tc>
        <w:tc>
          <w:tcPr>
            <w:tcW w:w="3008" w:type="dxa"/>
            <w:tcBorders>
              <w:left w:val="none" w:sz="0" w:space="0" w:color="auto"/>
              <w:right w:val="none" w:sz="0" w:space="0" w:color="auto"/>
            </w:tcBorders>
          </w:tcPr>
          <w:p w14:paraId="7905BEEC" w14:textId="77777777" w:rsidR="00C01E92" w:rsidRPr="003E0DF9" w:rsidRDefault="00C01E92" w:rsidP="00D55F3A">
            <w:pPr>
              <w:pStyle w:val="EYBulletnoparaspace"/>
              <w:numPr>
                <w:ilvl w:val="0"/>
                <w:numId w:val="0"/>
              </w:numPr>
              <w:spacing w:after="60"/>
              <w:ind w:left="425" w:hanging="425"/>
              <w:contextualSpacing w:val="0"/>
              <w:cnfStyle w:val="100000000000" w:firstRow="1"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3E0DF9">
              <w:rPr>
                <w:rFonts w:ascii="Arial Narrow" w:hAnsi="Arial Narrow" w:cstheme="minorHAnsi"/>
                <w:sz w:val="22"/>
                <w:szCs w:val="22"/>
              </w:rPr>
              <w:t>Stakeholders and Peak Bodies</w:t>
            </w:r>
          </w:p>
        </w:tc>
        <w:tc>
          <w:tcPr>
            <w:tcW w:w="3006" w:type="dxa"/>
            <w:tcBorders>
              <w:left w:val="none" w:sz="0" w:space="0" w:color="auto"/>
            </w:tcBorders>
          </w:tcPr>
          <w:p w14:paraId="6C7A57B9" w14:textId="77777777" w:rsidR="00C01E92" w:rsidRPr="003E0DF9" w:rsidRDefault="00C01E92" w:rsidP="00D55F3A">
            <w:pPr>
              <w:pStyle w:val="EYBulletnoparaspace"/>
              <w:numPr>
                <w:ilvl w:val="0"/>
                <w:numId w:val="0"/>
              </w:numPr>
              <w:spacing w:after="60"/>
              <w:ind w:left="425" w:hanging="425"/>
              <w:contextualSpacing w:val="0"/>
              <w:cnfStyle w:val="100000000000" w:firstRow="1"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3E0DF9">
              <w:rPr>
                <w:rFonts w:ascii="Arial Narrow" w:hAnsi="Arial Narrow" w:cstheme="minorHAnsi"/>
                <w:sz w:val="22"/>
                <w:szCs w:val="22"/>
              </w:rPr>
              <w:t>Multi-Service Providers</w:t>
            </w:r>
          </w:p>
        </w:tc>
      </w:tr>
      <w:tr w:rsidR="00C01E92" w:rsidRPr="003E0DF9" w14:paraId="0480BDE8" w14:textId="77777777" w:rsidTr="00D55F3A">
        <w:trPr>
          <w:trHeight w:val="1124"/>
        </w:trPr>
        <w:tc>
          <w:tcPr>
            <w:cnfStyle w:val="001000000000" w:firstRow="0" w:lastRow="0" w:firstColumn="1" w:lastColumn="0" w:oddVBand="0" w:evenVBand="0" w:oddHBand="0" w:evenHBand="0" w:firstRowFirstColumn="0" w:firstRowLastColumn="0" w:lastRowFirstColumn="0" w:lastRowLastColumn="0"/>
            <w:tcW w:w="3005" w:type="dxa"/>
          </w:tcPr>
          <w:p w14:paraId="66EFC835" w14:textId="77777777" w:rsidR="00C01E92" w:rsidRPr="003E0DF9" w:rsidRDefault="00C01E92" w:rsidP="00D55F3A">
            <w:pPr>
              <w:pStyle w:val="EYBodytextwithparaspace"/>
              <w:spacing w:after="60"/>
              <w:rPr>
                <w:rFonts w:ascii="Arial Narrow" w:hAnsi="Arial Narrow" w:cstheme="minorHAnsi"/>
                <w:sz w:val="22"/>
                <w:szCs w:val="22"/>
              </w:rPr>
            </w:pPr>
            <w:r w:rsidRPr="003E0DF9">
              <w:rPr>
                <w:rFonts w:ascii="Arial Narrow" w:hAnsi="Arial Narrow" w:cstheme="minorHAnsi"/>
                <w:sz w:val="22"/>
                <w:szCs w:val="22"/>
              </w:rPr>
              <w:t>Early Childhood Steering Committee</w:t>
            </w:r>
          </w:p>
          <w:p w14:paraId="17E07E1C" w14:textId="77777777" w:rsidR="00C01E92" w:rsidRPr="003E0DF9" w:rsidRDefault="00C01E92" w:rsidP="00D55F3A">
            <w:pPr>
              <w:pStyle w:val="EYBodytextwithparaspace"/>
              <w:spacing w:after="60"/>
              <w:rPr>
                <w:rFonts w:ascii="Arial Narrow" w:hAnsi="Arial Narrow" w:cstheme="minorHAnsi"/>
                <w:sz w:val="22"/>
                <w:szCs w:val="22"/>
              </w:rPr>
            </w:pPr>
            <w:r w:rsidRPr="003E0DF9">
              <w:rPr>
                <w:rFonts w:ascii="Arial Narrow" w:hAnsi="Arial Narrow" w:cstheme="minorHAnsi"/>
                <w:sz w:val="22"/>
                <w:szCs w:val="22"/>
              </w:rPr>
              <w:t>Early Childhood Development Advisory Group</w:t>
            </w:r>
          </w:p>
          <w:p w14:paraId="1A52BE62" w14:textId="77777777" w:rsidR="00C01E92" w:rsidRPr="003E0DF9" w:rsidRDefault="00C01E92" w:rsidP="00D55F3A">
            <w:pPr>
              <w:pStyle w:val="EYBodytextwithparaspace"/>
              <w:spacing w:after="60"/>
              <w:rPr>
                <w:rFonts w:ascii="Arial Narrow" w:hAnsi="Arial Narrow" w:cstheme="minorHAnsi"/>
                <w:sz w:val="22"/>
                <w:szCs w:val="22"/>
              </w:rPr>
            </w:pPr>
            <w:r w:rsidRPr="003E0DF9">
              <w:rPr>
                <w:rFonts w:ascii="Arial Narrow" w:hAnsi="Arial Narrow" w:cstheme="minorHAnsi"/>
                <w:sz w:val="22"/>
                <w:szCs w:val="22"/>
              </w:rPr>
              <w:lastRenderedPageBreak/>
              <w:t>Early Childhood Education Reform Stakeholder Group</w:t>
            </w:r>
          </w:p>
          <w:p w14:paraId="735E70A4" w14:textId="77777777" w:rsidR="00C01E92" w:rsidRPr="003E0DF9" w:rsidRDefault="00C01E92" w:rsidP="00D55F3A">
            <w:pPr>
              <w:pStyle w:val="EYBodytextwithparaspace"/>
              <w:spacing w:after="60"/>
              <w:rPr>
                <w:rFonts w:ascii="Arial Narrow" w:hAnsi="Arial Narrow" w:cstheme="minorHAnsi"/>
                <w:sz w:val="22"/>
                <w:szCs w:val="22"/>
              </w:rPr>
            </w:pPr>
            <w:r w:rsidRPr="003E0DF9">
              <w:rPr>
                <w:rFonts w:ascii="Arial Narrow" w:hAnsi="Arial Narrow" w:cstheme="minorHAnsi"/>
                <w:sz w:val="22"/>
                <w:szCs w:val="22"/>
              </w:rPr>
              <w:t>QARD Early Childhood Education and Care Regulatory Reference Group</w:t>
            </w:r>
          </w:p>
          <w:p w14:paraId="091448E1" w14:textId="77777777" w:rsidR="00C01E92" w:rsidRPr="003E0DF9" w:rsidRDefault="00C01E92" w:rsidP="00D55F3A">
            <w:pPr>
              <w:pStyle w:val="EYBodytextwithparaspace"/>
              <w:spacing w:after="60"/>
              <w:rPr>
                <w:rFonts w:ascii="Arial Narrow" w:hAnsi="Arial Narrow" w:cstheme="minorHAnsi"/>
                <w:sz w:val="22"/>
                <w:szCs w:val="22"/>
              </w:rPr>
            </w:pPr>
            <w:r w:rsidRPr="003E0DF9">
              <w:rPr>
                <w:rFonts w:ascii="Arial Narrow" w:hAnsi="Arial Narrow" w:cstheme="minorHAnsi"/>
                <w:sz w:val="22"/>
                <w:szCs w:val="22"/>
              </w:rPr>
              <w:t>Victorian Children’s Council</w:t>
            </w:r>
          </w:p>
        </w:tc>
        <w:tc>
          <w:tcPr>
            <w:tcW w:w="3008" w:type="dxa"/>
          </w:tcPr>
          <w:p w14:paraId="6A3C989B" w14:textId="77777777" w:rsidR="00C01E92" w:rsidRPr="003E0DF9" w:rsidRDefault="00C01E92" w:rsidP="00D55F3A">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3E0DF9">
              <w:rPr>
                <w:rFonts w:ascii="Arial Narrow" w:hAnsi="Arial Narrow" w:cstheme="minorHAnsi"/>
                <w:sz w:val="22"/>
                <w:szCs w:val="22"/>
              </w:rPr>
              <w:lastRenderedPageBreak/>
              <w:t>Community</w:t>
            </w:r>
            <w:r w:rsidRPr="003E0DF9">
              <w:rPr>
                <w:rFonts w:ascii="Arial Narrow" w:eastAsia="Times" w:hAnsi="Arial Narrow" w:cstheme="minorHAnsi"/>
                <w:sz w:val="22"/>
                <w:szCs w:val="22"/>
              </w:rPr>
              <w:t xml:space="preserve"> </w:t>
            </w:r>
            <w:r w:rsidRPr="003E0DF9">
              <w:rPr>
                <w:rFonts w:ascii="Arial Narrow" w:hAnsi="Arial Narrow" w:cstheme="minorHAnsi"/>
                <w:sz w:val="22"/>
                <w:szCs w:val="22"/>
              </w:rPr>
              <w:t xml:space="preserve">Child Care Association </w:t>
            </w:r>
          </w:p>
          <w:p w14:paraId="31B76D58" w14:textId="77777777" w:rsidR="00C01E92" w:rsidRPr="003E0DF9" w:rsidRDefault="00C01E92" w:rsidP="00D55F3A">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3E0DF9">
              <w:rPr>
                <w:rFonts w:ascii="Arial Narrow" w:hAnsi="Arial Narrow" w:cstheme="minorHAnsi"/>
                <w:sz w:val="22"/>
                <w:szCs w:val="22"/>
              </w:rPr>
              <w:t xml:space="preserve">Early Learning Association Australia </w:t>
            </w:r>
          </w:p>
          <w:p w14:paraId="64EA862F" w14:textId="77777777" w:rsidR="00C01E92" w:rsidRPr="003E0DF9" w:rsidRDefault="00C01E92" w:rsidP="00D55F3A">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3E0DF9">
              <w:rPr>
                <w:rFonts w:ascii="Arial Narrow" w:hAnsi="Arial Narrow" w:cstheme="minorHAnsi"/>
                <w:sz w:val="22"/>
                <w:szCs w:val="22"/>
              </w:rPr>
              <w:t>Neighbourhood Houses Victoria</w:t>
            </w:r>
          </w:p>
          <w:p w14:paraId="142AA247" w14:textId="77777777" w:rsidR="00C01E92" w:rsidRPr="003E0DF9" w:rsidRDefault="00C01E92" w:rsidP="00D55F3A">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3E0DF9">
              <w:rPr>
                <w:rFonts w:ascii="Arial Narrow" w:hAnsi="Arial Narrow" w:cstheme="minorHAnsi"/>
                <w:sz w:val="22"/>
                <w:szCs w:val="22"/>
              </w:rPr>
              <w:lastRenderedPageBreak/>
              <w:t>Municipal Association of Victoria</w:t>
            </w:r>
          </w:p>
          <w:p w14:paraId="42A0322B" w14:textId="77777777" w:rsidR="00C01E92" w:rsidRPr="003E0DF9" w:rsidRDefault="00C01E92" w:rsidP="00D55F3A">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3E0DF9">
              <w:rPr>
                <w:rFonts w:ascii="Arial Narrow" w:hAnsi="Arial Narrow" w:cstheme="minorHAnsi"/>
                <w:sz w:val="22"/>
                <w:szCs w:val="22"/>
              </w:rPr>
              <w:t>Occasional Child Care Australia</w:t>
            </w:r>
          </w:p>
          <w:p w14:paraId="16B17430" w14:textId="77777777" w:rsidR="00C01E92" w:rsidRPr="003E0DF9" w:rsidRDefault="00C01E92" w:rsidP="00D55F3A">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3E0DF9">
              <w:rPr>
                <w:rFonts w:ascii="Arial Narrow" w:hAnsi="Arial Narrow" w:cstheme="minorHAnsi"/>
                <w:sz w:val="22"/>
                <w:szCs w:val="22"/>
              </w:rPr>
              <w:t>Early Childhood Australia (Vic Branch)</w:t>
            </w:r>
          </w:p>
          <w:p w14:paraId="30C323BD" w14:textId="77777777" w:rsidR="00C01E92" w:rsidRPr="003E0DF9" w:rsidRDefault="00C01E92" w:rsidP="00D55F3A">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3E0DF9">
              <w:rPr>
                <w:rFonts w:ascii="Arial Narrow" w:hAnsi="Arial Narrow" w:cstheme="minorHAnsi"/>
                <w:sz w:val="22"/>
                <w:szCs w:val="22"/>
              </w:rPr>
              <w:t>United Voice – Victorian Branch</w:t>
            </w:r>
          </w:p>
          <w:p w14:paraId="493EDC61" w14:textId="77777777" w:rsidR="00C01E92" w:rsidRPr="003E0DF9" w:rsidRDefault="00C01E92" w:rsidP="00D55F3A">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3E0DF9">
              <w:rPr>
                <w:rFonts w:ascii="Arial Narrow" w:hAnsi="Arial Narrow" w:cstheme="minorHAnsi"/>
                <w:sz w:val="22"/>
                <w:szCs w:val="22"/>
              </w:rPr>
              <w:t xml:space="preserve">Australian Education Union </w:t>
            </w:r>
          </w:p>
          <w:p w14:paraId="0B996376" w14:textId="77777777" w:rsidR="00C01E92" w:rsidRPr="003E0DF9" w:rsidRDefault="00C01E92" w:rsidP="00D55F3A">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3E0DF9">
              <w:rPr>
                <w:rFonts w:ascii="Arial Narrow" w:hAnsi="Arial Narrow" w:cstheme="minorHAnsi"/>
                <w:sz w:val="22"/>
                <w:szCs w:val="22"/>
              </w:rPr>
              <w:t xml:space="preserve">Australian Childcare Alliance Victoria </w:t>
            </w:r>
          </w:p>
          <w:p w14:paraId="168960C4" w14:textId="77777777" w:rsidR="00C01E92" w:rsidRPr="003E0DF9" w:rsidRDefault="00C01E92" w:rsidP="00D55F3A">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3E0DF9">
              <w:rPr>
                <w:rFonts w:ascii="Arial Narrow" w:hAnsi="Arial Narrow" w:cstheme="minorHAnsi"/>
                <w:sz w:val="22"/>
                <w:szCs w:val="22"/>
              </w:rPr>
              <w:t>Victorian Aboriginal Education Association Inc.</w:t>
            </w:r>
          </w:p>
          <w:p w14:paraId="2F51E9D7" w14:textId="77777777" w:rsidR="00C01E92" w:rsidRPr="003E0DF9" w:rsidRDefault="00C01E92" w:rsidP="00D55F3A">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3E0DF9">
              <w:rPr>
                <w:rFonts w:ascii="Arial Narrow" w:hAnsi="Arial Narrow" w:cstheme="minorHAnsi"/>
                <w:sz w:val="22"/>
                <w:szCs w:val="22"/>
              </w:rPr>
              <w:t>Playgroup Victoria</w:t>
            </w:r>
          </w:p>
        </w:tc>
        <w:tc>
          <w:tcPr>
            <w:tcW w:w="3006" w:type="dxa"/>
          </w:tcPr>
          <w:p w14:paraId="74849E24" w14:textId="77777777" w:rsidR="00C01E92" w:rsidRPr="003E0DF9" w:rsidRDefault="00C01E92" w:rsidP="00D55F3A">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3E0DF9">
              <w:rPr>
                <w:rFonts w:ascii="Arial Narrow" w:hAnsi="Arial Narrow" w:cstheme="minorHAnsi"/>
                <w:sz w:val="22"/>
                <w:szCs w:val="22"/>
              </w:rPr>
              <w:lastRenderedPageBreak/>
              <w:t>Victorian YMCA Community Programming Pty Ltd</w:t>
            </w:r>
          </w:p>
          <w:p w14:paraId="1EB3BE65" w14:textId="77777777" w:rsidR="00C01E92" w:rsidRPr="003E0DF9" w:rsidRDefault="00C01E92" w:rsidP="00D55F3A">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3E0DF9">
              <w:rPr>
                <w:rFonts w:ascii="Arial Narrow" w:hAnsi="Arial Narrow" w:cstheme="minorHAnsi"/>
                <w:sz w:val="22"/>
                <w:szCs w:val="22"/>
              </w:rPr>
              <w:t>Goodlife Operations Pty Ltd</w:t>
            </w:r>
          </w:p>
          <w:p w14:paraId="709BF125" w14:textId="77777777" w:rsidR="00C01E92" w:rsidRPr="003E0DF9" w:rsidRDefault="00C01E92" w:rsidP="00D55F3A">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3E0DF9">
              <w:rPr>
                <w:rFonts w:ascii="Arial Narrow" w:hAnsi="Arial Narrow" w:cstheme="minorHAnsi"/>
                <w:sz w:val="22"/>
                <w:szCs w:val="22"/>
              </w:rPr>
              <w:lastRenderedPageBreak/>
              <w:t>Belgravia Health &amp; Leisure Group Pty Ltd ATF Belgravia Leisure Unit Trust</w:t>
            </w:r>
          </w:p>
          <w:p w14:paraId="297F0B15" w14:textId="77777777" w:rsidR="00C01E92" w:rsidRPr="003E0DF9" w:rsidRDefault="00C01E92" w:rsidP="00D55F3A">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3E0DF9">
              <w:rPr>
                <w:rFonts w:ascii="Arial Narrow" w:hAnsi="Arial Narrow" w:cstheme="minorHAnsi"/>
                <w:sz w:val="22"/>
                <w:szCs w:val="22"/>
              </w:rPr>
              <w:t>Uniting (Victoria and Tasmania) Limited</w:t>
            </w:r>
          </w:p>
          <w:p w14:paraId="09D8FB2D" w14:textId="77777777" w:rsidR="00C01E92" w:rsidRPr="003E0DF9" w:rsidRDefault="00C01E92" w:rsidP="00D55F3A">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3E0DF9">
              <w:rPr>
                <w:rFonts w:ascii="Arial Narrow" w:hAnsi="Arial Narrow" w:cstheme="minorHAnsi"/>
                <w:sz w:val="22"/>
                <w:szCs w:val="22"/>
              </w:rPr>
              <w:t>Oakleigh Occasional Care Co-operative</w:t>
            </w:r>
          </w:p>
          <w:p w14:paraId="642898F4" w14:textId="77777777" w:rsidR="00C01E92" w:rsidRPr="003E0DF9" w:rsidRDefault="00C01E92" w:rsidP="00D55F3A">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3E0DF9">
              <w:rPr>
                <w:rFonts w:ascii="Arial Narrow" w:hAnsi="Arial Narrow" w:cstheme="minorHAnsi"/>
                <w:sz w:val="22"/>
                <w:szCs w:val="22"/>
              </w:rPr>
              <w:t>Mallee Track Health and Community Service</w:t>
            </w:r>
          </w:p>
        </w:tc>
      </w:tr>
    </w:tbl>
    <w:p w14:paraId="5A022B05" w14:textId="77777777" w:rsidR="00C01E92" w:rsidRPr="00237579" w:rsidRDefault="00C01E92" w:rsidP="00C01E92">
      <w:pPr>
        <w:pStyle w:val="EYBodytextwithparaspace"/>
        <w:spacing w:before="120" w:after="120"/>
        <w:rPr>
          <w:rFonts w:asciiTheme="minorHAnsi" w:hAnsiTheme="minorHAnsi" w:cstheme="minorHAnsi"/>
          <w:sz w:val="22"/>
          <w:szCs w:val="22"/>
        </w:rPr>
      </w:pPr>
      <w:r w:rsidRPr="00237579">
        <w:rPr>
          <w:rFonts w:asciiTheme="minorHAnsi" w:hAnsiTheme="minorHAnsi" w:cstheme="minorHAnsi"/>
          <w:sz w:val="22"/>
          <w:szCs w:val="22"/>
        </w:rPr>
        <w:lastRenderedPageBreak/>
        <w:t>Written submissions closed on 14 June 2019. No written submissions were received.</w:t>
      </w:r>
    </w:p>
    <w:p w14:paraId="2039526F"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237579">
        <w:rPr>
          <w:rFonts w:asciiTheme="minorHAnsi" w:hAnsiTheme="minorHAnsi" w:cstheme="minorHAnsi"/>
          <w:sz w:val="22"/>
          <w:szCs w:val="22"/>
        </w:rPr>
        <w:t>Neighbourhood Houses Victoria (NHV) hosted 10 information sessions</w:t>
      </w:r>
      <w:r w:rsidRPr="000107A9">
        <w:rPr>
          <w:rFonts w:asciiTheme="minorHAnsi" w:hAnsiTheme="minorHAnsi" w:cstheme="minorHAnsi"/>
          <w:sz w:val="22"/>
          <w:szCs w:val="22"/>
        </w:rPr>
        <w:t xml:space="preserve"> (open to all children’s services) on the Children’s Services Law Reform.</w:t>
      </w:r>
    </w:p>
    <w:p w14:paraId="521C2A37"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5 sessions held in September/October 2019: Preston; Blackburn South; South Kingsville; Wallan; and Benalla</w:t>
      </w:r>
    </w:p>
    <w:p w14:paraId="1D8C5B2C"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5 sessions held in November 2019: Narre Warren; Wyndham Vale; Ballarat; Moe (video conference); and Lara (Geelong).</w:t>
      </w:r>
    </w:p>
    <w:p w14:paraId="2C925CA2" w14:textId="77777777" w:rsidR="00C01E92" w:rsidRPr="000107A9" w:rsidRDefault="00C01E92" w:rsidP="00C01E92">
      <w:pPr>
        <w:spacing w:before="120"/>
        <w:rPr>
          <w:rFonts w:cstheme="minorHAnsi"/>
          <w:color w:val="1F497D"/>
          <w:szCs w:val="22"/>
        </w:rPr>
      </w:pPr>
      <w:r w:rsidRPr="000107A9">
        <w:rPr>
          <w:rFonts w:cstheme="minorHAnsi"/>
          <w:szCs w:val="22"/>
        </w:rPr>
        <w:t xml:space="preserve">Forthcoming public consultation sessions on the RIS and proposed Regulations will be held in February 2020 with further details provided via the Engage Victoria website at </w:t>
      </w:r>
      <w:hyperlink r:id="rId31" w:history="1">
        <w:r w:rsidRPr="000107A9">
          <w:rPr>
            <w:rStyle w:val="Hyperlink"/>
            <w:rFonts w:cstheme="minorHAnsi"/>
            <w:szCs w:val="22"/>
          </w:rPr>
          <w:t>https://engage.vic.gov.au/childrens-services-regulations-2020</w:t>
        </w:r>
      </w:hyperlink>
      <w:r w:rsidRPr="000107A9">
        <w:rPr>
          <w:rFonts w:cstheme="minorHAnsi"/>
          <w:szCs w:val="22"/>
        </w:rPr>
        <w:t>.</w:t>
      </w:r>
    </w:p>
    <w:p w14:paraId="05F88ECB" w14:textId="6101B73D" w:rsidR="00C01E92" w:rsidRPr="00D55F3A" w:rsidRDefault="00C01E92" w:rsidP="001D0060">
      <w:pPr>
        <w:pStyle w:val="EYBodytextwithparaspace"/>
        <w:spacing w:before="120" w:after="120"/>
        <w:rPr>
          <w:rFonts w:asciiTheme="minorHAnsi" w:hAnsiTheme="minorHAnsi" w:cstheme="minorHAnsi"/>
          <w:b/>
          <w:sz w:val="22"/>
          <w:szCs w:val="22"/>
        </w:rPr>
      </w:pPr>
      <w:bookmarkStart w:id="294" w:name="_Toc24531617"/>
      <w:bookmarkStart w:id="295" w:name="_Toc25749864"/>
      <w:bookmarkStart w:id="296" w:name="_Toc30669627"/>
      <w:r w:rsidRPr="00D55F3A">
        <w:rPr>
          <w:rFonts w:asciiTheme="minorHAnsi" w:hAnsiTheme="minorHAnsi" w:cstheme="minorHAnsi"/>
          <w:b/>
          <w:sz w:val="22"/>
          <w:szCs w:val="22"/>
        </w:rPr>
        <w:t>Summary of issues raised</w:t>
      </w:r>
      <w:bookmarkEnd w:id="294"/>
      <w:bookmarkEnd w:id="295"/>
      <w:bookmarkEnd w:id="296"/>
    </w:p>
    <w:p w14:paraId="2B8AB05A"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Departmental officers presented at these sessions, providing an overview of the Children’s Services Law Reform proposal and assisting attendees to understand how the reform will impact them and their service.</w:t>
      </w:r>
    </w:p>
    <w:p w14:paraId="029C45CA" w14:textId="77777777" w:rsidR="00C01E92" w:rsidRPr="00237579" w:rsidRDefault="00C01E92" w:rsidP="00C01E92">
      <w:pPr>
        <w:pStyle w:val="EYBodytextwithparaspace"/>
        <w:spacing w:before="120" w:after="120"/>
        <w:rPr>
          <w:rFonts w:asciiTheme="minorHAnsi" w:hAnsiTheme="minorHAnsi" w:cstheme="minorHAnsi"/>
          <w:sz w:val="22"/>
          <w:szCs w:val="22"/>
        </w:rPr>
      </w:pPr>
      <w:r w:rsidRPr="00237579">
        <w:rPr>
          <w:rFonts w:asciiTheme="minorHAnsi" w:hAnsiTheme="minorHAnsi" w:cstheme="minorHAnsi"/>
          <w:sz w:val="22"/>
          <w:szCs w:val="22"/>
        </w:rPr>
        <w:t>Sessions were well-attended with the main areas of interest being:</w:t>
      </w:r>
    </w:p>
    <w:p w14:paraId="402E08BC" w14:textId="77777777" w:rsidR="00C01E92" w:rsidRPr="00237579" w:rsidRDefault="00C01E92" w:rsidP="002806C5">
      <w:pPr>
        <w:pStyle w:val="ListParagraph"/>
        <w:numPr>
          <w:ilvl w:val="0"/>
          <w:numId w:val="79"/>
        </w:numPr>
        <w:rPr>
          <w:rFonts w:cstheme="minorHAnsi"/>
          <w:szCs w:val="22"/>
        </w:rPr>
      </w:pPr>
      <w:r w:rsidRPr="00237579">
        <w:rPr>
          <w:rFonts w:cstheme="minorHAnsi"/>
          <w:szCs w:val="22"/>
        </w:rPr>
        <w:t>changes to roles/responsibilities (terminology)</w:t>
      </w:r>
    </w:p>
    <w:p w14:paraId="4111F089" w14:textId="77777777" w:rsidR="00C01E92" w:rsidRPr="00237579" w:rsidRDefault="00C01E92" w:rsidP="002806C5">
      <w:pPr>
        <w:pStyle w:val="ListParagraph"/>
        <w:numPr>
          <w:ilvl w:val="0"/>
          <w:numId w:val="79"/>
        </w:numPr>
        <w:rPr>
          <w:rFonts w:cstheme="minorHAnsi"/>
          <w:szCs w:val="22"/>
        </w:rPr>
      </w:pPr>
      <w:r w:rsidRPr="00237579">
        <w:rPr>
          <w:rFonts w:cstheme="minorHAnsi"/>
          <w:szCs w:val="22"/>
        </w:rPr>
        <w:t>licensing arrangements</w:t>
      </w:r>
    </w:p>
    <w:p w14:paraId="68459940" w14:textId="77777777" w:rsidR="00C01E92" w:rsidRPr="00237579" w:rsidRDefault="00C01E92" w:rsidP="002806C5">
      <w:pPr>
        <w:pStyle w:val="ListParagraph"/>
        <w:numPr>
          <w:ilvl w:val="0"/>
          <w:numId w:val="79"/>
        </w:numPr>
        <w:rPr>
          <w:rFonts w:cstheme="minorHAnsi"/>
          <w:szCs w:val="22"/>
        </w:rPr>
      </w:pPr>
      <w:r w:rsidRPr="00237579">
        <w:rPr>
          <w:rFonts w:cstheme="minorHAnsi"/>
          <w:szCs w:val="22"/>
        </w:rPr>
        <w:t>use of approved learning frameworks</w:t>
      </w:r>
    </w:p>
    <w:p w14:paraId="51151227" w14:textId="77777777" w:rsidR="00C01E92" w:rsidRPr="00237579" w:rsidRDefault="00C01E92" w:rsidP="002806C5">
      <w:pPr>
        <w:pStyle w:val="ListParagraph"/>
        <w:numPr>
          <w:ilvl w:val="0"/>
          <w:numId w:val="79"/>
        </w:numPr>
        <w:rPr>
          <w:rFonts w:cstheme="minorHAnsi"/>
          <w:szCs w:val="22"/>
        </w:rPr>
      </w:pPr>
      <w:r w:rsidRPr="00237579">
        <w:rPr>
          <w:rFonts w:cstheme="minorHAnsi"/>
          <w:szCs w:val="22"/>
        </w:rPr>
        <w:t>transitional arrangements for services needing to meet increased requirements</w:t>
      </w:r>
    </w:p>
    <w:p w14:paraId="30663D35" w14:textId="77777777" w:rsidR="00C01E92" w:rsidRPr="00237579" w:rsidRDefault="00C01E92" w:rsidP="002806C5">
      <w:pPr>
        <w:pStyle w:val="ListParagraph"/>
        <w:numPr>
          <w:ilvl w:val="0"/>
          <w:numId w:val="79"/>
        </w:numPr>
        <w:rPr>
          <w:rFonts w:cstheme="minorHAnsi"/>
          <w:szCs w:val="22"/>
        </w:rPr>
      </w:pPr>
      <w:r w:rsidRPr="00237579">
        <w:rPr>
          <w:rFonts w:cstheme="minorHAnsi"/>
          <w:szCs w:val="22"/>
        </w:rPr>
        <w:t>educator to child ratios</w:t>
      </w:r>
    </w:p>
    <w:p w14:paraId="5D46E854" w14:textId="77777777" w:rsidR="00C01E92" w:rsidRPr="00237579" w:rsidRDefault="00C01E92" w:rsidP="002806C5">
      <w:pPr>
        <w:pStyle w:val="ListParagraph"/>
        <w:numPr>
          <w:ilvl w:val="0"/>
          <w:numId w:val="79"/>
        </w:numPr>
        <w:rPr>
          <w:rFonts w:cstheme="minorHAnsi"/>
          <w:szCs w:val="22"/>
        </w:rPr>
      </w:pPr>
      <w:r w:rsidRPr="00237579">
        <w:rPr>
          <w:rFonts w:cstheme="minorHAnsi"/>
          <w:szCs w:val="22"/>
        </w:rPr>
        <w:t>qualification requirements</w:t>
      </w:r>
    </w:p>
    <w:p w14:paraId="044BC2B3" w14:textId="77777777" w:rsidR="00C01E92" w:rsidRPr="00237579" w:rsidRDefault="00C01E92" w:rsidP="002806C5">
      <w:pPr>
        <w:pStyle w:val="ListParagraph"/>
        <w:numPr>
          <w:ilvl w:val="0"/>
          <w:numId w:val="79"/>
        </w:numPr>
        <w:rPr>
          <w:rFonts w:cstheme="minorHAnsi"/>
          <w:szCs w:val="22"/>
        </w:rPr>
      </w:pPr>
      <w:proofErr w:type="gramStart"/>
      <w:r w:rsidRPr="00237579">
        <w:rPr>
          <w:rFonts w:cstheme="minorHAnsi"/>
          <w:szCs w:val="22"/>
        </w:rPr>
        <w:t>changes</w:t>
      </w:r>
      <w:proofErr w:type="gramEnd"/>
      <w:r w:rsidRPr="00237579">
        <w:rPr>
          <w:rFonts w:cstheme="minorHAnsi"/>
          <w:szCs w:val="22"/>
        </w:rPr>
        <w:t xml:space="preserve"> to fees.</w:t>
      </w:r>
    </w:p>
    <w:p w14:paraId="6978FAE2" w14:textId="7B0C2621" w:rsidR="00C01E92" w:rsidRPr="00237579" w:rsidRDefault="00C01E92" w:rsidP="00C01E92">
      <w:pPr>
        <w:pStyle w:val="EYBodytextwithparaspace"/>
        <w:spacing w:before="120" w:after="120"/>
        <w:rPr>
          <w:rFonts w:asciiTheme="minorHAnsi" w:hAnsiTheme="minorHAnsi" w:cstheme="minorHAnsi"/>
          <w:sz w:val="22"/>
          <w:szCs w:val="22"/>
        </w:rPr>
      </w:pPr>
      <w:r w:rsidRPr="00237579">
        <w:rPr>
          <w:rFonts w:asciiTheme="minorHAnsi" w:hAnsiTheme="minorHAnsi" w:cstheme="minorHAnsi"/>
          <w:sz w:val="22"/>
          <w:szCs w:val="22"/>
        </w:rPr>
        <w:t>Sector feedback from all consultations to date indicated broad support of the proposal to align the CS Act and CS Regulations with the NQF (where appropriate), particularly as the national scheme has resulted in improved quality service provision and represents best practice principles. Stakeholders also noted that it would be easier for providers operating under both regimes to comply with a consistent set of requirements.</w:t>
      </w:r>
    </w:p>
    <w:p w14:paraId="613D903C" w14:textId="77777777" w:rsidR="00C01E92" w:rsidRPr="00237579" w:rsidRDefault="00C01E92" w:rsidP="00C01E92">
      <w:pPr>
        <w:pStyle w:val="EYBodytextwithparaspace"/>
        <w:spacing w:before="120" w:after="120"/>
        <w:rPr>
          <w:rFonts w:asciiTheme="minorHAnsi" w:hAnsiTheme="minorHAnsi" w:cstheme="minorHAnsi"/>
          <w:sz w:val="22"/>
          <w:szCs w:val="22"/>
        </w:rPr>
      </w:pPr>
      <w:r w:rsidRPr="00237579">
        <w:rPr>
          <w:rFonts w:asciiTheme="minorHAnsi" w:hAnsiTheme="minorHAnsi" w:cstheme="minorHAnsi"/>
          <w:sz w:val="22"/>
          <w:szCs w:val="22"/>
        </w:rPr>
        <w:t>While many providers indicated they were already using a learning framework, some individuals expressed concern that they may not have the capability to apply the approved learning frameworks to educational programming in occasional care services. The Department will update the existing guidance material and provide support for implementation in 2020, including a 1300 telephone help service (further addressed in Implementation section of this RIS).</w:t>
      </w:r>
    </w:p>
    <w:p w14:paraId="11D3295D" w14:textId="097FAA68" w:rsidR="00C01E92" w:rsidRPr="00D55F3A" w:rsidRDefault="00C01E92" w:rsidP="001D0060">
      <w:pPr>
        <w:pStyle w:val="EYBodytextwithparaspace"/>
        <w:spacing w:before="120" w:after="120"/>
        <w:rPr>
          <w:rFonts w:asciiTheme="minorHAnsi" w:hAnsiTheme="minorHAnsi" w:cstheme="minorHAnsi"/>
          <w:b/>
          <w:sz w:val="22"/>
          <w:szCs w:val="22"/>
        </w:rPr>
      </w:pPr>
      <w:bookmarkStart w:id="297" w:name="_Toc24531618"/>
      <w:bookmarkStart w:id="298" w:name="_Toc25749865"/>
      <w:bookmarkStart w:id="299" w:name="_Toc30669628"/>
      <w:r w:rsidRPr="00D55F3A">
        <w:rPr>
          <w:rFonts w:asciiTheme="minorHAnsi" w:hAnsiTheme="minorHAnsi" w:cstheme="minorHAnsi"/>
          <w:b/>
          <w:sz w:val="22"/>
          <w:szCs w:val="22"/>
        </w:rPr>
        <w:lastRenderedPageBreak/>
        <w:t>RIS public consultation</w:t>
      </w:r>
      <w:bookmarkEnd w:id="297"/>
      <w:bookmarkEnd w:id="298"/>
      <w:bookmarkEnd w:id="299"/>
    </w:p>
    <w:p w14:paraId="6CE686E9" w14:textId="37054500"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Organisations and individuals with an interest in the proposed Regulations are invited to review, consider and provide comment on the options presented in this RIS. All feedback will be considered and will assist the Victorian Government in making final decisions about the new Children’s Services Regulations.</w:t>
      </w:r>
    </w:p>
    <w:p w14:paraId="2FBE80F9" w14:textId="411996C7" w:rsidR="001E5722"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To participate in the public consultation process, please </w:t>
      </w:r>
      <w:r w:rsidRPr="00AA2559">
        <w:rPr>
          <w:rFonts w:asciiTheme="minorHAnsi" w:hAnsiTheme="minorHAnsi" w:cstheme="minorHAnsi"/>
          <w:sz w:val="22"/>
          <w:szCs w:val="22"/>
        </w:rPr>
        <w:t>review section 1.5 Invitation to comment</w:t>
      </w:r>
      <w:r w:rsidRPr="000107A9">
        <w:rPr>
          <w:rFonts w:asciiTheme="minorHAnsi" w:hAnsiTheme="minorHAnsi" w:cstheme="minorHAnsi"/>
          <w:sz w:val="22"/>
          <w:szCs w:val="22"/>
        </w:rPr>
        <w:t xml:space="preserve"> of this document or visit the Engage Victoria website at </w:t>
      </w:r>
      <w:hyperlink r:id="rId32" w:history="1">
        <w:r w:rsidRPr="000107A9">
          <w:rPr>
            <w:rStyle w:val="Hyperlink"/>
            <w:rFonts w:asciiTheme="minorHAnsi" w:hAnsiTheme="minorHAnsi" w:cstheme="minorHAnsi"/>
            <w:szCs w:val="22"/>
          </w:rPr>
          <w:t>https://engage.vic.gov.au/childrens-services-regulations-2020</w:t>
        </w:r>
      </w:hyperlink>
      <w:r w:rsidRPr="000107A9">
        <w:rPr>
          <w:rFonts w:asciiTheme="minorHAnsi" w:hAnsiTheme="minorHAnsi" w:cstheme="minorHAnsi"/>
          <w:sz w:val="22"/>
          <w:szCs w:val="22"/>
        </w:rPr>
        <w:t>.</w:t>
      </w:r>
    </w:p>
    <w:p w14:paraId="41788E73" w14:textId="1153AFB0" w:rsidR="00C01E92" w:rsidRPr="000107A9" w:rsidRDefault="00C01E92" w:rsidP="004F4E5D">
      <w:pPr>
        <w:pStyle w:val="Heading1"/>
        <w:numPr>
          <w:ilvl w:val="0"/>
          <w:numId w:val="12"/>
        </w:numPr>
      </w:pPr>
      <w:bookmarkStart w:id="300" w:name="_Toc24531619"/>
      <w:bookmarkStart w:id="301" w:name="_Toc25749866"/>
      <w:bookmarkStart w:id="302" w:name="_Toc30669629"/>
      <w:bookmarkStart w:id="303" w:name="_Toc32936897"/>
      <w:r w:rsidRPr="000107A9">
        <w:lastRenderedPageBreak/>
        <w:t>Implementation, Enforcement and Evaluation</w:t>
      </w:r>
      <w:bookmarkEnd w:id="300"/>
      <w:bookmarkEnd w:id="301"/>
      <w:bookmarkEnd w:id="302"/>
      <w:bookmarkEnd w:id="303"/>
    </w:p>
    <w:p w14:paraId="48FD9942"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following section outlines the implementation, enforcement and evaluation approach to changes to the Children’s Services (Amendment) Act and Regulations to align it with the NQF, where appropriate. The Amendment Act received Royal Assent on 6 November 2019; however, changes to the Act will come into effect in May 2020, coinciding with the remaking of the Regulations.</w:t>
      </w:r>
    </w:p>
    <w:p w14:paraId="43ED5DC1"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As noted in section 1.3, the functions and powers of the regulatory authority are delegated to the Quality Assessment and Regulation Division (QARD) to administer and enforce the regulatory regime. QARD will undertake the implementation of the proposed Regulations.</w:t>
      </w:r>
    </w:p>
    <w:p w14:paraId="04329AB8" w14:textId="17595AD7" w:rsidR="00C01E92" w:rsidRPr="00D55F3A" w:rsidRDefault="00C01E92" w:rsidP="001D0060">
      <w:pPr>
        <w:pStyle w:val="EYBodytextwithparaspace"/>
        <w:spacing w:before="120" w:after="120"/>
        <w:rPr>
          <w:rFonts w:asciiTheme="minorHAnsi" w:hAnsiTheme="minorHAnsi" w:cstheme="minorHAnsi"/>
          <w:b/>
          <w:sz w:val="22"/>
          <w:szCs w:val="22"/>
        </w:rPr>
      </w:pPr>
      <w:bookmarkStart w:id="304" w:name="_Toc24531620"/>
      <w:bookmarkStart w:id="305" w:name="_Toc25749867"/>
      <w:bookmarkStart w:id="306" w:name="_Ref25770937"/>
      <w:bookmarkStart w:id="307" w:name="_Toc30669630"/>
      <w:r w:rsidRPr="00D55F3A">
        <w:rPr>
          <w:rFonts w:asciiTheme="minorHAnsi" w:hAnsiTheme="minorHAnsi" w:cstheme="minorHAnsi"/>
          <w:b/>
          <w:sz w:val="22"/>
          <w:szCs w:val="22"/>
        </w:rPr>
        <w:t>Implementation</w:t>
      </w:r>
      <w:bookmarkEnd w:id="304"/>
      <w:bookmarkEnd w:id="305"/>
      <w:bookmarkEnd w:id="306"/>
      <w:bookmarkEnd w:id="307"/>
    </w:p>
    <w:p w14:paraId="24664403" w14:textId="77777777" w:rsidR="00C01E92" w:rsidRPr="00A02814" w:rsidRDefault="00C01E92" w:rsidP="00C01E92">
      <w:pPr>
        <w:pStyle w:val="EYBodytextwithparaspace"/>
        <w:spacing w:before="120" w:after="120"/>
        <w:rPr>
          <w:rFonts w:asciiTheme="minorHAnsi" w:hAnsiTheme="minorHAnsi" w:cstheme="minorHAnsi"/>
          <w:sz w:val="22"/>
          <w:szCs w:val="22"/>
        </w:rPr>
      </w:pPr>
      <w:r w:rsidRPr="00A02814">
        <w:rPr>
          <w:rFonts w:asciiTheme="minorHAnsi" w:hAnsiTheme="minorHAnsi" w:cstheme="minorHAnsi"/>
          <w:sz w:val="22"/>
          <w:szCs w:val="22"/>
        </w:rPr>
        <w:t>The implementation plan aims to facilitate the smooth transition of children’s services to the new requirements of the Act and Regulations; minimise the impact on providers, services, and families who use services; and ensure that services are compliant with the new regulatory requirements.</w:t>
      </w:r>
    </w:p>
    <w:p w14:paraId="024BDF4A" w14:textId="77777777" w:rsidR="00C01E92" w:rsidRPr="00A02814" w:rsidRDefault="00C01E92" w:rsidP="00C01E92">
      <w:pPr>
        <w:pStyle w:val="EYBodytextwithparaspace"/>
        <w:spacing w:before="120" w:after="120"/>
        <w:rPr>
          <w:rFonts w:asciiTheme="minorHAnsi" w:hAnsiTheme="minorHAnsi" w:cstheme="minorHAnsi"/>
          <w:sz w:val="22"/>
          <w:szCs w:val="22"/>
        </w:rPr>
      </w:pPr>
      <w:r w:rsidRPr="00A02814">
        <w:rPr>
          <w:rFonts w:asciiTheme="minorHAnsi" w:hAnsiTheme="minorHAnsi" w:cstheme="minorHAnsi"/>
          <w:sz w:val="22"/>
          <w:szCs w:val="22"/>
        </w:rPr>
        <w:t>Changes will be communicated to the following stakeholders (as per section 8.2 above):</w:t>
      </w:r>
    </w:p>
    <w:p w14:paraId="33C1D633"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CS Act service providers and staff</w:t>
      </w:r>
    </w:p>
    <w:p w14:paraId="2E4344D6"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Relevant providers under the National Quality Framework</w:t>
      </w:r>
    </w:p>
    <w:p w14:paraId="65B49C35"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Peak bodies</w:t>
      </w:r>
    </w:p>
    <w:p w14:paraId="5CD98E9E"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Families using children’s services</w:t>
      </w:r>
    </w:p>
    <w:p w14:paraId="21413CC9"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QARD central and regional staff, including authorised officers</w:t>
      </w:r>
    </w:p>
    <w:p w14:paraId="5EC5A862" w14:textId="77777777" w:rsidR="00C01E92" w:rsidRPr="000107A9" w:rsidRDefault="00C01E92" w:rsidP="002806C5">
      <w:pPr>
        <w:pStyle w:val="ListParagraph"/>
        <w:numPr>
          <w:ilvl w:val="0"/>
          <w:numId w:val="79"/>
        </w:numPr>
        <w:rPr>
          <w:rFonts w:cstheme="minorHAnsi"/>
          <w:szCs w:val="22"/>
        </w:rPr>
      </w:pPr>
      <w:proofErr w:type="gramStart"/>
      <w:r w:rsidRPr="000107A9">
        <w:rPr>
          <w:rFonts w:cstheme="minorHAnsi"/>
          <w:szCs w:val="22"/>
        </w:rPr>
        <w:t>the</w:t>
      </w:r>
      <w:proofErr w:type="gramEnd"/>
      <w:r w:rsidRPr="000107A9">
        <w:rPr>
          <w:rFonts w:cstheme="minorHAnsi"/>
          <w:szCs w:val="22"/>
        </w:rPr>
        <w:t xml:space="preserve"> Department policy and program staff who deal with children’s services (e.g. kindergarten reform, kindergarten participation, workforce).</w:t>
      </w:r>
    </w:p>
    <w:p w14:paraId="5FD9AEBC" w14:textId="77777777" w:rsidR="00C01E92" w:rsidRPr="00A02814"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Consistent messaging will be provided to the early childhood education and care sector, supported </w:t>
      </w:r>
      <w:r w:rsidRPr="00A02814">
        <w:rPr>
          <w:rFonts w:asciiTheme="minorHAnsi" w:hAnsiTheme="minorHAnsi" w:cstheme="minorHAnsi"/>
          <w:sz w:val="22"/>
          <w:szCs w:val="22"/>
        </w:rPr>
        <w:t>by appropriate communications material:</w:t>
      </w:r>
    </w:p>
    <w:p w14:paraId="3D115B28"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Early childhood bulletins and newsletters</w:t>
      </w:r>
    </w:p>
    <w:p w14:paraId="5DE2E6D8"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Presentations at stakeholder forums</w:t>
      </w:r>
    </w:p>
    <w:p w14:paraId="64BEDA16"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Letters and direct email</w:t>
      </w:r>
    </w:p>
    <w:p w14:paraId="08C1743C"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the Department website content</w:t>
      </w:r>
    </w:p>
    <w:p w14:paraId="0094C70A"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Direct communication with QARD staff as part of monitoring and compliance activity.</w:t>
      </w:r>
    </w:p>
    <w:p w14:paraId="66A488AC" w14:textId="77777777" w:rsidR="00C01E92" w:rsidRPr="00A02814" w:rsidRDefault="00C01E92" w:rsidP="00C01E92">
      <w:pPr>
        <w:pStyle w:val="EYBodytextwithparaspace"/>
        <w:spacing w:before="120" w:after="120"/>
        <w:rPr>
          <w:rFonts w:asciiTheme="minorHAnsi" w:hAnsiTheme="minorHAnsi" w:cstheme="minorHAnsi"/>
          <w:sz w:val="22"/>
          <w:szCs w:val="22"/>
        </w:rPr>
      </w:pPr>
      <w:r w:rsidRPr="00A02814">
        <w:rPr>
          <w:rFonts w:asciiTheme="minorHAnsi" w:hAnsiTheme="minorHAnsi" w:cstheme="minorHAnsi"/>
          <w:sz w:val="22"/>
          <w:szCs w:val="22"/>
        </w:rPr>
        <w:t>Stakeholders will be informed about changes to the Regulations via the following communication channels:</w:t>
      </w:r>
    </w:p>
    <w:p w14:paraId="511C179C"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Direct letter to service providers/licence holders</w:t>
      </w:r>
    </w:p>
    <w:p w14:paraId="3DC29AE8"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Website and social media</w:t>
      </w:r>
    </w:p>
    <w:p w14:paraId="6DBD8AF3"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Updates to guidance materials and fact sheets</w:t>
      </w:r>
    </w:p>
    <w:p w14:paraId="1B886FDC"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Training.</w:t>
      </w:r>
    </w:p>
    <w:p w14:paraId="5C380DD5" w14:textId="0FF12860" w:rsidR="00511CB8" w:rsidRDefault="00C01E92" w:rsidP="00C01E92">
      <w:pPr>
        <w:pStyle w:val="EYBodytextwithparaspace"/>
        <w:spacing w:before="120" w:after="120"/>
        <w:rPr>
          <w:rFonts w:asciiTheme="minorHAnsi" w:hAnsiTheme="minorHAnsi" w:cstheme="minorHAnsi"/>
          <w:sz w:val="22"/>
          <w:szCs w:val="22"/>
        </w:rPr>
      </w:pPr>
      <w:r w:rsidRPr="00A02814">
        <w:rPr>
          <w:rFonts w:asciiTheme="minorHAnsi" w:hAnsiTheme="minorHAnsi" w:cstheme="minorHAnsi"/>
          <w:sz w:val="22"/>
          <w:szCs w:val="22"/>
        </w:rPr>
        <w:fldChar w:fldCharType="begin"/>
      </w:r>
      <w:r w:rsidRPr="00A02814">
        <w:rPr>
          <w:rFonts w:asciiTheme="minorHAnsi" w:hAnsiTheme="minorHAnsi" w:cstheme="minorHAnsi"/>
          <w:sz w:val="22"/>
          <w:szCs w:val="22"/>
        </w:rPr>
        <w:instrText xml:space="preserve"> REF _Ref25770867 \h  \* MERGEFORMAT </w:instrText>
      </w:r>
      <w:r w:rsidRPr="00A02814">
        <w:rPr>
          <w:rFonts w:asciiTheme="minorHAnsi" w:hAnsiTheme="minorHAnsi" w:cstheme="minorHAnsi"/>
          <w:sz w:val="22"/>
          <w:szCs w:val="22"/>
        </w:rPr>
      </w:r>
      <w:r w:rsidRPr="00A02814">
        <w:rPr>
          <w:rFonts w:asciiTheme="minorHAnsi" w:hAnsiTheme="minorHAnsi" w:cstheme="minorHAnsi"/>
          <w:sz w:val="22"/>
          <w:szCs w:val="22"/>
        </w:rPr>
        <w:fldChar w:fldCharType="separate"/>
      </w:r>
      <w:r w:rsidR="00493211" w:rsidRPr="00493211">
        <w:rPr>
          <w:rFonts w:asciiTheme="minorHAnsi" w:hAnsiTheme="minorHAnsi" w:cstheme="minorHAnsi"/>
          <w:sz w:val="22"/>
          <w:szCs w:val="22"/>
        </w:rPr>
        <w:t>Table 61</w:t>
      </w:r>
      <w:r w:rsidRPr="00A02814">
        <w:rPr>
          <w:rFonts w:asciiTheme="minorHAnsi" w:hAnsiTheme="minorHAnsi" w:cstheme="minorHAnsi"/>
          <w:sz w:val="22"/>
          <w:szCs w:val="22"/>
        </w:rPr>
        <w:fldChar w:fldCharType="end"/>
      </w:r>
      <w:r w:rsidRPr="00A02814">
        <w:rPr>
          <w:rFonts w:asciiTheme="minorHAnsi" w:hAnsiTheme="minorHAnsi" w:cstheme="minorHAnsi"/>
          <w:sz w:val="22"/>
          <w:szCs w:val="22"/>
        </w:rPr>
        <w:t xml:space="preserve"> outlines the milestones and activities:</w:t>
      </w:r>
    </w:p>
    <w:p w14:paraId="249E5D27" w14:textId="77777777" w:rsidR="00511CB8" w:rsidRDefault="00511CB8">
      <w:pPr>
        <w:spacing w:after="0"/>
        <w:rPr>
          <w:rFonts w:eastAsia="Times New Roman" w:cstheme="minorHAnsi"/>
          <w:szCs w:val="22"/>
          <w:lang w:val="en-AU"/>
        </w:rPr>
      </w:pPr>
      <w:r>
        <w:rPr>
          <w:rFonts w:cstheme="minorHAnsi"/>
          <w:szCs w:val="22"/>
        </w:rPr>
        <w:br w:type="page"/>
      </w:r>
    </w:p>
    <w:p w14:paraId="6D778615" w14:textId="0B010ECC" w:rsidR="00C01E92" w:rsidRPr="000107A9" w:rsidRDefault="00C01E92" w:rsidP="00F7569F">
      <w:pPr>
        <w:pStyle w:val="Caption"/>
      </w:pPr>
      <w:bookmarkStart w:id="308" w:name="_Ref25770867"/>
      <w:bookmarkStart w:id="309" w:name="_Toc32592844"/>
      <w:r w:rsidRPr="000107A9">
        <w:lastRenderedPageBreak/>
        <w:t xml:space="preserve">Table </w:t>
      </w:r>
      <w:r w:rsidRPr="000107A9">
        <w:fldChar w:fldCharType="begin"/>
      </w:r>
      <w:r w:rsidRPr="000107A9">
        <w:instrText xml:space="preserve"> SEQ Table \* ARABIC </w:instrText>
      </w:r>
      <w:r w:rsidRPr="000107A9">
        <w:fldChar w:fldCharType="separate"/>
      </w:r>
      <w:r w:rsidR="00493211">
        <w:rPr>
          <w:noProof/>
        </w:rPr>
        <w:t>61</w:t>
      </w:r>
      <w:r w:rsidRPr="000107A9">
        <w:fldChar w:fldCharType="end"/>
      </w:r>
      <w:bookmarkEnd w:id="308"/>
      <w:r w:rsidRPr="000107A9">
        <w:t xml:space="preserve"> Proposed Regulations implementation milestones</w:t>
      </w:r>
      <w:bookmarkEnd w:id="309"/>
    </w:p>
    <w:tbl>
      <w:tblPr>
        <w:tblStyle w:val="TableGrid"/>
        <w:tblW w:w="8931" w:type="dxa"/>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843"/>
        <w:gridCol w:w="7088"/>
      </w:tblGrid>
      <w:tr w:rsidR="00C01E92" w:rsidRPr="00FE43F9" w14:paraId="569637DB" w14:textId="77777777" w:rsidTr="00D55F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none" w:sz="0" w:space="0" w:color="auto"/>
            </w:tcBorders>
          </w:tcPr>
          <w:p w14:paraId="1D5FCE70" w14:textId="77777777" w:rsidR="00C01E92" w:rsidRPr="00FE43F9" w:rsidRDefault="00C01E92" w:rsidP="00D55F3A">
            <w:pPr>
              <w:pStyle w:val="EYBulletnoparaspace"/>
              <w:numPr>
                <w:ilvl w:val="0"/>
                <w:numId w:val="0"/>
              </w:numPr>
              <w:spacing w:after="60"/>
              <w:contextualSpacing w:val="0"/>
              <w:rPr>
                <w:rFonts w:ascii="Arial Narrow" w:hAnsi="Arial Narrow" w:cstheme="minorHAnsi"/>
                <w:sz w:val="22"/>
                <w:szCs w:val="22"/>
              </w:rPr>
            </w:pPr>
            <w:r w:rsidRPr="00FE43F9">
              <w:rPr>
                <w:rFonts w:ascii="Arial Narrow" w:hAnsi="Arial Narrow" w:cstheme="minorHAnsi"/>
                <w:sz w:val="22"/>
                <w:szCs w:val="22"/>
              </w:rPr>
              <w:t>Date</w:t>
            </w:r>
          </w:p>
        </w:tc>
        <w:tc>
          <w:tcPr>
            <w:tcW w:w="7088" w:type="dxa"/>
            <w:tcBorders>
              <w:left w:val="none" w:sz="0" w:space="0" w:color="auto"/>
            </w:tcBorders>
          </w:tcPr>
          <w:p w14:paraId="7F7F6D6F" w14:textId="77777777" w:rsidR="00C01E92" w:rsidRPr="00FE43F9" w:rsidRDefault="00C01E92" w:rsidP="00D55F3A">
            <w:pPr>
              <w:pStyle w:val="EYBulletnoparaspace"/>
              <w:numPr>
                <w:ilvl w:val="0"/>
                <w:numId w:val="0"/>
              </w:numPr>
              <w:spacing w:after="60"/>
              <w:contextualSpacing w:val="0"/>
              <w:cnfStyle w:val="100000000000" w:firstRow="1"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FE43F9">
              <w:rPr>
                <w:rFonts w:ascii="Arial Narrow" w:hAnsi="Arial Narrow" w:cstheme="minorHAnsi"/>
                <w:sz w:val="22"/>
                <w:szCs w:val="22"/>
              </w:rPr>
              <w:t>Activity</w:t>
            </w:r>
          </w:p>
        </w:tc>
      </w:tr>
      <w:tr w:rsidR="00C01E92" w:rsidRPr="00FE43F9" w14:paraId="611DA03C" w14:textId="77777777" w:rsidTr="00D55F3A">
        <w:trPr>
          <w:trHeight w:val="556"/>
        </w:trPr>
        <w:tc>
          <w:tcPr>
            <w:cnfStyle w:val="001000000000" w:firstRow="0" w:lastRow="0" w:firstColumn="1" w:lastColumn="0" w:oddVBand="0" w:evenVBand="0" w:oddHBand="0" w:evenHBand="0" w:firstRowFirstColumn="0" w:firstRowLastColumn="0" w:lastRowFirstColumn="0" w:lastRowLastColumn="0"/>
            <w:tcW w:w="1843" w:type="dxa"/>
          </w:tcPr>
          <w:p w14:paraId="5BE9A233" w14:textId="6ADF4092" w:rsidR="00C01E92" w:rsidRPr="00FE43F9" w:rsidRDefault="00215708" w:rsidP="00D55F3A">
            <w:pPr>
              <w:pStyle w:val="ListParagraph"/>
              <w:spacing w:after="60"/>
              <w:ind w:left="0"/>
              <w:contextualSpacing w:val="0"/>
              <w:rPr>
                <w:rFonts w:cstheme="minorHAnsi"/>
                <w:szCs w:val="22"/>
              </w:rPr>
            </w:pPr>
            <w:r>
              <w:rPr>
                <w:rFonts w:cstheme="minorHAnsi"/>
                <w:szCs w:val="22"/>
              </w:rPr>
              <w:t>February</w:t>
            </w:r>
            <w:r w:rsidR="00C01E92" w:rsidRPr="00FE43F9">
              <w:rPr>
                <w:rFonts w:cstheme="minorHAnsi"/>
                <w:szCs w:val="22"/>
              </w:rPr>
              <w:t xml:space="preserve"> 2020</w:t>
            </w:r>
          </w:p>
        </w:tc>
        <w:tc>
          <w:tcPr>
            <w:tcW w:w="7088" w:type="dxa"/>
          </w:tcPr>
          <w:p w14:paraId="2D006FF8" w14:textId="77777777" w:rsidR="00C01E92" w:rsidRPr="00FE43F9" w:rsidRDefault="00C01E92" w:rsidP="00D55F3A">
            <w:pPr>
              <w:pStyle w:val="ListParagraph"/>
              <w:spacing w:after="60"/>
              <w:ind w:left="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FE43F9">
              <w:rPr>
                <w:rFonts w:cstheme="minorHAnsi"/>
                <w:szCs w:val="22"/>
              </w:rPr>
              <w:t>Release Regulatory Impact Statement (RIS) for remaking the Children’s Service Regulations</w:t>
            </w:r>
          </w:p>
          <w:p w14:paraId="04D45716" w14:textId="77777777" w:rsidR="00C01E92" w:rsidRPr="00FE43F9" w:rsidRDefault="00C01E92" w:rsidP="00D55F3A">
            <w:pPr>
              <w:pStyle w:val="ListParagraph"/>
              <w:spacing w:after="60"/>
              <w:ind w:left="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FE43F9">
              <w:rPr>
                <w:rFonts w:cstheme="minorHAnsi"/>
                <w:szCs w:val="22"/>
              </w:rPr>
              <w:t>Inform providers and stakeholders via direct mail and online newsletter/bulletin channels</w:t>
            </w:r>
          </w:p>
        </w:tc>
      </w:tr>
      <w:tr w:rsidR="00C01E92" w:rsidRPr="00FE43F9" w14:paraId="4B4B1F8E" w14:textId="77777777" w:rsidTr="00D55F3A">
        <w:trPr>
          <w:trHeight w:val="347"/>
        </w:trPr>
        <w:tc>
          <w:tcPr>
            <w:cnfStyle w:val="001000000000" w:firstRow="0" w:lastRow="0" w:firstColumn="1" w:lastColumn="0" w:oddVBand="0" w:evenVBand="0" w:oddHBand="0" w:evenHBand="0" w:firstRowFirstColumn="0" w:firstRowLastColumn="0" w:lastRowFirstColumn="0" w:lastRowLastColumn="0"/>
            <w:tcW w:w="1843" w:type="dxa"/>
          </w:tcPr>
          <w:p w14:paraId="4899154F" w14:textId="77777777" w:rsidR="00C01E92" w:rsidRPr="00FE43F9" w:rsidRDefault="00C01E92" w:rsidP="00D55F3A">
            <w:pPr>
              <w:pStyle w:val="ListParagraph"/>
              <w:spacing w:after="60"/>
              <w:ind w:left="0"/>
              <w:contextualSpacing w:val="0"/>
              <w:rPr>
                <w:rFonts w:cstheme="minorHAnsi"/>
                <w:szCs w:val="22"/>
              </w:rPr>
            </w:pPr>
            <w:r w:rsidRPr="00FE43F9">
              <w:rPr>
                <w:rFonts w:cstheme="minorHAnsi"/>
                <w:szCs w:val="22"/>
              </w:rPr>
              <w:t>February 2020</w:t>
            </w:r>
          </w:p>
        </w:tc>
        <w:tc>
          <w:tcPr>
            <w:tcW w:w="7088" w:type="dxa"/>
          </w:tcPr>
          <w:p w14:paraId="33D346AD" w14:textId="77777777" w:rsidR="00C01E92" w:rsidRPr="00FE43F9" w:rsidRDefault="00C01E92" w:rsidP="00D55F3A">
            <w:pPr>
              <w:pStyle w:val="ListParagraph"/>
              <w:spacing w:after="60"/>
              <w:ind w:left="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FE43F9">
              <w:rPr>
                <w:rFonts w:cstheme="minorHAnsi"/>
                <w:szCs w:val="22"/>
              </w:rPr>
              <w:t>Conduct RIS public consultation process – online and face-to-face sessions</w:t>
            </w:r>
          </w:p>
        </w:tc>
      </w:tr>
      <w:tr w:rsidR="00C01E92" w:rsidRPr="00FE43F9" w14:paraId="2B8E81E1" w14:textId="77777777" w:rsidTr="00D55F3A">
        <w:trPr>
          <w:trHeight w:val="986"/>
        </w:trPr>
        <w:tc>
          <w:tcPr>
            <w:cnfStyle w:val="001000000000" w:firstRow="0" w:lastRow="0" w:firstColumn="1" w:lastColumn="0" w:oddVBand="0" w:evenVBand="0" w:oddHBand="0" w:evenHBand="0" w:firstRowFirstColumn="0" w:firstRowLastColumn="0" w:lastRowFirstColumn="0" w:lastRowLastColumn="0"/>
            <w:tcW w:w="1843" w:type="dxa"/>
          </w:tcPr>
          <w:p w14:paraId="1C067A15" w14:textId="77777777" w:rsidR="00C01E92" w:rsidRPr="00FE43F9" w:rsidRDefault="00C01E92" w:rsidP="00D55F3A">
            <w:pPr>
              <w:pStyle w:val="ListParagraph"/>
              <w:spacing w:after="60"/>
              <w:ind w:left="0"/>
              <w:contextualSpacing w:val="0"/>
              <w:rPr>
                <w:rFonts w:cstheme="minorHAnsi"/>
                <w:szCs w:val="22"/>
              </w:rPr>
            </w:pPr>
            <w:r w:rsidRPr="00FE43F9">
              <w:rPr>
                <w:rFonts w:cstheme="minorHAnsi"/>
                <w:szCs w:val="22"/>
              </w:rPr>
              <w:t>March 2020</w:t>
            </w:r>
          </w:p>
        </w:tc>
        <w:tc>
          <w:tcPr>
            <w:tcW w:w="7088" w:type="dxa"/>
          </w:tcPr>
          <w:p w14:paraId="3F8635E5" w14:textId="77777777" w:rsidR="00C01E92" w:rsidRPr="00FE43F9" w:rsidRDefault="00C01E92" w:rsidP="00D55F3A">
            <w:pPr>
              <w:pStyle w:val="ListParagraph"/>
              <w:spacing w:after="60"/>
              <w:ind w:left="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FE43F9">
              <w:rPr>
                <w:rFonts w:cstheme="minorHAnsi"/>
                <w:szCs w:val="22"/>
              </w:rPr>
              <w:t>Consider RIS submissions and feedback</w:t>
            </w:r>
          </w:p>
          <w:p w14:paraId="1ACE69DC" w14:textId="77777777" w:rsidR="00C01E92" w:rsidRPr="00FE43F9" w:rsidRDefault="00C01E92" w:rsidP="00D55F3A">
            <w:pPr>
              <w:pStyle w:val="ListParagraph"/>
              <w:spacing w:after="60"/>
              <w:ind w:left="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FE43F9">
              <w:rPr>
                <w:rFonts w:cstheme="minorHAnsi"/>
                <w:szCs w:val="22"/>
              </w:rPr>
              <w:t>Revise regulatory procedures and guidance material</w:t>
            </w:r>
          </w:p>
          <w:p w14:paraId="7BBFE453" w14:textId="77777777" w:rsidR="00C01E92" w:rsidRPr="00FE43F9" w:rsidRDefault="00C01E92" w:rsidP="00D55F3A">
            <w:pPr>
              <w:pStyle w:val="ListParagraph"/>
              <w:spacing w:after="60"/>
              <w:ind w:left="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FE43F9">
              <w:rPr>
                <w:rFonts w:cstheme="minorHAnsi"/>
                <w:szCs w:val="22"/>
              </w:rPr>
              <w:t>Update public facing communication channels (e.g. website, fact sheets, etc.)</w:t>
            </w:r>
          </w:p>
          <w:p w14:paraId="0BA74854" w14:textId="77777777" w:rsidR="00C01E92" w:rsidRPr="00FE43F9" w:rsidRDefault="00C01E92" w:rsidP="00D55F3A">
            <w:pPr>
              <w:pStyle w:val="ListParagraph"/>
              <w:spacing w:after="60"/>
              <w:ind w:left="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FE43F9">
              <w:rPr>
                <w:rFonts w:cstheme="minorHAnsi"/>
                <w:szCs w:val="22"/>
              </w:rPr>
              <w:t>Develop training content for regulatory staff, providers and services</w:t>
            </w:r>
          </w:p>
        </w:tc>
      </w:tr>
      <w:tr w:rsidR="00C01E92" w:rsidRPr="00FE43F9" w14:paraId="39456D52" w14:textId="77777777" w:rsidTr="00D55F3A">
        <w:trPr>
          <w:trHeight w:val="359"/>
        </w:trPr>
        <w:tc>
          <w:tcPr>
            <w:cnfStyle w:val="001000000000" w:firstRow="0" w:lastRow="0" w:firstColumn="1" w:lastColumn="0" w:oddVBand="0" w:evenVBand="0" w:oddHBand="0" w:evenHBand="0" w:firstRowFirstColumn="0" w:firstRowLastColumn="0" w:lastRowFirstColumn="0" w:lastRowLastColumn="0"/>
            <w:tcW w:w="1843" w:type="dxa"/>
          </w:tcPr>
          <w:p w14:paraId="15195388" w14:textId="77777777" w:rsidR="00C01E92" w:rsidRPr="00FE43F9" w:rsidRDefault="00C01E92" w:rsidP="00D55F3A">
            <w:pPr>
              <w:pStyle w:val="ListParagraph"/>
              <w:spacing w:after="60"/>
              <w:ind w:left="0"/>
              <w:contextualSpacing w:val="0"/>
              <w:rPr>
                <w:rFonts w:cstheme="minorHAnsi"/>
                <w:szCs w:val="22"/>
              </w:rPr>
            </w:pPr>
            <w:r w:rsidRPr="00FE43F9">
              <w:rPr>
                <w:rFonts w:cstheme="minorHAnsi"/>
                <w:szCs w:val="22"/>
              </w:rPr>
              <w:t>April 2020</w:t>
            </w:r>
          </w:p>
        </w:tc>
        <w:tc>
          <w:tcPr>
            <w:tcW w:w="7088" w:type="dxa"/>
          </w:tcPr>
          <w:p w14:paraId="07A64421" w14:textId="77777777" w:rsidR="00C01E92" w:rsidRPr="00FE43F9" w:rsidRDefault="00C01E92" w:rsidP="00D55F3A">
            <w:pPr>
              <w:pStyle w:val="ListParagraph"/>
              <w:spacing w:after="60"/>
              <w:ind w:left="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FE43F9">
              <w:rPr>
                <w:rFonts w:cstheme="minorHAnsi"/>
                <w:szCs w:val="22"/>
              </w:rPr>
              <w:t>New CS Regulations made by Governor in Council</w:t>
            </w:r>
          </w:p>
          <w:p w14:paraId="1090508D" w14:textId="77777777" w:rsidR="00C01E92" w:rsidRPr="00FE43F9" w:rsidRDefault="00C01E92" w:rsidP="00D55F3A">
            <w:pPr>
              <w:pStyle w:val="ListParagraph"/>
              <w:spacing w:after="60"/>
              <w:ind w:left="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FE43F9">
              <w:rPr>
                <w:rFonts w:cstheme="minorHAnsi"/>
                <w:szCs w:val="22"/>
              </w:rPr>
              <w:t>Publish revised guidance</w:t>
            </w:r>
          </w:p>
          <w:p w14:paraId="0B6EEB4C" w14:textId="77777777" w:rsidR="00C01E92" w:rsidRPr="00FE43F9" w:rsidRDefault="00C01E92" w:rsidP="00D55F3A">
            <w:pPr>
              <w:pStyle w:val="ListParagraph"/>
              <w:spacing w:after="60"/>
              <w:ind w:left="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FE43F9">
              <w:rPr>
                <w:rFonts w:cstheme="minorHAnsi"/>
                <w:szCs w:val="22"/>
              </w:rPr>
              <w:t>Meet with stakeholders and service providers as required</w:t>
            </w:r>
          </w:p>
        </w:tc>
      </w:tr>
      <w:tr w:rsidR="00C01E92" w:rsidRPr="00FE43F9" w14:paraId="2ACA227D" w14:textId="77777777" w:rsidTr="00D55F3A">
        <w:trPr>
          <w:trHeight w:val="515"/>
        </w:trPr>
        <w:tc>
          <w:tcPr>
            <w:cnfStyle w:val="001000000000" w:firstRow="0" w:lastRow="0" w:firstColumn="1" w:lastColumn="0" w:oddVBand="0" w:evenVBand="0" w:oddHBand="0" w:evenHBand="0" w:firstRowFirstColumn="0" w:firstRowLastColumn="0" w:lastRowFirstColumn="0" w:lastRowLastColumn="0"/>
            <w:tcW w:w="1843" w:type="dxa"/>
          </w:tcPr>
          <w:p w14:paraId="377FAACC" w14:textId="77777777" w:rsidR="00C01E92" w:rsidRPr="00FE43F9" w:rsidRDefault="00C01E92" w:rsidP="00D55F3A">
            <w:pPr>
              <w:pStyle w:val="ListParagraph"/>
              <w:spacing w:after="60"/>
              <w:ind w:left="0"/>
              <w:contextualSpacing w:val="0"/>
              <w:rPr>
                <w:rFonts w:cstheme="minorHAnsi"/>
                <w:szCs w:val="22"/>
              </w:rPr>
            </w:pPr>
            <w:r w:rsidRPr="00FE43F9">
              <w:rPr>
                <w:rFonts w:cstheme="minorHAnsi"/>
                <w:szCs w:val="22"/>
              </w:rPr>
              <w:t>18 May 2020</w:t>
            </w:r>
          </w:p>
        </w:tc>
        <w:tc>
          <w:tcPr>
            <w:tcW w:w="7088" w:type="dxa"/>
          </w:tcPr>
          <w:p w14:paraId="37C81CF1" w14:textId="77777777" w:rsidR="00C01E92" w:rsidRPr="00FE43F9" w:rsidRDefault="00C01E92" w:rsidP="00D55F3A">
            <w:pPr>
              <w:pStyle w:val="ListParagraph"/>
              <w:spacing w:after="60"/>
              <w:ind w:left="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FE43F9">
              <w:rPr>
                <w:rFonts w:cstheme="minorHAnsi"/>
                <w:i/>
                <w:szCs w:val="22"/>
              </w:rPr>
              <w:t>Children’s Services Amendment Act 2019</w:t>
            </w:r>
            <w:r w:rsidRPr="00FE43F9">
              <w:rPr>
                <w:rFonts w:cstheme="minorHAnsi"/>
                <w:szCs w:val="22"/>
              </w:rPr>
              <w:t xml:space="preserve"> and new Regulations commence</w:t>
            </w:r>
          </w:p>
          <w:p w14:paraId="130B124F" w14:textId="6456496A" w:rsidR="00C01E92" w:rsidRPr="00FE43F9" w:rsidRDefault="00C01E92" w:rsidP="00D55F3A">
            <w:pPr>
              <w:pStyle w:val="ListParagraph"/>
              <w:spacing w:after="60"/>
              <w:ind w:left="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FE43F9">
              <w:rPr>
                <w:rFonts w:cstheme="minorHAnsi"/>
                <w:szCs w:val="22"/>
              </w:rPr>
              <w:t xml:space="preserve">Transitional provisions phased in over </w:t>
            </w:r>
            <w:r w:rsidR="00FE43F9">
              <w:rPr>
                <w:rFonts w:cstheme="minorHAnsi"/>
                <w:szCs w:val="22"/>
              </w:rPr>
              <w:t>a two-year period</w:t>
            </w:r>
          </w:p>
        </w:tc>
      </w:tr>
      <w:tr w:rsidR="00C01E92" w:rsidRPr="00FE43F9" w14:paraId="3EE99F35" w14:textId="77777777" w:rsidTr="00D55F3A">
        <w:trPr>
          <w:trHeight w:val="579"/>
        </w:trPr>
        <w:tc>
          <w:tcPr>
            <w:cnfStyle w:val="001000000000" w:firstRow="0" w:lastRow="0" w:firstColumn="1" w:lastColumn="0" w:oddVBand="0" w:evenVBand="0" w:oddHBand="0" w:evenHBand="0" w:firstRowFirstColumn="0" w:firstRowLastColumn="0" w:lastRowFirstColumn="0" w:lastRowLastColumn="0"/>
            <w:tcW w:w="1843" w:type="dxa"/>
          </w:tcPr>
          <w:p w14:paraId="2799DB52" w14:textId="77777777" w:rsidR="00C01E92" w:rsidRPr="00FE43F9" w:rsidRDefault="00C01E92" w:rsidP="00D55F3A">
            <w:pPr>
              <w:pStyle w:val="ListParagraph"/>
              <w:spacing w:after="60"/>
              <w:ind w:left="0"/>
              <w:contextualSpacing w:val="0"/>
              <w:rPr>
                <w:rFonts w:cstheme="minorHAnsi"/>
                <w:szCs w:val="22"/>
              </w:rPr>
            </w:pPr>
            <w:r w:rsidRPr="00FE43F9">
              <w:rPr>
                <w:rFonts w:cstheme="minorHAnsi"/>
                <w:szCs w:val="22"/>
              </w:rPr>
              <w:t>May – July 2020</w:t>
            </w:r>
          </w:p>
        </w:tc>
        <w:tc>
          <w:tcPr>
            <w:tcW w:w="7088" w:type="dxa"/>
          </w:tcPr>
          <w:p w14:paraId="547F9E52" w14:textId="77777777" w:rsidR="00C01E92" w:rsidRPr="00FE43F9" w:rsidRDefault="00C01E92" w:rsidP="00D55F3A">
            <w:pPr>
              <w:pStyle w:val="ListParagraph"/>
              <w:spacing w:after="60"/>
              <w:ind w:left="0"/>
              <w:contextualSpacing w:val="0"/>
              <w:cnfStyle w:val="000000000000" w:firstRow="0" w:lastRow="0" w:firstColumn="0" w:lastColumn="0" w:oddVBand="0" w:evenVBand="0" w:oddHBand="0" w:evenHBand="0" w:firstRowFirstColumn="0" w:firstRowLastColumn="0" w:lastRowFirstColumn="0" w:lastRowLastColumn="0"/>
              <w:rPr>
                <w:rFonts w:cstheme="minorHAnsi"/>
                <w:szCs w:val="22"/>
              </w:rPr>
            </w:pPr>
            <w:r w:rsidRPr="00FE43F9">
              <w:rPr>
                <w:rFonts w:cstheme="minorHAnsi"/>
                <w:szCs w:val="22"/>
              </w:rPr>
              <w:t>Conduct further information sessions and training on specific changes to the requirements with internal and external stakeholders, as required</w:t>
            </w:r>
          </w:p>
        </w:tc>
      </w:tr>
    </w:tbl>
    <w:p w14:paraId="238D91EB" w14:textId="53B2D238" w:rsidR="00C01E92" w:rsidRPr="00D55F3A" w:rsidRDefault="00C01E92" w:rsidP="001D0060">
      <w:pPr>
        <w:pStyle w:val="EYBodytextwithparaspace"/>
        <w:spacing w:before="120" w:after="120"/>
        <w:rPr>
          <w:rFonts w:asciiTheme="minorHAnsi" w:hAnsiTheme="minorHAnsi" w:cstheme="minorHAnsi"/>
          <w:b/>
          <w:sz w:val="22"/>
          <w:szCs w:val="22"/>
        </w:rPr>
      </w:pPr>
      <w:bookmarkStart w:id="310" w:name="_Ref25851880"/>
      <w:bookmarkStart w:id="311" w:name="_Toc24531621"/>
      <w:bookmarkStart w:id="312" w:name="_Toc25749868"/>
      <w:r w:rsidRPr="00D55F3A">
        <w:rPr>
          <w:rFonts w:asciiTheme="minorHAnsi" w:hAnsiTheme="minorHAnsi" w:cstheme="minorHAnsi"/>
          <w:b/>
          <w:sz w:val="22"/>
          <w:szCs w:val="22"/>
        </w:rPr>
        <w:t>Transition period</w:t>
      </w:r>
      <w:bookmarkEnd w:id="310"/>
    </w:p>
    <w:p w14:paraId="4D132A1A" w14:textId="01E89982" w:rsidR="00926537" w:rsidRPr="00131F2B" w:rsidRDefault="00926537" w:rsidP="00926537">
      <w:pPr>
        <w:autoSpaceDE w:val="0"/>
        <w:autoSpaceDN w:val="0"/>
        <w:adjustRightInd w:val="0"/>
        <w:spacing w:before="60" w:line="259" w:lineRule="auto"/>
        <w:rPr>
          <w:rFonts w:ascii="Arial Narrow" w:hAnsi="Arial Narrow" w:cs="Arial"/>
        </w:rPr>
      </w:pPr>
      <w:r w:rsidRPr="00410B86">
        <w:rPr>
          <w:rFonts w:cstheme="minorHAnsi"/>
          <w:szCs w:val="22"/>
        </w:rPr>
        <w:t xml:space="preserve">Grandfathering (savings), transitional provisions and the introduction of application of service waivers in the proposed regulations will give services time to adjust to the new requirements. </w:t>
      </w:r>
      <w:r w:rsidRPr="000107A9">
        <w:rPr>
          <w:rFonts w:cstheme="minorHAnsi"/>
          <w:szCs w:val="22"/>
        </w:rPr>
        <w:t>Specifically, the following transitional provisions will be included:</w:t>
      </w:r>
    </w:p>
    <w:p w14:paraId="73430195" w14:textId="5C9395C8" w:rsidR="00926537" w:rsidRPr="00410B86" w:rsidRDefault="00926537" w:rsidP="002806C5">
      <w:pPr>
        <w:pStyle w:val="ListParagraph"/>
        <w:numPr>
          <w:ilvl w:val="0"/>
          <w:numId w:val="79"/>
        </w:numPr>
        <w:spacing w:before="60" w:after="60"/>
        <w:ind w:left="714" w:hanging="357"/>
        <w:contextualSpacing w:val="0"/>
        <w:rPr>
          <w:rFonts w:cstheme="minorHAnsi"/>
          <w:szCs w:val="22"/>
        </w:rPr>
      </w:pPr>
      <w:r w:rsidRPr="00410B86">
        <w:rPr>
          <w:rFonts w:cstheme="minorHAnsi"/>
          <w:szCs w:val="22"/>
        </w:rPr>
        <w:t xml:space="preserve">New services must meet all requirements as at </w:t>
      </w:r>
      <w:r w:rsidRPr="00410B86">
        <w:rPr>
          <w:rFonts w:cstheme="minorHAnsi"/>
          <w:b/>
          <w:szCs w:val="22"/>
        </w:rPr>
        <w:t>17 May 2020</w:t>
      </w:r>
      <w:r w:rsidRPr="00410B86">
        <w:rPr>
          <w:rFonts w:cstheme="minorHAnsi"/>
          <w:szCs w:val="22"/>
        </w:rPr>
        <w:t>.</w:t>
      </w:r>
    </w:p>
    <w:p w14:paraId="6CA09EAC" w14:textId="79B8CBF3" w:rsidR="00926537" w:rsidRPr="00410B86" w:rsidRDefault="00926537" w:rsidP="002806C5">
      <w:pPr>
        <w:pStyle w:val="ListParagraph"/>
        <w:numPr>
          <w:ilvl w:val="0"/>
          <w:numId w:val="79"/>
        </w:numPr>
        <w:spacing w:before="60" w:after="60"/>
        <w:ind w:left="714" w:hanging="357"/>
        <w:contextualSpacing w:val="0"/>
        <w:rPr>
          <w:rFonts w:cstheme="minorHAnsi"/>
          <w:szCs w:val="22"/>
        </w:rPr>
      </w:pPr>
      <w:r w:rsidRPr="00410B86">
        <w:rPr>
          <w:rFonts w:cstheme="minorHAnsi"/>
          <w:szCs w:val="22"/>
        </w:rPr>
        <w:t xml:space="preserve">New requirements in relation to policies and procedures must be met by </w:t>
      </w:r>
      <w:r w:rsidRPr="00410B86">
        <w:rPr>
          <w:rFonts w:cstheme="minorHAnsi"/>
          <w:b/>
          <w:szCs w:val="22"/>
        </w:rPr>
        <w:t>1 January 2021</w:t>
      </w:r>
      <w:r w:rsidRPr="00410B86">
        <w:rPr>
          <w:rFonts w:cstheme="minorHAnsi"/>
          <w:szCs w:val="22"/>
        </w:rPr>
        <w:t>.</w:t>
      </w:r>
    </w:p>
    <w:p w14:paraId="68F41BE7" w14:textId="017AC9CB" w:rsidR="00926537" w:rsidRPr="00410B86" w:rsidRDefault="00926537" w:rsidP="002806C5">
      <w:pPr>
        <w:pStyle w:val="ListParagraph"/>
        <w:numPr>
          <w:ilvl w:val="0"/>
          <w:numId w:val="79"/>
        </w:numPr>
        <w:spacing w:before="60" w:after="60"/>
        <w:ind w:left="714" w:hanging="357"/>
        <w:contextualSpacing w:val="0"/>
        <w:rPr>
          <w:rFonts w:cstheme="minorHAnsi"/>
          <w:szCs w:val="22"/>
        </w:rPr>
      </w:pPr>
      <w:r w:rsidRPr="00410B86">
        <w:rPr>
          <w:rFonts w:cstheme="minorHAnsi"/>
          <w:szCs w:val="22"/>
        </w:rPr>
        <w:t xml:space="preserve">Other new or amended operational requirements (staffing and qualifications) must be met by </w:t>
      </w:r>
      <w:r w:rsidRPr="00410B86">
        <w:rPr>
          <w:rFonts w:cstheme="minorHAnsi"/>
          <w:b/>
          <w:szCs w:val="22"/>
        </w:rPr>
        <w:t>1 January 2022</w:t>
      </w:r>
      <w:r w:rsidRPr="00410B86">
        <w:rPr>
          <w:rFonts w:cstheme="minorHAnsi"/>
          <w:szCs w:val="22"/>
        </w:rPr>
        <w:t xml:space="preserve">. </w:t>
      </w:r>
    </w:p>
    <w:p w14:paraId="4CC6DB2A" w14:textId="77DF4AA6" w:rsidR="00926537" w:rsidRPr="00410B86" w:rsidRDefault="00926537" w:rsidP="002806C5">
      <w:pPr>
        <w:pStyle w:val="ListParagraph"/>
        <w:numPr>
          <w:ilvl w:val="0"/>
          <w:numId w:val="79"/>
        </w:numPr>
        <w:spacing w:before="60" w:after="60"/>
        <w:ind w:left="714" w:hanging="357"/>
        <w:contextualSpacing w:val="0"/>
        <w:rPr>
          <w:rFonts w:cstheme="minorHAnsi"/>
          <w:szCs w:val="22"/>
        </w:rPr>
      </w:pPr>
      <w:r w:rsidRPr="00410B86">
        <w:rPr>
          <w:rFonts w:cstheme="minorHAnsi"/>
          <w:szCs w:val="22"/>
        </w:rPr>
        <w:t xml:space="preserve">New annual service fee payment will be applicable from </w:t>
      </w:r>
      <w:r w:rsidRPr="00410B86">
        <w:rPr>
          <w:rFonts w:cstheme="minorHAnsi"/>
          <w:b/>
          <w:szCs w:val="22"/>
        </w:rPr>
        <w:t>1 July 2021</w:t>
      </w:r>
    </w:p>
    <w:p w14:paraId="54717573" w14:textId="77777777" w:rsidR="00C01E92" w:rsidRPr="000107A9" w:rsidRDefault="00C01E92" w:rsidP="002806C5">
      <w:pPr>
        <w:pStyle w:val="ListParagraph"/>
        <w:numPr>
          <w:ilvl w:val="0"/>
          <w:numId w:val="79"/>
        </w:numPr>
        <w:spacing w:before="60" w:after="60"/>
        <w:ind w:left="714" w:hanging="357"/>
        <w:contextualSpacing w:val="0"/>
        <w:rPr>
          <w:rFonts w:cstheme="minorHAnsi"/>
          <w:szCs w:val="22"/>
        </w:rPr>
      </w:pPr>
      <w:r w:rsidRPr="000107A9">
        <w:rPr>
          <w:rFonts w:cstheme="minorHAnsi"/>
          <w:szCs w:val="22"/>
        </w:rPr>
        <w:t>All existing services’ premises approvals and licences will be converted to provider and service approvals, and will have 6 months to make any amendments to that conversion, at no cost to businesses.</w:t>
      </w:r>
    </w:p>
    <w:p w14:paraId="1FB3B08B" w14:textId="7038AD05" w:rsidR="00C01E92" w:rsidRPr="00D55F3A" w:rsidRDefault="00C01E92" w:rsidP="001D0060">
      <w:pPr>
        <w:pStyle w:val="EYBodytextwithparaspace"/>
        <w:spacing w:before="120" w:after="120"/>
        <w:rPr>
          <w:rFonts w:asciiTheme="minorHAnsi" w:hAnsiTheme="minorHAnsi" w:cstheme="minorHAnsi"/>
          <w:b/>
          <w:sz w:val="22"/>
          <w:szCs w:val="22"/>
        </w:rPr>
      </w:pPr>
      <w:bookmarkStart w:id="313" w:name="_Toc30669631"/>
      <w:r w:rsidRPr="00D55F3A">
        <w:rPr>
          <w:rFonts w:asciiTheme="minorHAnsi" w:hAnsiTheme="minorHAnsi" w:cstheme="minorHAnsi"/>
          <w:b/>
          <w:sz w:val="22"/>
          <w:szCs w:val="22"/>
        </w:rPr>
        <w:t>Enforcement</w:t>
      </w:r>
      <w:bookmarkEnd w:id="311"/>
      <w:bookmarkEnd w:id="312"/>
      <w:bookmarkEnd w:id="313"/>
    </w:p>
    <w:p w14:paraId="4B889053"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As the regulatory authority for Victoria, the Secretary of the Department of Education and Training has delegated this responsibility to staff members of the Quality Assessment and Regulation Division (QARD).</w:t>
      </w:r>
    </w:p>
    <w:p w14:paraId="51159319"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children’s services regulatory regime provides QARD with the legal mandate, processes and procedures to carry out its regulatory role. QARD adopts a risk-based approach to its regulatory work, using a range of strategies to assess risk and determine the timing and scope of action, such as:</w:t>
      </w:r>
    </w:p>
    <w:p w14:paraId="43B902D8"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lastRenderedPageBreak/>
        <w:t>Assessing services’ compliance through visits</w:t>
      </w:r>
    </w:p>
    <w:p w14:paraId="2BAEED5D"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Additional monitoring of non-compliant services</w:t>
      </w:r>
    </w:p>
    <w:p w14:paraId="70D4DAE7"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Investigating serious incidents and complaints</w:t>
      </w:r>
    </w:p>
    <w:p w14:paraId="30DED31E" w14:textId="77777777" w:rsidR="00C01E92" w:rsidRPr="000107A9" w:rsidRDefault="00C01E92" w:rsidP="002806C5">
      <w:pPr>
        <w:pStyle w:val="ListParagraph"/>
        <w:numPr>
          <w:ilvl w:val="0"/>
          <w:numId w:val="79"/>
        </w:numPr>
        <w:rPr>
          <w:rFonts w:cstheme="minorHAnsi"/>
          <w:szCs w:val="22"/>
        </w:rPr>
      </w:pPr>
      <w:r w:rsidRPr="000107A9">
        <w:rPr>
          <w:rFonts w:cstheme="minorHAnsi"/>
          <w:szCs w:val="22"/>
        </w:rPr>
        <w:t>Taking enforcement action where there is serious or ongoing non-compliance.</w:t>
      </w:r>
    </w:p>
    <w:p w14:paraId="6F5601D5"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These strategies and associated processes and procedures will be reviewed to ensure consistency with the Children’s Services Amendment Act 2019 and Regulations, and form the avenue through which regulatory changes will be enforced.</w:t>
      </w:r>
    </w:p>
    <w:p w14:paraId="519143B6"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Children’s services will be notified in writing of expected changes. </w:t>
      </w:r>
    </w:p>
    <w:p w14:paraId="4CDF765B" w14:textId="77777777" w:rsidR="00C01E92" w:rsidRPr="000107A9" w:rsidRDefault="00C01E92" w:rsidP="00C01E92">
      <w:pPr>
        <w:pStyle w:val="EYBodytextwithparaspace"/>
        <w:spacing w:before="120" w:after="120"/>
        <w:rPr>
          <w:rFonts w:asciiTheme="minorHAnsi" w:hAnsiTheme="minorHAnsi" w:cstheme="minorHAnsi"/>
          <w:color w:val="0B0C1D"/>
          <w:sz w:val="22"/>
          <w:szCs w:val="22"/>
          <w:lang w:val="en"/>
        </w:rPr>
      </w:pPr>
      <w:r w:rsidRPr="000107A9">
        <w:rPr>
          <w:rFonts w:asciiTheme="minorHAnsi" w:hAnsiTheme="minorHAnsi" w:cstheme="minorHAnsi"/>
          <w:sz w:val="22"/>
          <w:szCs w:val="22"/>
        </w:rPr>
        <w:t xml:space="preserve">Enquiries can be made via the help line </w:t>
      </w:r>
      <w:r w:rsidRPr="000107A9">
        <w:rPr>
          <w:rFonts w:asciiTheme="minorHAnsi" w:hAnsiTheme="minorHAnsi" w:cstheme="minorHAnsi"/>
          <w:color w:val="0B0C1D"/>
          <w:sz w:val="22"/>
          <w:szCs w:val="22"/>
          <w:lang w:val="en"/>
        </w:rPr>
        <w:t>1300 307 415. Calls will be directed appropriately.</w:t>
      </w:r>
    </w:p>
    <w:p w14:paraId="33CC67B6" w14:textId="77777777" w:rsidR="00C01E92" w:rsidRPr="000107A9" w:rsidRDefault="00C01E92" w:rsidP="00C01E92">
      <w:pPr>
        <w:pStyle w:val="EYBodytextwithparaspace"/>
        <w:spacing w:before="120" w:after="120"/>
        <w:rPr>
          <w:rFonts w:asciiTheme="minorHAnsi" w:hAnsiTheme="minorHAnsi" w:cstheme="minorHAnsi"/>
          <w:color w:val="0B0C1D"/>
          <w:sz w:val="22"/>
          <w:szCs w:val="22"/>
          <w:lang w:val="en"/>
        </w:rPr>
      </w:pPr>
      <w:r w:rsidRPr="000107A9">
        <w:rPr>
          <w:rFonts w:asciiTheme="minorHAnsi" w:hAnsiTheme="minorHAnsi" w:cstheme="minorHAnsi"/>
          <w:color w:val="0B0C1D"/>
          <w:sz w:val="22"/>
          <w:szCs w:val="22"/>
          <w:lang w:val="en"/>
        </w:rPr>
        <w:t xml:space="preserve">For further information about the children’s services law reform, email </w:t>
      </w:r>
      <w:hyperlink r:id="rId33" w:history="1">
        <w:r w:rsidRPr="000107A9">
          <w:rPr>
            <w:rStyle w:val="Hyperlink"/>
            <w:rFonts w:asciiTheme="minorHAnsi" w:hAnsiTheme="minorHAnsi" w:cstheme="minorHAnsi"/>
            <w:szCs w:val="22"/>
            <w:lang w:val="en"/>
          </w:rPr>
          <w:t>cs.law.reform@edumail.vic.gov.au</w:t>
        </w:r>
      </w:hyperlink>
      <w:r w:rsidRPr="000107A9">
        <w:rPr>
          <w:rFonts w:asciiTheme="minorHAnsi" w:hAnsiTheme="minorHAnsi" w:cstheme="minorHAnsi"/>
          <w:color w:val="0B0C1D"/>
          <w:sz w:val="22"/>
          <w:szCs w:val="22"/>
          <w:lang w:val="en"/>
        </w:rPr>
        <w:t xml:space="preserve"> </w:t>
      </w:r>
    </w:p>
    <w:p w14:paraId="43B3851D" w14:textId="6329B997" w:rsidR="00C01E92" w:rsidRPr="00D55F3A" w:rsidRDefault="00C01E92" w:rsidP="001D0060">
      <w:pPr>
        <w:pStyle w:val="EYBodytextwithparaspace"/>
        <w:spacing w:before="120" w:after="120"/>
        <w:rPr>
          <w:rFonts w:asciiTheme="minorHAnsi" w:hAnsiTheme="minorHAnsi" w:cstheme="minorHAnsi"/>
          <w:b/>
          <w:sz w:val="22"/>
          <w:szCs w:val="22"/>
        </w:rPr>
      </w:pPr>
      <w:bookmarkStart w:id="314" w:name="_Toc24531622"/>
      <w:bookmarkStart w:id="315" w:name="_Toc25749869"/>
      <w:bookmarkStart w:id="316" w:name="_Toc30669632"/>
      <w:r w:rsidRPr="00D55F3A">
        <w:rPr>
          <w:rFonts w:asciiTheme="minorHAnsi" w:hAnsiTheme="minorHAnsi" w:cstheme="minorHAnsi"/>
          <w:b/>
          <w:sz w:val="22"/>
          <w:szCs w:val="22"/>
        </w:rPr>
        <w:t>Evaluation</w:t>
      </w:r>
      <w:bookmarkEnd w:id="314"/>
      <w:bookmarkEnd w:id="315"/>
      <w:bookmarkEnd w:id="316"/>
    </w:p>
    <w:p w14:paraId="590674C3"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Once made, the Regulations will sunset in 2029, marking the next occasion regulations are due for formal review and remaking via a RIS process.</w:t>
      </w:r>
    </w:p>
    <w:p w14:paraId="67BA44C3"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As children’s services are subject to regulatory oversight with the commitment by the regulatory authority to undertake monitoring and compliance visits at least once every three years to each service, it is anticipate that any adverse consequences or issues regarding regulatory changes, will be revealed during these visits.</w:t>
      </w:r>
    </w:p>
    <w:p w14:paraId="6FECEA91"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Ongoing engagement with the sector and stakeholders via regular meetings and forums will also inform the regulator of the effectiveness of regulations and/or any issues arising that require attention.</w:t>
      </w:r>
    </w:p>
    <w:p w14:paraId="6EEFB4EF" w14:textId="09EE60EE"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Transitional provisions for existing services to meet and/or adjust to new requirements are provided for in the regulations, and services that require transitional support will be closely monitored via formal communications channels (as detailed in section </w:t>
      </w:r>
      <w:r w:rsidRPr="000107A9">
        <w:rPr>
          <w:rFonts w:asciiTheme="minorHAnsi" w:hAnsiTheme="minorHAnsi" w:cstheme="minorHAnsi"/>
          <w:sz w:val="22"/>
          <w:szCs w:val="22"/>
        </w:rPr>
        <w:fldChar w:fldCharType="begin"/>
      </w:r>
      <w:r w:rsidRPr="000107A9">
        <w:rPr>
          <w:rFonts w:asciiTheme="minorHAnsi" w:hAnsiTheme="minorHAnsi" w:cstheme="minorHAnsi"/>
          <w:sz w:val="22"/>
          <w:szCs w:val="22"/>
        </w:rPr>
        <w:instrText xml:space="preserve"> REF _Ref25770937 \r \h  \* MERGEFORMAT </w:instrText>
      </w:r>
      <w:r w:rsidRPr="000107A9">
        <w:rPr>
          <w:rFonts w:asciiTheme="minorHAnsi" w:hAnsiTheme="minorHAnsi" w:cstheme="minorHAnsi"/>
          <w:sz w:val="22"/>
          <w:szCs w:val="22"/>
        </w:rPr>
      </w:r>
      <w:r w:rsidRPr="000107A9">
        <w:rPr>
          <w:rFonts w:asciiTheme="minorHAnsi" w:hAnsiTheme="minorHAnsi" w:cstheme="minorHAnsi"/>
          <w:sz w:val="22"/>
          <w:szCs w:val="22"/>
        </w:rPr>
        <w:fldChar w:fldCharType="separate"/>
      </w:r>
      <w:r w:rsidR="00493211">
        <w:rPr>
          <w:rFonts w:asciiTheme="minorHAnsi" w:hAnsiTheme="minorHAnsi" w:cstheme="minorHAnsi"/>
          <w:sz w:val="22"/>
          <w:szCs w:val="22"/>
        </w:rPr>
        <w:t>0</w:t>
      </w:r>
      <w:r w:rsidRPr="000107A9">
        <w:rPr>
          <w:rFonts w:asciiTheme="minorHAnsi" w:hAnsiTheme="minorHAnsi" w:cstheme="minorHAnsi"/>
          <w:sz w:val="22"/>
          <w:szCs w:val="22"/>
        </w:rPr>
        <w:fldChar w:fldCharType="end"/>
      </w:r>
      <w:r w:rsidRPr="000107A9">
        <w:rPr>
          <w:rFonts w:asciiTheme="minorHAnsi" w:hAnsiTheme="minorHAnsi" w:cstheme="minorHAnsi"/>
          <w:sz w:val="22"/>
          <w:szCs w:val="22"/>
        </w:rPr>
        <w:t xml:space="preserve"> Implementation).</w:t>
      </w:r>
    </w:p>
    <w:p w14:paraId="7CFD2331"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In addition to data and information collected via the enquiries line and/or monitoring and compliance visits, a sector-wide Stakeholder Satisfaction Survey is released by QARD in October/November annually that collects data pertaining to the sector’s overall satisfaction with the Regulator’s provision of compliance assistance and guidance, and the sector’s experience of regulatory practice. Results are published in the QARD Annual Report.</w:t>
      </w:r>
    </w:p>
    <w:p w14:paraId="163BFE12"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Furthermore, data on traffic to the QARD website to view and/or download information and guidance material about revised processes, procedures and requirements resulting from amendments to the Act and regulations, will provide ongoing insight into the value and efficiency of new Regulations.</w:t>
      </w:r>
    </w:p>
    <w:p w14:paraId="168EC857"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Currently, systems that support Children’s Services are predominantly manual or paper-based. There is a commitment to move to an online system similar to that of the National Quality Agenda Information Technology System (</w:t>
      </w:r>
      <w:r w:rsidRPr="00D55F3A">
        <w:rPr>
          <w:rFonts w:asciiTheme="minorHAnsi" w:hAnsiTheme="minorHAnsi" w:cstheme="minorHAnsi"/>
          <w:sz w:val="22"/>
          <w:szCs w:val="22"/>
        </w:rPr>
        <w:t>NQA ITS</w:t>
      </w:r>
      <w:r w:rsidRPr="000107A9">
        <w:rPr>
          <w:rFonts w:asciiTheme="minorHAnsi" w:hAnsiTheme="minorHAnsi" w:cstheme="minorHAnsi"/>
          <w:sz w:val="22"/>
          <w:szCs w:val="22"/>
        </w:rPr>
        <w:t>)</w:t>
      </w:r>
      <w:r w:rsidRPr="001E5722">
        <w:rPr>
          <w:rStyle w:val="FootnoteReference"/>
          <w:rFonts w:asciiTheme="minorHAnsi" w:hAnsiTheme="minorHAnsi" w:cstheme="minorHAnsi"/>
          <w:color w:val="auto"/>
          <w:sz w:val="22"/>
          <w:szCs w:val="22"/>
        </w:rPr>
        <w:footnoteReference w:id="70"/>
      </w:r>
      <w:r w:rsidRPr="000107A9">
        <w:rPr>
          <w:rFonts w:asciiTheme="minorHAnsi" w:hAnsiTheme="minorHAnsi" w:cstheme="minorHAnsi"/>
          <w:sz w:val="22"/>
          <w:szCs w:val="22"/>
        </w:rPr>
        <w:t xml:space="preserve"> in the two years (approximately) that follow the new Regulations taking effect, that will enhance data collection in general on the children’s services sector.</w:t>
      </w:r>
    </w:p>
    <w:p w14:paraId="7EA8763C" w14:textId="77777777" w:rsidR="00C01E92" w:rsidRPr="000107A9" w:rsidRDefault="00C01E92" w:rsidP="00C01E92">
      <w:pPr>
        <w:pStyle w:val="EYBodytextwithparaspace"/>
        <w:spacing w:before="120" w:after="120"/>
        <w:rPr>
          <w:rFonts w:asciiTheme="minorHAnsi" w:hAnsiTheme="minorHAnsi" w:cstheme="minorHAnsi"/>
          <w:sz w:val="22"/>
          <w:szCs w:val="22"/>
        </w:rPr>
      </w:pPr>
    </w:p>
    <w:p w14:paraId="1FCCEAB0" w14:textId="77777777" w:rsidR="00C01E92" w:rsidRPr="000107A9" w:rsidRDefault="00C01E92" w:rsidP="00C01E92">
      <w:pPr>
        <w:spacing w:before="120"/>
        <w:rPr>
          <w:rFonts w:cstheme="minorHAnsi"/>
          <w:szCs w:val="22"/>
        </w:rPr>
      </w:pPr>
      <w:r w:rsidRPr="000107A9">
        <w:rPr>
          <w:rFonts w:cstheme="minorHAnsi"/>
          <w:szCs w:val="22"/>
        </w:rPr>
        <w:br w:type="page"/>
      </w:r>
    </w:p>
    <w:p w14:paraId="13542467" w14:textId="33EC7B1E" w:rsidR="00C01E92" w:rsidRPr="000107A9" w:rsidRDefault="00C01E92" w:rsidP="004F4E5D">
      <w:pPr>
        <w:pStyle w:val="Heading1"/>
        <w:numPr>
          <w:ilvl w:val="0"/>
          <w:numId w:val="12"/>
        </w:numPr>
      </w:pPr>
      <w:bookmarkStart w:id="317" w:name="_Toc30669633"/>
      <w:bookmarkStart w:id="318" w:name="_Toc32936898"/>
      <w:r w:rsidRPr="000107A9">
        <w:lastRenderedPageBreak/>
        <w:t>Appendices</w:t>
      </w:r>
      <w:bookmarkEnd w:id="317"/>
      <w:bookmarkEnd w:id="318"/>
    </w:p>
    <w:p w14:paraId="7B3D1E8B" w14:textId="77777777" w:rsidR="00511CB8" w:rsidRDefault="00511CB8">
      <w:pPr>
        <w:spacing w:after="0"/>
      </w:pPr>
      <w:bookmarkStart w:id="319" w:name="_Ref27738637"/>
      <w:bookmarkStart w:id="320" w:name="_Toc30669634"/>
    </w:p>
    <w:p w14:paraId="79D7DD17" w14:textId="77777777" w:rsidR="00702400" w:rsidRDefault="00702400" w:rsidP="00702400">
      <w:pPr>
        <w:pStyle w:val="ListParagraph"/>
        <w:numPr>
          <w:ilvl w:val="0"/>
          <w:numId w:val="111"/>
        </w:numPr>
        <w:spacing w:after="0"/>
      </w:pPr>
      <w:r>
        <w:t>10.1 Comparison table of current and proposed Children’s Services Regulations</w:t>
      </w:r>
    </w:p>
    <w:p w14:paraId="0FD86BC3" w14:textId="77777777" w:rsidR="00702400" w:rsidRDefault="00702400" w:rsidP="00702400">
      <w:pPr>
        <w:pStyle w:val="ListParagraph"/>
        <w:numPr>
          <w:ilvl w:val="0"/>
          <w:numId w:val="111"/>
        </w:numPr>
        <w:spacing w:after="0"/>
      </w:pPr>
      <w:r>
        <w:t>10.2 Questions for consultation</w:t>
      </w:r>
    </w:p>
    <w:p w14:paraId="60958B6E" w14:textId="77777777" w:rsidR="00702400" w:rsidRDefault="00702400" w:rsidP="00702400">
      <w:pPr>
        <w:pStyle w:val="ListParagraph"/>
        <w:numPr>
          <w:ilvl w:val="0"/>
          <w:numId w:val="111"/>
        </w:numPr>
        <w:spacing w:after="0"/>
      </w:pPr>
      <w:r>
        <w:t>10.3 Key amendments to the Children’s Services Act 2019</w:t>
      </w:r>
    </w:p>
    <w:p w14:paraId="5E27720D" w14:textId="77777777" w:rsidR="00702400" w:rsidRDefault="00702400" w:rsidP="00702400">
      <w:pPr>
        <w:pStyle w:val="ListParagraph"/>
        <w:numPr>
          <w:ilvl w:val="0"/>
          <w:numId w:val="111"/>
        </w:numPr>
        <w:spacing w:after="0"/>
      </w:pPr>
      <w:r>
        <w:t>10.4 Methodology and assumptions</w:t>
      </w:r>
    </w:p>
    <w:p w14:paraId="137C7CF4" w14:textId="77777777" w:rsidR="00702400" w:rsidRDefault="00702400" w:rsidP="00702400">
      <w:pPr>
        <w:pStyle w:val="ListParagraph"/>
        <w:numPr>
          <w:ilvl w:val="0"/>
          <w:numId w:val="111"/>
        </w:numPr>
        <w:spacing w:after="0"/>
      </w:pPr>
      <w:r>
        <w:t>10.5a Children’s Services Regulations 2009 – Current Fee Structure</w:t>
      </w:r>
    </w:p>
    <w:p w14:paraId="371EC3BF" w14:textId="607CE4FA" w:rsidR="00511CB8" w:rsidRDefault="00702400" w:rsidP="00702400">
      <w:pPr>
        <w:pStyle w:val="ListParagraph"/>
        <w:numPr>
          <w:ilvl w:val="0"/>
          <w:numId w:val="111"/>
        </w:numPr>
        <w:spacing w:after="0"/>
      </w:pPr>
      <w:r>
        <w:t>10.5b Children’s Services Regulations 2020 – Proposed Fee Structure</w:t>
      </w:r>
    </w:p>
    <w:p w14:paraId="1269F8FA" w14:textId="47F17FF8" w:rsidR="00511CB8" w:rsidRDefault="00511CB8">
      <w:pPr>
        <w:spacing w:after="0"/>
      </w:pPr>
    </w:p>
    <w:p w14:paraId="6A5DDF93" w14:textId="1256438B" w:rsidR="00281AFF" w:rsidRDefault="00281AFF">
      <w:pPr>
        <w:spacing w:after="0"/>
        <w:sectPr w:rsidR="00281AFF" w:rsidSect="00DA3218">
          <w:footerReference w:type="default" r:id="rId34"/>
          <w:pgSz w:w="11900" w:h="16840"/>
          <w:pgMar w:top="1985" w:right="1134" w:bottom="1701" w:left="1134" w:header="709" w:footer="709" w:gutter="0"/>
          <w:cols w:space="708"/>
          <w:docGrid w:linePitch="360"/>
        </w:sectPr>
      </w:pPr>
      <w:r>
        <w:br w:type="page"/>
      </w:r>
    </w:p>
    <w:p w14:paraId="1E053B51" w14:textId="286A1634" w:rsidR="00C01E92" w:rsidRPr="000107A9" w:rsidRDefault="000F2018" w:rsidP="00A87A06">
      <w:pPr>
        <w:pStyle w:val="Heading2"/>
      </w:pPr>
      <w:bookmarkStart w:id="321" w:name="_Toc32936899"/>
      <w:r>
        <w:lastRenderedPageBreak/>
        <w:t xml:space="preserve">10.1 </w:t>
      </w:r>
      <w:bookmarkEnd w:id="319"/>
      <w:bookmarkEnd w:id="320"/>
      <w:r w:rsidR="00281AFF">
        <w:t>C</w:t>
      </w:r>
      <w:r w:rsidR="00D23581">
        <w:t>omparison table of current and proposed C</w:t>
      </w:r>
      <w:r w:rsidR="00281AFF">
        <w:t>hildren’s Services Regulations</w:t>
      </w:r>
      <w:bookmarkEnd w:id="321"/>
    </w:p>
    <w:tbl>
      <w:tblPr>
        <w:tblStyle w:val="TableGrid"/>
        <w:tblW w:w="13745" w:type="dxa"/>
        <w:tblBorders>
          <w:top w:val="single" w:sz="4" w:space="0" w:color="004EA8" w:themeColor="accent1"/>
          <w:left w:val="single" w:sz="4" w:space="0" w:color="004EA8" w:themeColor="accent1"/>
          <w:bottom w:val="single" w:sz="4" w:space="0" w:color="004EA8" w:themeColor="accent1"/>
          <w:right w:val="single" w:sz="4" w:space="0" w:color="004EA8" w:themeColor="accent1"/>
          <w:insideH w:val="none" w:sz="0" w:space="0" w:color="auto"/>
          <w:insideV w:val="none" w:sz="0" w:space="0" w:color="auto"/>
        </w:tblBorders>
        <w:tblLook w:val="04A0" w:firstRow="1" w:lastRow="0" w:firstColumn="1" w:lastColumn="0" w:noHBand="0" w:noVBand="1"/>
      </w:tblPr>
      <w:tblGrid>
        <w:gridCol w:w="1555"/>
        <w:gridCol w:w="4063"/>
        <w:gridCol w:w="4063"/>
        <w:gridCol w:w="4064"/>
      </w:tblGrid>
      <w:tr w:rsidR="00281AFF" w:rsidRPr="003311A9" w14:paraId="4D4CBCAD" w14:textId="77777777" w:rsidTr="0021570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004EA8" w:themeColor="accent1"/>
              <w:bottom w:val="single" w:sz="4" w:space="0" w:color="004EA8" w:themeColor="accent1"/>
              <w:right w:val="single" w:sz="4" w:space="0" w:color="004EA8" w:themeColor="accent1"/>
            </w:tcBorders>
          </w:tcPr>
          <w:p w14:paraId="669422F4" w14:textId="77777777" w:rsidR="00281AFF" w:rsidRPr="003311A9" w:rsidRDefault="00281AFF" w:rsidP="00D55F3A">
            <w:pPr>
              <w:spacing w:after="60"/>
              <w:rPr>
                <w:rFonts w:cstheme="minorHAnsi"/>
              </w:rPr>
            </w:pPr>
            <w:r w:rsidRPr="003311A9">
              <w:rPr>
                <w:rFonts w:cstheme="minorHAnsi"/>
              </w:rPr>
              <w:t>Area of Regulation</w:t>
            </w:r>
          </w:p>
        </w:tc>
        <w:tc>
          <w:tcPr>
            <w:tcW w:w="4063" w:type="dxa"/>
            <w:tcBorders>
              <w:top w:val="single" w:sz="4" w:space="0" w:color="004EA8" w:themeColor="accent1"/>
              <w:left w:val="single" w:sz="4" w:space="0" w:color="004EA8" w:themeColor="accent1"/>
              <w:bottom w:val="single" w:sz="4" w:space="0" w:color="004EA8" w:themeColor="accent1"/>
              <w:right w:val="single" w:sz="4" w:space="0" w:color="004EA8" w:themeColor="accent1"/>
            </w:tcBorders>
          </w:tcPr>
          <w:p w14:paraId="5C0DD14A" w14:textId="77777777" w:rsidR="00281AFF" w:rsidRPr="003311A9" w:rsidRDefault="00281AFF" w:rsidP="00D55F3A">
            <w:pPr>
              <w:spacing w:after="60"/>
              <w:cnfStyle w:val="100000000000" w:firstRow="1" w:lastRow="0" w:firstColumn="0" w:lastColumn="0" w:oddVBand="0" w:evenVBand="0" w:oddHBand="0" w:evenHBand="0" w:firstRowFirstColumn="0" w:firstRowLastColumn="0" w:lastRowFirstColumn="0" w:lastRowLastColumn="0"/>
              <w:rPr>
                <w:rFonts w:cstheme="minorHAnsi"/>
              </w:rPr>
            </w:pPr>
            <w:r w:rsidRPr="003311A9">
              <w:rPr>
                <w:rFonts w:cstheme="minorHAnsi"/>
              </w:rPr>
              <w:t xml:space="preserve">Current Regulation </w:t>
            </w:r>
          </w:p>
        </w:tc>
        <w:tc>
          <w:tcPr>
            <w:tcW w:w="4063" w:type="dxa"/>
            <w:tcBorders>
              <w:top w:val="single" w:sz="4" w:space="0" w:color="004EA8" w:themeColor="accent1"/>
              <w:left w:val="single" w:sz="4" w:space="0" w:color="004EA8" w:themeColor="accent1"/>
              <w:bottom w:val="single" w:sz="4" w:space="0" w:color="004EA8" w:themeColor="accent1"/>
              <w:right w:val="single" w:sz="4" w:space="0" w:color="004EA8" w:themeColor="accent1"/>
            </w:tcBorders>
          </w:tcPr>
          <w:p w14:paraId="1922FE3E" w14:textId="77777777" w:rsidR="00281AFF" w:rsidRPr="003311A9" w:rsidRDefault="00281AFF" w:rsidP="00D55F3A">
            <w:pPr>
              <w:spacing w:after="60"/>
              <w:cnfStyle w:val="100000000000" w:firstRow="1" w:lastRow="0" w:firstColumn="0" w:lastColumn="0" w:oddVBand="0" w:evenVBand="0" w:oddHBand="0" w:evenHBand="0" w:firstRowFirstColumn="0" w:firstRowLastColumn="0" w:lastRowFirstColumn="0" w:lastRowLastColumn="0"/>
              <w:rPr>
                <w:rFonts w:cstheme="minorHAnsi"/>
              </w:rPr>
            </w:pPr>
            <w:r w:rsidRPr="003311A9">
              <w:rPr>
                <w:rFonts w:cstheme="minorHAnsi"/>
              </w:rPr>
              <w:t>Proposed Regulation and Reference</w:t>
            </w:r>
          </w:p>
        </w:tc>
        <w:tc>
          <w:tcPr>
            <w:tcW w:w="4064" w:type="dxa"/>
            <w:tcBorders>
              <w:top w:val="single" w:sz="4" w:space="0" w:color="004EA8" w:themeColor="accent1"/>
              <w:left w:val="single" w:sz="4" w:space="0" w:color="004EA8" w:themeColor="accent1"/>
              <w:bottom w:val="single" w:sz="4" w:space="0" w:color="004EA8" w:themeColor="accent1"/>
            </w:tcBorders>
          </w:tcPr>
          <w:p w14:paraId="6E805BC0" w14:textId="77777777" w:rsidR="00281AFF" w:rsidRPr="003311A9" w:rsidRDefault="00281AFF" w:rsidP="00D55F3A">
            <w:pPr>
              <w:spacing w:after="60"/>
              <w:cnfStyle w:val="100000000000" w:firstRow="1" w:lastRow="0" w:firstColumn="0" w:lastColumn="0" w:oddVBand="0" w:evenVBand="0" w:oddHBand="0" w:evenHBand="0" w:firstRowFirstColumn="0" w:firstRowLastColumn="0" w:lastRowFirstColumn="0" w:lastRowLastColumn="0"/>
              <w:rPr>
                <w:rFonts w:cstheme="minorHAnsi"/>
              </w:rPr>
            </w:pPr>
            <w:r w:rsidRPr="003311A9">
              <w:rPr>
                <w:rFonts w:cstheme="minorHAnsi"/>
              </w:rPr>
              <w:t>Proposed Regulation Cost/Benefit/Flexibility</w:t>
            </w:r>
          </w:p>
        </w:tc>
      </w:tr>
      <w:tr w:rsidR="00281AFF" w:rsidRPr="003311A9" w14:paraId="4F4A1F83" w14:textId="77777777" w:rsidTr="006C4D5D">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004EA8" w:themeColor="accent1"/>
              <w:bottom w:val="single" w:sz="4" w:space="0" w:color="004EA8" w:themeColor="accent1"/>
            </w:tcBorders>
          </w:tcPr>
          <w:p w14:paraId="13EF104B" w14:textId="77777777" w:rsidR="00281AFF" w:rsidRPr="003311A9" w:rsidRDefault="00281AFF" w:rsidP="00D55F3A">
            <w:pPr>
              <w:spacing w:after="60"/>
              <w:rPr>
                <w:rFonts w:cstheme="minorHAnsi"/>
              </w:rPr>
            </w:pPr>
            <w:r w:rsidRPr="003311A9">
              <w:rPr>
                <w:rFonts w:cstheme="minorHAnsi"/>
              </w:rPr>
              <w:t>Approval application process</w:t>
            </w:r>
          </w:p>
        </w:tc>
        <w:tc>
          <w:tcPr>
            <w:tcW w:w="4063" w:type="dxa"/>
            <w:tcBorders>
              <w:top w:val="single" w:sz="4" w:space="0" w:color="004EA8" w:themeColor="accent1"/>
              <w:bottom w:val="single" w:sz="4" w:space="0" w:color="004EA8" w:themeColor="accent1"/>
            </w:tcBorders>
          </w:tcPr>
          <w:p w14:paraId="5550BFBF" w14:textId="77777777"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One premises approval and one licence per service</w:t>
            </w:r>
          </w:p>
          <w:p w14:paraId="15D8EC90" w14:textId="17013FD3" w:rsidR="00281AFF" w:rsidRPr="003311A9" w:rsidRDefault="00EC34E2" w:rsidP="00EC34E2">
            <w:pPr>
              <w:spacing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Initial licence application followed by licence renewal on fixed term for 1, 3 or 5 years</w:t>
            </w:r>
          </w:p>
        </w:tc>
        <w:tc>
          <w:tcPr>
            <w:tcW w:w="4063" w:type="dxa"/>
            <w:tcBorders>
              <w:top w:val="single" w:sz="4" w:space="0" w:color="004EA8" w:themeColor="accent1"/>
              <w:bottom w:val="single" w:sz="4" w:space="0" w:color="004EA8" w:themeColor="accent1"/>
            </w:tcBorders>
          </w:tcPr>
          <w:p w14:paraId="3DF8128D" w14:textId="17ECC715" w:rsidR="00281AFF" w:rsidRPr="003311A9" w:rsidRDefault="006C4D5D"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w:t>
            </w:r>
            <w:r w:rsidR="00281AFF" w:rsidRPr="003311A9">
              <w:rPr>
                <w:rFonts w:cstheme="minorHAnsi"/>
              </w:rPr>
              <w:t>wo types of approvals - provide</w:t>
            </w:r>
            <w:r w:rsidR="001C0CEC">
              <w:rPr>
                <w:rFonts w:cstheme="minorHAnsi"/>
              </w:rPr>
              <w:t>r approval and service approval</w:t>
            </w:r>
          </w:p>
          <w:p w14:paraId="70EC7493" w14:textId="50D8C059"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Information</w:t>
            </w:r>
            <w:r w:rsidR="00215708">
              <w:rPr>
                <w:rFonts w:cstheme="minorHAnsi"/>
              </w:rPr>
              <w:t xml:space="preserve"> to be included on application </w:t>
            </w:r>
            <w:r w:rsidRPr="003311A9">
              <w:rPr>
                <w:rFonts w:cstheme="minorHAnsi"/>
              </w:rPr>
              <w:t>are set out in [</w:t>
            </w:r>
            <w:r w:rsidRPr="003311A9">
              <w:rPr>
                <w:rFonts w:cstheme="minorHAnsi"/>
                <w:b/>
              </w:rPr>
              <w:t xml:space="preserve">Part 2 – </w:t>
            </w:r>
            <w:r w:rsidR="005C5CE7">
              <w:rPr>
                <w:rFonts w:cstheme="minorHAnsi"/>
                <w:b/>
              </w:rPr>
              <w:t xml:space="preserve">Provider </w:t>
            </w:r>
            <w:r w:rsidRPr="003311A9">
              <w:rPr>
                <w:rFonts w:cstheme="minorHAnsi"/>
                <w:b/>
              </w:rPr>
              <w:t>Approvals</w:t>
            </w:r>
            <w:r w:rsidRPr="003311A9">
              <w:rPr>
                <w:rFonts w:cstheme="minorHAnsi"/>
              </w:rPr>
              <w:t>]</w:t>
            </w:r>
          </w:p>
          <w:p w14:paraId="3A4124F0" w14:textId="2657E65B" w:rsidR="00281AFF" w:rsidRPr="003311A9" w:rsidRDefault="00281AFF" w:rsidP="00215708">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 xml:space="preserve">Information to be included </w:t>
            </w:r>
            <w:r w:rsidR="00EC34E2">
              <w:rPr>
                <w:rFonts w:cstheme="minorHAnsi"/>
              </w:rPr>
              <w:t>in</w:t>
            </w:r>
            <w:r w:rsidRPr="003311A9">
              <w:rPr>
                <w:rFonts w:cstheme="minorHAnsi"/>
              </w:rPr>
              <w:t xml:space="preserve"> application for service approvals and information about proposed children’s service premises </w:t>
            </w:r>
            <w:r w:rsidR="00215708">
              <w:rPr>
                <w:rFonts w:cstheme="minorHAnsi"/>
              </w:rPr>
              <w:t xml:space="preserve">are set out in </w:t>
            </w:r>
            <w:r w:rsidRPr="003311A9">
              <w:rPr>
                <w:rFonts w:cstheme="minorHAnsi"/>
              </w:rPr>
              <w:t>[</w:t>
            </w:r>
            <w:r w:rsidRPr="003311A9">
              <w:rPr>
                <w:rFonts w:cstheme="minorHAnsi"/>
                <w:b/>
              </w:rPr>
              <w:t xml:space="preserve">Part 2 – </w:t>
            </w:r>
            <w:r w:rsidR="005C5CE7">
              <w:rPr>
                <w:rFonts w:cstheme="minorHAnsi"/>
                <w:b/>
              </w:rPr>
              <w:t xml:space="preserve">Service </w:t>
            </w:r>
            <w:r w:rsidRPr="003311A9">
              <w:rPr>
                <w:rFonts w:cstheme="minorHAnsi"/>
                <w:b/>
              </w:rPr>
              <w:t>Approvals</w:t>
            </w:r>
            <w:r w:rsidRPr="003311A9">
              <w:rPr>
                <w:rFonts w:cstheme="minorHAnsi"/>
              </w:rPr>
              <w:t>]</w:t>
            </w:r>
          </w:p>
        </w:tc>
        <w:tc>
          <w:tcPr>
            <w:tcW w:w="4064" w:type="dxa"/>
            <w:tcBorders>
              <w:top w:val="single" w:sz="4" w:space="0" w:color="004EA8" w:themeColor="accent1"/>
              <w:bottom w:val="single" w:sz="4" w:space="0" w:color="004EA8" w:themeColor="accent1"/>
            </w:tcBorders>
          </w:tcPr>
          <w:p w14:paraId="7032D6A3" w14:textId="0427EEA6"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Flexibility of one provider approval, which can be us</w:t>
            </w:r>
            <w:r w:rsidR="001C0CEC">
              <w:rPr>
                <w:rFonts w:cstheme="minorHAnsi"/>
              </w:rPr>
              <w:t>ed to operate multiple services.</w:t>
            </w:r>
          </w:p>
          <w:p w14:paraId="36797759" w14:textId="50093790" w:rsidR="001C0CEC" w:rsidRDefault="00281AFF" w:rsidP="001C0CEC">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P</w:t>
            </w:r>
            <w:r w:rsidR="006C4D5D">
              <w:rPr>
                <w:rFonts w:cstheme="minorHAnsi"/>
              </w:rPr>
              <w:t>rovider approvals are perpetual</w:t>
            </w:r>
            <w:r w:rsidRPr="003311A9">
              <w:rPr>
                <w:rFonts w:cstheme="minorHAnsi"/>
              </w:rPr>
              <w:t xml:space="preserve"> and </w:t>
            </w:r>
            <w:r w:rsidR="006C4D5D">
              <w:rPr>
                <w:rFonts w:cstheme="minorHAnsi"/>
              </w:rPr>
              <w:t xml:space="preserve">service </w:t>
            </w:r>
            <w:r w:rsidR="001C0CEC">
              <w:rPr>
                <w:rFonts w:cstheme="minorHAnsi"/>
              </w:rPr>
              <w:t xml:space="preserve">approvals are </w:t>
            </w:r>
            <w:r w:rsidRPr="003311A9">
              <w:rPr>
                <w:rFonts w:cstheme="minorHAnsi"/>
              </w:rPr>
              <w:t xml:space="preserve">subject to payment of </w:t>
            </w:r>
            <w:r w:rsidR="001C0CEC">
              <w:rPr>
                <w:rFonts w:cstheme="minorHAnsi"/>
              </w:rPr>
              <w:t xml:space="preserve">an </w:t>
            </w:r>
            <w:r w:rsidRPr="003311A9">
              <w:rPr>
                <w:rFonts w:cstheme="minorHAnsi"/>
              </w:rPr>
              <w:t>annual fee</w:t>
            </w:r>
            <w:r w:rsidR="001C0CEC">
              <w:rPr>
                <w:rFonts w:cstheme="minorHAnsi"/>
              </w:rPr>
              <w:t xml:space="preserve"> on invoice.</w:t>
            </w:r>
          </w:p>
          <w:p w14:paraId="6961280B" w14:textId="64653017" w:rsidR="00281AFF" w:rsidRPr="003311A9" w:rsidRDefault="00281AFF" w:rsidP="001C0CEC">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 xml:space="preserve">Application for </w:t>
            </w:r>
            <w:r w:rsidR="001C0CEC">
              <w:rPr>
                <w:rFonts w:cstheme="minorHAnsi"/>
              </w:rPr>
              <w:t xml:space="preserve">licence </w:t>
            </w:r>
            <w:r w:rsidRPr="003311A9">
              <w:rPr>
                <w:rFonts w:cstheme="minorHAnsi"/>
              </w:rPr>
              <w:t xml:space="preserve">renewal and </w:t>
            </w:r>
            <w:r w:rsidR="001C0CEC">
              <w:rPr>
                <w:rFonts w:cstheme="minorHAnsi"/>
              </w:rPr>
              <w:t xml:space="preserve">licence </w:t>
            </w:r>
            <w:r w:rsidRPr="003311A9">
              <w:rPr>
                <w:rFonts w:cstheme="minorHAnsi"/>
              </w:rPr>
              <w:t>renewal fee</w:t>
            </w:r>
            <w:r w:rsidR="001C0CEC">
              <w:rPr>
                <w:rFonts w:cstheme="minorHAnsi"/>
              </w:rPr>
              <w:t xml:space="preserve"> are</w:t>
            </w:r>
            <w:r w:rsidRPr="003311A9">
              <w:rPr>
                <w:rFonts w:cstheme="minorHAnsi"/>
              </w:rPr>
              <w:t xml:space="preserve"> no longer required</w:t>
            </w:r>
            <w:r w:rsidR="001C0CEC">
              <w:rPr>
                <w:rFonts w:cstheme="minorHAnsi"/>
              </w:rPr>
              <w:t>.</w:t>
            </w:r>
          </w:p>
        </w:tc>
      </w:tr>
      <w:tr w:rsidR="00281AFF" w:rsidRPr="003311A9" w14:paraId="6EF4267F" w14:textId="77777777" w:rsidTr="006C4D5D">
        <w:tc>
          <w:tcPr>
            <w:cnfStyle w:val="001000000000" w:firstRow="0" w:lastRow="0" w:firstColumn="1" w:lastColumn="0" w:oddVBand="0" w:evenVBand="0" w:oddHBand="0" w:evenHBand="0" w:firstRowFirstColumn="0" w:firstRowLastColumn="0" w:lastRowFirstColumn="0" w:lastRowLastColumn="0"/>
            <w:tcW w:w="1555" w:type="dxa"/>
            <w:vMerge w:val="restart"/>
            <w:tcBorders>
              <w:top w:val="single" w:sz="4" w:space="0" w:color="004EA8" w:themeColor="accent1"/>
              <w:bottom w:val="nil"/>
            </w:tcBorders>
          </w:tcPr>
          <w:p w14:paraId="69A7C58B" w14:textId="77777777" w:rsidR="00281AFF" w:rsidRPr="003311A9" w:rsidRDefault="00281AFF" w:rsidP="00D55F3A">
            <w:pPr>
              <w:spacing w:after="60"/>
              <w:rPr>
                <w:rFonts w:cstheme="minorHAnsi"/>
              </w:rPr>
            </w:pPr>
            <w:r w:rsidRPr="003311A9">
              <w:rPr>
                <w:rFonts w:cstheme="minorHAnsi"/>
              </w:rPr>
              <w:t>Service approval: Prescribed types</w:t>
            </w:r>
          </w:p>
        </w:tc>
        <w:tc>
          <w:tcPr>
            <w:tcW w:w="4063" w:type="dxa"/>
            <w:vMerge w:val="restart"/>
            <w:tcBorders>
              <w:top w:val="single" w:sz="4" w:space="0" w:color="004EA8" w:themeColor="accent1"/>
              <w:bottom w:val="nil"/>
            </w:tcBorders>
          </w:tcPr>
          <w:p w14:paraId="64526758" w14:textId="77777777"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Seven licence types:</w:t>
            </w:r>
          </w:p>
          <w:p w14:paraId="485392DB" w14:textId="77777777" w:rsidR="00281AFF" w:rsidRPr="003311A9" w:rsidRDefault="00281AFF" w:rsidP="002806C5">
            <w:pPr>
              <w:pStyle w:val="ListParagraph"/>
              <w:numPr>
                <w:ilvl w:val="0"/>
                <w:numId w:val="89"/>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 xml:space="preserve">Standard service </w:t>
            </w:r>
          </w:p>
          <w:p w14:paraId="4935A703" w14:textId="2E021416" w:rsidR="00281AFF" w:rsidRPr="003311A9" w:rsidRDefault="00CE3509" w:rsidP="002806C5">
            <w:pPr>
              <w:pStyle w:val="ListParagraph"/>
              <w:numPr>
                <w:ilvl w:val="0"/>
                <w:numId w:val="89"/>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Limited h</w:t>
            </w:r>
            <w:r w:rsidR="00281AFF" w:rsidRPr="003311A9">
              <w:rPr>
                <w:rFonts w:cstheme="minorHAnsi"/>
              </w:rPr>
              <w:t>ours type 1</w:t>
            </w:r>
          </w:p>
          <w:p w14:paraId="2A54F48F" w14:textId="27BBF2AB" w:rsidR="00281AFF" w:rsidRPr="003311A9" w:rsidRDefault="00CE3509" w:rsidP="002806C5">
            <w:pPr>
              <w:pStyle w:val="ListParagraph"/>
              <w:numPr>
                <w:ilvl w:val="0"/>
                <w:numId w:val="89"/>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Limited h</w:t>
            </w:r>
            <w:r w:rsidR="00281AFF" w:rsidRPr="003311A9">
              <w:rPr>
                <w:rFonts w:cstheme="minorHAnsi"/>
              </w:rPr>
              <w:t>ours type 2</w:t>
            </w:r>
          </w:p>
          <w:p w14:paraId="1836DCF5" w14:textId="4BE7B1CF" w:rsidR="00281AFF" w:rsidRPr="003311A9" w:rsidRDefault="00CE3509" w:rsidP="002806C5">
            <w:pPr>
              <w:pStyle w:val="ListParagraph"/>
              <w:numPr>
                <w:ilvl w:val="0"/>
                <w:numId w:val="89"/>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Short </w:t>
            </w:r>
            <w:r w:rsidR="00281AFF" w:rsidRPr="003311A9">
              <w:rPr>
                <w:rFonts w:cstheme="minorHAnsi"/>
              </w:rPr>
              <w:t>term type 1</w:t>
            </w:r>
          </w:p>
          <w:p w14:paraId="0BC74FAA" w14:textId="54D3E16F" w:rsidR="00281AFF" w:rsidRPr="003311A9" w:rsidRDefault="00CE3509" w:rsidP="002806C5">
            <w:pPr>
              <w:pStyle w:val="ListParagraph"/>
              <w:numPr>
                <w:ilvl w:val="0"/>
                <w:numId w:val="89"/>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Short </w:t>
            </w:r>
            <w:r w:rsidR="00281AFF" w:rsidRPr="003311A9">
              <w:rPr>
                <w:rFonts w:cstheme="minorHAnsi"/>
              </w:rPr>
              <w:t>term type 2</w:t>
            </w:r>
          </w:p>
          <w:p w14:paraId="7847EA1F" w14:textId="77777777" w:rsidR="00281AFF" w:rsidRPr="003311A9" w:rsidRDefault="00281AFF" w:rsidP="002806C5">
            <w:pPr>
              <w:pStyle w:val="ListParagraph"/>
              <w:numPr>
                <w:ilvl w:val="0"/>
                <w:numId w:val="89"/>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Integrated service</w:t>
            </w:r>
          </w:p>
        </w:tc>
        <w:tc>
          <w:tcPr>
            <w:tcW w:w="4063" w:type="dxa"/>
            <w:tcBorders>
              <w:top w:val="single" w:sz="4" w:space="0" w:color="004EA8" w:themeColor="accent1"/>
              <w:bottom w:val="nil"/>
            </w:tcBorders>
          </w:tcPr>
          <w:p w14:paraId="79ED9E65" w14:textId="152D0A9A"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The two prescribed types of children’s services [</w:t>
            </w:r>
            <w:r w:rsidRPr="003311A9">
              <w:rPr>
                <w:rFonts w:cstheme="minorHAnsi"/>
                <w:b/>
              </w:rPr>
              <w:t xml:space="preserve">Regulation </w:t>
            </w:r>
            <w:r w:rsidR="005C5CE7">
              <w:rPr>
                <w:rFonts w:cstheme="minorHAnsi"/>
                <w:b/>
              </w:rPr>
              <w:t>7</w:t>
            </w:r>
            <w:r w:rsidRPr="003311A9">
              <w:rPr>
                <w:rFonts w:cstheme="minorHAnsi"/>
              </w:rPr>
              <w:t>] are:</w:t>
            </w:r>
          </w:p>
          <w:p w14:paraId="2BE281B4" w14:textId="27115233" w:rsidR="00281AFF" w:rsidRPr="003311A9" w:rsidRDefault="00281AFF" w:rsidP="002806C5">
            <w:pPr>
              <w:pStyle w:val="ListParagraph"/>
              <w:numPr>
                <w:ilvl w:val="0"/>
                <w:numId w:val="89"/>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5469C9">
              <w:rPr>
                <w:rFonts w:cstheme="minorHAnsi"/>
                <w:b/>
              </w:rPr>
              <w:t>Limited</w:t>
            </w:r>
            <w:r w:rsidRPr="003311A9">
              <w:rPr>
                <w:rFonts w:cstheme="minorHAnsi"/>
                <w:b/>
              </w:rPr>
              <w:t xml:space="preserve"> Hours</w:t>
            </w:r>
            <w:r w:rsidRPr="003311A9">
              <w:rPr>
                <w:rFonts w:cstheme="minorHAnsi"/>
              </w:rPr>
              <w:t xml:space="preserve"> - Services that care for each child for not more than 3 hours per day, for up to 6 hours per week </w:t>
            </w:r>
            <w:r w:rsidRPr="003311A9">
              <w:rPr>
                <w:rFonts w:cstheme="minorHAnsi"/>
              </w:rPr>
              <w:br/>
            </w:r>
            <w:r w:rsidRPr="00AA0949">
              <w:rPr>
                <w:rFonts w:cstheme="minorHAnsi"/>
                <w:i/>
              </w:rPr>
              <w:t>(Could include former Limited Hours type 1 and Short</w:t>
            </w:r>
            <w:r w:rsidR="005C5CE7">
              <w:rPr>
                <w:rFonts w:cstheme="minorHAnsi"/>
                <w:i/>
              </w:rPr>
              <w:t xml:space="preserve"> </w:t>
            </w:r>
            <w:r w:rsidRPr="00AA0949">
              <w:rPr>
                <w:rFonts w:cstheme="minorHAnsi"/>
                <w:i/>
              </w:rPr>
              <w:t>term type 2 licence types)</w:t>
            </w:r>
          </w:p>
        </w:tc>
        <w:tc>
          <w:tcPr>
            <w:tcW w:w="4064" w:type="dxa"/>
            <w:tcBorders>
              <w:top w:val="single" w:sz="4" w:space="0" w:color="004EA8" w:themeColor="accent1"/>
              <w:bottom w:val="nil"/>
            </w:tcBorders>
          </w:tcPr>
          <w:p w14:paraId="2B96975B" w14:textId="5F32DC5A"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Streamlin</w:t>
            </w:r>
            <w:r w:rsidR="00EC34E2">
              <w:rPr>
                <w:rFonts w:cstheme="minorHAnsi"/>
              </w:rPr>
              <w:t>ing</w:t>
            </w:r>
            <w:r w:rsidRPr="003311A9">
              <w:rPr>
                <w:rFonts w:cstheme="minorHAnsi"/>
              </w:rPr>
              <w:t xml:space="preserve"> of seven licence types to two service approval types.</w:t>
            </w:r>
          </w:p>
          <w:p w14:paraId="4B39440B" w14:textId="445FFB04"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 xml:space="preserve">For </w:t>
            </w:r>
            <w:r w:rsidR="001C0CEC" w:rsidRPr="003311A9">
              <w:rPr>
                <w:rFonts w:cstheme="minorHAnsi"/>
              </w:rPr>
              <w:t xml:space="preserve">Limited Hours </w:t>
            </w:r>
            <w:r w:rsidRPr="003311A9">
              <w:rPr>
                <w:rFonts w:cstheme="minorHAnsi"/>
              </w:rPr>
              <w:t>services, extension of period a child can be educated and cared for from 2</w:t>
            </w:r>
            <w:r w:rsidR="001C0CEC">
              <w:rPr>
                <w:rFonts w:cstheme="minorHAnsi"/>
              </w:rPr>
              <w:t xml:space="preserve"> hours</w:t>
            </w:r>
            <w:r w:rsidRPr="003311A9">
              <w:rPr>
                <w:rFonts w:cstheme="minorHAnsi"/>
              </w:rPr>
              <w:t xml:space="preserve"> to 3 hours per day.</w:t>
            </w:r>
          </w:p>
        </w:tc>
      </w:tr>
      <w:tr w:rsidR="00281AFF" w:rsidRPr="003311A9" w14:paraId="25E05485" w14:textId="77777777" w:rsidTr="006C4D5D">
        <w:tc>
          <w:tcPr>
            <w:cnfStyle w:val="001000000000" w:firstRow="0" w:lastRow="0" w:firstColumn="1" w:lastColumn="0" w:oddVBand="0" w:evenVBand="0" w:oddHBand="0" w:evenHBand="0" w:firstRowFirstColumn="0" w:firstRowLastColumn="0" w:lastRowFirstColumn="0" w:lastRowLastColumn="0"/>
            <w:tcW w:w="1555" w:type="dxa"/>
            <w:vMerge/>
            <w:tcBorders>
              <w:top w:val="nil"/>
              <w:bottom w:val="single" w:sz="4" w:space="0" w:color="004EA8" w:themeColor="accent1"/>
            </w:tcBorders>
          </w:tcPr>
          <w:p w14:paraId="2775C170" w14:textId="77777777" w:rsidR="00281AFF" w:rsidRPr="003311A9" w:rsidRDefault="00281AFF" w:rsidP="00D55F3A">
            <w:pPr>
              <w:spacing w:after="60"/>
              <w:rPr>
                <w:rFonts w:cstheme="minorHAnsi"/>
              </w:rPr>
            </w:pPr>
          </w:p>
        </w:tc>
        <w:tc>
          <w:tcPr>
            <w:tcW w:w="4063" w:type="dxa"/>
            <w:vMerge/>
            <w:tcBorders>
              <w:top w:val="nil"/>
              <w:bottom w:val="single" w:sz="4" w:space="0" w:color="004EA8" w:themeColor="accent1"/>
            </w:tcBorders>
          </w:tcPr>
          <w:p w14:paraId="6B8A9D5B" w14:textId="77777777" w:rsidR="00281AFF" w:rsidRPr="003311A9" w:rsidRDefault="00281AFF" w:rsidP="002806C5">
            <w:pPr>
              <w:numPr>
                <w:ilvl w:val="0"/>
                <w:numId w:val="51"/>
              </w:numPr>
              <w:spacing w:after="60"/>
              <w:ind w:left="0" w:firstLine="0"/>
              <w:cnfStyle w:val="000000000000" w:firstRow="0" w:lastRow="0" w:firstColumn="0" w:lastColumn="0" w:oddVBand="0" w:evenVBand="0" w:oddHBand="0" w:evenHBand="0" w:firstRowFirstColumn="0" w:firstRowLastColumn="0" w:lastRowFirstColumn="0" w:lastRowLastColumn="0"/>
              <w:rPr>
                <w:rFonts w:cstheme="minorHAnsi"/>
              </w:rPr>
            </w:pPr>
          </w:p>
        </w:tc>
        <w:tc>
          <w:tcPr>
            <w:tcW w:w="4063" w:type="dxa"/>
            <w:tcBorders>
              <w:top w:val="nil"/>
              <w:bottom w:val="single" w:sz="4" w:space="0" w:color="004EA8" w:themeColor="accent1"/>
            </w:tcBorders>
          </w:tcPr>
          <w:p w14:paraId="3FC3AAB0" w14:textId="21C76C49" w:rsidR="00281AFF" w:rsidRPr="003311A9" w:rsidRDefault="00281AFF" w:rsidP="002806C5">
            <w:pPr>
              <w:pStyle w:val="ListParagraph"/>
              <w:numPr>
                <w:ilvl w:val="0"/>
                <w:numId w:val="89"/>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b/>
              </w:rPr>
              <w:t>Occasional Care</w:t>
            </w:r>
            <w:r w:rsidRPr="003311A9">
              <w:rPr>
                <w:rFonts w:cstheme="minorHAnsi"/>
              </w:rPr>
              <w:t xml:space="preserve"> - All other services would be fall under this service approval </w:t>
            </w:r>
            <w:r w:rsidRPr="003311A9">
              <w:rPr>
                <w:rFonts w:cstheme="minorHAnsi"/>
              </w:rPr>
              <w:br/>
            </w:r>
            <w:r w:rsidRPr="00AA0949">
              <w:rPr>
                <w:rFonts w:cstheme="minorHAnsi"/>
                <w:i/>
              </w:rPr>
              <w:t>(Could include former Standard, Limited Hours type 2, Short</w:t>
            </w:r>
            <w:r w:rsidR="005C5CE7">
              <w:rPr>
                <w:rFonts w:cstheme="minorHAnsi"/>
                <w:i/>
              </w:rPr>
              <w:t xml:space="preserve"> </w:t>
            </w:r>
            <w:r w:rsidRPr="00AA0949">
              <w:rPr>
                <w:rFonts w:cstheme="minorHAnsi"/>
                <w:i/>
              </w:rPr>
              <w:t>term type 1, and school holiday care licence types)</w:t>
            </w:r>
          </w:p>
        </w:tc>
        <w:tc>
          <w:tcPr>
            <w:tcW w:w="4064" w:type="dxa"/>
            <w:tcBorders>
              <w:top w:val="nil"/>
              <w:bottom w:val="single" w:sz="4" w:space="0" w:color="004EA8" w:themeColor="accent1"/>
            </w:tcBorders>
          </w:tcPr>
          <w:p w14:paraId="5077FAE0" w14:textId="77777777"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There will be no limit to the hours children can be educated and cared for.</w:t>
            </w:r>
          </w:p>
        </w:tc>
      </w:tr>
      <w:tr w:rsidR="00281AFF" w:rsidRPr="003311A9" w14:paraId="10351EC7" w14:textId="77777777" w:rsidTr="00CE3509">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004EA8" w:themeColor="accent1"/>
              <w:bottom w:val="single" w:sz="4" w:space="0" w:color="004EA8" w:themeColor="accent1"/>
            </w:tcBorders>
          </w:tcPr>
          <w:p w14:paraId="7DB1D723" w14:textId="77777777" w:rsidR="00281AFF" w:rsidRPr="003311A9" w:rsidRDefault="00281AFF" w:rsidP="00D55F3A">
            <w:pPr>
              <w:spacing w:after="60"/>
              <w:rPr>
                <w:rFonts w:cstheme="minorHAnsi"/>
              </w:rPr>
            </w:pPr>
            <w:r w:rsidRPr="003311A9">
              <w:rPr>
                <w:rFonts w:cstheme="minorHAnsi"/>
              </w:rPr>
              <w:t xml:space="preserve">Change in terminology </w:t>
            </w:r>
          </w:p>
        </w:tc>
        <w:tc>
          <w:tcPr>
            <w:tcW w:w="4063" w:type="dxa"/>
            <w:tcBorders>
              <w:top w:val="single" w:sz="4" w:space="0" w:color="004EA8" w:themeColor="accent1"/>
              <w:bottom w:val="single" w:sz="4" w:space="0" w:color="004EA8" w:themeColor="accent1"/>
            </w:tcBorders>
          </w:tcPr>
          <w:p w14:paraId="2A974863" w14:textId="77777777"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Example of the terminology used in current regulations in relation to staff are:</w:t>
            </w:r>
          </w:p>
          <w:p w14:paraId="08C0BC62" w14:textId="7E8BFF5F" w:rsidR="00281AFF" w:rsidRPr="003311A9" w:rsidRDefault="00281AFF" w:rsidP="002806C5">
            <w:pPr>
              <w:pStyle w:val="ListParagraph"/>
              <w:numPr>
                <w:ilvl w:val="0"/>
                <w:numId w:val="89"/>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Staff member is any person employed at a service who is educating and caring for children and is not a volunteer and must hold at least a Certificate III qualification</w:t>
            </w:r>
          </w:p>
          <w:p w14:paraId="6507BAD7" w14:textId="5DF57C4E" w:rsidR="00281AFF" w:rsidRPr="003311A9" w:rsidRDefault="00281AFF" w:rsidP="002806C5">
            <w:pPr>
              <w:pStyle w:val="ListParagraph"/>
              <w:numPr>
                <w:ilvl w:val="0"/>
                <w:numId w:val="89"/>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lastRenderedPageBreak/>
              <w:t xml:space="preserve">Volunteer </w:t>
            </w:r>
            <w:r w:rsidR="00F50A01">
              <w:rPr>
                <w:rFonts w:cstheme="minorHAnsi"/>
              </w:rPr>
              <w:t xml:space="preserve">is any </w:t>
            </w:r>
            <w:r w:rsidRPr="003311A9">
              <w:rPr>
                <w:rFonts w:cstheme="minorHAnsi"/>
              </w:rPr>
              <w:t>person caring for or educating children in a voluntary or honorary capacity</w:t>
            </w:r>
          </w:p>
        </w:tc>
        <w:tc>
          <w:tcPr>
            <w:tcW w:w="4063" w:type="dxa"/>
            <w:tcBorders>
              <w:top w:val="single" w:sz="4" w:space="0" w:color="004EA8" w:themeColor="accent1"/>
              <w:bottom w:val="single" w:sz="4" w:space="0" w:color="004EA8" w:themeColor="accent1"/>
            </w:tcBorders>
          </w:tcPr>
          <w:p w14:paraId="263422A8" w14:textId="5AB02FAE" w:rsidR="00F50A01"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lastRenderedPageBreak/>
              <w:t>There are changes in the terminology used for the different key personnel (to reflect the Amendment Act and NQF), but the roles are fundamentally the same</w:t>
            </w:r>
          </w:p>
          <w:p w14:paraId="7497AFA1" w14:textId="122AF75C"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For example, terminology for staff member is any person employed at a service except a nominated supervisor</w:t>
            </w:r>
          </w:p>
        </w:tc>
        <w:tc>
          <w:tcPr>
            <w:tcW w:w="4064" w:type="dxa"/>
            <w:tcBorders>
              <w:top w:val="single" w:sz="4" w:space="0" w:color="004EA8" w:themeColor="accent1"/>
              <w:bottom w:val="single" w:sz="4" w:space="0" w:color="004EA8" w:themeColor="accent1"/>
            </w:tcBorders>
          </w:tcPr>
          <w:p w14:paraId="7A39B868" w14:textId="77777777"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Aligning terminology with the NQF will benefit the sector by having consistent terminology between children’s services a</w:t>
            </w:r>
            <w:r>
              <w:rPr>
                <w:rFonts w:cstheme="minorHAnsi"/>
              </w:rPr>
              <w:t>nd education and care services.</w:t>
            </w:r>
          </w:p>
          <w:p w14:paraId="136476FA" w14:textId="77777777"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 xml:space="preserve">The terminology of the NQF also recognises staff as ‘educators’ and their role of providing education </w:t>
            </w:r>
            <w:r w:rsidRPr="003311A9">
              <w:rPr>
                <w:rFonts w:cstheme="minorHAnsi"/>
                <w:u w:val="single"/>
              </w:rPr>
              <w:t>and</w:t>
            </w:r>
            <w:r w:rsidRPr="003311A9">
              <w:rPr>
                <w:rFonts w:cstheme="minorHAnsi"/>
              </w:rPr>
              <w:t xml:space="preserve"> care.</w:t>
            </w:r>
          </w:p>
        </w:tc>
      </w:tr>
      <w:tr w:rsidR="00281AFF" w:rsidRPr="003311A9" w14:paraId="242C54E3" w14:textId="77777777" w:rsidTr="00CE3509">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004EA8" w:themeColor="accent1"/>
              <w:bottom w:val="nil"/>
            </w:tcBorders>
          </w:tcPr>
          <w:p w14:paraId="60EA767B" w14:textId="77777777" w:rsidR="00281AFF" w:rsidRPr="003311A9" w:rsidRDefault="00281AFF" w:rsidP="00D55F3A">
            <w:pPr>
              <w:spacing w:after="60"/>
              <w:rPr>
                <w:rFonts w:cstheme="minorHAnsi"/>
              </w:rPr>
            </w:pPr>
            <w:r w:rsidRPr="003311A9">
              <w:rPr>
                <w:rFonts w:cstheme="minorHAnsi"/>
              </w:rPr>
              <w:t>Qualification level of staff</w:t>
            </w:r>
          </w:p>
        </w:tc>
        <w:tc>
          <w:tcPr>
            <w:tcW w:w="4063" w:type="dxa"/>
            <w:tcBorders>
              <w:top w:val="single" w:sz="4" w:space="0" w:color="004EA8" w:themeColor="accent1"/>
              <w:bottom w:val="nil"/>
            </w:tcBorders>
          </w:tcPr>
          <w:p w14:paraId="1DD043BF" w14:textId="77777777" w:rsidR="00281AFF" w:rsidRPr="002868EB"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b/>
              </w:rPr>
            </w:pPr>
            <w:r w:rsidRPr="002868EB">
              <w:rPr>
                <w:rFonts w:cstheme="minorHAnsi"/>
                <w:b/>
              </w:rPr>
              <w:t>Certificate III</w:t>
            </w:r>
          </w:p>
          <w:p w14:paraId="59C3C1EA" w14:textId="219A5472"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 xml:space="preserve">All staff members must hold at least a </w:t>
            </w:r>
            <w:r w:rsidR="004A30D6">
              <w:rPr>
                <w:rFonts w:cstheme="minorHAnsi"/>
              </w:rPr>
              <w:t>c</w:t>
            </w:r>
            <w:r w:rsidRPr="003311A9">
              <w:rPr>
                <w:rFonts w:cstheme="minorHAnsi"/>
              </w:rPr>
              <w:t>ertificate III</w:t>
            </w:r>
            <w:r w:rsidR="009D1E09">
              <w:rPr>
                <w:rFonts w:cstheme="minorHAnsi"/>
              </w:rPr>
              <w:t xml:space="preserve"> level qualification</w:t>
            </w:r>
          </w:p>
        </w:tc>
        <w:tc>
          <w:tcPr>
            <w:tcW w:w="4063" w:type="dxa"/>
            <w:tcBorders>
              <w:top w:val="single" w:sz="4" w:space="0" w:color="004EA8" w:themeColor="accent1"/>
              <w:bottom w:val="nil"/>
            </w:tcBorders>
          </w:tcPr>
          <w:p w14:paraId="744CA105" w14:textId="77777777" w:rsidR="00CE3509" w:rsidRPr="00CE3509" w:rsidRDefault="00CE3509" w:rsidP="00CE3509">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CE3509">
              <w:rPr>
                <w:rFonts w:cstheme="minorHAnsi"/>
              </w:rPr>
              <w:t>For services with a Limited Hours service approval:</w:t>
            </w:r>
          </w:p>
          <w:p w14:paraId="01AE6793" w14:textId="3ACA3753" w:rsidR="00281AFF" w:rsidRPr="00CE3509" w:rsidRDefault="00CE3509" w:rsidP="00CE3509">
            <w:pPr>
              <w:pStyle w:val="ListParagraph"/>
              <w:numPr>
                <w:ilvl w:val="0"/>
                <w:numId w:val="89"/>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 xml:space="preserve">All educators must have at least an approved </w:t>
            </w:r>
            <w:r>
              <w:rPr>
                <w:rFonts w:cstheme="minorHAnsi"/>
              </w:rPr>
              <w:t>c</w:t>
            </w:r>
            <w:r w:rsidRPr="003311A9">
              <w:rPr>
                <w:rFonts w:cstheme="minorHAnsi"/>
              </w:rPr>
              <w:t>ertificate III level education and care qualification [</w:t>
            </w:r>
            <w:r w:rsidRPr="003311A9">
              <w:rPr>
                <w:rFonts w:cstheme="minorHAnsi"/>
                <w:b/>
              </w:rPr>
              <w:t>Regulation 9</w:t>
            </w:r>
            <w:r>
              <w:rPr>
                <w:rFonts w:cstheme="minorHAnsi"/>
                <w:b/>
              </w:rPr>
              <w:t>2</w:t>
            </w:r>
            <w:r w:rsidRPr="003311A9">
              <w:rPr>
                <w:rFonts w:cstheme="minorHAnsi"/>
                <w:b/>
              </w:rPr>
              <w:t xml:space="preserve">, Definition of </w:t>
            </w:r>
            <w:r w:rsidRPr="003311A9">
              <w:rPr>
                <w:rFonts w:cstheme="minorHAnsi"/>
                <w:b/>
                <w:i/>
              </w:rPr>
              <w:t>approved certificate III level education and care qualification</w:t>
            </w:r>
            <w:r w:rsidRPr="003311A9">
              <w:rPr>
                <w:rFonts w:cstheme="minorHAnsi"/>
                <w:b/>
              </w:rPr>
              <w:t xml:space="preserve"> in Regulation 5</w:t>
            </w:r>
            <w:r w:rsidRPr="003311A9">
              <w:rPr>
                <w:rFonts w:cstheme="minorHAnsi"/>
              </w:rPr>
              <w:t>]</w:t>
            </w:r>
          </w:p>
        </w:tc>
        <w:tc>
          <w:tcPr>
            <w:tcW w:w="4064" w:type="dxa"/>
            <w:tcBorders>
              <w:top w:val="single" w:sz="4" w:space="0" w:color="004EA8" w:themeColor="accent1"/>
              <w:bottom w:val="nil"/>
            </w:tcBorders>
          </w:tcPr>
          <w:p w14:paraId="70BB6D57" w14:textId="77777777" w:rsidR="00CE3509" w:rsidRDefault="00CE3509" w:rsidP="00CE3509">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Only educators required to meet the relevant ratio requirements need a qualification.</w:t>
            </w:r>
          </w:p>
          <w:p w14:paraId="185106C9" w14:textId="77777777" w:rsidR="00CE3509" w:rsidRDefault="00CE3509" w:rsidP="00CE3509">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 xml:space="preserve">Limited Hours </w:t>
            </w:r>
            <w:r>
              <w:rPr>
                <w:rFonts w:cstheme="minorHAnsi"/>
              </w:rPr>
              <w:t>services are:</w:t>
            </w:r>
          </w:p>
          <w:p w14:paraId="59C7FC3C" w14:textId="77777777" w:rsidR="00CE3509" w:rsidRDefault="00CE3509" w:rsidP="00CE3509">
            <w:pPr>
              <w:pStyle w:val="ListParagraph"/>
              <w:numPr>
                <w:ilvl w:val="0"/>
                <w:numId w:val="51"/>
              </w:numPr>
              <w:spacing w:after="60"/>
              <w:cnfStyle w:val="000000000000" w:firstRow="0" w:lastRow="0" w:firstColumn="0" w:lastColumn="0" w:oddVBand="0" w:evenVBand="0" w:oddHBand="0" w:evenHBand="0" w:firstRowFirstColumn="0" w:firstRowLastColumn="0" w:lastRowFirstColumn="0" w:lastRowLastColumn="0"/>
              <w:rPr>
                <w:rFonts w:cstheme="minorHAnsi"/>
              </w:rPr>
            </w:pPr>
            <w:proofErr w:type="gramStart"/>
            <w:r w:rsidRPr="00CE3509">
              <w:rPr>
                <w:rFonts w:cstheme="minorHAnsi"/>
              </w:rPr>
              <w:t>required</w:t>
            </w:r>
            <w:proofErr w:type="gramEnd"/>
            <w:r w:rsidRPr="00CE3509">
              <w:rPr>
                <w:rFonts w:cstheme="minorHAnsi"/>
              </w:rPr>
              <w:t xml:space="preserve"> to maintain the status quo with educators to have at least a certificate III level education and care qualification. </w:t>
            </w:r>
          </w:p>
          <w:p w14:paraId="10D05A7E" w14:textId="775382A5" w:rsidR="00281AFF" w:rsidRPr="00CE3509" w:rsidRDefault="00CE3509" w:rsidP="00CE3509">
            <w:pPr>
              <w:pStyle w:val="ListParagraph"/>
              <w:numPr>
                <w:ilvl w:val="0"/>
                <w:numId w:val="51"/>
              </w:numPr>
              <w:spacing w:after="60"/>
              <w:cnfStyle w:val="000000000000" w:firstRow="0" w:lastRow="0" w:firstColumn="0" w:lastColumn="0" w:oddVBand="0" w:evenVBand="0" w:oddHBand="0" w:evenHBand="0" w:firstRowFirstColumn="0" w:firstRowLastColumn="0" w:lastRowFirstColumn="0" w:lastRowLastColumn="0"/>
              <w:rPr>
                <w:rFonts w:cstheme="minorHAnsi"/>
              </w:rPr>
            </w:pPr>
            <w:proofErr w:type="gramStart"/>
            <w:r w:rsidRPr="00CE3509">
              <w:rPr>
                <w:rFonts w:cstheme="minorHAnsi"/>
              </w:rPr>
              <w:t>not</w:t>
            </w:r>
            <w:proofErr w:type="gramEnd"/>
            <w:r w:rsidRPr="00CE3509">
              <w:rPr>
                <w:rFonts w:cstheme="minorHAnsi"/>
              </w:rPr>
              <w:t xml:space="preserve"> required to employ a diploma qualified educator or early childhood teacher.</w:t>
            </w:r>
          </w:p>
        </w:tc>
      </w:tr>
      <w:tr w:rsidR="00CE3509" w:rsidRPr="003311A9" w14:paraId="35707340" w14:textId="77777777" w:rsidTr="00CE3509">
        <w:tc>
          <w:tcPr>
            <w:cnfStyle w:val="001000000000" w:firstRow="0" w:lastRow="0" w:firstColumn="1" w:lastColumn="0" w:oddVBand="0" w:evenVBand="0" w:oddHBand="0" w:evenHBand="0" w:firstRowFirstColumn="0" w:firstRowLastColumn="0" w:lastRowFirstColumn="0" w:lastRowLastColumn="0"/>
            <w:tcW w:w="1555" w:type="dxa"/>
            <w:tcBorders>
              <w:top w:val="nil"/>
            </w:tcBorders>
          </w:tcPr>
          <w:p w14:paraId="034B59D9" w14:textId="77777777" w:rsidR="00CE3509" w:rsidRPr="003311A9" w:rsidRDefault="00CE3509" w:rsidP="00D55F3A">
            <w:pPr>
              <w:spacing w:after="60"/>
              <w:rPr>
                <w:rFonts w:cstheme="minorHAnsi"/>
              </w:rPr>
            </w:pPr>
          </w:p>
        </w:tc>
        <w:tc>
          <w:tcPr>
            <w:tcW w:w="4063" w:type="dxa"/>
            <w:tcBorders>
              <w:top w:val="nil"/>
              <w:bottom w:val="single" w:sz="4" w:space="0" w:color="004EA8" w:themeColor="accent1"/>
            </w:tcBorders>
          </w:tcPr>
          <w:p w14:paraId="7CC27D58" w14:textId="389C1DD5" w:rsidR="00CE3509" w:rsidRPr="00CE3509" w:rsidRDefault="00CE3509" w:rsidP="00CE3509">
            <w:pPr>
              <w:spacing w:after="60"/>
              <w:cnfStyle w:val="000000000000" w:firstRow="0" w:lastRow="0" w:firstColumn="0" w:lastColumn="0" w:oddVBand="0" w:evenVBand="0" w:oddHBand="0" w:evenHBand="0" w:firstRowFirstColumn="0" w:firstRowLastColumn="0" w:lastRowFirstColumn="0" w:lastRowLastColumn="0"/>
              <w:rPr>
                <w:rFonts w:cstheme="minorHAnsi"/>
              </w:rPr>
            </w:pPr>
          </w:p>
        </w:tc>
        <w:tc>
          <w:tcPr>
            <w:tcW w:w="4063" w:type="dxa"/>
            <w:tcBorders>
              <w:top w:val="nil"/>
              <w:bottom w:val="single" w:sz="4" w:space="0" w:color="004EA8" w:themeColor="accent1"/>
            </w:tcBorders>
          </w:tcPr>
          <w:p w14:paraId="6753E64D" w14:textId="77777777" w:rsidR="00CE3509" w:rsidRPr="003311A9" w:rsidRDefault="00CE3509" w:rsidP="00CE3509">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For services with an Occasional Care service approval:</w:t>
            </w:r>
          </w:p>
          <w:p w14:paraId="18B6F33D" w14:textId="77777777" w:rsidR="00CE3509" w:rsidRPr="003311A9" w:rsidRDefault="00CE3509" w:rsidP="00CE3509">
            <w:pPr>
              <w:pStyle w:val="ListParagraph"/>
              <w:numPr>
                <w:ilvl w:val="0"/>
                <w:numId w:val="89"/>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 xml:space="preserve">All educators required to meet the relevant </w:t>
            </w:r>
            <w:r>
              <w:rPr>
                <w:rFonts w:cstheme="minorHAnsi"/>
              </w:rPr>
              <w:t xml:space="preserve">staff to child </w:t>
            </w:r>
            <w:r w:rsidRPr="003311A9">
              <w:rPr>
                <w:rFonts w:cstheme="minorHAnsi"/>
              </w:rPr>
              <w:t xml:space="preserve">ratios (calculated across the service) must have or be ‘actively working towards’ at least an approved </w:t>
            </w:r>
            <w:r>
              <w:rPr>
                <w:rFonts w:cstheme="minorHAnsi"/>
              </w:rPr>
              <w:t>c</w:t>
            </w:r>
            <w:r w:rsidRPr="003311A9">
              <w:rPr>
                <w:rFonts w:cstheme="minorHAnsi"/>
              </w:rPr>
              <w:t xml:space="preserve">ertificate III </w:t>
            </w:r>
            <w:r>
              <w:rPr>
                <w:rFonts w:cstheme="minorHAnsi"/>
              </w:rPr>
              <w:t xml:space="preserve">level education and care </w:t>
            </w:r>
            <w:r w:rsidRPr="003311A9">
              <w:rPr>
                <w:rFonts w:cstheme="minorHAnsi"/>
              </w:rPr>
              <w:t>qualification [</w:t>
            </w:r>
            <w:r w:rsidRPr="003311A9">
              <w:rPr>
                <w:rFonts w:cstheme="minorHAnsi"/>
                <w:b/>
              </w:rPr>
              <w:t xml:space="preserve">Regulations </w:t>
            </w:r>
            <w:r>
              <w:rPr>
                <w:rFonts w:cstheme="minorHAnsi"/>
                <w:b/>
              </w:rPr>
              <w:t>8</w:t>
            </w:r>
            <w:r w:rsidRPr="003311A9">
              <w:rPr>
                <w:rFonts w:cstheme="minorHAnsi"/>
                <w:b/>
              </w:rPr>
              <w:t xml:space="preserve">, </w:t>
            </w:r>
            <w:r>
              <w:rPr>
                <w:rFonts w:cstheme="minorHAnsi"/>
                <w:b/>
              </w:rPr>
              <w:t xml:space="preserve">91, </w:t>
            </w:r>
            <w:r w:rsidRPr="003311A9">
              <w:rPr>
                <w:rFonts w:cstheme="minorHAnsi"/>
                <w:b/>
              </w:rPr>
              <w:t>9</w:t>
            </w:r>
            <w:r>
              <w:rPr>
                <w:rFonts w:cstheme="minorHAnsi"/>
                <w:b/>
              </w:rPr>
              <w:t>3</w:t>
            </w:r>
            <w:r w:rsidRPr="003311A9">
              <w:rPr>
                <w:rFonts w:cstheme="minorHAnsi"/>
              </w:rPr>
              <w:t>]</w:t>
            </w:r>
          </w:p>
          <w:p w14:paraId="4C4F9CEB" w14:textId="3D9E27C7" w:rsidR="00CE3509" w:rsidRPr="003311A9" w:rsidRDefault="00CE3509" w:rsidP="00CE3509">
            <w:pPr>
              <w:pStyle w:val="ListParagraph"/>
              <w:numPr>
                <w:ilvl w:val="0"/>
                <w:numId w:val="89"/>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 xml:space="preserve">Educators who have not yet commenced study can be counted in ratios during a probationary period of three months prior to their enrolment in at least a </w:t>
            </w:r>
            <w:r>
              <w:rPr>
                <w:rFonts w:cstheme="minorHAnsi"/>
              </w:rPr>
              <w:t>c</w:t>
            </w:r>
            <w:r w:rsidRPr="003311A9">
              <w:rPr>
                <w:rFonts w:cstheme="minorHAnsi"/>
              </w:rPr>
              <w:t xml:space="preserve">ertificate III </w:t>
            </w:r>
            <w:r>
              <w:rPr>
                <w:rFonts w:cstheme="minorHAnsi"/>
              </w:rPr>
              <w:t xml:space="preserve">level education and care </w:t>
            </w:r>
            <w:r w:rsidRPr="003311A9">
              <w:rPr>
                <w:rFonts w:cstheme="minorHAnsi"/>
              </w:rPr>
              <w:t>qualification</w:t>
            </w:r>
            <w:r>
              <w:rPr>
                <w:rFonts w:cstheme="minorHAnsi"/>
              </w:rPr>
              <w:t xml:space="preserve"> [</w:t>
            </w:r>
            <w:r w:rsidRPr="003311A9">
              <w:rPr>
                <w:rFonts w:cstheme="minorHAnsi"/>
                <w:b/>
              </w:rPr>
              <w:t>Subregulation 9</w:t>
            </w:r>
            <w:r>
              <w:rPr>
                <w:rFonts w:cstheme="minorHAnsi"/>
                <w:b/>
              </w:rPr>
              <w:t>1</w:t>
            </w:r>
            <w:r w:rsidRPr="003311A9">
              <w:rPr>
                <w:rFonts w:cstheme="minorHAnsi"/>
                <w:b/>
              </w:rPr>
              <w:t>(2)</w:t>
            </w:r>
            <w:r>
              <w:rPr>
                <w:rFonts w:cstheme="minorHAnsi"/>
              </w:rPr>
              <w:t>]</w:t>
            </w:r>
          </w:p>
        </w:tc>
        <w:tc>
          <w:tcPr>
            <w:tcW w:w="4064" w:type="dxa"/>
            <w:tcBorders>
              <w:top w:val="nil"/>
              <w:bottom w:val="single" w:sz="4" w:space="0" w:color="004EA8" w:themeColor="accent1"/>
            </w:tcBorders>
          </w:tcPr>
          <w:p w14:paraId="23D51407" w14:textId="77777777" w:rsidR="00CE3509" w:rsidRDefault="00CE3509" w:rsidP="00CE3509">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Only educators required to meet the relevant ratio requirements need a qualification.</w:t>
            </w:r>
          </w:p>
          <w:p w14:paraId="2543CF32" w14:textId="57051C75" w:rsidR="00CE3509" w:rsidRDefault="00CE3509" w:rsidP="00CE3509">
            <w:pPr>
              <w:spacing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Enables</w:t>
            </w:r>
            <w:r w:rsidRPr="003311A9">
              <w:rPr>
                <w:rFonts w:cstheme="minorHAnsi"/>
              </w:rPr>
              <w:t xml:space="preserve"> educators</w:t>
            </w:r>
            <w:r>
              <w:rPr>
                <w:rFonts w:cstheme="minorHAnsi"/>
              </w:rPr>
              <w:t xml:space="preserve"> (including volunteers and students)</w:t>
            </w:r>
            <w:r w:rsidRPr="003311A9">
              <w:rPr>
                <w:rFonts w:cstheme="minorHAnsi"/>
              </w:rPr>
              <w:t xml:space="preserve"> </w:t>
            </w:r>
            <w:r>
              <w:rPr>
                <w:rFonts w:cstheme="minorHAnsi"/>
              </w:rPr>
              <w:t>who</w:t>
            </w:r>
            <w:r w:rsidRPr="003311A9">
              <w:rPr>
                <w:rFonts w:cstheme="minorHAnsi"/>
              </w:rPr>
              <w:t xml:space="preserve"> are ‘actively working towards’ an approved </w:t>
            </w:r>
            <w:r>
              <w:rPr>
                <w:rFonts w:cstheme="minorHAnsi"/>
              </w:rPr>
              <w:t>c</w:t>
            </w:r>
            <w:r w:rsidRPr="003311A9">
              <w:rPr>
                <w:rFonts w:cstheme="minorHAnsi"/>
              </w:rPr>
              <w:t xml:space="preserve">ertificate III </w:t>
            </w:r>
            <w:r>
              <w:rPr>
                <w:rFonts w:cstheme="minorHAnsi"/>
              </w:rPr>
              <w:t xml:space="preserve">level education and care </w:t>
            </w:r>
            <w:r w:rsidRPr="003311A9">
              <w:rPr>
                <w:rFonts w:cstheme="minorHAnsi"/>
              </w:rPr>
              <w:t>qualification</w:t>
            </w:r>
            <w:r>
              <w:rPr>
                <w:rFonts w:cstheme="minorHAnsi"/>
              </w:rPr>
              <w:t xml:space="preserve"> to be counted in staff to child ratios</w:t>
            </w:r>
            <w:r w:rsidRPr="003311A9">
              <w:rPr>
                <w:rFonts w:cstheme="minorHAnsi"/>
              </w:rPr>
              <w:t>.</w:t>
            </w:r>
          </w:p>
        </w:tc>
      </w:tr>
      <w:tr w:rsidR="00281AFF" w:rsidRPr="003311A9" w14:paraId="26EF8B35" w14:textId="77777777" w:rsidTr="006C4D5D">
        <w:tc>
          <w:tcPr>
            <w:cnfStyle w:val="001000000000" w:firstRow="0" w:lastRow="0" w:firstColumn="1" w:lastColumn="0" w:oddVBand="0" w:evenVBand="0" w:oddHBand="0" w:evenHBand="0" w:firstRowFirstColumn="0" w:firstRowLastColumn="0" w:lastRowFirstColumn="0" w:lastRowLastColumn="0"/>
            <w:tcW w:w="1555" w:type="dxa"/>
          </w:tcPr>
          <w:p w14:paraId="53C15C62" w14:textId="77777777" w:rsidR="00281AFF" w:rsidRPr="003311A9" w:rsidRDefault="00281AFF" w:rsidP="00D55F3A">
            <w:pPr>
              <w:spacing w:after="60"/>
              <w:rPr>
                <w:rFonts w:cstheme="minorHAnsi"/>
              </w:rPr>
            </w:pPr>
          </w:p>
        </w:tc>
        <w:tc>
          <w:tcPr>
            <w:tcW w:w="4063" w:type="dxa"/>
            <w:tcBorders>
              <w:top w:val="single" w:sz="4" w:space="0" w:color="004EA8" w:themeColor="accent1"/>
              <w:bottom w:val="single" w:sz="4" w:space="0" w:color="004EA8" w:themeColor="accent1"/>
            </w:tcBorders>
          </w:tcPr>
          <w:p w14:paraId="3C02063A" w14:textId="77777777" w:rsidR="00281AFF" w:rsidRPr="002868EB"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b/>
              </w:rPr>
            </w:pPr>
            <w:r w:rsidRPr="002868EB">
              <w:rPr>
                <w:rFonts w:cstheme="minorHAnsi"/>
                <w:b/>
              </w:rPr>
              <w:t>Diploma</w:t>
            </w:r>
          </w:p>
          <w:p w14:paraId="34B5A4C1" w14:textId="3AF34A48" w:rsidR="00281AFF" w:rsidRPr="003311A9" w:rsidRDefault="00281AFF" w:rsidP="002806C5">
            <w:pPr>
              <w:pStyle w:val="ListParagraph"/>
              <w:numPr>
                <w:ilvl w:val="0"/>
                <w:numId w:val="89"/>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For children under 3</w:t>
            </w:r>
            <w:r w:rsidR="00F50A01">
              <w:rPr>
                <w:rFonts w:cstheme="minorHAnsi"/>
              </w:rPr>
              <w:t xml:space="preserve"> years old</w:t>
            </w:r>
            <w:r w:rsidRPr="003311A9">
              <w:rPr>
                <w:rFonts w:cstheme="minorHAnsi"/>
              </w:rPr>
              <w:t xml:space="preserve">, at least 1 in 3 staff members must hold a </w:t>
            </w:r>
            <w:r w:rsidR="004A30D6">
              <w:rPr>
                <w:rFonts w:cstheme="minorHAnsi"/>
              </w:rPr>
              <w:t>d</w:t>
            </w:r>
            <w:r w:rsidRPr="003311A9">
              <w:rPr>
                <w:rFonts w:cstheme="minorHAnsi"/>
              </w:rPr>
              <w:t>iploma</w:t>
            </w:r>
            <w:r w:rsidR="00EC34E2">
              <w:rPr>
                <w:rFonts w:cstheme="minorHAnsi"/>
              </w:rPr>
              <w:t xml:space="preserve"> level qualification</w:t>
            </w:r>
            <w:r w:rsidRPr="003311A9">
              <w:rPr>
                <w:rFonts w:cstheme="minorHAnsi"/>
              </w:rPr>
              <w:t xml:space="preserve"> or above</w:t>
            </w:r>
          </w:p>
          <w:p w14:paraId="377E571B" w14:textId="0DB0E676" w:rsidR="00281AFF" w:rsidRPr="003311A9" w:rsidRDefault="00281AFF" w:rsidP="002806C5">
            <w:pPr>
              <w:pStyle w:val="ListParagraph"/>
              <w:numPr>
                <w:ilvl w:val="0"/>
                <w:numId w:val="89"/>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lastRenderedPageBreak/>
              <w:t>For children aged 3</w:t>
            </w:r>
            <w:r w:rsidR="00F50A01">
              <w:rPr>
                <w:rFonts w:cstheme="minorHAnsi"/>
              </w:rPr>
              <w:t xml:space="preserve"> years old</w:t>
            </w:r>
            <w:r w:rsidRPr="003311A9">
              <w:rPr>
                <w:rFonts w:cstheme="minorHAnsi"/>
              </w:rPr>
              <w:t xml:space="preserve"> and over, at least 1 in 2 staff members must hold a </w:t>
            </w:r>
            <w:r w:rsidR="004A30D6">
              <w:rPr>
                <w:rFonts w:cstheme="minorHAnsi"/>
              </w:rPr>
              <w:t>d</w:t>
            </w:r>
            <w:r w:rsidRPr="003311A9">
              <w:rPr>
                <w:rFonts w:cstheme="minorHAnsi"/>
              </w:rPr>
              <w:t xml:space="preserve">iploma </w:t>
            </w:r>
            <w:r w:rsidR="00EC34E2">
              <w:rPr>
                <w:rFonts w:cstheme="minorHAnsi"/>
              </w:rPr>
              <w:t xml:space="preserve">level qualification </w:t>
            </w:r>
            <w:r w:rsidRPr="003311A9">
              <w:rPr>
                <w:rFonts w:cstheme="minorHAnsi"/>
              </w:rPr>
              <w:t xml:space="preserve">or above </w:t>
            </w:r>
          </w:p>
          <w:p w14:paraId="04E07C3B" w14:textId="76099C3C" w:rsidR="00281AFF" w:rsidRPr="003311A9" w:rsidRDefault="00281AFF" w:rsidP="002806C5">
            <w:pPr>
              <w:pStyle w:val="ListParagraph"/>
              <w:numPr>
                <w:ilvl w:val="0"/>
                <w:numId w:val="89"/>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 xml:space="preserve">Services holding a Limited Hours type 1 and Short-term type 2 licence do not have to engage </w:t>
            </w:r>
            <w:r w:rsidR="004A30D6">
              <w:rPr>
                <w:rFonts w:cstheme="minorHAnsi"/>
              </w:rPr>
              <w:t>d</w:t>
            </w:r>
            <w:r w:rsidRPr="003311A9">
              <w:rPr>
                <w:rFonts w:cstheme="minorHAnsi"/>
              </w:rPr>
              <w:t>iploma qualified staff</w:t>
            </w:r>
          </w:p>
        </w:tc>
        <w:tc>
          <w:tcPr>
            <w:tcW w:w="4063" w:type="dxa"/>
            <w:tcBorders>
              <w:top w:val="single" w:sz="4" w:space="0" w:color="004EA8" w:themeColor="accent1"/>
              <w:bottom w:val="single" w:sz="4" w:space="0" w:color="004EA8" w:themeColor="accent1"/>
            </w:tcBorders>
          </w:tcPr>
          <w:p w14:paraId="330A999C" w14:textId="666CAA58"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lastRenderedPageBreak/>
              <w:t xml:space="preserve">For services with an </w:t>
            </w:r>
            <w:r w:rsidR="00F50A01" w:rsidRPr="003311A9">
              <w:rPr>
                <w:rFonts w:cstheme="minorHAnsi"/>
              </w:rPr>
              <w:t xml:space="preserve">Occasional Care </w:t>
            </w:r>
            <w:r w:rsidRPr="003311A9">
              <w:rPr>
                <w:rFonts w:cstheme="minorHAnsi"/>
              </w:rPr>
              <w:t>service approval:</w:t>
            </w:r>
          </w:p>
          <w:p w14:paraId="38B3B5A9" w14:textId="5CE23B2C" w:rsidR="00281AFF" w:rsidRPr="003311A9" w:rsidRDefault="00281AFF" w:rsidP="004A30D6">
            <w:pPr>
              <w:pStyle w:val="ListParagraph"/>
              <w:numPr>
                <w:ilvl w:val="0"/>
                <w:numId w:val="89"/>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At least 50</w:t>
            </w:r>
            <w:r w:rsidR="004A30D6">
              <w:rPr>
                <w:rFonts w:cstheme="minorHAnsi"/>
              </w:rPr>
              <w:t>%</w:t>
            </w:r>
            <w:r w:rsidRPr="003311A9">
              <w:rPr>
                <w:rFonts w:cstheme="minorHAnsi"/>
              </w:rPr>
              <w:t xml:space="preserve"> of educators required to meet the relevant ratio requirements (calculated across the service) must have or be </w:t>
            </w:r>
            <w:r w:rsidRPr="003311A9">
              <w:rPr>
                <w:rFonts w:cstheme="minorHAnsi"/>
              </w:rPr>
              <w:lastRenderedPageBreak/>
              <w:t xml:space="preserve">‘actively working towards’ at least an approved </w:t>
            </w:r>
            <w:r w:rsidR="004A30D6">
              <w:rPr>
                <w:rFonts w:cstheme="minorHAnsi"/>
              </w:rPr>
              <w:t>d</w:t>
            </w:r>
            <w:r w:rsidRPr="003311A9">
              <w:rPr>
                <w:rFonts w:cstheme="minorHAnsi"/>
              </w:rPr>
              <w:t>iploma level qualification [</w:t>
            </w:r>
            <w:r w:rsidRPr="005469C9">
              <w:rPr>
                <w:rFonts w:cstheme="minorHAnsi"/>
                <w:b/>
              </w:rPr>
              <w:t>Regulation 9</w:t>
            </w:r>
            <w:r w:rsidR="009D1E09">
              <w:rPr>
                <w:rFonts w:cstheme="minorHAnsi"/>
                <w:b/>
              </w:rPr>
              <w:t>1</w:t>
            </w:r>
            <w:r w:rsidRPr="003311A9">
              <w:rPr>
                <w:rFonts w:cstheme="minorHAnsi"/>
              </w:rPr>
              <w:t>]</w:t>
            </w:r>
          </w:p>
        </w:tc>
        <w:tc>
          <w:tcPr>
            <w:tcW w:w="4064" w:type="dxa"/>
            <w:tcBorders>
              <w:top w:val="single" w:sz="4" w:space="0" w:color="004EA8" w:themeColor="accent1"/>
              <w:bottom w:val="single" w:sz="4" w:space="0" w:color="004EA8" w:themeColor="accent1"/>
            </w:tcBorders>
          </w:tcPr>
          <w:p w14:paraId="5E5F85FE" w14:textId="77777777" w:rsidR="00F50A01"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lastRenderedPageBreak/>
              <w:t xml:space="preserve">Takes into account educators that are ‘actively working towards’ a required qualification. </w:t>
            </w:r>
          </w:p>
          <w:p w14:paraId="614CF2E1" w14:textId="434BE59C"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Only educators required to meet the relevant ratio requirements need a qualification.</w:t>
            </w:r>
          </w:p>
          <w:p w14:paraId="600E7D73" w14:textId="3D913DEA"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lastRenderedPageBreak/>
              <w:t xml:space="preserve">There is no requirement to employ a diploma qualified educator or early childhood teacher for </w:t>
            </w:r>
            <w:r w:rsidR="004A30D6" w:rsidRPr="003311A9">
              <w:rPr>
                <w:rFonts w:cstheme="minorHAnsi"/>
              </w:rPr>
              <w:t xml:space="preserve">Limited Hours </w:t>
            </w:r>
            <w:r w:rsidRPr="003311A9">
              <w:rPr>
                <w:rFonts w:cstheme="minorHAnsi"/>
              </w:rPr>
              <w:t>services.</w:t>
            </w:r>
          </w:p>
        </w:tc>
      </w:tr>
      <w:tr w:rsidR="00281AFF" w:rsidRPr="003311A9" w14:paraId="700B9195" w14:textId="77777777" w:rsidTr="006C4D5D">
        <w:tc>
          <w:tcPr>
            <w:cnfStyle w:val="001000000000" w:firstRow="0" w:lastRow="0" w:firstColumn="1" w:lastColumn="0" w:oddVBand="0" w:evenVBand="0" w:oddHBand="0" w:evenHBand="0" w:firstRowFirstColumn="0" w:firstRowLastColumn="0" w:lastRowFirstColumn="0" w:lastRowLastColumn="0"/>
            <w:tcW w:w="1555" w:type="dxa"/>
          </w:tcPr>
          <w:p w14:paraId="4EBC2F58" w14:textId="1FD31412" w:rsidR="00281AFF" w:rsidRPr="003311A9" w:rsidRDefault="00281AFF" w:rsidP="00D55F3A">
            <w:pPr>
              <w:spacing w:after="60"/>
              <w:rPr>
                <w:rFonts w:cstheme="minorHAnsi"/>
              </w:rPr>
            </w:pPr>
          </w:p>
        </w:tc>
        <w:tc>
          <w:tcPr>
            <w:tcW w:w="4063" w:type="dxa"/>
            <w:tcBorders>
              <w:top w:val="single" w:sz="4" w:space="0" w:color="004EA8" w:themeColor="accent1"/>
              <w:bottom w:val="single" w:sz="4" w:space="0" w:color="004EA8" w:themeColor="accent1"/>
            </w:tcBorders>
          </w:tcPr>
          <w:p w14:paraId="24711A90" w14:textId="77777777"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b/>
              </w:rPr>
            </w:pPr>
            <w:r w:rsidRPr="003311A9">
              <w:rPr>
                <w:rFonts w:cstheme="minorHAnsi"/>
                <w:b/>
              </w:rPr>
              <w:t>Early childhood teacher</w:t>
            </w:r>
          </w:p>
          <w:p w14:paraId="2214C6C1" w14:textId="77777777" w:rsidR="00281AFF" w:rsidRPr="005469C9" w:rsidRDefault="00281AFF" w:rsidP="002806C5">
            <w:pPr>
              <w:pStyle w:val="ListParagraph"/>
              <w:numPr>
                <w:ilvl w:val="0"/>
                <w:numId w:val="90"/>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5469C9">
              <w:rPr>
                <w:rFonts w:cstheme="minorHAnsi"/>
              </w:rPr>
              <w:t>Early childhood teachers hold at least a degree level qualification</w:t>
            </w:r>
          </w:p>
          <w:p w14:paraId="121995AF" w14:textId="77777777" w:rsidR="00281AFF" w:rsidRPr="005469C9" w:rsidRDefault="00281AFF" w:rsidP="002806C5">
            <w:pPr>
              <w:pStyle w:val="ListParagraph"/>
              <w:numPr>
                <w:ilvl w:val="0"/>
                <w:numId w:val="90"/>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5469C9">
              <w:rPr>
                <w:rFonts w:cstheme="minorHAnsi"/>
              </w:rPr>
              <w:t>Services holding a Standard licence approved to care for fewer than 25 children must have access to at least one early childhood teacher for at least 20% of the time the service is operating</w:t>
            </w:r>
          </w:p>
          <w:p w14:paraId="7A901D8F" w14:textId="5ACA96BC" w:rsidR="00281AFF" w:rsidRPr="005469C9" w:rsidRDefault="00281AFF" w:rsidP="002806C5">
            <w:pPr>
              <w:pStyle w:val="ListParagraph"/>
              <w:numPr>
                <w:ilvl w:val="0"/>
                <w:numId w:val="90"/>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5469C9">
              <w:rPr>
                <w:rFonts w:cstheme="minorHAnsi"/>
              </w:rPr>
              <w:t xml:space="preserve">Services holding a Standard licence approved to care for 25 or more children must </w:t>
            </w:r>
            <w:r w:rsidRPr="00F7751B">
              <w:rPr>
                <w:rFonts w:cstheme="minorHAnsi"/>
              </w:rPr>
              <w:t>ensure</w:t>
            </w:r>
            <w:r w:rsidRPr="005469C9">
              <w:rPr>
                <w:rFonts w:cstheme="minorHAnsi"/>
              </w:rPr>
              <w:t xml:space="preserve"> an </w:t>
            </w:r>
            <w:r w:rsidR="004A30D6" w:rsidRPr="005469C9">
              <w:rPr>
                <w:rFonts w:cstheme="minorHAnsi"/>
              </w:rPr>
              <w:t xml:space="preserve">early childhood teacher </w:t>
            </w:r>
            <w:r w:rsidRPr="005469C9">
              <w:rPr>
                <w:rFonts w:cstheme="minorHAnsi"/>
              </w:rPr>
              <w:t>for at least the lesser of 50% of the operating hours or 20 hours a week</w:t>
            </w:r>
          </w:p>
        </w:tc>
        <w:tc>
          <w:tcPr>
            <w:tcW w:w="4063" w:type="dxa"/>
            <w:tcBorders>
              <w:top w:val="single" w:sz="4" w:space="0" w:color="004EA8" w:themeColor="accent1"/>
              <w:bottom w:val="single" w:sz="4" w:space="0" w:color="004EA8" w:themeColor="accent1"/>
            </w:tcBorders>
          </w:tcPr>
          <w:p w14:paraId="05CADFA1" w14:textId="00EF550B"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 xml:space="preserve">For </w:t>
            </w:r>
            <w:r w:rsidR="004A30D6" w:rsidRPr="00CA51E7">
              <w:rPr>
                <w:rFonts w:cstheme="minorHAnsi"/>
              </w:rPr>
              <w:t>Occasional Care</w:t>
            </w:r>
            <w:r w:rsidRPr="00CA51E7">
              <w:rPr>
                <w:rFonts w:cstheme="minorHAnsi"/>
              </w:rPr>
              <w:t xml:space="preserve"> services</w:t>
            </w:r>
            <w:r w:rsidRPr="003311A9">
              <w:rPr>
                <w:rFonts w:cstheme="minorHAnsi"/>
              </w:rPr>
              <w:t xml:space="preserve"> providing care to any child for more than 30 hours per week on average over any given four week period:</w:t>
            </w:r>
          </w:p>
          <w:p w14:paraId="52F1CD86" w14:textId="6E04F74D" w:rsidR="00281AFF" w:rsidRPr="005469C9" w:rsidRDefault="00281AFF" w:rsidP="004A30D6">
            <w:pPr>
              <w:pStyle w:val="ListParagraph"/>
              <w:numPr>
                <w:ilvl w:val="0"/>
                <w:numId w:val="89"/>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5469C9">
              <w:rPr>
                <w:rFonts w:cstheme="minorHAnsi"/>
              </w:rPr>
              <w:t>Must have an early childhood teacher in attendance for at least 50</w:t>
            </w:r>
            <w:r w:rsidR="004A30D6">
              <w:rPr>
                <w:rFonts w:cstheme="minorHAnsi"/>
              </w:rPr>
              <w:t>%</w:t>
            </w:r>
            <w:r w:rsidRPr="005469C9">
              <w:rPr>
                <w:rFonts w:cstheme="minorHAnsi"/>
              </w:rPr>
              <w:t xml:space="preserve"> of the time the service is operating or 20 hours per week (whichever is lower) [</w:t>
            </w:r>
            <w:r w:rsidRPr="005469C9">
              <w:rPr>
                <w:rFonts w:cstheme="minorHAnsi"/>
                <w:b/>
              </w:rPr>
              <w:t>Regulation 9</w:t>
            </w:r>
            <w:r w:rsidR="009D1E09">
              <w:rPr>
                <w:rFonts w:cstheme="minorHAnsi"/>
                <w:b/>
              </w:rPr>
              <w:t>3</w:t>
            </w:r>
            <w:r w:rsidRPr="005469C9">
              <w:rPr>
                <w:rFonts w:cstheme="minorHAnsi"/>
              </w:rPr>
              <w:t>]</w:t>
            </w:r>
          </w:p>
        </w:tc>
        <w:tc>
          <w:tcPr>
            <w:tcW w:w="4064" w:type="dxa"/>
            <w:tcBorders>
              <w:top w:val="single" w:sz="4" w:space="0" w:color="004EA8" w:themeColor="accent1"/>
              <w:bottom w:val="single" w:sz="4" w:space="0" w:color="004EA8" w:themeColor="accent1"/>
            </w:tcBorders>
          </w:tcPr>
          <w:p w14:paraId="216663B3" w14:textId="29799F2B" w:rsidR="00281AFF" w:rsidRPr="003311A9" w:rsidRDefault="00281AFF" w:rsidP="004A30D6">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 xml:space="preserve">Only services providing care for any child for more than 30 hours </w:t>
            </w:r>
            <w:r w:rsidR="004A30D6">
              <w:rPr>
                <w:rFonts w:cstheme="minorHAnsi"/>
              </w:rPr>
              <w:t>per</w:t>
            </w:r>
            <w:r w:rsidR="004A30D6" w:rsidRPr="003311A9">
              <w:rPr>
                <w:rFonts w:cstheme="minorHAnsi"/>
              </w:rPr>
              <w:t xml:space="preserve"> </w:t>
            </w:r>
            <w:r w:rsidRPr="003311A9">
              <w:rPr>
                <w:rFonts w:cstheme="minorHAnsi"/>
              </w:rPr>
              <w:t>week need to meet early childhood teacher requirements.</w:t>
            </w:r>
          </w:p>
        </w:tc>
      </w:tr>
      <w:tr w:rsidR="00281AFF" w:rsidRPr="003311A9" w14:paraId="59EDD1D8" w14:textId="77777777" w:rsidTr="006C4D5D">
        <w:tc>
          <w:tcPr>
            <w:cnfStyle w:val="001000000000" w:firstRow="0" w:lastRow="0" w:firstColumn="1" w:lastColumn="0" w:oddVBand="0" w:evenVBand="0" w:oddHBand="0" w:evenHBand="0" w:firstRowFirstColumn="0" w:firstRowLastColumn="0" w:lastRowFirstColumn="0" w:lastRowLastColumn="0"/>
            <w:tcW w:w="1555" w:type="dxa"/>
            <w:tcBorders>
              <w:bottom w:val="single" w:sz="4" w:space="0" w:color="004EA8" w:themeColor="accent1"/>
            </w:tcBorders>
          </w:tcPr>
          <w:p w14:paraId="06DCECE1" w14:textId="77777777" w:rsidR="00281AFF" w:rsidRPr="003311A9" w:rsidRDefault="00281AFF" w:rsidP="00D55F3A">
            <w:pPr>
              <w:spacing w:after="60"/>
              <w:rPr>
                <w:rFonts w:cstheme="minorHAnsi"/>
              </w:rPr>
            </w:pPr>
          </w:p>
        </w:tc>
        <w:tc>
          <w:tcPr>
            <w:tcW w:w="4063" w:type="dxa"/>
            <w:tcBorders>
              <w:top w:val="single" w:sz="4" w:space="0" w:color="004EA8" w:themeColor="accent1"/>
              <w:bottom w:val="single" w:sz="4" w:space="0" w:color="004EA8" w:themeColor="accent1"/>
            </w:tcBorders>
          </w:tcPr>
          <w:p w14:paraId="64782F01" w14:textId="77777777"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N/A</w:t>
            </w:r>
          </w:p>
        </w:tc>
        <w:tc>
          <w:tcPr>
            <w:tcW w:w="4063" w:type="dxa"/>
            <w:tcBorders>
              <w:top w:val="single" w:sz="4" w:space="0" w:color="004EA8" w:themeColor="accent1"/>
              <w:bottom w:val="single" w:sz="4" w:space="0" w:color="004EA8" w:themeColor="accent1"/>
            </w:tcBorders>
          </w:tcPr>
          <w:p w14:paraId="71B02D33" w14:textId="6895F0E3" w:rsidR="00281AFF" w:rsidRPr="003311A9" w:rsidRDefault="00281AFF" w:rsidP="004A30D6">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For all services, the staff record must include details about the volunteer/student, as well as details of participation in the children’s service, given educators ‘actively working towards’ a qualification can be counted as staff [</w:t>
            </w:r>
            <w:r w:rsidRPr="005469C9">
              <w:rPr>
                <w:rFonts w:cstheme="minorHAnsi"/>
                <w:b/>
              </w:rPr>
              <w:t>Regulation 9</w:t>
            </w:r>
            <w:r w:rsidR="008F3558">
              <w:rPr>
                <w:rFonts w:cstheme="minorHAnsi"/>
                <w:b/>
              </w:rPr>
              <w:t>7</w:t>
            </w:r>
            <w:r w:rsidRPr="005469C9">
              <w:rPr>
                <w:rFonts w:cstheme="minorHAnsi"/>
                <w:b/>
              </w:rPr>
              <w:t xml:space="preserve"> &amp; 10</w:t>
            </w:r>
            <w:r w:rsidR="008F3558">
              <w:rPr>
                <w:rFonts w:cstheme="minorHAnsi"/>
                <w:b/>
              </w:rPr>
              <w:t>0</w:t>
            </w:r>
            <w:r w:rsidRPr="003311A9">
              <w:rPr>
                <w:rFonts w:cstheme="minorHAnsi"/>
              </w:rPr>
              <w:t>]</w:t>
            </w:r>
          </w:p>
        </w:tc>
        <w:tc>
          <w:tcPr>
            <w:tcW w:w="4064" w:type="dxa"/>
            <w:tcBorders>
              <w:top w:val="single" w:sz="4" w:space="0" w:color="004EA8" w:themeColor="accent1"/>
              <w:bottom w:val="single" w:sz="4" w:space="0" w:color="004EA8" w:themeColor="accent1"/>
            </w:tcBorders>
          </w:tcPr>
          <w:p w14:paraId="0EC2F6B1" w14:textId="77777777"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This clarifies requirements for a staff reco</w:t>
            </w:r>
            <w:r>
              <w:rPr>
                <w:rFonts w:cstheme="minorHAnsi"/>
              </w:rPr>
              <w:t>rd for volunteers and students.</w:t>
            </w:r>
          </w:p>
          <w:p w14:paraId="687E8CD6" w14:textId="77777777"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Volunteers and students may also be counted towards the educator to child ratios.</w:t>
            </w:r>
          </w:p>
        </w:tc>
      </w:tr>
      <w:tr w:rsidR="00281AFF" w:rsidRPr="003311A9" w14:paraId="70B86B07" w14:textId="77777777" w:rsidTr="006C4D5D">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004EA8" w:themeColor="accent1"/>
            </w:tcBorders>
          </w:tcPr>
          <w:p w14:paraId="13983F16" w14:textId="77777777" w:rsidR="00281AFF" w:rsidRPr="003311A9" w:rsidRDefault="00281AFF" w:rsidP="00D55F3A">
            <w:pPr>
              <w:spacing w:after="60"/>
              <w:rPr>
                <w:rFonts w:cstheme="minorHAnsi"/>
              </w:rPr>
            </w:pPr>
            <w:r w:rsidRPr="003311A9">
              <w:rPr>
                <w:rFonts w:cstheme="minorHAnsi"/>
              </w:rPr>
              <w:t>Staff-to-child ratios</w:t>
            </w:r>
          </w:p>
        </w:tc>
        <w:tc>
          <w:tcPr>
            <w:tcW w:w="4063" w:type="dxa"/>
            <w:tcBorders>
              <w:top w:val="single" w:sz="4" w:space="0" w:color="004EA8" w:themeColor="accent1"/>
              <w:bottom w:val="single" w:sz="4" w:space="0" w:color="004EA8" w:themeColor="accent1"/>
            </w:tcBorders>
          </w:tcPr>
          <w:p w14:paraId="52B8ECE2" w14:textId="77777777"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 xml:space="preserve">School holidays care services licensed to care for no more than 15 children and located in a rural or remote area must ensure that a staff </w:t>
            </w:r>
            <w:r w:rsidRPr="003311A9">
              <w:rPr>
                <w:rFonts w:cstheme="minorHAnsi"/>
              </w:rPr>
              <w:lastRenderedPageBreak/>
              <w:t>member is on duty whenever children are in attendance, and that one other adult is at or near the premises and able to attend immediately.</w:t>
            </w:r>
          </w:p>
          <w:p w14:paraId="1B64754B" w14:textId="77777777"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All other services must ensure that at least two staff members are on duty whenever children are in attendance.</w:t>
            </w:r>
          </w:p>
        </w:tc>
        <w:tc>
          <w:tcPr>
            <w:tcW w:w="4063" w:type="dxa"/>
            <w:tcBorders>
              <w:top w:val="single" w:sz="4" w:space="0" w:color="004EA8" w:themeColor="accent1"/>
              <w:bottom w:val="single" w:sz="4" w:space="0" w:color="004EA8" w:themeColor="accent1"/>
            </w:tcBorders>
          </w:tcPr>
          <w:p w14:paraId="77F473E4" w14:textId="77777777"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lastRenderedPageBreak/>
              <w:t>All services must ensure that at least one educator is on duty whenever children are in attendance [</w:t>
            </w:r>
            <w:r w:rsidRPr="005469C9">
              <w:rPr>
                <w:rFonts w:cstheme="minorHAnsi"/>
                <w:b/>
              </w:rPr>
              <w:t>Regulation 90</w:t>
            </w:r>
            <w:r w:rsidRPr="003311A9">
              <w:rPr>
                <w:rFonts w:cstheme="minorHAnsi"/>
              </w:rPr>
              <w:t>]</w:t>
            </w:r>
          </w:p>
        </w:tc>
        <w:tc>
          <w:tcPr>
            <w:tcW w:w="4064" w:type="dxa"/>
            <w:tcBorders>
              <w:top w:val="single" w:sz="4" w:space="0" w:color="004EA8" w:themeColor="accent1"/>
              <w:bottom w:val="single" w:sz="4" w:space="0" w:color="004EA8" w:themeColor="accent1"/>
            </w:tcBorders>
          </w:tcPr>
          <w:p w14:paraId="780EF420" w14:textId="77777777"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Clearer responsibility and less onerous minimum staff requirements.</w:t>
            </w:r>
          </w:p>
        </w:tc>
      </w:tr>
      <w:tr w:rsidR="00281AFF" w:rsidRPr="003311A9" w14:paraId="40FD369A" w14:textId="77777777" w:rsidTr="006C4D5D">
        <w:tc>
          <w:tcPr>
            <w:cnfStyle w:val="001000000000" w:firstRow="0" w:lastRow="0" w:firstColumn="1" w:lastColumn="0" w:oddVBand="0" w:evenVBand="0" w:oddHBand="0" w:evenHBand="0" w:firstRowFirstColumn="0" w:firstRowLastColumn="0" w:lastRowFirstColumn="0" w:lastRowLastColumn="0"/>
            <w:tcW w:w="1555" w:type="dxa"/>
          </w:tcPr>
          <w:p w14:paraId="6DEEF209" w14:textId="40FAE78B" w:rsidR="00281AFF" w:rsidRPr="003311A9" w:rsidRDefault="00281AFF" w:rsidP="00D55F3A">
            <w:pPr>
              <w:spacing w:after="60"/>
              <w:rPr>
                <w:rFonts w:cstheme="minorHAnsi"/>
              </w:rPr>
            </w:pPr>
          </w:p>
        </w:tc>
        <w:tc>
          <w:tcPr>
            <w:tcW w:w="4063" w:type="dxa"/>
            <w:tcBorders>
              <w:top w:val="single" w:sz="4" w:space="0" w:color="004EA8" w:themeColor="accent1"/>
              <w:bottom w:val="single" w:sz="4" w:space="0" w:color="004EA8" w:themeColor="accent1"/>
            </w:tcBorders>
          </w:tcPr>
          <w:p w14:paraId="02C84546" w14:textId="77777777"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Standard licence:</w:t>
            </w:r>
          </w:p>
          <w:p w14:paraId="58164799" w14:textId="35C641AD" w:rsidR="00281AFF" w:rsidRPr="005469C9" w:rsidRDefault="00281AFF" w:rsidP="002806C5">
            <w:pPr>
              <w:pStyle w:val="ListParagraph"/>
              <w:numPr>
                <w:ilvl w:val="0"/>
                <w:numId w:val="87"/>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5469C9">
              <w:rPr>
                <w:rFonts w:cstheme="minorHAnsi"/>
              </w:rPr>
              <w:t>1 staff for every 4 children, under 3 years</w:t>
            </w:r>
            <w:r w:rsidR="004A30D6">
              <w:rPr>
                <w:rFonts w:cstheme="minorHAnsi"/>
              </w:rPr>
              <w:t xml:space="preserve"> old</w:t>
            </w:r>
          </w:p>
          <w:p w14:paraId="69C5A920" w14:textId="6C10F0FC" w:rsidR="00281AFF" w:rsidRPr="005469C9" w:rsidRDefault="00281AFF" w:rsidP="002806C5">
            <w:pPr>
              <w:pStyle w:val="ListParagraph"/>
              <w:numPr>
                <w:ilvl w:val="0"/>
                <w:numId w:val="87"/>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5469C9">
              <w:rPr>
                <w:rFonts w:cstheme="minorHAnsi"/>
              </w:rPr>
              <w:t>1 qualified staff for every 12 children, under 3 years</w:t>
            </w:r>
            <w:r w:rsidR="00CA51E7">
              <w:rPr>
                <w:rFonts w:cstheme="minorHAnsi"/>
              </w:rPr>
              <w:t xml:space="preserve"> old</w:t>
            </w:r>
          </w:p>
          <w:p w14:paraId="5EF61AB9" w14:textId="16AA29C0" w:rsidR="00281AFF" w:rsidRPr="005469C9" w:rsidRDefault="00281AFF" w:rsidP="002806C5">
            <w:pPr>
              <w:pStyle w:val="ListParagraph"/>
              <w:numPr>
                <w:ilvl w:val="0"/>
                <w:numId w:val="87"/>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5469C9">
              <w:rPr>
                <w:rFonts w:cstheme="minorHAnsi"/>
              </w:rPr>
              <w:t>1 staff for every 15 children, 3 year</w:t>
            </w:r>
            <w:r w:rsidR="004A30D6">
              <w:rPr>
                <w:rFonts w:cstheme="minorHAnsi"/>
              </w:rPr>
              <w:t>s</w:t>
            </w:r>
            <w:r w:rsidRPr="005469C9">
              <w:rPr>
                <w:rFonts w:cstheme="minorHAnsi"/>
              </w:rPr>
              <w:t xml:space="preserve"> old and over</w:t>
            </w:r>
          </w:p>
          <w:p w14:paraId="226C0CD7" w14:textId="77777777" w:rsidR="00281AFF" w:rsidRPr="005469C9" w:rsidRDefault="00281AFF" w:rsidP="002806C5">
            <w:pPr>
              <w:pStyle w:val="ListParagraph"/>
              <w:numPr>
                <w:ilvl w:val="0"/>
                <w:numId w:val="87"/>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5469C9">
              <w:rPr>
                <w:rFonts w:cstheme="minorHAnsi"/>
              </w:rPr>
              <w:t xml:space="preserve">1 qualified staff for every 30 children </w:t>
            </w:r>
          </w:p>
          <w:p w14:paraId="26356195" w14:textId="77777777"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Other licences:</w:t>
            </w:r>
          </w:p>
          <w:p w14:paraId="68ED63EC" w14:textId="0DE882FD" w:rsidR="00281AFF" w:rsidRPr="005469C9" w:rsidRDefault="00281AFF" w:rsidP="002806C5">
            <w:pPr>
              <w:pStyle w:val="ListParagraph"/>
              <w:numPr>
                <w:ilvl w:val="0"/>
                <w:numId w:val="86"/>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5469C9">
              <w:rPr>
                <w:rFonts w:cstheme="minorHAnsi"/>
              </w:rPr>
              <w:t>1:5 for under 3 year old</w:t>
            </w:r>
            <w:r w:rsidR="00CA51E7">
              <w:rPr>
                <w:rFonts w:cstheme="minorHAnsi"/>
              </w:rPr>
              <w:t xml:space="preserve"> children</w:t>
            </w:r>
          </w:p>
          <w:p w14:paraId="761F49EB" w14:textId="74265FB2" w:rsidR="00281AFF" w:rsidRPr="005469C9" w:rsidRDefault="00281AFF" w:rsidP="00CA51E7">
            <w:pPr>
              <w:pStyle w:val="ListParagraph"/>
              <w:numPr>
                <w:ilvl w:val="0"/>
                <w:numId w:val="86"/>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5469C9">
              <w:rPr>
                <w:rFonts w:cstheme="minorHAnsi"/>
              </w:rPr>
              <w:t xml:space="preserve">1:15 for </w:t>
            </w:r>
            <w:r w:rsidR="00CA51E7">
              <w:rPr>
                <w:rFonts w:cstheme="minorHAnsi"/>
              </w:rPr>
              <w:t xml:space="preserve">children </w:t>
            </w:r>
            <w:r w:rsidRPr="005469C9">
              <w:rPr>
                <w:rFonts w:cstheme="minorHAnsi"/>
              </w:rPr>
              <w:t>3 year</w:t>
            </w:r>
            <w:r w:rsidR="00CA51E7">
              <w:rPr>
                <w:rFonts w:cstheme="minorHAnsi"/>
              </w:rPr>
              <w:t>s</w:t>
            </w:r>
            <w:r w:rsidRPr="005469C9">
              <w:rPr>
                <w:rFonts w:cstheme="minorHAnsi"/>
              </w:rPr>
              <w:t xml:space="preserve"> old and over</w:t>
            </w:r>
          </w:p>
        </w:tc>
        <w:tc>
          <w:tcPr>
            <w:tcW w:w="4063" w:type="dxa"/>
            <w:tcBorders>
              <w:top w:val="single" w:sz="4" w:space="0" w:color="004EA8" w:themeColor="accent1"/>
              <w:bottom w:val="single" w:sz="4" w:space="0" w:color="004EA8" w:themeColor="accent1"/>
            </w:tcBorders>
          </w:tcPr>
          <w:p w14:paraId="2963BFDF" w14:textId="77777777"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 xml:space="preserve">All services are required to have </w:t>
            </w:r>
            <w:r w:rsidRPr="003311A9">
              <w:rPr>
                <w:rFonts w:cstheme="minorHAnsi"/>
                <w:u w:val="single"/>
              </w:rPr>
              <w:t>at least 1 educator</w:t>
            </w:r>
            <w:r w:rsidRPr="003311A9">
              <w:rPr>
                <w:rFonts w:cstheme="minorHAnsi"/>
              </w:rPr>
              <w:t xml:space="preserve"> and must have:</w:t>
            </w:r>
          </w:p>
          <w:p w14:paraId="72C49F75" w14:textId="0014A434" w:rsidR="00281AFF" w:rsidRPr="005469C9" w:rsidRDefault="00281AFF" w:rsidP="002806C5">
            <w:pPr>
              <w:pStyle w:val="ListParagraph"/>
              <w:numPr>
                <w:ilvl w:val="0"/>
                <w:numId w:val="88"/>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5469C9">
              <w:rPr>
                <w:rFonts w:cstheme="minorHAnsi"/>
              </w:rPr>
              <w:t xml:space="preserve">1 educator to 4 children, </w:t>
            </w:r>
            <w:r w:rsidR="00CA51E7">
              <w:rPr>
                <w:rFonts w:cstheme="minorHAnsi"/>
              </w:rPr>
              <w:t xml:space="preserve">aged </w:t>
            </w:r>
            <w:r w:rsidRPr="005469C9">
              <w:rPr>
                <w:rFonts w:cstheme="minorHAnsi"/>
              </w:rPr>
              <w:t>from birth to under 36 months [</w:t>
            </w:r>
            <w:r w:rsidRPr="005469C9">
              <w:rPr>
                <w:rFonts w:cstheme="minorHAnsi"/>
                <w:b/>
              </w:rPr>
              <w:t>Subregulation 90(1)(a)</w:t>
            </w:r>
            <w:r w:rsidRPr="005469C9">
              <w:rPr>
                <w:rFonts w:cstheme="minorHAnsi"/>
              </w:rPr>
              <w:t>]</w:t>
            </w:r>
          </w:p>
          <w:p w14:paraId="7C263659" w14:textId="12548AB3" w:rsidR="00281AFF" w:rsidRPr="005469C9" w:rsidRDefault="00281AFF" w:rsidP="002806C5">
            <w:pPr>
              <w:pStyle w:val="ListParagraph"/>
              <w:numPr>
                <w:ilvl w:val="0"/>
                <w:numId w:val="88"/>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5469C9">
              <w:rPr>
                <w:rFonts w:cstheme="minorHAnsi"/>
              </w:rPr>
              <w:t>1 educator to 11 children,</w:t>
            </w:r>
            <w:r w:rsidR="00CA51E7">
              <w:rPr>
                <w:rFonts w:cstheme="minorHAnsi"/>
              </w:rPr>
              <w:t xml:space="preserve"> aged</w:t>
            </w:r>
            <w:r w:rsidRPr="005469C9">
              <w:rPr>
                <w:rFonts w:cstheme="minorHAnsi"/>
              </w:rPr>
              <w:t xml:space="preserve"> 36 months and over (not including children over preschool age) [</w:t>
            </w:r>
            <w:r w:rsidRPr="005469C9">
              <w:rPr>
                <w:rFonts w:cstheme="minorHAnsi"/>
                <w:b/>
              </w:rPr>
              <w:t>Subregulation 90(1)(b)</w:t>
            </w:r>
            <w:r w:rsidRPr="005469C9">
              <w:rPr>
                <w:rFonts w:cstheme="minorHAnsi"/>
              </w:rPr>
              <w:t>]</w:t>
            </w:r>
          </w:p>
          <w:p w14:paraId="60FFF56F" w14:textId="77777777" w:rsidR="00281AFF" w:rsidRPr="005469C9" w:rsidRDefault="00281AFF" w:rsidP="002806C5">
            <w:pPr>
              <w:pStyle w:val="ListParagraph"/>
              <w:numPr>
                <w:ilvl w:val="0"/>
                <w:numId w:val="88"/>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5469C9">
              <w:rPr>
                <w:rFonts w:cstheme="minorHAnsi"/>
              </w:rPr>
              <w:t>1 educator to 15 children, over preschool age [</w:t>
            </w:r>
            <w:r w:rsidRPr="005469C9">
              <w:rPr>
                <w:rFonts w:cstheme="minorHAnsi"/>
                <w:b/>
              </w:rPr>
              <w:t>Subregulation 90(1)(c)</w:t>
            </w:r>
            <w:r w:rsidRPr="005469C9">
              <w:rPr>
                <w:rFonts w:cstheme="minorHAnsi"/>
              </w:rPr>
              <w:t>]</w:t>
            </w:r>
          </w:p>
        </w:tc>
        <w:tc>
          <w:tcPr>
            <w:tcW w:w="4064" w:type="dxa"/>
            <w:tcBorders>
              <w:top w:val="single" w:sz="4" w:space="0" w:color="004EA8" w:themeColor="accent1"/>
              <w:bottom w:val="single" w:sz="4" w:space="0" w:color="004EA8" w:themeColor="accent1"/>
            </w:tcBorders>
          </w:tcPr>
          <w:p w14:paraId="56777BF7" w14:textId="00EE0B1C"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Simplified and clearer arrangement of staff to child ratios for the different ages of children.</w:t>
            </w:r>
          </w:p>
          <w:p w14:paraId="40DB8800" w14:textId="2B7FB311" w:rsidR="00281AFF" w:rsidRPr="003311A9" w:rsidRDefault="00281AFF" w:rsidP="00CA51E7">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 xml:space="preserve">Transitional provisions will allow </w:t>
            </w:r>
            <w:r w:rsidR="00CA51E7">
              <w:rPr>
                <w:rFonts w:cstheme="minorHAnsi"/>
              </w:rPr>
              <w:t xml:space="preserve">services </w:t>
            </w:r>
            <w:r w:rsidRPr="003311A9">
              <w:rPr>
                <w:rFonts w:cstheme="minorHAnsi"/>
              </w:rPr>
              <w:t xml:space="preserve">until 2022 to meet higher ratios. </w:t>
            </w:r>
          </w:p>
        </w:tc>
      </w:tr>
      <w:tr w:rsidR="00CA39F8" w:rsidRPr="003311A9" w14:paraId="220729FB" w14:textId="77777777" w:rsidTr="006C4D5D">
        <w:tc>
          <w:tcPr>
            <w:cnfStyle w:val="001000000000" w:firstRow="0" w:lastRow="0" w:firstColumn="1" w:lastColumn="0" w:oddVBand="0" w:evenVBand="0" w:oddHBand="0" w:evenHBand="0" w:firstRowFirstColumn="0" w:firstRowLastColumn="0" w:lastRowFirstColumn="0" w:lastRowLastColumn="0"/>
            <w:tcW w:w="1555" w:type="dxa"/>
          </w:tcPr>
          <w:p w14:paraId="0ADFF977" w14:textId="77777777" w:rsidR="00CA39F8" w:rsidRPr="003311A9" w:rsidRDefault="00CA39F8" w:rsidP="00D55F3A">
            <w:pPr>
              <w:spacing w:after="60"/>
              <w:rPr>
                <w:rFonts w:cstheme="minorHAnsi"/>
              </w:rPr>
            </w:pPr>
          </w:p>
        </w:tc>
        <w:tc>
          <w:tcPr>
            <w:tcW w:w="4063" w:type="dxa"/>
            <w:tcBorders>
              <w:top w:val="single" w:sz="4" w:space="0" w:color="004EA8" w:themeColor="accent1"/>
              <w:bottom w:val="nil"/>
            </w:tcBorders>
          </w:tcPr>
          <w:p w14:paraId="4D72044D" w14:textId="72E2F2E6" w:rsidR="00CA39F8" w:rsidRPr="003311A9" w:rsidRDefault="00CA39F8"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N/A</w:t>
            </w:r>
          </w:p>
        </w:tc>
        <w:tc>
          <w:tcPr>
            <w:tcW w:w="4063" w:type="dxa"/>
            <w:tcBorders>
              <w:top w:val="single" w:sz="4" w:space="0" w:color="004EA8" w:themeColor="accent1"/>
              <w:bottom w:val="nil"/>
            </w:tcBorders>
          </w:tcPr>
          <w:p w14:paraId="4143BED1" w14:textId="1C2A49EE" w:rsidR="006D7F32" w:rsidRPr="006D7F32" w:rsidRDefault="006D7F32"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6D7F32">
              <w:rPr>
                <w:rFonts w:cstheme="minorHAnsi"/>
              </w:rPr>
              <w:t>All services will have the ability to include a</w:t>
            </w:r>
            <w:r w:rsidR="006A415A">
              <w:rPr>
                <w:rFonts w:cstheme="minorHAnsi"/>
              </w:rPr>
              <w:t>dditional</w:t>
            </w:r>
            <w:r w:rsidRPr="006D7F32">
              <w:rPr>
                <w:rFonts w:cstheme="minorHAnsi"/>
              </w:rPr>
              <w:t xml:space="preserve"> children in an emergency situation, where their attendance (for not more than 2 consecutive days) will not be counted towards meeting educator to child ratio or space requirements [</w:t>
            </w:r>
            <w:r>
              <w:rPr>
                <w:rFonts w:cstheme="minorHAnsi"/>
                <w:b/>
              </w:rPr>
              <w:t>Subregulation</w:t>
            </w:r>
            <w:r w:rsidRPr="006D7F32">
              <w:rPr>
                <w:rFonts w:cstheme="minorHAnsi"/>
                <w:b/>
              </w:rPr>
              <w:t xml:space="preserve"> 90 (</w:t>
            </w:r>
            <w:r w:rsidR="006A415A">
              <w:rPr>
                <w:rFonts w:cstheme="minorHAnsi"/>
                <w:b/>
              </w:rPr>
              <w:t>4</w:t>
            </w:r>
            <w:r w:rsidRPr="006D7F32">
              <w:rPr>
                <w:rFonts w:cstheme="minorHAnsi"/>
                <w:b/>
              </w:rPr>
              <w:t>) &amp; (</w:t>
            </w:r>
            <w:r w:rsidR="006A415A">
              <w:rPr>
                <w:rFonts w:cstheme="minorHAnsi"/>
                <w:b/>
              </w:rPr>
              <w:t>5</w:t>
            </w:r>
            <w:r w:rsidRPr="006D7F32">
              <w:rPr>
                <w:rFonts w:cstheme="minorHAnsi"/>
                <w:b/>
              </w:rPr>
              <w:t>)</w:t>
            </w:r>
            <w:r>
              <w:rPr>
                <w:rFonts w:cstheme="minorHAnsi"/>
              </w:rPr>
              <w:t>]</w:t>
            </w:r>
          </w:p>
          <w:p w14:paraId="2A1BCF0C" w14:textId="1D62E676" w:rsidR="00CA39F8" w:rsidRPr="003311A9" w:rsidRDefault="00BD28D4" w:rsidP="00BD28D4">
            <w:pPr>
              <w:spacing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All services will need to notify the Regulatory Authority of the</w:t>
            </w:r>
            <w:r w:rsidR="006D7F32" w:rsidRPr="006D7F32">
              <w:rPr>
                <w:rFonts w:cstheme="minorHAnsi"/>
              </w:rPr>
              <w:t xml:space="preserve"> attendance of the child or children in emergency situation [</w:t>
            </w:r>
            <w:r w:rsidR="006D7F32" w:rsidRPr="006D7F32">
              <w:rPr>
                <w:rFonts w:cstheme="minorHAnsi"/>
                <w:b/>
              </w:rPr>
              <w:t>Regulation 11</w:t>
            </w:r>
            <w:r w:rsidR="00D17C6D">
              <w:rPr>
                <w:rFonts w:cstheme="minorHAnsi"/>
                <w:b/>
              </w:rPr>
              <w:t>8</w:t>
            </w:r>
            <w:r w:rsidR="006D7F32" w:rsidRPr="006D7F32">
              <w:rPr>
                <w:rFonts w:cstheme="minorHAnsi"/>
                <w:b/>
              </w:rPr>
              <w:t>(2)(d)</w:t>
            </w:r>
            <w:r w:rsidR="006D7F32" w:rsidRPr="006D7F32">
              <w:rPr>
                <w:rFonts w:cstheme="minorHAnsi"/>
              </w:rPr>
              <w:t>]</w:t>
            </w:r>
          </w:p>
        </w:tc>
        <w:tc>
          <w:tcPr>
            <w:tcW w:w="4064" w:type="dxa"/>
            <w:tcBorders>
              <w:top w:val="single" w:sz="4" w:space="0" w:color="004EA8" w:themeColor="accent1"/>
              <w:bottom w:val="nil"/>
            </w:tcBorders>
          </w:tcPr>
          <w:p w14:paraId="015F471F" w14:textId="77777777" w:rsidR="006D7F32" w:rsidRPr="006D7F32" w:rsidRDefault="006D7F32"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6D7F32">
              <w:rPr>
                <w:rFonts w:cstheme="minorHAnsi"/>
              </w:rPr>
              <w:t xml:space="preserve">Services will not be required to meet educator to child ratios or space requirements at the service for a child (or children) in an emergency situation. </w:t>
            </w:r>
          </w:p>
          <w:p w14:paraId="07E2C75F" w14:textId="4178BDC5" w:rsidR="00CA39F8" w:rsidRPr="003311A9" w:rsidRDefault="006D7F32"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6D7F32">
              <w:rPr>
                <w:rFonts w:cstheme="minorHAnsi"/>
              </w:rPr>
              <w:t xml:space="preserve">Services will need to notify the Regulatory Authority </w:t>
            </w:r>
            <w:r w:rsidR="00BD28D4">
              <w:rPr>
                <w:rFonts w:cstheme="minorHAnsi"/>
              </w:rPr>
              <w:t xml:space="preserve">of </w:t>
            </w:r>
            <w:r w:rsidRPr="006D7F32">
              <w:rPr>
                <w:rFonts w:cstheme="minorHAnsi"/>
              </w:rPr>
              <w:t>the attendance of the child o</w:t>
            </w:r>
            <w:r>
              <w:rPr>
                <w:rFonts w:cstheme="minorHAnsi"/>
              </w:rPr>
              <w:t>r children in such situations.</w:t>
            </w:r>
          </w:p>
        </w:tc>
      </w:tr>
      <w:tr w:rsidR="00281AFF" w:rsidRPr="003311A9" w14:paraId="6F629914" w14:textId="77777777" w:rsidTr="006C4D5D">
        <w:tc>
          <w:tcPr>
            <w:cnfStyle w:val="001000000000" w:firstRow="0" w:lastRow="0" w:firstColumn="1" w:lastColumn="0" w:oddVBand="0" w:evenVBand="0" w:oddHBand="0" w:evenHBand="0" w:firstRowFirstColumn="0" w:firstRowLastColumn="0" w:lastRowFirstColumn="0" w:lastRowLastColumn="0"/>
            <w:tcW w:w="1555" w:type="dxa"/>
          </w:tcPr>
          <w:p w14:paraId="4D247A2D" w14:textId="77777777" w:rsidR="00281AFF" w:rsidRPr="003311A9" w:rsidRDefault="00281AFF" w:rsidP="00D55F3A">
            <w:pPr>
              <w:spacing w:after="60"/>
              <w:rPr>
                <w:rFonts w:cstheme="minorHAnsi"/>
              </w:rPr>
            </w:pPr>
            <w:r w:rsidRPr="003311A9">
              <w:rPr>
                <w:rFonts w:cstheme="minorHAnsi"/>
              </w:rPr>
              <w:lastRenderedPageBreak/>
              <w:t>Safety, health and wellbeing of children</w:t>
            </w:r>
          </w:p>
        </w:tc>
        <w:tc>
          <w:tcPr>
            <w:tcW w:w="4063" w:type="dxa"/>
            <w:tcBorders>
              <w:top w:val="nil"/>
              <w:bottom w:val="single" w:sz="4" w:space="0" w:color="004EA8" w:themeColor="accent1"/>
            </w:tcBorders>
          </w:tcPr>
          <w:p w14:paraId="0B6FEE16" w14:textId="25465785"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Service providers are required to have emergency procedure</w:t>
            </w:r>
            <w:r w:rsidR="00CA51E7">
              <w:rPr>
                <w:rFonts w:cstheme="minorHAnsi"/>
              </w:rPr>
              <w:t>s in place and regularly practis</w:t>
            </w:r>
            <w:r w:rsidRPr="003311A9">
              <w:rPr>
                <w:rFonts w:cstheme="minorHAnsi"/>
              </w:rPr>
              <w:t>ed by staff members, volunteers and children</w:t>
            </w:r>
          </w:p>
        </w:tc>
        <w:tc>
          <w:tcPr>
            <w:tcW w:w="4063" w:type="dxa"/>
            <w:tcBorders>
              <w:top w:val="nil"/>
              <w:bottom w:val="single" w:sz="4" w:space="0" w:color="004EA8" w:themeColor="accent1"/>
            </w:tcBorders>
          </w:tcPr>
          <w:p w14:paraId="600D7E62" w14:textId="762FFCC7" w:rsidR="00281AFF" w:rsidRPr="003311A9" w:rsidRDefault="00281AFF" w:rsidP="00BD28D4">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 xml:space="preserve">All services must ensure that a risk assessment is conducted to identify potential emergencies relevant to the service. The emergency and evacuation procedures must be rehearsed </w:t>
            </w:r>
            <w:r w:rsidRPr="003311A9">
              <w:rPr>
                <w:rFonts w:cstheme="minorHAnsi"/>
                <w:u w:val="single"/>
              </w:rPr>
              <w:t>every 3 months</w:t>
            </w:r>
            <w:r w:rsidRPr="003311A9">
              <w:rPr>
                <w:rFonts w:cstheme="minorHAnsi"/>
              </w:rPr>
              <w:t xml:space="preserve"> by the staff member</w:t>
            </w:r>
            <w:r w:rsidR="00BD28D4">
              <w:rPr>
                <w:rFonts w:cstheme="minorHAnsi"/>
              </w:rPr>
              <w:t>s</w:t>
            </w:r>
            <w:r w:rsidRPr="003311A9">
              <w:rPr>
                <w:rFonts w:cstheme="minorHAnsi"/>
              </w:rPr>
              <w:t>, volunteers and children, and the emergency and evacuation policy and procedures must be documented [</w:t>
            </w:r>
            <w:r w:rsidRPr="005469C9">
              <w:rPr>
                <w:rFonts w:cstheme="minorHAnsi"/>
                <w:b/>
              </w:rPr>
              <w:t>Regulation 6</w:t>
            </w:r>
            <w:r w:rsidR="00253C1F">
              <w:rPr>
                <w:rFonts w:cstheme="minorHAnsi"/>
                <w:b/>
              </w:rPr>
              <w:t>6</w:t>
            </w:r>
            <w:r w:rsidRPr="003311A9">
              <w:rPr>
                <w:rFonts w:cstheme="minorHAnsi"/>
              </w:rPr>
              <w:t>]</w:t>
            </w:r>
          </w:p>
        </w:tc>
        <w:tc>
          <w:tcPr>
            <w:tcW w:w="4064" w:type="dxa"/>
            <w:tcBorders>
              <w:top w:val="nil"/>
              <w:bottom w:val="single" w:sz="4" w:space="0" w:color="004EA8" w:themeColor="accent1"/>
            </w:tcBorders>
          </w:tcPr>
          <w:p w14:paraId="00B65EE1" w14:textId="77777777"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Risk assessment now required to identify any potential risks to the service. Emergency and evacuation procedures will need to be rehearsed every 3 months.</w:t>
            </w:r>
          </w:p>
        </w:tc>
      </w:tr>
      <w:tr w:rsidR="00281AFF" w:rsidRPr="003311A9" w14:paraId="39C8C987" w14:textId="77777777" w:rsidTr="006C4D5D">
        <w:tc>
          <w:tcPr>
            <w:cnfStyle w:val="001000000000" w:firstRow="0" w:lastRow="0" w:firstColumn="1" w:lastColumn="0" w:oddVBand="0" w:evenVBand="0" w:oddHBand="0" w:evenHBand="0" w:firstRowFirstColumn="0" w:firstRowLastColumn="0" w:lastRowFirstColumn="0" w:lastRowLastColumn="0"/>
            <w:tcW w:w="1555" w:type="dxa"/>
          </w:tcPr>
          <w:p w14:paraId="34978F13" w14:textId="77777777" w:rsidR="00281AFF" w:rsidRPr="003311A9" w:rsidRDefault="00281AFF" w:rsidP="00D55F3A">
            <w:pPr>
              <w:spacing w:after="60"/>
              <w:rPr>
                <w:rFonts w:cstheme="minorHAnsi"/>
              </w:rPr>
            </w:pPr>
          </w:p>
        </w:tc>
        <w:tc>
          <w:tcPr>
            <w:tcW w:w="4063" w:type="dxa"/>
            <w:tcBorders>
              <w:top w:val="single" w:sz="4" w:space="0" w:color="004EA8" w:themeColor="accent1"/>
              <w:bottom w:val="single" w:sz="4" w:space="0" w:color="004EA8" w:themeColor="accent1"/>
            </w:tcBorders>
          </w:tcPr>
          <w:p w14:paraId="3558A631" w14:textId="31BFD615"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All staff members counted in staff to child ratios or as part of the minimum staff number requirement</w:t>
            </w:r>
            <w:r w:rsidR="00CA51E7">
              <w:rPr>
                <w:rFonts w:cstheme="minorHAnsi"/>
              </w:rPr>
              <w:t xml:space="preserve"> must</w:t>
            </w:r>
            <w:r w:rsidRPr="003311A9">
              <w:rPr>
                <w:rFonts w:cstheme="minorHAnsi"/>
              </w:rPr>
              <w:t xml:space="preserve"> have first aid and anaphylaxis management training, adrenaline auto-injection device and CPR training</w:t>
            </w:r>
          </w:p>
        </w:tc>
        <w:tc>
          <w:tcPr>
            <w:tcW w:w="4063" w:type="dxa"/>
            <w:tcBorders>
              <w:top w:val="single" w:sz="4" w:space="0" w:color="004EA8" w:themeColor="accent1"/>
              <w:bottom w:val="single" w:sz="4" w:space="0" w:color="004EA8" w:themeColor="accent1"/>
            </w:tcBorders>
          </w:tcPr>
          <w:p w14:paraId="24EC7AEC" w14:textId="2A015C2D" w:rsidR="00281AFF" w:rsidRPr="003311A9" w:rsidRDefault="00CA51E7" w:rsidP="00BD28D4">
            <w:pPr>
              <w:spacing w:after="60"/>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Al</w:t>
            </w:r>
            <w:r w:rsidR="00281AFF" w:rsidRPr="003311A9">
              <w:rPr>
                <w:rFonts w:cstheme="minorHAnsi"/>
                <w:bCs/>
              </w:rPr>
              <w:t xml:space="preserve">l services must ensure that </w:t>
            </w:r>
            <w:r w:rsidR="00281AFF" w:rsidRPr="003311A9">
              <w:rPr>
                <w:rFonts w:cstheme="minorHAnsi"/>
                <w:bCs/>
                <w:u w:val="single"/>
              </w:rPr>
              <w:t xml:space="preserve">at least </w:t>
            </w:r>
            <w:r w:rsidR="00BD28D4">
              <w:rPr>
                <w:rFonts w:cstheme="minorHAnsi"/>
                <w:bCs/>
                <w:u w:val="single"/>
              </w:rPr>
              <w:t>1</w:t>
            </w:r>
            <w:r w:rsidR="00BD28D4" w:rsidRPr="003311A9">
              <w:rPr>
                <w:rFonts w:cstheme="minorHAnsi"/>
                <w:bCs/>
                <w:u w:val="single"/>
              </w:rPr>
              <w:t xml:space="preserve"> </w:t>
            </w:r>
            <w:r w:rsidR="00281AFF" w:rsidRPr="003311A9">
              <w:rPr>
                <w:rFonts w:cstheme="minorHAnsi"/>
                <w:bCs/>
                <w:u w:val="single"/>
              </w:rPr>
              <w:t>educator</w:t>
            </w:r>
            <w:r w:rsidR="00281AFF" w:rsidRPr="003311A9">
              <w:rPr>
                <w:rFonts w:cstheme="minorHAnsi"/>
                <w:bCs/>
              </w:rPr>
              <w:t xml:space="preserve"> on the premises has</w:t>
            </w:r>
            <w:r w:rsidR="00BD28D4">
              <w:rPr>
                <w:rFonts w:cstheme="minorHAnsi"/>
                <w:bCs/>
              </w:rPr>
              <w:t xml:space="preserve"> an</w:t>
            </w:r>
            <w:r w:rsidR="00281AFF" w:rsidRPr="003311A9">
              <w:rPr>
                <w:rFonts w:cstheme="minorHAnsi"/>
                <w:bCs/>
              </w:rPr>
              <w:t xml:space="preserve"> </w:t>
            </w:r>
            <w:r w:rsidR="00281AFF" w:rsidRPr="003311A9">
              <w:rPr>
                <w:rFonts w:cstheme="minorHAnsi"/>
                <w:bCs/>
                <w:u w:val="single"/>
              </w:rPr>
              <w:t>approved</w:t>
            </w:r>
            <w:r w:rsidR="00281AFF" w:rsidRPr="003311A9">
              <w:rPr>
                <w:rFonts w:cstheme="minorHAnsi"/>
                <w:bCs/>
              </w:rPr>
              <w:t xml:space="preserve"> first aid qualification, anaphylaxis management and emergency asthma management training [</w:t>
            </w:r>
            <w:r w:rsidR="00281AFF" w:rsidRPr="005469C9">
              <w:rPr>
                <w:rFonts w:cstheme="minorHAnsi"/>
                <w:b/>
                <w:bCs/>
              </w:rPr>
              <w:t>Regulation 9</w:t>
            </w:r>
            <w:r w:rsidR="00253C1F">
              <w:rPr>
                <w:rFonts w:cstheme="minorHAnsi"/>
                <w:b/>
                <w:bCs/>
              </w:rPr>
              <w:t>5</w:t>
            </w:r>
            <w:r w:rsidR="00281AFF" w:rsidRPr="003311A9">
              <w:rPr>
                <w:rFonts w:cstheme="minorHAnsi"/>
                <w:bCs/>
              </w:rPr>
              <w:t>]</w:t>
            </w:r>
          </w:p>
        </w:tc>
        <w:tc>
          <w:tcPr>
            <w:tcW w:w="4064" w:type="dxa"/>
            <w:tcBorders>
              <w:top w:val="single" w:sz="4" w:space="0" w:color="004EA8" w:themeColor="accent1"/>
              <w:bottom w:val="single" w:sz="4" w:space="0" w:color="004EA8" w:themeColor="accent1"/>
            </w:tcBorders>
          </w:tcPr>
          <w:p w14:paraId="1F347066" w14:textId="71C378D1" w:rsidR="00281AFF" w:rsidRPr="003311A9" w:rsidRDefault="00281AFF" w:rsidP="00CA51E7">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 xml:space="preserve">Less onerous requirement for approved first aid training as </w:t>
            </w:r>
            <w:r w:rsidR="00CA51E7">
              <w:rPr>
                <w:rFonts w:cstheme="minorHAnsi"/>
              </w:rPr>
              <w:t xml:space="preserve">only </w:t>
            </w:r>
            <w:r w:rsidRPr="003311A9">
              <w:rPr>
                <w:rFonts w:cstheme="minorHAnsi"/>
              </w:rPr>
              <w:t xml:space="preserve">one staff member needs to be in attendance </w:t>
            </w:r>
            <w:r w:rsidR="00CA51E7">
              <w:rPr>
                <w:rFonts w:cstheme="minorHAnsi"/>
              </w:rPr>
              <w:t>who</w:t>
            </w:r>
            <w:r w:rsidRPr="003311A9">
              <w:rPr>
                <w:rFonts w:cstheme="minorHAnsi"/>
              </w:rPr>
              <w:t xml:space="preserve"> has </w:t>
            </w:r>
            <w:r w:rsidR="00BD28D4">
              <w:rPr>
                <w:rFonts w:cstheme="minorHAnsi"/>
              </w:rPr>
              <w:t xml:space="preserve">a </w:t>
            </w:r>
            <w:r w:rsidRPr="003311A9">
              <w:rPr>
                <w:rFonts w:cstheme="minorHAnsi"/>
              </w:rPr>
              <w:t xml:space="preserve">first aid qualification, anaphylaxis and asthma management training. </w:t>
            </w:r>
          </w:p>
        </w:tc>
      </w:tr>
      <w:tr w:rsidR="00281AFF" w:rsidRPr="003311A9" w14:paraId="0CA30616" w14:textId="77777777" w:rsidTr="006C4D5D">
        <w:tc>
          <w:tcPr>
            <w:cnfStyle w:val="001000000000" w:firstRow="0" w:lastRow="0" w:firstColumn="1" w:lastColumn="0" w:oddVBand="0" w:evenVBand="0" w:oddHBand="0" w:evenHBand="0" w:firstRowFirstColumn="0" w:firstRowLastColumn="0" w:lastRowFirstColumn="0" w:lastRowLastColumn="0"/>
            <w:tcW w:w="1555" w:type="dxa"/>
          </w:tcPr>
          <w:p w14:paraId="66E81D07" w14:textId="77777777" w:rsidR="00281AFF" w:rsidRPr="003311A9" w:rsidRDefault="00281AFF" w:rsidP="00D55F3A">
            <w:pPr>
              <w:spacing w:after="60"/>
              <w:rPr>
                <w:rFonts w:cstheme="minorHAnsi"/>
              </w:rPr>
            </w:pPr>
          </w:p>
        </w:tc>
        <w:tc>
          <w:tcPr>
            <w:tcW w:w="4063" w:type="dxa"/>
            <w:tcBorders>
              <w:top w:val="single" w:sz="4" w:space="0" w:color="004EA8" w:themeColor="accent1"/>
              <w:bottom w:val="single" w:sz="4" w:space="0" w:color="004EA8" w:themeColor="accent1"/>
            </w:tcBorders>
          </w:tcPr>
          <w:p w14:paraId="71AE7F57" w14:textId="6BF56B06"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 xml:space="preserve">In addition to first aid training, all services must have an anaphylaxis management policy and risk minimalisation plan (developed in consultation with parents) that set out the practices and procedures in managing children who have been diagnosed as at risk of anaphylaxis. Each child with anaphylaxis requires </w:t>
            </w:r>
            <w:r>
              <w:rPr>
                <w:rFonts w:cstheme="minorHAnsi"/>
              </w:rPr>
              <w:t>an anaphylaxis management plan</w:t>
            </w:r>
          </w:p>
        </w:tc>
        <w:tc>
          <w:tcPr>
            <w:tcW w:w="4063" w:type="dxa"/>
            <w:tcBorders>
              <w:top w:val="single" w:sz="4" w:space="0" w:color="004EA8" w:themeColor="accent1"/>
              <w:bottom w:val="single" w:sz="4" w:space="0" w:color="004EA8" w:themeColor="accent1"/>
            </w:tcBorders>
          </w:tcPr>
          <w:p w14:paraId="4E5818BA" w14:textId="1139E3D2" w:rsidR="00281AFF"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bCs/>
              </w:rPr>
            </w:pPr>
            <w:r w:rsidRPr="003311A9">
              <w:rPr>
                <w:rFonts w:cstheme="minorHAnsi"/>
                <w:bCs/>
              </w:rPr>
              <w:t>All services must have</w:t>
            </w:r>
            <w:r w:rsidR="00CA51E7">
              <w:rPr>
                <w:rFonts w:cstheme="minorHAnsi"/>
                <w:bCs/>
              </w:rPr>
              <w:t xml:space="preserve"> a</w:t>
            </w:r>
            <w:r w:rsidRPr="003311A9">
              <w:rPr>
                <w:rFonts w:cstheme="minorHAnsi"/>
                <w:bCs/>
              </w:rPr>
              <w:t xml:space="preserve"> medical conditions policy which sets out practices in relation to the management of all medical conditions, including anaphylaxis [</w:t>
            </w:r>
            <w:r w:rsidRPr="00BD28D4">
              <w:rPr>
                <w:rFonts w:cstheme="minorHAnsi"/>
                <w:b/>
                <w:bCs/>
              </w:rPr>
              <w:t>Regulation 5</w:t>
            </w:r>
            <w:r w:rsidR="00253C1F">
              <w:rPr>
                <w:rFonts w:cstheme="minorHAnsi"/>
                <w:b/>
                <w:bCs/>
              </w:rPr>
              <w:t>9</w:t>
            </w:r>
            <w:r w:rsidRPr="003311A9">
              <w:rPr>
                <w:rFonts w:cstheme="minorHAnsi"/>
                <w:bCs/>
              </w:rPr>
              <w:t>]</w:t>
            </w:r>
          </w:p>
          <w:p w14:paraId="24B9759B" w14:textId="27223A7A"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bCs/>
              </w:rPr>
            </w:pPr>
            <w:r w:rsidRPr="003311A9">
              <w:rPr>
                <w:rFonts w:cstheme="minorHAnsi"/>
                <w:bCs/>
              </w:rPr>
              <w:t>Each child with a medical condition requires a medical management plan and a risk management plan</w:t>
            </w:r>
          </w:p>
        </w:tc>
        <w:tc>
          <w:tcPr>
            <w:tcW w:w="4064" w:type="dxa"/>
            <w:tcBorders>
              <w:top w:val="single" w:sz="4" w:space="0" w:color="004EA8" w:themeColor="accent1"/>
              <w:bottom w:val="single" w:sz="4" w:space="0" w:color="004EA8" w:themeColor="accent1"/>
            </w:tcBorders>
          </w:tcPr>
          <w:p w14:paraId="79E19392" w14:textId="77777777"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Medical conditions policy extends to management of all medical conditions, not just a fo</w:t>
            </w:r>
            <w:r>
              <w:rPr>
                <w:rFonts w:cstheme="minorHAnsi"/>
              </w:rPr>
              <w:t xml:space="preserve">cus on anaphylaxis management. </w:t>
            </w:r>
          </w:p>
          <w:p w14:paraId="5DE74731" w14:textId="77777777"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 xml:space="preserve">Additional requirements for medical and risk management plans for children with medical conditions. </w:t>
            </w:r>
          </w:p>
        </w:tc>
      </w:tr>
      <w:tr w:rsidR="00281AFF" w:rsidRPr="003311A9" w14:paraId="3F95371F" w14:textId="77777777" w:rsidTr="006C4D5D">
        <w:tc>
          <w:tcPr>
            <w:cnfStyle w:val="001000000000" w:firstRow="0" w:lastRow="0" w:firstColumn="1" w:lastColumn="0" w:oddVBand="0" w:evenVBand="0" w:oddHBand="0" w:evenHBand="0" w:firstRowFirstColumn="0" w:firstRowLastColumn="0" w:lastRowFirstColumn="0" w:lastRowLastColumn="0"/>
            <w:tcW w:w="1555" w:type="dxa"/>
          </w:tcPr>
          <w:p w14:paraId="652D20F4" w14:textId="77777777" w:rsidR="00281AFF" w:rsidRPr="003311A9" w:rsidRDefault="00281AFF" w:rsidP="00D55F3A">
            <w:pPr>
              <w:spacing w:after="60"/>
              <w:rPr>
                <w:rFonts w:cstheme="minorHAnsi"/>
              </w:rPr>
            </w:pPr>
          </w:p>
        </w:tc>
        <w:tc>
          <w:tcPr>
            <w:tcW w:w="4063" w:type="dxa"/>
            <w:tcBorders>
              <w:top w:val="single" w:sz="4" w:space="0" w:color="004EA8" w:themeColor="accent1"/>
              <w:bottom w:val="single" w:sz="4" w:space="0" w:color="004EA8" w:themeColor="accent1"/>
            </w:tcBorders>
          </w:tcPr>
          <w:p w14:paraId="0F561BDE" w14:textId="77777777"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N/A</w:t>
            </w:r>
          </w:p>
        </w:tc>
        <w:tc>
          <w:tcPr>
            <w:tcW w:w="4063" w:type="dxa"/>
            <w:tcBorders>
              <w:top w:val="single" w:sz="4" w:space="0" w:color="004EA8" w:themeColor="accent1"/>
              <w:bottom w:val="single" w:sz="4" w:space="0" w:color="004EA8" w:themeColor="accent1"/>
            </w:tcBorders>
          </w:tcPr>
          <w:p w14:paraId="7577C459" w14:textId="74E5AEFA" w:rsidR="00281AFF" w:rsidRPr="003311A9" w:rsidRDefault="00281AFF" w:rsidP="00CA51E7">
            <w:pPr>
              <w:spacing w:after="60"/>
              <w:cnfStyle w:val="000000000000" w:firstRow="0" w:lastRow="0" w:firstColumn="0" w:lastColumn="0" w:oddVBand="0" w:evenVBand="0" w:oddHBand="0" w:evenHBand="0" w:firstRowFirstColumn="0" w:firstRowLastColumn="0" w:lastRowFirstColumn="0" w:lastRowLastColumn="0"/>
              <w:rPr>
                <w:rFonts w:cstheme="minorHAnsi"/>
                <w:bCs/>
              </w:rPr>
            </w:pPr>
            <w:r w:rsidRPr="003311A9">
              <w:rPr>
                <w:rFonts w:cstheme="minorHAnsi"/>
                <w:bCs/>
              </w:rPr>
              <w:t>All services must ensure that nominated supervisors and staff at the service are advised of the existence and application of child protection law and any obligations that appl</w:t>
            </w:r>
            <w:r w:rsidR="00CA51E7">
              <w:rPr>
                <w:rFonts w:cstheme="minorHAnsi"/>
                <w:bCs/>
              </w:rPr>
              <w:t>y</w:t>
            </w:r>
            <w:r w:rsidRPr="003311A9">
              <w:rPr>
                <w:rFonts w:cstheme="minorHAnsi"/>
                <w:bCs/>
              </w:rPr>
              <w:t xml:space="preserve"> under the law [</w:t>
            </w:r>
            <w:r w:rsidRPr="005469C9">
              <w:rPr>
                <w:rFonts w:cstheme="minorHAnsi"/>
                <w:b/>
                <w:bCs/>
              </w:rPr>
              <w:t>Regulation 5</w:t>
            </w:r>
            <w:r w:rsidR="00253C1F">
              <w:rPr>
                <w:rFonts w:cstheme="minorHAnsi"/>
                <w:b/>
                <w:bCs/>
              </w:rPr>
              <w:t>3</w:t>
            </w:r>
            <w:r w:rsidRPr="003311A9">
              <w:rPr>
                <w:rFonts w:cstheme="minorHAnsi"/>
                <w:bCs/>
              </w:rPr>
              <w:t>]</w:t>
            </w:r>
          </w:p>
        </w:tc>
        <w:tc>
          <w:tcPr>
            <w:tcW w:w="4064" w:type="dxa"/>
            <w:tcBorders>
              <w:top w:val="single" w:sz="4" w:space="0" w:color="004EA8" w:themeColor="accent1"/>
              <w:bottom w:val="single" w:sz="4" w:space="0" w:color="004EA8" w:themeColor="accent1"/>
            </w:tcBorders>
          </w:tcPr>
          <w:p w14:paraId="0EB48D16" w14:textId="6357C260" w:rsidR="00281AFF" w:rsidRPr="003311A9" w:rsidRDefault="00281AFF" w:rsidP="00CA51E7">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Stronger focus on awareness of child protection law and any obligations that appl</w:t>
            </w:r>
            <w:r w:rsidR="00CA51E7">
              <w:rPr>
                <w:rFonts w:cstheme="minorHAnsi"/>
              </w:rPr>
              <w:t>y</w:t>
            </w:r>
            <w:r w:rsidRPr="003311A9">
              <w:rPr>
                <w:rFonts w:cstheme="minorHAnsi"/>
              </w:rPr>
              <w:t xml:space="preserve"> under the law.</w:t>
            </w:r>
          </w:p>
        </w:tc>
      </w:tr>
      <w:tr w:rsidR="00281AFF" w:rsidRPr="003311A9" w14:paraId="7FA1EDB9" w14:textId="77777777" w:rsidTr="006C4D5D">
        <w:tc>
          <w:tcPr>
            <w:cnfStyle w:val="001000000000" w:firstRow="0" w:lastRow="0" w:firstColumn="1" w:lastColumn="0" w:oddVBand="0" w:evenVBand="0" w:oddHBand="0" w:evenHBand="0" w:firstRowFirstColumn="0" w:firstRowLastColumn="0" w:lastRowFirstColumn="0" w:lastRowLastColumn="0"/>
            <w:tcW w:w="1555" w:type="dxa"/>
            <w:tcBorders>
              <w:bottom w:val="single" w:sz="4" w:space="0" w:color="004EA8" w:themeColor="accent1"/>
            </w:tcBorders>
          </w:tcPr>
          <w:p w14:paraId="5A706798" w14:textId="77777777" w:rsidR="00281AFF" w:rsidRPr="003311A9" w:rsidRDefault="00281AFF" w:rsidP="00D55F3A">
            <w:pPr>
              <w:spacing w:after="60"/>
              <w:rPr>
                <w:rFonts w:cstheme="minorHAnsi"/>
              </w:rPr>
            </w:pPr>
          </w:p>
        </w:tc>
        <w:tc>
          <w:tcPr>
            <w:tcW w:w="4063" w:type="dxa"/>
            <w:tcBorders>
              <w:top w:val="single" w:sz="4" w:space="0" w:color="004EA8" w:themeColor="accent1"/>
              <w:bottom w:val="single" w:sz="4" w:space="0" w:color="004EA8" w:themeColor="accent1"/>
            </w:tcBorders>
          </w:tcPr>
          <w:p w14:paraId="25430910" w14:textId="77777777"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N/A</w:t>
            </w:r>
          </w:p>
        </w:tc>
        <w:tc>
          <w:tcPr>
            <w:tcW w:w="4063" w:type="dxa"/>
            <w:tcBorders>
              <w:top w:val="single" w:sz="4" w:space="0" w:color="004EA8" w:themeColor="accent1"/>
              <w:bottom w:val="single" w:sz="4" w:space="0" w:color="004EA8" w:themeColor="accent1"/>
            </w:tcBorders>
          </w:tcPr>
          <w:p w14:paraId="17BF724C" w14:textId="2A7695CC"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bCs/>
              </w:rPr>
            </w:pPr>
            <w:r w:rsidRPr="003311A9">
              <w:rPr>
                <w:rFonts w:cstheme="minorHAnsi"/>
                <w:bCs/>
              </w:rPr>
              <w:t xml:space="preserve">All services </w:t>
            </w:r>
            <w:r w:rsidR="00CA51E7">
              <w:rPr>
                <w:rFonts w:cstheme="minorHAnsi"/>
                <w:bCs/>
              </w:rPr>
              <w:t>must deliver an</w:t>
            </w:r>
            <w:r w:rsidRPr="003311A9">
              <w:rPr>
                <w:rFonts w:cstheme="minorHAnsi"/>
                <w:bCs/>
              </w:rPr>
              <w:t xml:space="preserve"> educational program </w:t>
            </w:r>
            <w:r w:rsidR="00CA51E7">
              <w:rPr>
                <w:rFonts w:cstheme="minorHAnsi"/>
                <w:bCs/>
              </w:rPr>
              <w:t>that contributes</w:t>
            </w:r>
            <w:r w:rsidRPr="003311A9">
              <w:rPr>
                <w:rFonts w:cstheme="minorHAnsi"/>
                <w:bCs/>
              </w:rPr>
              <w:t xml:space="preserve"> to </w:t>
            </w:r>
            <w:r w:rsidR="00CA51E7">
              <w:rPr>
                <w:rFonts w:cstheme="minorHAnsi"/>
                <w:bCs/>
              </w:rPr>
              <w:t xml:space="preserve">specified </w:t>
            </w:r>
            <w:r w:rsidRPr="003311A9">
              <w:rPr>
                <w:rFonts w:cstheme="minorHAnsi"/>
                <w:bCs/>
              </w:rPr>
              <w:t>outcomes for children [</w:t>
            </w:r>
            <w:r w:rsidRPr="005469C9">
              <w:rPr>
                <w:rFonts w:cstheme="minorHAnsi"/>
                <w:b/>
                <w:bCs/>
              </w:rPr>
              <w:t>Regulation 4</w:t>
            </w:r>
            <w:r w:rsidR="00253C1F">
              <w:rPr>
                <w:rFonts w:cstheme="minorHAnsi"/>
                <w:b/>
                <w:bCs/>
              </w:rPr>
              <w:t>2</w:t>
            </w:r>
            <w:r w:rsidRPr="003311A9">
              <w:rPr>
                <w:rFonts w:cstheme="minorHAnsi"/>
                <w:bCs/>
              </w:rPr>
              <w:t>]</w:t>
            </w:r>
          </w:p>
          <w:p w14:paraId="26908C07" w14:textId="76F87A59"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bCs/>
              </w:rPr>
            </w:pPr>
            <w:r w:rsidRPr="003311A9">
              <w:rPr>
                <w:rFonts w:cstheme="minorHAnsi"/>
              </w:rPr>
              <w:lastRenderedPageBreak/>
              <w:t>All services also need to take reasonable steps to provide education and care to children in a way that encourages the children to develop respectful and positive relationships with each other and with staff members of, and volunteers at, the service</w:t>
            </w:r>
            <w:r w:rsidRPr="003311A9">
              <w:rPr>
                <w:rFonts w:cstheme="minorHAnsi"/>
                <w:bCs/>
              </w:rPr>
              <w:t xml:space="preserve"> [</w:t>
            </w:r>
            <w:r w:rsidRPr="005469C9">
              <w:rPr>
                <w:rFonts w:cstheme="minorHAnsi"/>
                <w:b/>
                <w:bCs/>
              </w:rPr>
              <w:t>Regulation 10</w:t>
            </w:r>
            <w:r w:rsidR="00253C1F">
              <w:rPr>
                <w:rFonts w:cstheme="minorHAnsi"/>
                <w:b/>
                <w:bCs/>
              </w:rPr>
              <w:t>4</w:t>
            </w:r>
            <w:r w:rsidRPr="005469C9">
              <w:rPr>
                <w:rFonts w:cstheme="minorHAnsi"/>
                <w:b/>
                <w:bCs/>
              </w:rPr>
              <w:t xml:space="preserve"> &amp; 10</w:t>
            </w:r>
            <w:r w:rsidR="00253C1F">
              <w:rPr>
                <w:rFonts w:cstheme="minorHAnsi"/>
                <w:b/>
                <w:bCs/>
              </w:rPr>
              <w:t>5</w:t>
            </w:r>
            <w:r w:rsidRPr="003311A9">
              <w:rPr>
                <w:rFonts w:cstheme="minorHAnsi"/>
                <w:bCs/>
              </w:rPr>
              <w:t>]</w:t>
            </w:r>
          </w:p>
        </w:tc>
        <w:tc>
          <w:tcPr>
            <w:tcW w:w="4064" w:type="dxa"/>
            <w:tcBorders>
              <w:top w:val="single" w:sz="4" w:space="0" w:color="004EA8" w:themeColor="accent1"/>
              <w:bottom w:val="single" w:sz="4" w:space="0" w:color="004EA8" w:themeColor="accent1"/>
            </w:tcBorders>
          </w:tcPr>
          <w:p w14:paraId="1258A7C9" w14:textId="77777777"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lastRenderedPageBreak/>
              <w:t xml:space="preserve">Services already are required to provide a program: </w:t>
            </w:r>
          </w:p>
          <w:p w14:paraId="6E29892E" w14:textId="77777777" w:rsidR="00281AFF" w:rsidRPr="00591D34" w:rsidRDefault="00281AFF" w:rsidP="002806C5">
            <w:pPr>
              <w:pStyle w:val="ListParagraph"/>
              <w:numPr>
                <w:ilvl w:val="0"/>
                <w:numId w:val="91"/>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591D34">
              <w:rPr>
                <w:rFonts w:cstheme="minorHAnsi"/>
              </w:rPr>
              <w:lastRenderedPageBreak/>
              <w:t>that is based on the developmental needs, interests and experiences of each child; and</w:t>
            </w:r>
          </w:p>
          <w:p w14:paraId="4A80AEA2" w14:textId="77777777" w:rsidR="00281AFF" w:rsidRPr="00591D34" w:rsidRDefault="00281AFF" w:rsidP="002806C5">
            <w:pPr>
              <w:pStyle w:val="ListParagraph"/>
              <w:numPr>
                <w:ilvl w:val="0"/>
                <w:numId w:val="91"/>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591D34">
              <w:rPr>
                <w:rFonts w:cstheme="minorHAnsi"/>
              </w:rPr>
              <w:t>that is designed to take into account the individual differences of those children; and</w:t>
            </w:r>
          </w:p>
          <w:p w14:paraId="45B85FAF" w14:textId="77777777" w:rsidR="00281AFF" w:rsidRPr="00591D34" w:rsidRDefault="00281AFF" w:rsidP="002806C5">
            <w:pPr>
              <w:pStyle w:val="ListParagraph"/>
              <w:numPr>
                <w:ilvl w:val="0"/>
                <w:numId w:val="91"/>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proofErr w:type="gramStart"/>
            <w:r w:rsidRPr="00591D34">
              <w:rPr>
                <w:rFonts w:cstheme="minorHAnsi"/>
              </w:rPr>
              <w:t>that</w:t>
            </w:r>
            <w:proofErr w:type="gramEnd"/>
            <w:r w:rsidRPr="00591D34">
              <w:rPr>
                <w:rFonts w:cstheme="minorHAnsi"/>
              </w:rPr>
              <w:t xml:space="preserve"> enhances each child's development.</w:t>
            </w:r>
          </w:p>
          <w:p w14:paraId="4D3B8674" w14:textId="77777777"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The additional requirements provides more emphasis on ways for children to interact and develop respectful and positive relationships with each other and with staff and volunteers at the service.</w:t>
            </w:r>
          </w:p>
        </w:tc>
      </w:tr>
      <w:tr w:rsidR="00281AFF" w:rsidRPr="003311A9" w14:paraId="591B6FFE" w14:textId="77777777" w:rsidTr="00CE3509">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004EA8" w:themeColor="accent1"/>
            </w:tcBorders>
          </w:tcPr>
          <w:p w14:paraId="0229CD65" w14:textId="77777777" w:rsidR="00281AFF" w:rsidRPr="00310C03" w:rsidRDefault="00281AFF" w:rsidP="00D55F3A">
            <w:pPr>
              <w:spacing w:after="60"/>
              <w:rPr>
                <w:rFonts w:cstheme="minorHAnsi"/>
              </w:rPr>
            </w:pPr>
            <w:r w:rsidRPr="00310C03">
              <w:rPr>
                <w:rFonts w:cstheme="minorHAnsi"/>
              </w:rPr>
              <w:lastRenderedPageBreak/>
              <w:t>Equipment and facilities</w:t>
            </w:r>
          </w:p>
        </w:tc>
        <w:tc>
          <w:tcPr>
            <w:tcW w:w="4063" w:type="dxa"/>
            <w:tcBorders>
              <w:top w:val="single" w:sz="4" w:space="0" w:color="004EA8" w:themeColor="accent1"/>
              <w:bottom w:val="single" w:sz="4" w:space="0" w:color="004EA8" w:themeColor="accent1"/>
            </w:tcBorders>
          </w:tcPr>
          <w:p w14:paraId="18B9407C" w14:textId="3ABDA45B"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bCs/>
              </w:rPr>
            </w:pPr>
            <w:r w:rsidRPr="003311A9">
              <w:rPr>
                <w:rFonts w:cstheme="minorHAnsi"/>
                <w:bCs/>
              </w:rPr>
              <w:t>Services must provide two children’s rooms where children under 3 years</w:t>
            </w:r>
            <w:r w:rsidR="00CA51E7">
              <w:rPr>
                <w:rFonts w:cstheme="minorHAnsi"/>
                <w:bCs/>
              </w:rPr>
              <w:t xml:space="preserve"> old</w:t>
            </w:r>
            <w:r w:rsidRPr="003311A9">
              <w:rPr>
                <w:rFonts w:cstheme="minorHAnsi"/>
                <w:bCs/>
              </w:rPr>
              <w:t xml:space="preserve"> are cared for</w:t>
            </w:r>
          </w:p>
        </w:tc>
        <w:tc>
          <w:tcPr>
            <w:tcW w:w="4063" w:type="dxa"/>
            <w:tcBorders>
              <w:top w:val="single" w:sz="4" w:space="0" w:color="004EA8" w:themeColor="accent1"/>
              <w:bottom w:val="single" w:sz="4" w:space="0" w:color="004EA8" w:themeColor="accent1"/>
            </w:tcBorders>
          </w:tcPr>
          <w:p w14:paraId="15EB8FA5" w14:textId="357A97C0"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The space requirements for indoor space do not specify that services must provide a second room for children under 36 months [</w:t>
            </w:r>
            <w:r w:rsidRPr="005469C9">
              <w:rPr>
                <w:rFonts w:cstheme="minorHAnsi"/>
                <w:b/>
              </w:rPr>
              <w:t>Regulation 7</w:t>
            </w:r>
            <w:r w:rsidR="001E0F6D">
              <w:rPr>
                <w:rFonts w:cstheme="minorHAnsi"/>
                <w:b/>
              </w:rPr>
              <w:t>6</w:t>
            </w:r>
            <w:r w:rsidRPr="003311A9">
              <w:rPr>
                <w:rFonts w:cstheme="minorHAnsi"/>
              </w:rPr>
              <w:t>]</w:t>
            </w:r>
          </w:p>
        </w:tc>
        <w:tc>
          <w:tcPr>
            <w:tcW w:w="4064" w:type="dxa"/>
            <w:tcBorders>
              <w:top w:val="single" w:sz="4" w:space="0" w:color="004EA8" w:themeColor="accent1"/>
              <w:bottom w:val="single" w:sz="4" w:space="0" w:color="004EA8" w:themeColor="accent1"/>
            </w:tcBorders>
          </w:tcPr>
          <w:p w14:paraId="08F27912" w14:textId="77777777" w:rsidR="00281AFF" w:rsidRPr="003311A9" w:rsidRDefault="00281AFF" w:rsidP="00D55F3A">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A second room is no longer required for services caring for children under 36 months.</w:t>
            </w:r>
          </w:p>
        </w:tc>
      </w:tr>
      <w:tr w:rsidR="001431C5" w:rsidRPr="003311A9" w14:paraId="653AC1A1" w14:textId="77777777" w:rsidTr="00CE3509">
        <w:tc>
          <w:tcPr>
            <w:cnfStyle w:val="001000000000" w:firstRow="0" w:lastRow="0" w:firstColumn="1" w:lastColumn="0" w:oddVBand="0" w:evenVBand="0" w:oddHBand="0" w:evenHBand="0" w:firstRowFirstColumn="0" w:firstRowLastColumn="0" w:lastRowFirstColumn="0" w:lastRowLastColumn="0"/>
            <w:tcW w:w="1555" w:type="dxa"/>
            <w:vMerge w:val="restart"/>
          </w:tcPr>
          <w:p w14:paraId="0CA455EB" w14:textId="77777777" w:rsidR="001431C5" w:rsidRPr="003311A9" w:rsidRDefault="001431C5" w:rsidP="001431C5">
            <w:pPr>
              <w:spacing w:after="60"/>
              <w:rPr>
                <w:rFonts w:cstheme="minorHAnsi"/>
              </w:rPr>
            </w:pPr>
          </w:p>
        </w:tc>
        <w:tc>
          <w:tcPr>
            <w:tcW w:w="4063" w:type="dxa"/>
            <w:vMerge w:val="restart"/>
            <w:tcBorders>
              <w:top w:val="single" w:sz="4" w:space="0" w:color="004EA8" w:themeColor="accent1"/>
            </w:tcBorders>
          </w:tcPr>
          <w:p w14:paraId="1780C867" w14:textId="568D7C61" w:rsidR="001431C5" w:rsidRPr="003311A9"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bCs/>
              </w:rPr>
            </w:pPr>
            <w:r w:rsidRPr="003311A9">
              <w:rPr>
                <w:rFonts w:cstheme="minorHAnsi"/>
                <w:bCs/>
              </w:rPr>
              <w:t>Services holding a Standard licence must provide outdoor space which has a useable area of at least 7 square metres per child</w:t>
            </w:r>
          </w:p>
          <w:p w14:paraId="1D915C15" w14:textId="36FAC7E6" w:rsidR="001431C5" w:rsidRPr="00980662" w:rsidRDefault="001431C5" w:rsidP="00980662">
            <w:pPr>
              <w:spacing w:after="60"/>
              <w:cnfStyle w:val="000000000000" w:firstRow="0" w:lastRow="0" w:firstColumn="0" w:lastColumn="0" w:oddVBand="0" w:evenVBand="0" w:oddHBand="0" w:evenHBand="0" w:firstRowFirstColumn="0" w:firstRowLastColumn="0" w:lastRowFirstColumn="0" w:lastRowLastColumn="0"/>
              <w:rPr>
                <w:rFonts w:cstheme="minorHAnsi"/>
                <w:bCs/>
              </w:rPr>
            </w:pPr>
            <w:r w:rsidRPr="003311A9">
              <w:rPr>
                <w:rFonts w:cstheme="minorHAnsi"/>
                <w:bCs/>
              </w:rPr>
              <w:t>Services (excluding a school holidays care service) must ensure that any outdoor space is enclosed by a fence at least 1.5m high and a child cannot go through, over or under the fence or barrier or any gate or fitting</w:t>
            </w:r>
          </w:p>
        </w:tc>
        <w:tc>
          <w:tcPr>
            <w:tcW w:w="4063" w:type="dxa"/>
            <w:tcBorders>
              <w:top w:val="single" w:sz="4" w:space="0" w:color="004EA8" w:themeColor="accent1"/>
              <w:bottom w:val="nil"/>
            </w:tcBorders>
          </w:tcPr>
          <w:p w14:paraId="596A0334" w14:textId="7E3F050C" w:rsidR="001431C5" w:rsidRPr="003311A9"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No requirements </w:t>
            </w:r>
            <w:r w:rsidRPr="003311A9">
              <w:rPr>
                <w:rFonts w:cstheme="minorHAnsi"/>
              </w:rPr>
              <w:t xml:space="preserve">to provide outdoor </w:t>
            </w:r>
            <w:r>
              <w:rPr>
                <w:rFonts w:cstheme="minorHAnsi"/>
              </w:rPr>
              <w:t>space for Limited Hours services.</w:t>
            </w:r>
          </w:p>
        </w:tc>
        <w:tc>
          <w:tcPr>
            <w:tcW w:w="4064" w:type="dxa"/>
            <w:tcBorders>
              <w:top w:val="single" w:sz="4" w:space="0" w:color="004EA8" w:themeColor="accent1"/>
              <w:bottom w:val="nil"/>
            </w:tcBorders>
          </w:tcPr>
          <w:p w14:paraId="3A8A430B" w14:textId="4D8BDAA2" w:rsidR="001431C5" w:rsidRPr="003311A9"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Limited Hours </w:t>
            </w:r>
            <w:r w:rsidRPr="003311A9">
              <w:rPr>
                <w:rFonts w:cstheme="minorHAnsi"/>
              </w:rPr>
              <w:t>services are not required to provide outdoor space</w:t>
            </w:r>
            <w:r>
              <w:rPr>
                <w:rFonts w:cstheme="minorHAnsi"/>
              </w:rPr>
              <w:t>.</w:t>
            </w:r>
          </w:p>
        </w:tc>
      </w:tr>
      <w:tr w:rsidR="001431C5" w:rsidRPr="003311A9" w14:paraId="7B195B33" w14:textId="77777777" w:rsidTr="00CE3509">
        <w:tc>
          <w:tcPr>
            <w:cnfStyle w:val="001000000000" w:firstRow="0" w:lastRow="0" w:firstColumn="1" w:lastColumn="0" w:oddVBand="0" w:evenVBand="0" w:oddHBand="0" w:evenHBand="0" w:firstRowFirstColumn="0" w:firstRowLastColumn="0" w:lastRowFirstColumn="0" w:lastRowLastColumn="0"/>
            <w:tcW w:w="1555" w:type="dxa"/>
            <w:vMerge/>
            <w:tcBorders>
              <w:bottom w:val="single" w:sz="4" w:space="0" w:color="004EA8" w:themeColor="accent1"/>
            </w:tcBorders>
          </w:tcPr>
          <w:p w14:paraId="3C212ADF" w14:textId="77777777" w:rsidR="001431C5" w:rsidRPr="003311A9" w:rsidRDefault="001431C5" w:rsidP="001431C5">
            <w:pPr>
              <w:spacing w:after="60"/>
              <w:rPr>
                <w:rFonts w:cstheme="minorHAnsi"/>
              </w:rPr>
            </w:pPr>
          </w:p>
        </w:tc>
        <w:tc>
          <w:tcPr>
            <w:tcW w:w="4063" w:type="dxa"/>
            <w:vMerge/>
            <w:tcBorders>
              <w:bottom w:val="single" w:sz="4" w:space="0" w:color="004EA8" w:themeColor="accent1"/>
            </w:tcBorders>
          </w:tcPr>
          <w:p w14:paraId="5F767FF5" w14:textId="77777777" w:rsidR="001431C5" w:rsidRPr="003311A9"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bCs/>
              </w:rPr>
            </w:pPr>
          </w:p>
        </w:tc>
        <w:tc>
          <w:tcPr>
            <w:tcW w:w="4063" w:type="dxa"/>
            <w:tcBorders>
              <w:top w:val="nil"/>
              <w:bottom w:val="single" w:sz="4" w:space="0" w:color="004EA8" w:themeColor="accent1"/>
            </w:tcBorders>
          </w:tcPr>
          <w:p w14:paraId="78E98087" w14:textId="15DE7399" w:rsidR="001431C5"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 xml:space="preserve">Requirements for fencing or barrier is outcome-based as </w:t>
            </w:r>
            <w:r>
              <w:rPr>
                <w:rFonts w:cstheme="minorHAnsi"/>
              </w:rPr>
              <w:t>these structures</w:t>
            </w:r>
            <w:r w:rsidRPr="003311A9">
              <w:rPr>
                <w:rFonts w:cstheme="minorHAnsi"/>
              </w:rPr>
              <w:t xml:space="preserve"> must be of a height and design that children preschool age or under cannot go through, over or under. This requirement does not apply to services that provide care to children over</w:t>
            </w:r>
            <w:r>
              <w:rPr>
                <w:rFonts w:cstheme="minorHAnsi"/>
              </w:rPr>
              <w:t xml:space="preserve"> preschool age [</w:t>
            </w:r>
            <w:r w:rsidRPr="005469C9">
              <w:rPr>
                <w:rFonts w:cstheme="minorHAnsi"/>
                <w:b/>
              </w:rPr>
              <w:t>Regulation 7</w:t>
            </w:r>
            <w:r>
              <w:rPr>
                <w:rFonts w:cstheme="minorHAnsi"/>
                <w:b/>
              </w:rPr>
              <w:t>3</w:t>
            </w:r>
            <w:r>
              <w:rPr>
                <w:rFonts w:cstheme="minorHAnsi"/>
              </w:rPr>
              <w:t>]</w:t>
            </w:r>
          </w:p>
          <w:p w14:paraId="482ADE40" w14:textId="5654FDA8" w:rsidR="001431C5" w:rsidRPr="003311A9"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 xml:space="preserve">Occasional Care services must provide outdoor space which meets similar requirements </w:t>
            </w:r>
            <w:r w:rsidR="00B96511">
              <w:rPr>
                <w:rFonts w:cstheme="minorHAnsi"/>
              </w:rPr>
              <w:t xml:space="preserve">(7 square metres) </w:t>
            </w:r>
            <w:r w:rsidRPr="003311A9">
              <w:rPr>
                <w:rFonts w:cstheme="minorHAnsi"/>
              </w:rPr>
              <w:t>under current regulat</w:t>
            </w:r>
            <w:r>
              <w:rPr>
                <w:rFonts w:cstheme="minorHAnsi"/>
              </w:rPr>
              <w:t>ions [</w:t>
            </w:r>
            <w:r w:rsidRPr="005469C9">
              <w:rPr>
                <w:rFonts w:cstheme="minorHAnsi"/>
                <w:b/>
              </w:rPr>
              <w:t>Regulations 7</w:t>
            </w:r>
            <w:r>
              <w:rPr>
                <w:rFonts w:cstheme="minorHAnsi"/>
                <w:b/>
              </w:rPr>
              <w:t>7</w:t>
            </w:r>
            <w:r w:rsidRPr="005469C9">
              <w:rPr>
                <w:rFonts w:cstheme="minorHAnsi"/>
                <w:b/>
              </w:rPr>
              <w:t>, 8</w:t>
            </w:r>
            <w:r>
              <w:rPr>
                <w:rFonts w:cstheme="minorHAnsi"/>
                <w:b/>
              </w:rPr>
              <w:t>2</w:t>
            </w:r>
            <w:r w:rsidRPr="005469C9">
              <w:rPr>
                <w:rFonts w:cstheme="minorHAnsi"/>
                <w:b/>
              </w:rPr>
              <w:t xml:space="preserve"> &amp; 8</w:t>
            </w:r>
            <w:r>
              <w:rPr>
                <w:rFonts w:cstheme="minorHAnsi"/>
                <w:b/>
              </w:rPr>
              <w:t>3</w:t>
            </w:r>
            <w:r>
              <w:rPr>
                <w:rFonts w:cstheme="minorHAnsi"/>
              </w:rPr>
              <w:t>]</w:t>
            </w:r>
          </w:p>
          <w:p w14:paraId="6438857D" w14:textId="60934F28" w:rsidR="00B96511" w:rsidRPr="00B96511" w:rsidRDefault="00493211" w:rsidP="00B96511">
            <w:pPr>
              <w:spacing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This outdoor space requirement does not apply to an occasional care service that:</w:t>
            </w:r>
          </w:p>
          <w:p w14:paraId="28D1C227" w14:textId="0D071836" w:rsidR="00980662" w:rsidRDefault="00980662" w:rsidP="00B96511">
            <w:pPr>
              <w:pStyle w:val="ListParagraph"/>
              <w:numPr>
                <w:ilvl w:val="0"/>
                <w:numId w:val="85"/>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Used to hold a Limited Hours type 2 licence and</w:t>
            </w:r>
          </w:p>
          <w:p w14:paraId="6017B6C3" w14:textId="69E6ED6D" w:rsidR="001431C5" w:rsidRPr="00B96511" w:rsidRDefault="00B96511" w:rsidP="00B96511">
            <w:pPr>
              <w:pStyle w:val="ListParagraph"/>
              <w:numPr>
                <w:ilvl w:val="0"/>
                <w:numId w:val="85"/>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Do not provide education and care for more than 5 hours a day or 15 hours a week to any child [</w:t>
            </w:r>
            <w:r w:rsidRPr="00B96511">
              <w:rPr>
                <w:rFonts w:cstheme="minorHAnsi"/>
                <w:b/>
              </w:rPr>
              <w:t>Regulation 77</w:t>
            </w:r>
            <w:r>
              <w:rPr>
                <w:rFonts w:cstheme="minorHAnsi"/>
              </w:rPr>
              <w:t>]</w:t>
            </w:r>
          </w:p>
        </w:tc>
        <w:tc>
          <w:tcPr>
            <w:tcW w:w="4064" w:type="dxa"/>
            <w:tcBorders>
              <w:top w:val="nil"/>
              <w:bottom w:val="single" w:sz="4" w:space="0" w:color="004EA8" w:themeColor="accent1"/>
            </w:tcBorders>
          </w:tcPr>
          <w:p w14:paraId="3D59FC27" w14:textId="04F64287" w:rsidR="001431C5"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New Occasional Care services must meet outdoor space requirements.</w:t>
            </w:r>
          </w:p>
          <w:p w14:paraId="08CB521A" w14:textId="0ED2B083" w:rsidR="00B96511" w:rsidRDefault="00B96511" w:rsidP="00493211">
            <w:pPr>
              <w:spacing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Existing </w:t>
            </w:r>
            <w:r w:rsidRPr="008B6AFA">
              <w:rPr>
                <w:rFonts w:cstheme="minorHAnsi"/>
              </w:rPr>
              <w:t>occasional care services</w:t>
            </w:r>
            <w:r>
              <w:rPr>
                <w:rFonts w:cstheme="minorHAnsi"/>
              </w:rPr>
              <w:t xml:space="preserve"> </w:t>
            </w:r>
            <w:r w:rsidRPr="008B6AFA">
              <w:rPr>
                <w:rFonts w:cstheme="minorHAnsi"/>
              </w:rPr>
              <w:t xml:space="preserve">that are unable to meet increased requirements for outdoor space </w:t>
            </w:r>
            <w:r w:rsidR="00493211">
              <w:rPr>
                <w:rFonts w:cstheme="minorHAnsi"/>
              </w:rPr>
              <w:t xml:space="preserve">will not be required to meet that requirement, </w:t>
            </w:r>
            <w:r w:rsidR="00493211" w:rsidRPr="00265D26">
              <w:rPr>
                <w:rFonts w:cstheme="minorHAnsi"/>
              </w:rPr>
              <w:t>effectively maintaining the status quo</w:t>
            </w:r>
            <w:r w:rsidR="00493211">
              <w:rPr>
                <w:rFonts w:cstheme="minorHAnsi"/>
              </w:rPr>
              <w:t xml:space="preserve"> for those services.</w:t>
            </w:r>
          </w:p>
        </w:tc>
      </w:tr>
      <w:tr w:rsidR="001431C5" w:rsidRPr="003311A9" w14:paraId="725D7781" w14:textId="77777777" w:rsidTr="006C4D5D">
        <w:tc>
          <w:tcPr>
            <w:cnfStyle w:val="001000000000" w:firstRow="0" w:lastRow="0" w:firstColumn="1" w:lastColumn="0" w:oddVBand="0" w:evenVBand="0" w:oddHBand="0" w:evenHBand="0" w:firstRowFirstColumn="0" w:firstRowLastColumn="0" w:lastRowFirstColumn="0" w:lastRowLastColumn="0"/>
            <w:tcW w:w="1555" w:type="dxa"/>
            <w:tcBorders>
              <w:top w:val="nil"/>
              <w:bottom w:val="single" w:sz="4" w:space="0" w:color="004EA8" w:themeColor="accent1"/>
            </w:tcBorders>
          </w:tcPr>
          <w:p w14:paraId="1A232604" w14:textId="77777777" w:rsidR="001431C5" w:rsidRPr="003311A9" w:rsidRDefault="001431C5" w:rsidP="001431C5">
            <w:pPr>
              <w:spacing w:after="60"/>
              <w:rPr>
                <w:rFonts w:cstheme="minorHAnsi"/>
              </w:rPr>
            </w:pPr>
          </w:p>
        </w:tc>
        <w:tc>
          <w:tcPr>
            <w:tcW w:w="4063" w:type="dxa"/>
            <w:tcBorders>
              <w:top w:val="single" w:sz="4" w:space="0" w:color="004EA8" w:themeColor="accent1"/>
              <w:bottom w:val="single" w:sz="4" w:space="0" w:color="004EA8" w:themeColor="accent1"/>
            </w:tcBorders>
          </w:tcPr>
          <w:p w14:paraId="517629D7" w14:textId="77777777" w:rsidR="001431C5" w:rsidRPr="003311A9"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bCs/>
              </w:rPr>
            </w:pPr>
            <w:r w:rsidRPr="003311A9">
              <w:rPr>
                <w:rFonts w:cstheme="minorHAnsi"/>
                <w:bCs/>
              </w:rPr>
              <w:t>N/A</w:t>
            </w:r>
          </w:p>
        </w:tc>
        <w:tc>
          <w:tcPr>
            <w:tcW w:w="4063" w:type="dxa"/>
            <w:tcBorders>
              <w:top w:val="single" w:sz="4" w:space="0" w:color="004EA8" w:themeColor="accent1"/>
              <w:bottom w:val="single" w:sz="4" w:space="0" w:color="004EA8" w:themeColor="accent1"/>
            </w:tcBorders>
          </w:tcPr>
          <w:p w14:paraId="73BFB7FB" w14:textId="6D0693E5" w:rsidR="001431C5" w:rsidRPr="003311A9"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Other new requirements for facilities such as ventilation and maintained temperature, nappy changing bench and premises designed to facilitate supervision are in place</w:t>
            </w:r>
            <w:r w:rsidRPr="008067FE">
              <w:rPr>
                <w:rFonts w:cstheme="minorHAnsi"/>
              </w:rPr>
              <w:t xml:space="preserve"> </w:t>
            </w:r>
            <w:r w:rsidRPr="008067FE">
              <w:rPr>
                <w:rFonts w:cstheme="minorHAnsi"/>
                <w:bCs/>
              </w:rPr>
              <w:t>[</w:t>
            </w:r>
            <w:r w:rsidRPr="00156931">
              <w:rPr>
                <w:rFonts w:cstheme="minorHAnsi"/>
                <w:b/>
                <w:bCs/>
              </w:rPr>
              <w:t>Regulation 79 &amp; 81</w:t>
            </w:r>
            <w:r w:rsidRPr="008067FE">
              <w:rPr>
                <w:rFonts w:cstheme="minorHAnsi"/>
                <w:bCs/>
              </w:rPr>
              <w:t>]</w:t>
            </w:r>
          </w:p>
        </w:tc>
        <w:tc>
          <w:tcPr>
            <w:tcW w:w="4064" w:type="dxa"/>
            <w:tcBorders>
              <w:top w:val="single" w:sz="4" w:space="0" w:color="004EA8" w:themeColor="accent1"/>
              <w:bottom w:val="single" w:sz="4" w:space="0" w:color="004EA8" w:themeColor="accent1"/>
            </w:tcBorders>
          </w:tcPr>
          <w:p w14:paraId="1D020A9A" w14:textId="739F2956" w:rsidR="001431C5" w:rsidRPr="003311A9"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Existing</w:t>
            </w:r>
            <w:r w:rsidRPr="003311A9">
              <w:rPr>
                <w:rFonts w:cstheme="minorHAnsi"/>
              </w:rPr>
              <w:t xml:space="preserve"> services </w:t>
            </w:r>
            <w:r>
              <w:rPr>
                <w:rFonts w:cstheme="minorHAnsi"/>
              </w:rPr>
              <w:t xml:space="preserve">that </w:t>
            </w:r>
            <w:r w:rsidRPr="003311A9">
              <w:rPr>
                <w:rFonts w:cstheme="minorHAnsi"/>
              </w:rPr>
              <w:t>do not meet the additional requirements</w:t>
            </w:r>
            <w:r>
              <w:rPr>
                <w:rFonts w:cstheme="minorHAnsi"/>
              </w:rPr>
              <w:t xml:space="preserve"> will not be made to meet these requirements</w:t>
            </w:r>
            <w:r w:rsidRPr="003311A9">
              <w:rPr>
                <w:rFonts w:cstheme="minorHAnsi"/>
              </w:rPr>
              <w:t>.</w:t>
            </w:r>
          </w:p>
        </w:tc>
      </w:tr>
      <w:tr w:rsidR="001431C5" w:rsidRPr="003311A9" w14:paraId="1C5BA0E2" w14:textId="77777777" w:rsidTr="006C4D5D">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004EA8" w:themeColor="accent1"/>
              <w:bottom w:val="single" w:sz="4" w:space="0" w:color="004EA8" w:themeColor="accent1"/>
            </w:tcBorders>
          </w:tcPr>
          <w:p w14:paraId="06BE8D99" w14:textId="6CD82297" w:rsidR="001431C5" w:rsidRPr="003311A9" w:rsidRDefault="001431C5" w:rsidP="001431C5">
            <w:pPr>
              <w:spacing w:after="60"/>
              <w:rPr>
                <w:rFonts w:cstheme="minorHAnsi"/>
              </w:rPr>
            </w:pPr>
            <w:r>
              <w:rPr>
                <w:rFonts w:cstheme="minorHAnsi"/>
              </w:rPr>
              <w:t>Notification, complaints and serious incidents</w:t>
            </w:r>
            <w:r w:rsidRPr="003311A9">
              <w:rPr>
                <w:rFonts w:cstheme="minorHAnsi"/>
              </w:rPr>
              <w:t xml:space="preserve"> </w:t>
            </w:r>
          </w:p>
        </w:tc>
        <w:tc>
          <w:tcPr>
            <w:tcW w:w="4063" w:type="dxa"/>
            <w:tcBorders>
              <w:top w:val="single" w:sz="4" w:space="0" w:color="004EA8" w:themeColor="accent1"/>
              <w:bottom w:val="single" w:sz="4" w:space="0" w:color="004EA8" w:themeColor="accent1"/>
            </w:tcBorders>
          </w:tcPr>
          <w:p w14:paraId="4FC6AD59" w14:textId="50AAD7D4" w:rsidR="001431C5"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w:t>
            </w:r>
            <w:r w:rsidRPr="003311A9">
              <w:rPr>
                <w:rFonts w:cstheme="minorHAnsi"/>
              </w:rPr>
              <w:t xml:space="preserve">ervices </w:t>
            </w:r>
            <w:r>
              <w:rPr>
                <w:rFonts w:cstheme="minorHAnsi"/>
              </w:rPr>
              <w:t>must</w:t>
            </w:r>
            <w:r w:rsidRPr="003311A9">
              <w:rPr>
                <w:rFonts w:cstheme="minorHAnsi"/>
              </w:rPr>
              <w:t xml:space="preserve"> deal with and respond to complaints as soon and discreetly as possible </w:t>
            </w:r>
          </w:p>
          <w:p w14:paraId="101C96B8" w14:textId="462AB5D9" w:rsidR="001431C5"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The Regulations also provide that services must notify the Secretary of any complaint that relates to the health, safety or wellbeing of a child or a contravention of the Act or Regulations</w:t>
            </w:r>
          </w:p>
          <w:p w14:paraId="574AD244" w14:textId="642BB7D1" w:rsidR="001431C5" w:rsidRPr="003311A9"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The Secretary must be notified of a serious incident by telephone within 24 hours, followed up in writing</w:t>
            </w:r>
          </w:p>
        </w:tc>
        <w:tc>
          <w:tcPr>
            <w:tcW w:w="4063" w:type="dxa"/>
            <w:tcBorders>
              <w:top w:val="single" w:sz="4" w:space="0" w:color="004EA8" w:themeColor="accent1"/>
              <w:bottom w:val="single" w:sz="4" w:space="0" w:color="004EA8" w:themeColor="accent1"/>
            </w:tcBorders>
          </w:tcPr>
          <w:p w14:paraId="235C18A4" w14:textId="7DE7F358" w:rsidR="001431C5"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Source Sans Pro Light"/>
                <w:color w:val="000000"/>
                <w:sz w:val="23"/>
                <w:szCs w:val="23"/>
              </w:rPr>
            </w:pPr>
            <w:r>
              <w:rPr>
                <w:rFonts w:cs="Source Sans Pro Light"/>
                <w:color w:val="000000"/>
                <w:sz w:val="23"/>
                <w:szCs w:val="23"/>
              </w:rPr>
              <w:t>The meaning of a serious incident is defined in the Regulations [</w:t>
            </w:r>
            <w:r w:rsidRPr="005F3926">
              <w:rPr>
                <w:rFonts w:cs="Source Sans Pro Light"/>
                <w:b/>
                <w:bCs/>
                <w:color w:val="000000"/>
                <w:sz w:val="23"/>
                <w:szCs w:val="23"/>
              </w:rPr>
              <w:t>Regulation 10</w:t>
            </w:r>
            <w:r>
              <w:rPr>
                <w:rFonts w:cs="Source Sans Pro Light"/>
                <w:color w:val="000000"/>
                <w:sz w:val="23"/>
                <w:szCs w:val="23"/>
              </w:rPr>
              <w:t>]</w:t>
            </w:r>
          </w:p>
          <w:p w14:paraId="63FC890A" w14:textId="3908D83B" w:rsidR="001431C5"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Source Sans Pro Light"/>
                <w:color w:val="000000"/>
                <w:sz w:val="23"/>
                <w:szCs w:val="23"/>
              </w:rPr>
            </w:pPr>
            <w:r>
              <w:rPr>
                <w:rFonts w:cs="Source Sans Pro Light"/>
                <w:color w:val="000000"/>
                <w:sz w:val="23"/>
                <w:szCs w:val="23"/>
              </w:rPr>
              <w:t xml:space="preserve">Approved providers must take reasonable steps to ensure that serious incidents and complaints are adequately addressed and notified to the Regulatory Authority within prescribed time frames. </w:t>
            </w:r>
          </w:p>
          <w:p w14:paraId="6B1C5887" w14:textId="3C01C333" w:rsidR="001431C5" w:rsidRPr="002519C4"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2519C4">
              <w:rPr>
                <w:rFonts w:cstheme="minorHAnsi"/>
              </w:rPr>
              <w:t>All services must</w:t>
            </w:r>
            <w:r>
              <w:rPr>
                <w:rFonts w:cstheme="minorHAnsi"/>
              </w:rPr>
              <w:t xml:space="preserve"> also</w:t>
            </w:r>
            <w:r w:rsidRPr="002519C4">
              <w:rPr>
                <w:rFonts w:cstheme="minorHAnsi"/>
              </w:rPr>
              <w:t xml:space="preserve"> notify the Regulatory Authority [</w:t>
            </w:r>
            <w:r w:rsidRPr="00A91772">
              <w:rPr>
                <w:rFonts w:cstheme="minorHAnsi"/>
                <w:b/>
              </w:rPr>
              <w:t>Regulation 11</w:t>
            </w:r>
            <w:r>
              <w:rPr>
                <w:rFonts w:cstheme="minorHAnsi"/>
                <w:b/>
              </w:rPr>
              <w:t>8</w:t>
            </w:r>
            <w:r w:rsidRPr="002519C4">
              <w:rPr>
                <w:rFonts w:cstheme="minorHAnsi"/>
              </w:rPr>
              <w:t>]:</w:t>
            </w:r>
          </w:p>
          <w:p w14:paraId="397D2143" w14:textId="77777777" w:rsidR="001431C5" w:rsidRPr="00A91772" w:rsidRDefault="001431C5" w:rsidP="001431C5">
            <w:pPr>
              <w:pStyle w:val="ListParagraph"/>
              <w:numPr>
                <w:ilvl w:val="0"/>
                <w:numId w:val="85"/>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A91772">
              <w:rPr>
                <w:rFonts w:cstheme="minorHAnsi"/>
              </w:rPr>
              <w:t>any changes to the status of the approved provider which will affect the ongoing operation of the service</w:t>
            </w:r>
          </w:p>
          <w:p w14:paraId="1071E8AD" w14:textId="77777777" w:rsidR="001431C5" w:rsidRPr="00A91772" w:rsidRDefault="001431C5" w:rsidP="001431C5">
            <w:pPr>
              <w:pStyle w:val="ListParagraph"/>
              <w:numPr>
                <w:ilvl w:val="0"/>
                <w:numId w:val="85"/>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A91772">
              <w:rPr>
                <w:rFonts w:cstheme="minorHAnsi"/>
              </w:rPr>
              <w:t xml:space="preserve">any circumstances that poses a risk to the health, safety or wellbeing of children (such as any incident or allegations of physical or sexual abuse of a child or children) </w:t>
            </w:r>
          </w:p>
          <w:p w14:paraId="7CF7E672" w14:textId="706EAD37" w:rsidR="001431C5" w:rsidRPr="00A91772" w:rsidRDefault="001431C5" w:rsidP="001431C5">
            <w:pPr>
              <w:pStyle w:val="ListParagraph"/>
              <w:numPr>
                <w:ilvl w:val="0"/>
                <w:numId w:val="85"/>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A91772">
              <w:rPr>
                <w:rFonts w:cstheme="minorHAnsi"/>
              </w:rPr>
              <w:t>attendance of any additional child (or children) in emergency situations</w:t>
            </w:r>
          </w:p>
          <w:p w14:paraId="6C715092" w14:textId="256B6382" w:rsidR="001431C5" w:rsidRPr="003311A9"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lastRenderedPageBreak/>
              <w:t xml:space="preserve">Services must </w:t>
            </w:r>
            <w:r>
              <w:rPr>
                <w:rFonts w:cstheme="minorHAnsi"/>
              </w:rPr>
              <w:t>provide the</w:t>
            </w:r>
            <w:r w:rsidRPr="003311A9">
              <w:rPr>
                <w:rFonts w:cstheme="minorHAnsi"/>
              </w:rPr>
              <w:t xml:space="preserve"> Regulatory Authority of </w:t>
            </w:r>
            <w:r>
              <w:rPr>
                <w:rFonts w:cstheme="minorHAnsi"/>
              </w:rPr>
              <w:t>relevant</w:t>
            </w:r>
            <w:r w:rsidRPr="003311A9">
              <w:rPr>
                <w:rFonts w:cstheme="minorHAnsi"/>
              </w:rPr>
              <w:t xml:space="preserve"> information within a specified time frame [</w:t>
            </w:r>
            <w:r w:rsidRPr="005469C9">
              <w:rPr>
                <w:rFonts w:cstheme="minorHAnsi"/>
                <w:b/>
              </w:rPr>
              <w:t>Regulation 1</w:t>
            </w:r>
            <w:r>
              <w:rPr>
                <w:rFonts w:cstheme="minorHAnsi"/>
                <w:b/>
              </w:rPr>
              <w:t>19</w:t>
            </w:r>
            <w:r w:rsidRPr="003311A9">
              <w:rPr>
                <w:rFonts w:cstheme="minorHAnsi"/>
              </w:rPr>
              <w:t>]</w:t>
            </w:r>
          </w:p>
        </w:tc>
        <w:tc>
          <w:tcPr>
            <w:tcW w:w="4064" w:type="dxa"/>
            <w:tcBorders>
              <w:top w:val="single" w:sz="4" w:space="0" w:color="004EA8" w:themeColor="accent1"/>
              <w:bottom w:val="single" w:sz="4" w:space="0" w:color="004EA8" w:themeColor="accent1"/>
            </w:tcBorders>
          </w:tcPr>
          <w:p w14:paraId="7024FA6A" w14:textId="1CFF9E25" w:rsidR="001431C5" w:rsidRPr="00767CF4"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767CF4">
              <w:rPr>
                <w:rFonts w:cstheme="minorHAnsi"/>
              </w:rPr>
              <w:lastRenderedPageBreak/>
              <w:t>Services must notify the Regulatory Authority of certain information that affects the operation of the service, as well as any circumstances that poses a risk to the health, s</w:t>
            </w:r>
            <w:r>
              <w:rPr>
                <w:rFonts w:cstheme="minorHAnsi"/>
              </w:rPr>
              <w:t>afety or wellbeing of children.</w:t>
            </w:r>
          </w:p>
          <w:p w14:paraId="6F3108D6" w14:textId="44B65DBC" w:rsidR="001431C5"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There is no longer a requirement to contact the Regulatory Authority by phone and in wri</w:t>
            </w:r>
            <w:r>
              <w:rPr>
                <w:rFonts w:cstheme="minorHAnsi"/>
              </w:rPr>
              <w:t>ting.</w:t>
            </w:r>
          </w:p>
          <w:p w14:paraId="522CD105" w14:textId="46584FBC" w:rsidR="001431C5" w:rsidRPr="003311A9"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One</w:t>
            </w:r>
            <w:r w:rsidRPr="003311A9">
              <w:rPr>
                <w:rFonts w:cstheme="minorHAnsi"/>
              </w:rPr>
              <w:t xml:space="preserve"> notification in writing is required to notify certain information to the Regulatory Authority</w:t>
            </w:r>
            <w:r>
              <w:rPr>
                <w:rFonts w:cstheme="minorHAnsi"/>
              </w:rPr>
              <w:t>.</w:t>
            </w:r>
          </w:p>
        </w:tc>
      </w:tr>
      <w:tr w:rsidR="001431C5" w:rsidRPr="003311A9" w14:paraId="5166B242" w14:textId="77777777" w:rsidTr="006C4D5D">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004EA8" w:themeColor="accent1"/>
              <w:bottom w:val="single" w:sz="4" w:space="0" w:color="004EA8" w:themeColor="accent1"/>
            </w:tcBorders>
          </w:tcPr>
          <w:p w14:paraId="0237BF71" w14:textId="16F5F8A4" w:rsidR="001431C5" w:rsidRPr="003311A9" w:rsidRDefault="001431C5" w:rsidP="001431C5">
            <w:pPr>
              <w:spacing w:after="60"/>
              <w:rPr>
                <w:rFonts w:cstheme="minorHAnsi"/>
              </w:rPr>
            </w:pPr>
            <w:r w:rsidRPr="00DB2778">
              <w:rPr>
                <w:rFonts w:cstheme="minorHAnsi"/>
              </w:rPr>
              <w:t>Information, policies, procedures and record-keeping</w:t>
            </w:r>
            <w:r w:rsidRPr="003311A9">
              <w:rPr>
                <w:rFonts w:cstheme="minorHAnsi"/>
              </w:rPr>
              <w:t xml:space="preserve"> </w:t>
            </w:r>
          </w:p>
        </w:tc>
        <w:tc>
          <w:tcPr>
            <w:tcW w:w="4063" w:type="dxa"/>
            <w:tcBorders>
              <w:top w:val="single" w:sz="4" w:space="0" w:color="004EA8" w:themeColor="accent1"/>
              <w:bottom w:val="single" w:sz="4" w:space="0" w:color="004EA8" w:themeColor="accent1"/>
            </w:tcBorders>
          </w:tcPr>
          <w:p w14:paraId="2FB81483" w14:textId="3615FC6E" w:rsidR="001431C5" w:rsidRPr="003311A9"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bCs/>
              </w:rPr>
            </w:pPr>
            <w:r w:rsidRPr="003311A9">
              <w:rPr>
                <w:rFonts w:cstheme="minorHAnsi"/>
                <w:bCs/>
              </w:rPr>
              <w:t>Information</w:t>
            </w:r>
            <w:r>
              <w:rPr>
                <w:rFonts w:cstheme="minorHAnsi"/>
                <w:bCs/>
              </w:rPr>
              <w:t>, policies and procedures</w:t>
            </w:r>
            <w:r w:rsidRPr="003311A9">
              <w:rPr>
                <w:rFonts w:cstheme="minorHAnsi"/>
                <w:bCs/>
              </w:rPr>
              <w:t xml:space="preserve"> to be made available at the service are:</w:t>
            </w:r>
          </w:p>
          <w:p w14:paraId="43F7C3DA" w14:textId="77777777" w:rsidR="001431C5" w:rsidRPr="005469C9" w:rsidRDefault="001431C5" w:rsidP="001431C5">
            <w:pPr>
              <w:pStyle w:val="ListParagraph"/>
              <w:numPr>
                <w:ilvl w:val="0"/>
                <w:numId w:val="84"/>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bCs/>
              </w:rPr>
            </w:pPr>
            <w:r w:rsidRPr="005469C9">
              <w:rPr>
                <w:rFonts w:cstheme="minorHAnsi"/>
              </w:rPr>
              <w:t>admission</w:t>
            </w:r>
            <w:r w:rsidRPr="005469C9">
              <w:rPr>
                <w:rFonts w:cstheme="minorHAnsi"/>
                <w:bCs/>
              </w:rPr>
              <w:t xml:space="preserve"> requirements and enrolment procedures</w:t>
            </w:r>
          </w:p>
          <w:p w14:paraId="13216002" w14:textId="77777777" w:rsidR="001431C5" w:rsidRPr="005469C9" w:rsidRDefault="001431C5" w:rsidP="001431C5">
            <w:pPr>
              <w:pStyle w:val="ListParagraph"/>
              <w:numPr>
                <w:ilvl w:val="0"/>
                <w:numId w:val="84"/>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bCs/>
              </w:rPr>
            </w:pPr>
            <w:r w:rsidRPr="005469C9">
              <w:rPr>
                <w:rFonts w:cstheme="minorHAnsi"/>
                <w:bCs/>
              </w:rPr>
              <w:t>arrangements for the payment of fees</w:t>
            </w:r>
          </w:p>
          <w:p w14:paraId="026CF017" w14:textId="77777777" w:rsidR="001431C5" w:rsidRPr="005469C9" w:rsidRDefault="001431C5" w:rsidP="001431C5">
            <w:pPr>
              <w:pStyle w:val="ListParagraph"/>
              <w:numPr>
                <w:ilvl w:val="0"/>
                <w:numId w:val="84"/>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bCs/>
              </w:rPr>
            </w:pPr>
            <w:r w:rsidRPr="005469C9">
              <w:rPr>
                <w:rFonts w:cstheme="minorHAnsi"/>
                <w:bCs/>
              </w:rPr>
              <w:t>the policy of the service with respect to the employment of qualified staff</w:t>
            </w:r>
          </w:p>
          <w:p w14:paraId="28436126" w14:textId="77777777" w:rsidR="001431C5" w:rsidRPr="005469C9" w:rsidRDefault="001431C5" w:rsidP="001431C5">
            <w:pPr>
              <w:pStyle w:val="ListParagraph"/>
              <w:numPr>
                <w:ilvl w:val="0"/>
                <w:numId w:val="84"/>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bCs/>
              </w:rPr>
            </w:pPr>
            <w:r w:rsidRPr="005469C9">
              <w:rPr>
                <w:rFonts w:cstheme="minorHAnsi"/>
                <w:bCs/>
              </w:rPr>
              <w:t>the educational or recreational programs provided for children cared for or educated by the service</w:t>
            </w:r>
          </w:p>
          <w:p w14:paraId="3BF2AA87" w14:textId="77777777" w:rsidR="001431C5" w:rsidRPr="005469C9" w:rsidRDefault="001431C5" w:rsidP="001431C5">
            <w:pPr>
              <w:pStyle w:val="ListParagraph"/>
              <w:numPr>
                <w:ilvl w:val="0"/>
                <w:numId w:val="84"/>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bCs/>
              </w:rPr>
            </w:pPr>
            <w:r w:rsidRPr="005469C9">
              <w:rPr>
                <w:rFonts w:cstheme="minorHAnsi"/>
                <w:bCs/>
              </w:rPr>
              <w:t>the policy of the service with respect to behaviour management</w:t>
            </w:r>
          </w:p>
          <w:p w14:paraId="6784BE9A" w14:textId="77777777" w:rsidR="001431C5" w:rsidRPr="005469C9" w:rsidRDefault="001431C5" w:rsidP="001431C5">
            <w:pPr>
              <w:pStyle w:val="ListParagraph"/>
              <w:numPr>
                <w:ilvl w:val="0"/>
                <w:numId w:val="84"/>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bCs/>
              </w:rPr>
            </w:pPr>
            <w:r w:rsidRPr="005469C9">
              <w:rPr>
                <w:rFonts w:cstheme="minorHAnsi"/>
                <w:bCs/>
              </w:rPr>
              <w:t>arrangements for the delivery and collection of children</w:t>
            </w:r>
          </w:p>
          <w:p w14:paraId="6A9117AC" w14:textId="77777777" w:rsidR="001431C5" w:rsidRPr="005469C9" w:rsidRDefault="001431C5" w:rsidP="001431C5">
            <w:pPr>
              <w:pStyle w:val="ListParagraph"/>
              <w:numPr>
                <w:ilvl w:val="0"/>
                <w:numId w:val="84"/>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5469C9">
              <w:rPr>
                <w:rFonts w:cstheme="minorHAnsi"/>
              </w:rPr>
              <w:t>procedures for dealing with illness and emergency care</w:t>
            </w:r>
          </w:p>
          <w:p w14:paraId="5B4619BE" w14:textId="77777777" w:rsidR="001431C5" w:rsidRPr="005469C9" w:rsidRDefault="001431C5" w:rsidP="001431C5">
            <w:pPr>
              <w:pStyle w:val="ListParagraph"/>
              <w:numPr>
                <w:ilvl w:val="0"/>
                <w:numId w:val="84"/>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5469C9">
              <w:rPr>
                <w:rFonts w:cstheme="minorHAnsi"/>
              </w:rPr>
              <w:t>procedures for dealing with infectious disease</w:t>
            </w:r>
          </w:p>
          <w:p w14:paraId="2B567C52" w14:textId="77777777" w:rsidR="001431C5" w:rsidRPr="005469C9" w:rsidRDefault="001431C5" w:rsidP="001431C5">
            <w:pPr>
              <w:pStyle w:val="ListParagraph"/>
              <w:numPr>
                <w:ilvl w:val="0"/>
                <w:numId w:val="84"/>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5469C9">
              <w:rPr>
                <w:rFonts w:cstheme="minorHAnsi"/>
              </w:rPr>
              <w:t>provision for dealing with complaints</w:t>
            </w:r>
          </w:p>
          <w:p w14:paraId="2FEC17A7" w14:textId="55D131D7" w:rsidR="001431C5" w:rsidRPr="005469C9" w:rsidRDefault="001431C5" w:rsidP="001431C5">
            <w:pPr>
              <w:pStyle w:val="ListParagraph"/>
              <w:numPr>
                <w:ilvl w:val="0"/>
                <w:numId w:val="84"/>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bCs/>
              </w:rPr>
            </w:pPr>
            <w:r w:rsidRPr="005469C9">
              <w:rPr>
                <w:rFonts w:cstheme="minorHAnsi"/>
                <w:bCs/>
              </w:rPr>
              <w:t>the anaphylaxis management policy</w:t>
            </w:r>
          </w:p>
        </w:tc>
        <w:tc>
          <w:tcPr>
            <w:tcW w:w="4063" w:type="dxa"/>
            <w:tcBorders>
              <w:top w:val="single" w:sz="4" w:space="0" w:color="004EA8" w:themeColor="accent1"/>
              <w:bottom w:val="single" w:sz="4" w:space="0" w:color="004EA8" w:themeColor="accent1"/>
            </w:tcBorders>
          </w:tcPr>
          <w:p w14:paraId="5B00D2BC" w14:textId="51DD599C" w:rsidR="001431C5"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bCs/>
              </w:rPr>
            </w:pPr>
            <w:r w:rsidRPr="00A91772">
              <w:rPr>
                <w:rFonts w:cstheme="minorHAnsi"/>
                <w:bCs/>
              </w:rPr>
              <w:t>Information to be kept on records and made available will be the same. There will be some changes to terminology and additional information required but they are minor in effect</w:t>
            </w:r>
          </w:p>
          <w:p w14:paraId="0F542E8C" w14:textId="50D18BF8" w:rsidR="001431C5" w:rsidRPr="003311A9"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In addition to current requirements, s</w:t>
            </w:r>
            <w:r w:rsidRPr="003311A9">
              <w:rPr>
                <w:rFonts w:cstheme="minorHAnsi"/>
                <w:bCs/>
              </w:rPr>
              <w:t>ervices must have</w:t>
            </w:r>
            <w:r>
              <w:rPr>
                <w:rFonts w:cstheme="minorHAnsi"/>
                <w:bCs/>
              </w:rPr>
              <w:t xml:space="preserve"> </w:t>
            </w:r>
            <w:r w:rsidRPr="003311A9">
              <w:rPr>
                <w:rFonts w:cstheme="minorHAnsi"/>
                <w:bCs/>
              </w:rPr>
              <w:t>policies and procedures [</w:t>
            </w:r>
            <w:r w:rsidRPr="005469C9">
              <w:rPr>
                <w:rFonts w:cstheme="minorHAnsi"/>
                <w:b/>
                <w:bCs/>
              </w:rPr>
              <w:t>Regulation 11</w:t>
            </w:r>
            <w:r>
              <w:rPr>
                <w:rFonts w:cstheme="minorHAnsi"/>
                <w:b/>
                <w:bCs/>
              </w:rPr>
              <w:t>2</w:t>
            </w:r>
            <w:r w:rsidRPr="005469C9">
              <w:rPr>
                <w:rFonts w:cstheme="minorHAnsi"/>
                <w:b/>
                <w:bCs/>
              </w:rPr>
              <w:t>-11</w:t>
            </w:r>
            <w:r>
              <w:rPr>
                <w:rFonts w:cstheme="minorHAnsi"/>
                <w:b/>
                <w:bCs/>
              </w:rPr>
              <w:t>5</w:t>
            </w:r>
            <w:r w:rsidRPr="003311A9">
              <w:rPr>
                <w:rFonts w:cstheme="minorHAnsi"/>
                <w:bCs/>
              </w:rPr>
              <w:t>] in relation to:</w:t>
            </w:r>
          </w:p>
          <w:p w14:paraId="2B8A7246" w14:textId="77777777" w:rsidR="001431C5" w:rsidRPr="005469C9" w:rsidRDefault="001431C5" w:rsidP="001431C5">
            <w:pPr>
              <w:pStyle w:val="ListParagraph"/>
              <w:numPr>
                <w:ilvl w:val="0"/>
                <w:numId w:val="85"/>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5469C9">
              <w:rPr>
                <w:rFonts w:cstheme="minorHAnsi"/>
              </w:rPr>
              <w:t xml:space="preserve">health and safety </w:t>
            </w:r>
          </w:p>
          <w:p w14:paraId="794EB0DB" w14:textId="77777777" w:rsidR="001431C5" w:rsidRPr="005469C9" w:rsidRDefault="001431C5" w:rsidP="001431C5">
            <w:pPr>
              <w:pStyle w:val="ListParagraph"/>
              <w:numPr>
                <w:ilvl w:val="0"/>
                <w:numId w:val="85"/>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5469C9">
              <w:rPr>
                <w:rFonts w:cstheme="minorHAnsi"/>
              </w:rPr>
              <w:t xml:space="preserve">medical conditions </w:t>
            </w:r>
          </w:p>
          <w:p w14:paraId="5AE3C20F" w14:textId="77777777" w:rsidR="001431C5" w:rsidRPr="005469C9" w:rsidRDefault="001431C5" w:rsidP="001431C5">
            <w:pPr>
              <w:pStyle w:val="ListParagraph"/>
              <w:numPr>
                <w:ilvl w:val="0"/>
                <w:numId w:val="85"/>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5469C9">
              <w:rPr>
                <w:rFonts w:cstheme="minorHAnsi"/>
              </w:rPr>
              <w:t xml:space="preserve">staffing </w:t>
            </w:r>
          </w:p>
          <w:p w14:paraId="6E98A711" w14:textId="77777777" w:rsidR="001431C5" w:rsidRPr="005469C9" w:rsidRDefault="001431C5" w:rsidP="001431C5">
            <w:pPr>
              <w:pStyle w:val="ListParagraph"/>
              <w:numPr>
                <w:ilvl w:val="0"/>
                <w:numId w:val="85"/>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5469C9">
              <w:rPr>
                <w:rFonts w:cstheme="minorHAnsi"/>
              </w:rPr>
              <w:t xml:space="preserve">interactions with children </w:t>
            </w:r>
          </w:p>
          <w:p w14:paraId="714E2D69" w14:textId="77777777" w:rsidR="001431C5" w:rsidRPr="005469C9" w:rsidRDefault="001431C5" w:rsidP="001431C5">
            <w:pPr>
              <w:pStyle w:val="ListParagraph"/>
              <w:numPr>
                <w:ilvl w:val="0"/>
                <w:numId w:val="85"/>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5469C9">
              <w:rPr>
                <w:rFonts w:cstheme="minorHAnsi"/>
              </w:rPr>
              <w:t>governance and management of service including confidentiality</w:t>
            </w:r>
          </w:p>
          <w:p w14:paraId="5F714F3E" w14:textId="77777777" w:rsidR="001431C5" w:rsidRDefault="001431C5" w:rsidP="001431C5">
            <w:pPr>
              <w:pStyle w:val="ListParagraph"/>
              <w:numPr>
                <w:ilvl w:val="0"/>
                <w:numId w:val="85"/>
              </w:numPr>
              <w:spacing w:after="60"/>
              <w:contextualSpacing w:val="0"/>
              <w:cnfStyle w:val="000000000000" w:firstRow="0" w:lastRow="0" w:firstColumn="0" w:lastColumn="0" w:oddVBand="0" w:evenVBand="0" w:oddHBand="0" w:evenHBand="0" w:firstRowFirstColumn="0" w:firstRowLastColumn="0" w:lastRowFirstColumn="0" w:lastRowLastColumn="0"/>
              <w:rPr>
                <w:rFonts w:cstheme="minorHAnsi"/>
              </w:rPr>
            </w:pPr>
            <w:r w:rsidRPr="005469C9">
              <w:rPr>
                <w:rFonts w:cstheme="minorHAnsi"/>
              </w:rPr>
              <w:t>acceptance and refusal of authorisations</w:t>
            </w:r>
          </w:p>
          <w:p w14:paraId="08CE2544" w14:textId="11F37EAA" w:rsidR="001431C5"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A91772">
              <w:rPr>
                <w:rFonts w:cstheme="minorHAnsi"/>
              </w:rPr>
              <w:t>In addition to current information kept available for inspection, all services must have evidence of current insurance (if applicable) made available for inspection by the Regulatory Authority [</w:t>
            </w:r>
            <w:r w:rsidRPr="00A91772">
              <w:rPr>
                <w:rFonts w:cstheme="minorHAnsi"/>
                <w:b/>
              </w:rPr>
              <w:t xml:space="preserve">Regulation </w:t>
            </w:r>
            <w:r>
              <w:rPr>
                <w:rFonts w:cstheme="minorHAnsi"/>
                <w:b/>
              </w:rPr>
              <w:t xml:space="preserve">114, </w:t>
            </w:r>
            <w:r w:rsidRPr="00A91772">
              <w:rPr>
                <w:rFonts w:cstheme="minorHAnsi"/>
                <w:b/>
              </w:rPr>
              <w:t>12</w:t>
            </w:r>
            <w:r>
              <w:rPr>
                <w:rFonts w:cstheme="minorHAnsi"/>
                <w:b/>
              </w:rPr>
              <w:t>1</w:t>
            </w:r>
            <w:r w:rsidRPr="00A91772">
              <w:rPr>
                <w:rFonts w:cstheme="minorHAnsi"/>
              </w:rPr>
              <w:t>]</w:t>
            </w:r>
          </w:p>
          <w:p w14:paraId="5F310742" w14:textId="454F03DE" w:rsidR="001431C5" w:rsidRPr="00A91772"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A91772">
              <w:rPr>
                <w:rFonts w:cstheme="minorHAnsi"/>
              </w:rPr>
              <w:t>Records and other documents must be kept for a certain time [</w:t>
            </w:r>
            <w:r w:rsidRPr="00A91772">
              <w:rPr>
                <w:rFonts w:cstheme="minorHAnsi"/>
                <w:b/>
              </w:rPr>
              <w:t>Regulation 12</w:t>
            </w:r>
            <w:r>
              <w:rPr>
                <w:rFonts w:cstheme="minorHAnsi"/>
                <w:b/>
              </w:rPr>
              <w:t>3</w:t>
            </w:r>
            <w:r w:rsidRPr="00A91772">
              <w:rPr>
                <w:rFonts w:cstheme="minorHAnsi"/>
              </w:rPr>
              <w:t>]</w:t>
            </w:r>
          </w:p>
        </w:tc>
        <w:tc>
          <w:tcPr>
            <w:tcW w:w="4064" w:type="dxa"/>
            <w:tcBorders>
              <w:top w:val="single" w:sz="4" w:space="0" w:color="004EA8" w:themeColor="accent1"/>
              <w:bottom w:val="single" w:sz="4" w:space="0" w:color="004EA8" w:themeColor="accent1"/>
            </w:tcBorders>
          </w:tcPr>
          <w:p w14:paraId="76F06164" w14:textId="4AE6CA29" w:rsidR="001431C5" w:rsidRPr="003311A9"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 xml:space="preserve">Clearer set of required </w:t>
            </w:r>
            <w:r>
              <w:rPr>
                <w:rFonts w:cstheme="minorHAnsi"/>
              </w:rPr>
              <w:t>information</w:t>
            </w:r>
            <w:r w:rsidRPr="003311A9">
              <w:rPr>
                <w:rFonts w:cstheme="minorHAnsi"/>
              </w:rPr>
              <w:t xml:space="preserve"> to be </w:t>
            </w:r>
            <w:r>
              <w:rPr>
                <w:rFonts w:cstheme="minorHAnsi"/>
              </w:rPr>
              <w:t>made available by all services.</w:t>
            </w:r>
          </w:p>
          <w:p w14:paraId="2B2C4CB0" w14:textId="77777777" w:rsidR="001431C5"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Additional policies and procedures will be required to cover areas such as interactions with children (which under current regulation is re</w:t>
            </w:r>
            <w:r>
              <w:rPr>
                <w:rFonts w:cstheme="minorHAnsi"/>
              </w:rPr>
              <w:t>lated to behaviour management).</w:t>
            </w:r>
          </w:p>
          <w:p w14:paraId="615F12DA" w14:textId="2C811A6F" w:rsidR="001431C5" w:rsidRPr="00A91772"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A91772">
              <w:rPr>
                <w:rFonts w:cstheme="minorHAnsi"/>
              </w:rPr>
              <w:t>Services will need to keep current insurance policy (if applicab</w:t>
            </w:r>
            <w:r>
              <w:rPr>
                <w:rFonts w:cstheme="minorHAnsi"/>
              </w:rPr>
              <w:t>le) on premises for inspection.</w:t>
            </w:r>
          </w:p>
          <w:p w14:paraId="7ED5212D" w14:textId="056068CB" w:rsidR="001431C5" w:rsidRPr="003311A9"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A91772">
              <w:rPr>
                <w:rFonts w:cstheme="minorHAnsi"/>
              </w:rPr>
              <w:t>Records and documents will be required to be kept for a certain time.</w:t>
            </w:r>
          </w:p>
        </w:tc>
      </w:tr>
      <w:tr w:rsidR="001431C5" w:rsidRPr="003311A9" w14:paraId="3B3A887E" w14:textId="77777777" w:rsidTr="006C4D5D">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004EA8" w:themeColor="accent1"/>
              <w:bottom w:val="single" w:sz="4" w:space="0" w:color="004EA8" w:themeColor="accent1"/>
            </w:tcBorders>
          </w:tcPr>
          <w:p w14:paraId="6BD17201" w14:textId="77777777" w:rsidR="001431C5" w:rsidRPr="003311A9" w:rsidRDefault="001431C5" w:rsidP="001431C5">
            <w:pPr>
              <w:spacing w:after="60"/>
              <w:rPr>
                <w:rFonts w:cstheme="minorHAnsi"/>
              </w:rPr>
            </w:pPr>
            <w:r w:rsidRPr="003311A9">
              <w:rPr>
                <w:rFonts w:cstheme="minorHAnsi"/>
              </w:rPr>
              <w:t>Fees</w:t>
            </w:r>
          </w:p>
        </w:tc>
        <w:tc>
          <w:tcPr>
            <w:tcW w:w="4063" w:type="dxa"/>
            <w:tcBorders>
              <w:top w:val="single" w:sz="4" w:space="0" w:color="004EA8" w:themeColor="accent1"/>
              <w:bottom w:val="single" w:sz="4" w:space="0" w:color="004EA8" w:themeColor="accent1"/>
            </w:tcBorders>
          </w:tcPr>
          <w:p w14:paraId="3056E590" w14:textId="71A2ECF7" w:rsidR="001431C5"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Fees payable for licensing and premises approvals</w:t>
            </w:r>
          </w:p>
          <w:p w14:paraId="5D0F7D02" w14:textId="38F94250" w:rsidR="001431C5" w:rsidRPr="003311A9"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Different</w:t>
            </w:r>
            <w:r>
              <w:rPr>
                <w:rFonts w:cstheme="minorHAnsi"/>
              </w:rPr>
              <w:t>iated</w:t>
            </w:r>
            <w:r w:rsidRPr="003311A9">
              <w:rPr>
                <w:rFonts w:cstheme="minorHAnsi"/>
              </w:rPr>
              <w:t xml:space="preserve"> fees according to the number of approved places offered by a service in the following five brackets: 0 to 15; 16 to 30; 31 to 60; 61 to 120 and 121 or more approved places</w:t>
            </w:r>
          </w:p>
          <w:p w14:paraId="363B9E41" w14:textId="77777777" w:rsidR="001431C5" w:rsidRPr="003311A9"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lastRenderedPageBreak/>
              <w:t>Fees vary according to licence type</w:t>
            </w:r>
          </w:p>
          <w:p w14:paraId="2832E600" w14:textId="77777777" w:rsidR="001431C5" w:rsidRPr="003311A9"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Licence renewal fees apply based on the term of the licence e.g. 1, 3 or 5 years</w:t>
            </w:r>
          </w:p>
          <w:p w14:paraId="0D3D9AD7" w14:textId="77777777" w:rsidR="001431C5"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Nil</w:t>
            </w:r>
            <w:r>
              <w:rPr>
                <w:rFonts w:cstheme="minorHAnsi"/>
              </w:rPr>
              <w:t xml:space="preserve"> licence renewal</w:t>
            </w:r>
            <w:r w:rsidRPr="003311A9">
              <w:rPr>
                <w:rFonts w:cstheme="minorHAnsi"/>
              </w:rPr>
              <w:t xml:space="preserve"> fee payable for</w:t>
            </w:r>
            <w:r>
              <w:rPr>
                <w:rFonts w:cstheme="minorHAnsi"/>
              </w:rPr>
              <w:t xml:space="preserve"> very</w:t>
            </w:r>
            <w:r w:rsidRPr="003311A9">
              <w:rPr>
                <w:rFonts w:cstheme="minorHAnsi"/>
              </w:rPr>
              <w:t xml:space="preserve"> small services</w:t>
            </w:r>
          </w:p>
          <w:p w14:paraId="43AE654B" w14:textId="08079AAB" w:rsidR="001431C5" w:rsidRPr="003311A9"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r w:rsidRPr="003311A9">
              <w:rPr>
                <w:rFonts w:cstheme="minorHAnsi"/>
              </w:rPr>
              <w:t xml:space="preserve">ees apply to </w:t>
            </w:r>
            <w:r>
              <w:rPr>
                <w:rFonts w:cstheme="minorHAnsi"/>
              </w:rPr>
              <w:t>application for the approval of new</w:t>
            </w:r>
            <w:r w:rsidRPr="003311A9">
              <w:rPr>
                <w:rFonts w:cstheme="minorHAnsi"/>
              </w:rPr>
              <w:t xml:space="preserve"> nominees, varying/revoking/imposing conditions and restrictions on application, and obtaining extracts of the children’s services register</w:t>
            </w:r>
          </w:p>
          <w:p w14:paraId="1470B92D" w14:textId="77777777" w:rsidR="001431C5" w:rsidRPr="003311A9"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Late payment fees apply</w:t>
            </w:r>
          </w:p>
        </w:tc>
        <w:tc>
          <w:tcPr>
            <w:tcW w:w="4063" w:type="dxa"/>
            <w:tcBorders>
              <w:top w:val="single" w:sz="4" w:space="0" w:color="004EA8" w:themeColor="accent1"/>
              <w:bottom w:val="single" w:sz="4" w:space="0" w:color="004EA8" w:themeColor="accent1"/>
            </w:tcBorders>
          </w:tcPr>
          <w:p w14:paraId="437CBF66" w14:textId="5EA0E19A" w:rsidR="001431C5" w:rsidRPr="003311A9"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lastRenderedPageBreak/>
              <w:t>The prescribed fee</w:t>
            </w:r>
            <w:r>
              <w:rPr>
                <w:rFonts w:cstheme="minorHAnsi"/>
              </w:rPr>
              <w:t>s</w:t>
            </w:r>
            <w:r w:rsidRPr="003311A9">
              <w:rPr>
                <w:rFonts w:cstheme="minorHAnsi"/>
              </w:rPr>
              <w:t xml:space="preserve"> payable </w:t>
            </w:r>
            <w:r>
              <w:rPr>
                <w:rFonts w:cstheme="minorHAnsi"/>
              </w:rPr>
              <w:t>are</w:t>
            </w:r>
            <w:r w:rsidRPr="003311A9">
              <w:rPr>
                <w:rFonts w:cstheme="minorHAnsi"/>
              </w:rPr>
              <w:t xml:space="preserve"> set out in Schedule 1 of the propose</w:t>
            </w:r>
            <w:r>
              <w:rPr>
                <w:rFonts w:cstheme="minorHAnsi"/>
              </w:rPr>
              <w:t>d regulations [</w:t>
            </w:r>
            <w:r w:rsidRPr="005469C9">
              <w:rPr>
                <w:rFonts w:cstheme="minorHAnsi"/>
                <w:b/>
              </w:rPr>
              <w:t>Regulation 13</w:t>
            </w:r>
            <w:r>
              <w:rPr>
                <w:rFonts w:cstheme="minorHAnsi"/>
                <w:b/>
              </w:rPr>
              <w:t>5</w:t>
            </w:r>
            <w:r>
              <w:rPr>
                <w:rFonts w:cstheme="minorHAnsi"/>
              </w:rPr>
              <w:t xml:space="preserve">] </w:t>
            </w:r>
          </w:p>
          <w:p w14:paraId="23C793E8" w14:textId="37B99451" w:rsidR="001431C5"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Differentiat</w:t>
            </w:r>
            <w:r>
              <w:rPr>
                <w:rFonts w:cstheme="minorHAnsi"/>
              </w:rPr>
              <w:t>ed</w:t>
            </w:r>
            <w:r w:rsidRPr="003311A9">
              <w:rPr>
                <w:rFonts w:cstheme="minorHAnsi"/>
              </w:rPr>
              <w:t xml:space="preserve"> fees according to the number of approved places offered by a service in the </w:t>
            </w:r>
            <w:r w:rsidRPr="003311A9">
              <w:rPr>
                <w:rFonts w:cstheme="minorHAnsi"/>
              </w:rPr>
              <w:lastRenderedPageBreak/>
              <w:t xml:space="preserve">following four brackets: 1 to 15; 16 to 30; 1 to 60 </w:t>
            </w:r>
            <w:r>
              <w:rPr>
                <w:rFonts w:cstheme="minorHAnsi"/>
              </w:rPr>
              <w:t>and 61 or more approved places</w:t>
            </w:r>
          </w:p>
          <w:p w14:paraId="3A81FBAE" w14:textId="5CFBB114" w:rsidR="001431C5" w:rsidRPr="003311A9"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w:t>
            </w:r>
            <w:r w:rsidRPr="003311A9">
              <w:rPr>
                <w:rFonts w:cstheme="minorHAnsi"/>
              </w:rPr>
              <w:t>nnual service fee payable on invoice by 30 June of each year (replacing the current licen</w:t>
            </w:r>
            <w:r>
              <w:rPr>
                <w:rFonts w:cstheme="minorHAnsi"/>
              </w:rPr>
              <w:t>ce renewal fee) [</w:t>
            </w:r>
            <w:r w:rsidRPr="005469C9">
              <w:rPr>
                <w:rFonts w:cstheme="minorHAnsi"/>
                <w:b/>
              </w:rPr>
              <w:t xml:space="preserve">Regulation </w:t>
            </w:r>
            <w:r>
              <w:rPr>
                <w:rFonts w:cstheme="minorHAnsi"/>
                <w:b/>
              </w:rPr>
              <w:t>30</w:t>
            </w:r>
            <w:r>
              <w:rPr>
                <w:rFonts w:cstheme="minorHAnsi"/>
              </w:rPr>
              <w:t>]</w:t>
            </w:r>
          </w:p>
          <w:p w14:paraId="3A9D835F" w14:textId="3EC527D4" w:rsidR="001431C5"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The late payment fee (applicable to a late annual service fee) remains</w:t>
            </w:r>
            <w:r>
              <w:rPr>
                <w:rFonts w:cstheme="minorHAnsi"/>
              </w:rPr>
              <w:t xml:space="preserve"> [</w:t>
            </w:r>
            <w:r w:rsidRPr="00F7751B">
              <w:rPr>
                <w:rFonts w:cstheme="minorHAnsi"/>
                <w:b/>
              </w:rPr>
              <w:t>Regulation 13</w:t>
            </w:r>
            <w:r>
              <w:rPr>
                <w:rFonts w:cstheme="minorHAnsi"/>
                <w:b/>
              </w:rPr>
              <w:t>6</w:t>
            </w:r>
            <w:r>
              <w:rPr>
                <w:rFonts w:cstheme="minorHAnsi"/>
              </w:rPr>
              <w:t>]</w:t>
            </w:r>
          </w:p>
          <w:p w14:paraId="27A1183B" w14:textId="55BA1681" w:rsidR="001431C5" w:rsidRPr="003311A9"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Fees payable for applications relating to waivers from prescribed requirements, and service transfers between approved providers</w:t>
            </w:r>
          </w:p>
        </w:tc>
        <w:tc>
          <w:tcPr>
            <w:tcW w:w="4064" w:type="dxa"/>
            <w:tcBorders>
              <w:top w:val="single" w:sz="4" w:space="0" w:color="004EA8" w:themeColor="accent1"/>
              <w:bottom w:val="single" w:sz="4" w:space="0" w:color="004EA8" w:themeColor="accent1"/>
            </w:tcBorders>
          </w:tcPr>
          <w:p w14:paraId="6ECF0975" w14:textId="115ED0DC" w:rsidR="001431C5"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Simpler fee regime, consistent with the NQF. Fees for approvals only apply to new providers and services – existing licensees and services are unaffected.</w:t>
            </w:r>
          </w:p>
          <w:p w14:paraId="6A2B56FD" w14:textId="117BE256" w:rsidR="001431C5" w:rsidRPr="003311A9"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Fixed term</w:t>
            </w:r>
            <w:r w:rsidRPr="003311A9">
              <w:rPr>
                <w:rFonts w:cstheme="minorHAnsi"/>
              </w:rPr>
              <w:t xml:space="preserve"> licence renewal fee</w:t>
            </w:r>
            <w:r>
              <w:rPr>
                <w:rFonts w:cstheme="minorHAnsi"/>
              </w:rPr>
              <w:t xml:space="preserve"> replaced</w:t>
            </w:r>
            <w:r w:rsidRPr="003311A9">
              <w:rPr>
                <w:rFonts w:cstheme="minorHAnsi"/>
              </w:rPr>
              <w:t xml:space="preserve"> with annual </w:t>
            </w:r>
            <w:r>
              <w:rPr>
                <w:rFonts w:cstheme="minorHAnsi"/>
              </w:rPr>
              <w:t>service fee payable on invoice.</w:t>
            </w:r>
          </w:p>
          <w:p w14:paraId="2CB2C4CE" w14:textId="04F57905" w:rsidR="001431C5"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lastRenderedPageBreak/>
              <w:t xml:space="preserve">The nil fee option is removed for </w:t>
            </w:r>
            <w:r>
              <w:rPr>
                <w:rFonts w:cstheme="minorHAnsi"/>
              </w:rPr>
              <w:t xml:space="preserve">very </w:t>
            </w:r>
            <w:r w:rsidRPr="003311A9">
              <w:rPr>
                <w:rFonts w:cstheme="minorHAnsi"/>
              </w:rPr>
              <w:t>small services (</w:t>
            </w:r>
            <w:r>
              <w:rPr>
                <w:rFonts w:cstheme="minorHAnsi"/>
              </w:rPr>
              <w:t>which</w:t>
            </w:r>
            <w:r w:rsidRPr="003311A9">
              <w:rPr>
                <w:rFonts w:cstheme="minorHAnsi"/>
              </w:rPr>
              <w:t xml:space="preserve"> will pay a nominal fee)</w:t>
            </w:r>
          </w:p>
          <w:p w14:paraId="1BB513A9" w14:textId="6BF65520" w:rsidR="001431C5" w:rsidRPr="003311A9"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r w:rsidRPr="003311A9">
              <w:rPr>
                <w:rFonts w:cstheme="minorHAnsi"/>
              </w:rPr>
              <w:t xml:space="preserve">ees relating to notification of nominees varying/revoking/imposing conditions and restrictions on application, and obtaining extracts of the children’s services register </w:t>
            </w:r>
            <w:r>
              <w:rPr>
                <w:rFonts w:cstheme="minorHAnsi"/>
              </w:rPr>
              <w:t xml:space="preserve">are </w:t>
            </w:r>
            <w:r w:rsidRPr="003311A9">
              <w:rPr>
                <w:rFonts w:cstheme="minorHAnsi"/>
              </w:rPr>
              <w:t>discontinued.</w:t>
            </w:r>
          </w:p>
          <w:p w14:paraId="69B32590" w14:textId="0D69512D" w:rsidR="001431C5"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w:t>
            </w:r>
            <w:r w:rsidRPr="003311A9">
              <w:rPr>
                <w:rFonts w:cstheme="minorHAnsi"/>
              </w:rPr>
              <w:t xml:space="preserve">ew fees for </w:t>
            </w:r>
            <w:r>
              <w:rPr>
                <w:rFonts w:cstheme="minorHAnsi"/>
              </w:rPr>
              <w:t xml:space="preserve">applications for </w:t>
            </w:r>
            <w:r w:rsidRPr="003311A9">
              <w:rPr>
                <w:rFonts w:cstheme="minorHAnsi"/>
              </w:rPr>
              <w:t>waivers and service transfers.</w:t>
            </w:r>
          </w:p>
          <w:p w14:paraId="0CBFF584" w14:textId="26FA22C4" w:rsidR="001431C5" w:rsidRPr="003311A9"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Department maintains a regulatory discretion to waive fees in appropriate circumstances.</w:t>
            </w:r>
          </w:p>
        </w:tc>
      </w:tr>
      <w:tr w:rsidR="001431C5" w:rsidRPr="003311A9" w14:paraId="4BFE150C" w14:textId="77777777" w:rsidTr="006C4D5D">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004EA8" w:themeColor="accent1"/>
            </w:tcBorders>
          </w:tcPr>
          <w:p w14:paraId="4F9324D0" w14:textId="77777777" w:rsidR="001431C5" w:rsidRPr="003311A9" w:rsidRDefault="001431C5" w:rsidP="001431C5">
            <w:pPr>
              <w:spacing w:after="60"/>
              <w:rPr>
                <w:rFonts w:cstheme="minorHAnsi"/>
              </w:rPr>
            </w:pPr>
            <w:r w:rsidRPr="003311A9">
              <w:rPr>
                <w:rFonts w:cstheme="minorHAnsi"/>
              </w:rPr>
              <w:lastRenderedPageBreak/>
              <w:t>Service waivers</w:t>
            </w:r>
          </w:p>
        </w:tc>
        <w:tc>
          <w:tcPr>
            <w:tcW w:w="4063" w:type="dxa"/>
            <w:tcBorders>
              <w:top w:val="single" w:sz="4" w:space="0" w:color="004EA8" w:themeColor="accent1"/>
            </w:tcBorders>
          </w:tcPr>
          <w:p w14:paraId="5AF80DA3" w14:textId="77777777" w:rsidR="001431C5" w:rsidRPr="003311A9"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N/A</w:t>
            </w:r>
          </w:p>
          <w:p w14:paraId="79300A64" w14:textId="77777777" w:rsidR="001431C5" w:rsidRPr="003311A9"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The CS Act provides that the Minister can declare a service exempt from any of the Act’s requirements. There is no service waivers under the current regulations.</w:t>
            </w:r>
          </w:p>
        </w:tc>
        <w:tc>
          <w:tcPr>
            <w:tcW w:w="4063" w:type="dxa"/>
            <w:tcBorders>
              <w:top w:val="single" w:sz="4" w:space="0" w:color="004EA8" w:themeColor="accent1"/>
            </w:tcBorders>
          </w:tcPr>
          <w:p w14:paraId="430B98E9" w14:textId="0939EA90" w:rsidR="001431C5"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bCs/>
              </w:rPr>
            </w:pPr>
            <w:r w:rsidRPr="003311A9">
              <w:rPr>
                <w:rFonts w:cstheme="minorHAnsi"/>
              </w:rPr>
              <w:t xml:space="preserve">Services may apply to have some prescribed requirements waived </w:t>
            </w:r>
            <w:r w:rsidRPr="003311A9">
              <w:rPr>
                <w:rFonts w:cstheme="minorHAnsi"/>
                <w:bCs/>
              </w:rPr>
              <w:t>[</w:t>
            </w:r>
            <w:r w:rsidRPr="005469C9">
              <w:rPr>
                <w:rFonts w:cstheme="minorHAnsi"/>
                <w:b/>
                <w:bCs/>
              </w:rPr>
              <w:t>Regulations 3</w:t>
            </w:r>
            <w:r>
              <w:rPr>
                <w:rFonts w:cstheme="minorHAnsi"/>
                <w:b/>
                <w:bCs/>
              </w:rPr>
              <w:t>7</w:t>
            </w:r>
            <w:r w:rsidRPr="005469C9">
              <w:rPr>
                <w:rFonts w:cstheme="minorHAnsi"/>
                <w:b/>
                <w:bCs/>
              </w:rPr>
              <w:t xml:space="preserve"> &amp; 3</w:t>
            </w:r>
            <w:r>
              <w:rPr>
                <w:rFonts w:cstheme="minorHAnsi"/>
                <w:b/>
                <w:bCs/>
              </w:rPr>
              <w:t>8</w:t>
            </w:r>
            <w:r>
              <w:rPr>
                <w:rFonts w:cstheme="minorHAnsi"/>
                <w:bCs/>
              </w:rPr>
              <w:t>]</w:t>
            </w:r>
          </w:p>
          <w:p w14:paraId="2EF602C7" w14:textId="22F0A13B" w:rsidR="001431C5" w:rsidRPr="003311A9"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bCs/>
              </w:rPr>
            </w:pPr>
            <w:r w:rsidRPr="003311A9">
              <w:rPr>
                <w:rFonts w:cstheme="minorHAnsi"/>
              </w:rPr>
              <w:t xml:space="preserve">Services may also apply a temporary waiver </w:t>
            </w:r>
            <w:r w:rsidRPr="003311A9">
              <w:rPr>
                <w:rFonts w:cstheme="minorHAnsi"/>
                <w:bCs/>
              </w:rPr>
              <w:t>[</w:t>
            </w:r>
            <w:r w:rsidRPr="005469C9">
              <w:rPr>
                <w:rFonts w:cstheme="minorHAnsi"/>
                <w:b/>
                <w:bCs/>
              </w:rPr>
              <w:t>Regulation 40</w:t>
            </w:r>
            <w:r>
              <w:rPr>
                <w:rFonts w:cstheme="minorHAnsi"/>
                <w:b/>
                <w:bCs/>
              </w:rPr>
              <w:t xml:space="preserve"> &amp; 41</w:t>
            </w:r>
            <w:r w:rsidRPr="003311A9">
              <w:rPr>
                <w:rFonts w:cstheme="minorHAnsi"/>
                <w:bCs/>
              </w:rPr>
              <w:t>]</w:t>
            </w:r>
          </w:p>
        </w:tc>
        <w:tc>
          <w:tcPr>
            <w:tcW w:w="4064" w:type="dxa"/>
            <w:tcBorders>
              <w:top w:val="single" w:sz="4" w:space="0" w:color="004EA8" w:themeColor="accent1"/>
            </w:tcBorders>
          </w:tcPr>
          <w:p w14:paraId="2ED567DB" w14:textId="4B01EBAB" w:rsidR="001431C5" w:rsidRPr="003311A9" w:rsidRDefault="001431C5" w:rsidP="001431C5">
            <w:pPr>
              <w:spacing w:after="60"/>
              <w:cnfStyle w:val="000000000000" w:firstRow="0" w:lastRow="0" w:firstColumn="0" w:lastColumn="0" w:oddVBand="0" w:evenVBand="0" w:oddHBand="0" w:evenHBand="0" w:firstRowFirstColumn="0" w:firstRowLastColumn="0" w:lastRowFirstColumn="0" w:lastRowLastColumn="0"/>
              <w:rPr>
                <w:rFonts w:cstheme="minorHAnsi"/>
              </w:rPr>
            </w:pPr>
            <w:r w:rsidRPr="003311A9">
              <w:rPr>
                <w:rFonts w:cstheme="minorHAnsi"/>
              </w:rPr>
              <w:t xml:space="preserve">Flexibility </w:t>
            </w:r>
            <w:r>
              <w:rPr>
                <w:rFonts w:cstheme="minorHAnsi"/>
              </w:rPr>
              <w:t>to apply</w:t>
            </w:r>
            <w:r w:rsidRPr="003311A9">
              <w:rPr>
                <w:rFonts w:cstheme="minorHAnsi"/>
              </w:rPr>
              <w:t xml:space="preserve"> for a waiver </w:t>
            </w:r>
            <w:r>
              <w:rPr>
                <w:rFonts w:cstheme="minorHAnsi"/>
              </w:rPr>
              <w:t>of</w:t>
            </w:r>
            <w:r w:rsidRPr="003311A9">
              <w:rPr>
                <w:rFonts w:cstheme="minorHAnsi"/>
              </w:rPr>
              <w:t xml:space="preserve"> certain </w:t>
            </w:r>
            <w:r>
              <w:rPr>
                <w:rFonts w:cstheme="minorHAnsi"/>
              </w:rPr>
              <w:t xml:space="preserve">prescribed </w:t>
            </w:r>
            <w:r w:rsidRPr="003311A9">
              <w:rPr>
                <w:rFonts w:cstheme="minorHAnsi"/>
              </w:rPr>
              <w:t xml:space="preserve">requirements that </w:t>
            </w:r>
            <w:r>
              <w:rPr>
                <w:rFonts w:cstheme="minorHAnsi"/>
              </w:rPr>
              <w:t>a</w:t>
            </w:r>
            <w:r w:rsidRPr="003311A9">
              <w:rPr>
                <w:rFonts w:cstheme="minorHAnsi"/>
              </w:rPr>
              <w:t xml:space="preserve"> service</w:t>
            </w:r>
            <w:r>
              <w:rPr>
                <w:rFonts w:cstheme="minorHAnsi"/>
              </w:rPr>
              <w:t xml:space="preserve"> is unable to comply with, and thus avoid non-compliance</w:t>
            </w:r>
            <w:r w:rsidRPr="003311A9">
              <w:rPr>
                <w:rFonts w:cstheme="minorHAnsi"/>
              </w:rPr>
              <w:t>.</w:t>
            </w:r>
          </w:p>
        </w:tc>
      </w:tr>
    </w:tbl>
    <w:p w14:paraId="00E9FCB0" w14:textId="6D2CB594" w:rsidR="000F2018" w:rsidRDefault="000F2018" w:rsidP="00C01E92">
      <w:pPr>
        <w:pStyle w:val="EYBodytextwithparaspace"/>
        <w:spacing w:before="120" w:after="120"/>
        <w:rPr>
          <w:rFonts w:asciiTheme="minorHAnsi" w:hAnsiTheme="minorHAnsi" w:cstheme="minorHAnsi"/>
          <w:sz w:val="22"/>
          <w:szCs w:val="22"/>
        </w:rPr>
      </w:pPr>
    </w:p>
    <w:p w14:paraId="0F9DB71B" w14:textId="77777777" w:rsidR="00281AFF" w:rsidRDefault="00281AFF">
      <w:pPr>
        <w:spacing w:after="0"/>
        <w:rPr>
          <w:rFonts w:cstheme="minorHAnsi"/>
          <w:szCs w:val="22"/>
        </w:rPr>
        <w:sectPr w:rsidR="00281AFF" w:rsidSect="00281AFF">
          <w:pgSz w:w="16840" w:h="11900" w:orient="landscape"/>
          <w:pgMar w:top="1134" w:right="1985" w:bottom="1134" w:left="1701" w:header="709" w:footer="709" w:gutter="0"/>
          <w:cols w:space="708"/>
          <w:docGrid w:linePitch="360"/>
        </w:sectPr>
      </w:pPr>
      <w:r>
        <w:rPr>
          <w:rFonts w:cstheme="minorHAnsi"/>
          <w:szCs w:val="22"/>
        </w:rPr>
        <w:br w:type="page"/>
      </w:r>
    </w:p>
    <w:p w14:paraId="5881F69E" w14:textId="479F5F82" w:rsidR="00C01E92" w:rsidRPr="000107A9" w:rsidRDefault="000F2018" w:rsidP="00A87A06">
      <w:pPr>
        <w:pStyle w:val="Heading2"/>
      </w:pPr>
      <w:bookmarkStart w:id="322" w:name="_Toc30669635"/>
      <w:bookmarkStart w:id="323" w:name="_Toc32936900"/>
      <w:r>
        <w:lastRenderedPageBreak/>
        <w:t xml:space="preserve">10.2 </w:t>
      </w:r>
      <w:r w:rsidR="00C01E92" w:rsidRPr="000107A9">
        <w:t>Questions for consultation</w:t>
      </w:r>
      <w:bookmarkEnd w:id="322"/>
      <w:bookmarkEnd w:id="323"/>
    </w:p>
    <w:p w14:paraId="3C33A97E" w14:textId="77777777" w:rsidR="00F06F32" w:rsidRPr="006D34E8" w:rsidRDefault="00F06F32" w:rsidP="00F06F32">
      <w:pPr>
        <w:pStyle w:val="EYBodytextwithparaspace"/>
        <w:spacing w:before="120" w:after="120"/>
        <w:rPr>
          <w:rFonts w:asciiTheme="minorHAnsi" w:eastAsiaTheme="minorHAnsi" w:hAnsiTheme="minorHAnsi" w:cstheme="minorBidi"/>
          <w:sz w:val="22"/>
          <w:szCs w:val="24"/>
        </w:rPr>
      </w:pPr>
      <w:bookmarkStart w:id="324" w:name="_Ref27642400"/>
      <w:bookmarkStart w:id="325" w:name="_Ref27661916"/>
      <w:r>
        <w:rPr>
          <w:rFonts w:asciiTheme="minorHAnsi" w:eastAsiaTheme="minorHAnsi" w:hAnsiTheme="minorHAnsi" w:cstheme="minorBidi"/>
          <w:sz w:val="22"/>
          <w:szCs w:val="24"/>
        </w:rPr>
        <w:t>I</w:t>
      </w:r>
      <w:r w:rsidRPr="006D34E8">
        <w:rPr>
          <w:rFonts w:asciiTheme="minorHAnsi" w:eastAsiaTheme="minorHAnsi" w:hAnsiTheme="minorHAnsi" w:cstheme="minorBidi"/>
          <w:sz w:val="22"/>
          <w:szCs w:val="24"/>
        </w:rPr>
        <w:t xml:space="preserve">nformation about consultation sessions and how to submit comments </w:t>
      </w:r>
      <w:r>
        <w:rPr>
          <w:rFonts w:asciiTheme="minorHAnsi" w:eastAsiaTheme="minorHAnsi" w:hAnsiTheme="minorHAnsi" w:cstheme="minorBidi"/>
          <w:sz w:val="22"/>
          <w:szCs w:val="24"/>
        </w:rPr>
        <w:t>is</w:t>
      </w:r>
      <w:r w:rsidRPr="006D34E8">
        <w:rPr>
          <w:rFonts w:asciiTheme="minorHAnsi" w:eastAsiaTheme="minorHAnsi" w:hAnsiTheme="minorHAnsi" w:cstheme="minorBidi"/>
          <w:sz w:val="22"/>
          <w:szCs w:val="24"/>
        </w:rPr>
        <w:t xml:space="preserve"> found </w:t>
      </w:r>
      <w:r>
        <w:rPr>
          <w:rFonts w:asciiTheme="minorHAnsi" w:eastAsiaTheme="minorHAnsi" w:hAnsiTheme="minorHAnsi" w:cstheme="minorBidi"/>
          <w:sz w:val="22"/>
          <w:szCs w:val="24"/>
        </w:rPr>
        <w:t>online at</w:t>
      </w:r>
      <w:r w:rsidRPr="006D34E8">
        <w:rPr>
          <w:rFonts w:asciiTheme="minorHAnsi" w:eastAsiaTheme="minorHAnsi" w:hAnsiTheme="minorHAnsi" w:cstheme="minorBidi"/>
          <w:sz w:val="22"/>
          <w:szCs w:val="24"/>
        </w:rPr>
        <w:t xml:space="preserve"> </w:t>
      </w:r>
      <w:r>
        <w:rPr>
          <w:rFonts w:asciiTheme="minorHAnsi" w:eastAsiaTheme="minorHAnsi" w:hAnsiTheme="minorHAnsi" w:cstheme="minorBidi"/>
          <w:sz w:val="22"/>
          <w:szCs w:val="24"/>
        </w:rPr>
        <w:br/>
      </w:r>
      <w:r w:rsidRPr="00F06F32">
        <w:rPr>
          <w:rFonts w:asciiTheme="minorHAnsi" w:eastAsiaTheme="minorHAnsi" w:hAnsiTheme="minorHAnsi" w:cstheme="minorBidi"/>
          <w:b/>
          <w:sz w:val="22"/>
          <w:szCs w:val="24"/>
        </w:rPr>
        <w:t>Engage Victoria</w:t>
      </w:r>
      <w:r>
        <w:rPr>
          <w:rFonts w:asciiTheme="minorHAnsi" w:eastAsiaTheme="minorHAnsi" w:hAnsiTheme="minorHAnsi" w:cstheme="minorBidi"/>
          <w:sz w:val="22"/>
          <w:szCs w:val="24"/>
        </w:rPr>
        <w:t xml:space="preserve"> </w:t>
      </w:r>
      <w:hyperlink r:id="rId35" w:history="1">
        <w:r w:rsidRPr="0036290A">
          <w:rPr>
            <w:rStyle w:val="Hyperlink"/>
            <w:rFonts w:asciiTheme="minorHAnsi" w:eastAsiaTheme="minorHAnsi" w:hAnsiTheme="minorHAnsi" w:cstheme="minorBidi"/>
            <w:szCs w:val="24"/>
          </w:rPr>
          <w:t>https://engage.vic.gov.au/childrens-services-regulations-2020</w:t>
        </w:r>
      </w:hyperlink>
      <w:r>
        <w:rPr>
          <w:rFonts w:asciiTheme="minorHAnsi" w:eastAsiaTheme="minorHAnsi" w:hAnsiTheme="minorHAnsi" w:cstheme="minorBidi"/>
          <w:sz w:val="22"/>
          <w:szCs w:val="24"/>
        </w:rPr>
        <w:t xml:space="preserve"> </w:t>
      </w:r>
    </w:p>
    <w:p w14:paraId="161F5333" w14:textId="0BA7927E" w:rsidR="00F06F32" w:rsidRDefault="003A2EBF" w:rsidP="003A2EBF">
      <w:pPr>
        <w:pStyle w:val="EYBodytextwithparaspace"/>
        <w:spacing w:before="120" w:after="120"/>
        <w:rPr>
          <w:rFonts w:asciiTheme="minorHAnsi" w:eastAsiaTheme="minorHAnsi" w:hAnsiTheme="minorHAnsi" w:cstheme="minorBidi"/>
          <w:sz w:val="22"/>
          <w:szCs w:val="24"/>
        </w:rPr>
      </w:pPr>
      <w:r w:rsidRPr="006D34E8">
        <w:rPr>
          <w:rFonts w:asciiTheme="minorHAnsi" w:eastAsiaTheme="minorHAnsi" w:hAnsiTheme="minorHAnsi" w:cstheme="minorBidi"/>
          <w:sz w:val="22"/>
          <w:szCs w:val="24"/>
        </w:rPr>
        <w:t>Public comment is invited on the RIS overall, and the main regulatory proposals p</w:t>
      </w:r>
      <w:r w:rsidR="00F06F32">
        <w:rPr>
          <w:rFonts w:asciiTheme="minorHAnsi" w:eastAsiaTheme="minorHAnsi" w:hAnsiTheme="minorHAnsi" w:cstheme="minorBidi"/>
          <w:sz w:val="22"/>
          <w:szCs w:val="24"/>
        </w:rPr>
        <w:t>resented.</w:t>
      </w:r>
    </w:p>
    <w:p w14:paraId="7BB2D660" w14:textId="758EB64B" w:rsidR="003A2EBF" w:rsidRPr="006D34E8" w:rsidRDefault="003A2EBF" w:rsidP="003A2EBF">
      <w:pPr>
        <w:pStyle w:val="EYBodytextwithparaspace"/>
        <w:spacing w:before="120" w:after="120"/>
        <w:rPr>
          <w:rFonts w:asciiTheme="minorHAnsi" w:eastAsiaTheme="minorHAnsi" w:hAnsiTheme="minorHAnsi" w:cstheme="minorBidi"/>
          <w:sz w:val="22"/>
          <w:szCs w:val="24"/>
        </w:rPr>
      </w:pPr>
      <w:r w:rsidRPr="006D34E8">
        <w:rPr>
          <w:rFonts w:asciiTheme="minorHAnsi" w:eastAsiaTheme="minorHAnsi" w:hAnsiTheme="minorHAnsi" w:cstheme="minorBidi"/>
          <w:sz w:val="22"/>
          <w:szCs w:val="24"/>
        </w:rPr>
        <w:t xml:space="preserve">The Engage Victoria website contains a short survey of </w:t>
      </w:r>
      <w:r w:rsidR="00F06F32">
        <w:rPr>
          <w:rFonts w:asciiTheme="minorHAnsi" w:eastAsiaTheme="minorHAnsi" w:hAnsiTheme="minorHAnsi" w:cstheme="minorBidi"/>
          <w:sz w:val="22"/>
          <w:szCs w:val="24"/>
        </w:rPr>
        <w:t xml:space="preserve">some of </w:t>
      </w:r>
      <w:r w:rsidRPr="006D34E8">
        <w:rPr>
          <w:rFonts w:asciiTheme="minorHAnsi" w:eastAsiaTheme="minorHAnsi" w:hAnsiTheme="minorHAnsi" w:cstheme="minorBidi"/>
          <w:sz w:val="22"/>
          <w:szCs w:val="24"/>
        </w:rPr>
        <w:t>the following questions for your consideration and comment:</w:t>
      </w:r>
    </w:p>
    <w:p w14:paraId="15674F31" w14:textId="00468BBD" w:rsidR="00D651D3" w:rsidRDefault="00D651D3" w:rsidP="00D651D3">
      <w:pPr>
        <w:pStyle w:val="EYBodytextwithparaspace"/>
        <w:numPr>
          <w:ilvl w:val="0"/>
          <w:numId w:val="7"/>
        </w:numPr>
        <w:spacing w:before="120" w:after="120"/>
        <w:rPr>
          <w:rFonts w:asciiTheme="minorHAnsi" w:eastAsiaTheme="minorHAnsi" w:hAnsiTheme="minorHAnsi" w:cstheme="minorBidi"/>
          <w:sz w:val="22"/>
          <w:szCs w:val="24"/>
        </w:rPr>
      </w:pPr>
      <w:r>
        <w:rPr>
          <w:rFonts w:asciiTheme="minorHAnsi" w:eastAsiaTheme="minorHAnsi" w:hAnsiTheme="minorHAnsi" w:cstheme="minorBidi"/>
          <w:sz w:val="22"/>
          <w:szCs w:val="24"/>
        </w:rPr>
        <w:t>Do you support the reduction of seven (7) licence types to two (2) service</w:t>
      </w:r>
      <w:r w:rsidR="006843E3">
        <w:rPr>
          <w:rFonts w:asciiTheme="minorHAnsi" w:eastAsiaTheme="minorHAnsi" w:hAnsiTheme="minorHAnsi" w:cstheme="minorBidi"/>
          <w:sz w:val="22"/>
          <w:szCs w:val="24"/>
        </w:rPr>
        <w:t xml:space="preserve"> approval</w:t>
      </w:r>
      <w:r>
        <w:rPr>
          <w:rFonts w:asciiTheme="minorHAnsi" w:eastAsiaTheme="minorHAnsi" w:hAnsiTheme="minorHAnsi" w:cstheme="minorBidi"/>
          <w:sz w:val="22"/>
          <w:szCs w:val="24"/>
        </w:rPr>
        <w:t xml:space="preserve"> types?</w:t>
      </w:r>
    </w:p>
    <w:p w14:paraId="16D71FE2" w14:textId="1B860F11" w:rsidR="003A2EBF" w:rsidRPr="006D34E8" w:rsidRDefault="003A2EBF" w:rsidP="003A2EBF">
      <w:pPr>
        <w:pStyle w:val="EYBodytextwithparaspace"/>
        <w:numPr>
          <w:ilvl w:val="0"/>
          <w:numId w:val="7"/>
        </w:numPr>
        <w:spacing w:before="120" w:after="120"/>
        <w:rPr>
          <w:rFonts w:asciiTheme="minorHAnsi" w:eastAsiaTheme="minorHAnsi" w:hAnsiTheme="minorHAnsi" w:cstheme="minorBidi"/>
          <w:sz w:val="22"/>
          <w:szCs w:val="24"/>
        </w:rPr>
      </w:pPr>
      <w:r w:rsidRPr="006D34E8">
        <w:rPr>
          <w:rFonts w:asciiTheme="minorHAnsi" w:eastAsiaTheme="minorHAnsi" w:hAnsiTheme="minorHAnsi" w:cstheme="minorBidi"/>
          <w:sz w:val="22"/>
          <w:szCs w:val="24"/>
        </w:rPr>
        <w:t>Do you support the requirement for outdoor space for new services?</w:t>
      </w:r>
    </w:p>
    <w:p w14:paraId="55EED015" w14:textId="77777777" w:rsidR="003A2EBF" w:rsidRPr="006D34E8" w:rsidRDefault="003A2EBF" w:rsidP="003A2EBF">
      <w:pPr>
        <w:pStyle w:val="EYBodytextwithparaspace"/>
        <w:numPr>
          <w:ilvl w:val="0"/>
          <w:numId w:val="7"/>
        </w:numPr>
        <w:spacing w:before="120" w:after="120"/>
        <w:rPr>
          <w:rFonts w:asciiTheme="minorHAnsi" w:eastAsiaTheme="minorHAnsi" w:hAnsiTheme="minorHAnsi" w:cstheme="minorBidi"/>
          <w:sz w:val="22"/>
          <w:szCs w:val="24"/>
        </w:rPr>
      </w:pPr>
      <w:r w:rsidRPr="006D34E8">
        <w:rPr>
          <w:rFonts w:asciiTheme="minorHAnsi" w:eastAsiaTheme="minorHAnsi" w:hAnsiTheme="minorHAnsi" w:cstheme="minorBidi"/>
          <w:sz w:val="22"/>
          <w:szCs w:val="24"/>
        </w:rPr>
        <w:t>Do you support the alignment of staffing requirements with the NQF?</w:t>
      </w:r>
    </w:p>
    <w:p w14:paraId="45B18B32" w14:textId="77777777" w:rsidR="003A2EBF" w:rsidRPr="006D34E8" w:rsidRDefault="003A2EBF" w:rsidP="003A2EBF">
      <w:pPr>
        <w:pStyle w:val="EYBodytextwithparaspace"/>
        <w:numPr>
          <w:ilvl w:val="0"/>
          <w:numId w:val="7"/>
        </w:numPr>
        <w:spacing w:before="120" w:after="120"/>
        <w:rPr>
          <w:rFonts w:asciiTheme="minorHAnsi" w:eastAsiaTheme="minorHAnsi" w:hAnsiTheme="minorHAnsi" w:cstheme="minorBidi"/>
          <w:sz w:val="22"/>
          <w:szCs w:val="24"/>
        </w:rPr>
      </w:pPr>
      <w:r w:rsidRPr="006D34E8">
        <w:rPr>
          <w:rFonts w:asciiTheme="minorHAnsi" w:eastAsiaTheme="minorHAnsi" w:hAnsiTheme="minorHAnsi" w:cstheme="minorBidi"/>
          <w:sz w:val="22"/>
          <w:szCs w:val="24"/>
        </w:rPr>
        <w:t>Are estimated time assumptions for tasks such as record-keeping and the development of additional policies and procedures, reasonable or accurate?</w:t>
      </w:r>
    </w:p>
    <w:p w14:paraId="4735E7A3" w14:textId="77777777" w:rsidR="003A2EBF" w:rsidRPr="006D34E8" w:rsidRDefault="003A2EBF" w:rsidP="003A2EBF">
      <w:pPr>
        <w:pStyle w:val="EYBodytextwithparaspace"/>
        <w:numPr>
          <w:ilvl w:val="0"/>
          <w:numId w:val="7"/>
        </w:numPr>
        <w:spacing w:before="120" w:after="120"/>
        <w:rPr>
          <w:rFonts w:asciiTheme="minorHAnsi" w:eastAsiaTheme="minorHAnsi" w:hAnsiTheme="minorHAnsi" w:cstheme="minorBidi"/>
          <w:sz w:val="22"/>
          <w:szCs w:val="24"/>
        </w:rPr>
      </w:pPr>
      <w:r w:rsidRPr="006D34E8">
        <w:rPr>
          <w:rFonts w:asciiTheme="minorHAnsi" w:eastAsiaTheme="minorHAnsi" w:hAnsiTheme="minorHAnsi" w:cstheme="minorBidi"/>
          <w:sz w:val="22"/>
          <w:szCs w:val="24"/>
        </w:rPr>
        <w:t>Do you support the proposed fee structure?</w:t>
      </w:r>
    </w:p>
    <w:p w14:paraId="7A043652" w14:textId="77777777" w:rsidR="003A2EBF" w:rsidRPr="006D34E8" w:rsidRDefault="003A2EBF" w:rsidP="003A2EBF">
      <w:pPr>
        <w:pStyle w:val="EYBodytextwithparaspace"/>
        <w:numPr>
          <w:ilvl w:val="0"/>
          <w:numId w:val="7"/>
        </w:numPr>
        <w:spacing w:before="120" w:after="120"/>
        <w:rPr>
          <w:rFonts w:asciiTheme="minorHAnsi" w:eastAsiaTheme="minorHAnsi" w:hAnsiTheme="minorHAnsi" w:cstheme="minorBidi"/>
          <w:sz w:val="22"/>
          <w:szCs w:val="24"/>
        </w:rPr>
      </w:pPr>
      <w:r w:rsidRPr="006D34E8">
        <w:rPr>
          <w:rFonts w:asciiTheme="minorHAnsi" w:eastAsiaTheme="minorHAnsi" w:hAnsiTheme="minorHAnsi" w:cstheme="minorBidi"/>
          <w:sz w:val="22"/>
          <w:szCs w:val="24"/>
        </w:rPr>
        <w:t>Do you support the saving provisions for existing services?</w:t>
      </w:r>
    </w:p>
    <w:p w14:paraId="0EA4ED64" w14:textId="77777777" w:rsidR="003A2EBF" w:rsidRPr="006D34E8" w:rsidRDefault="003A2EBF" w:rsidP="003A2EBF">
      <w:pPr>
        <w:pStyle w:val="EYBodytextwithparaspace"/>
        <w:numPr>
          <w:ilvl w:val="0"/>
          <w:numId w:val="7"/>
        </w:numPr>
        <w:spacing w:before="120" w:after="120"/>
        <w:rPr>
          <w:rFonts w:asciiTheme="minorHAnsi" w:eastAsiaTheme="minorHAnsi" w:hAnsiTheme="minorHAnsi" w:cstheme="minorBidi"/>
          <w:sz w:val="22"/>
          <w:szCs w:val="24"/>
        </w:rPr>
      </w:pPr>
      <w:r w:rsidRPr="006D34E8">
        <w:rPr>
          <w:rFonts w:asciiTheme="minorHAnsi" w:eastAsiaTheme="minorHAnsi" w:hAnsiTheme="minorHAnsi" w:cstheme="minorBidi"/>
          <w:sz w:val="22"/>
          <w:szCs w:val="24"/>
        </w:rPr>
        <w:t>Do you think the transitional arrangements are reasonable?</w:t>
      </w:r>
    </w:p>
    <w:p w14:paraId="6833C3B5" w14:textId="77777777" w:rsidR="003A2EBF" w:rsidRPr="006D34E8" w:rsidRDefault="003A2EBF" w:rsidP="003A2EBF">
      <w:pPr>
        <w:pStyle w:val="EYBodytextwithparaspace"/>
        <w:numPr>
          <w:ilvl w:val="0"/>
          <w:numId w:val="7"/>
        </w:numPr>
        <w:spacing w:before="120" w:after="120"/>
        <w:rPr>
          <w:rFonts w:asciiTheme="minorHAnsi" w:eastAsiaTheme="minorHAnsi" w:hAnsiTheme="minorHAnsi" w:cstheme="minorBidi"/>
          <w:sz w:val="22"/>
          <w:szCs w:val="24"/>
        </w:rPr>
      </w:pPr>
      <w:r w:rsidRPr="006D34E8">
        <w:rPr>
          <w:rFonts w:asciiTheme="minorHAnsi" w:eastAsiaTheme="minorHAnsi" w:hAnsiTheme="minorHAnsi" w:cstheme="minorBidi"/>
          <w:sz w:val="22"/>
          <w:szCs w:val="24"/>
        </w:rPr>
        <w:t>Should the preferred option be adopted, what support would your workforce or organisation need to meet the proposed requirements?</w:t>
      </w:r>
    </w:p>
    <w:p w14:paraId="7016B6E7" w14:textId="1313D17B" w:rsidR="00F06F32" w:rsidRDefault="003A2EBF" w:rsidP="003A2EBF">
      <w:pPr>
        <w:pStyle w:val="EYBodytextwithparaspace"/>
        <w:spacing w:before="120" w:after="120"/>
        <w:rPr>
          <w:rFonts w:asciiTheme="minorHAnsi" w:eastAsiaTheme="minorHAnsi" w:hAnsiTheme="minorHAnsi" w:cstheme="minorBidi"/>
          <w:sz w:val="22"/>
          <w:szCs w:val="24"/>
        </w:rPr>
      </w:pPr>
      <w:r w:rsidRPr="006D34E8">
        <w:rPr>
          <w:rFonts w:asciiTheme="minorHAnsi" w:eastAsiaTheme="minorHAnsi" w:hAnsiTheme="minorHAnsi" w:cstheme="minorBidi"/>
          <w:sz w:val="22"/>
          <w:szCs w:val="24"/>
        </w:rPr>
        <w:t>Written submission</w:t>
      </w:r>
      <w:r w:rsidR="00F06F32">
        <w:rPr>
          <w:rFonts w:asciiTheme="minorHAnsi" w:eastAsiaTheme="minorHAnsi" w:hAnsiTheme="minorHAnsi" w:cstheme="minorBidi"/>
          <w:sz w:val="22"/>
          <w:szCs w:val="24"/>
        </w:rPr>
        <w:t>s</w:t>
      </w:r>
      <w:r w:rsidRPr="006D34E8">
        <w:rPr>
          <w:rFonts w:asciiTheme="minorHAnsi" w:eastAsiaTheme="minorHAnsi" w:hAnsiTheme="minorHAnsi" w:cstheme="minorBidi"/>
          <w:sz w:val="22"/>
          <w:szCs w:val="24"/>
        </w:rPr>
        <w:t xml:space="preserve"> are welcome and can be uploaded </w:t>
      </w:r>
      <w:r w:rsidR="00F06F32">
        <w:rPr>
          <w:rFonts w:asciiTheme="minorHAnsi" w:eastAsiaTheme="minorHAnsi" w:hAnsiTheme="minorHAnsi" w:cstheme="minorBidi"/>
          <w:sz w:val="22"/>
          <w:szCs w:val="24"/>
        </w:rPr>
        <w:t>at</w:t>
      </w:r>
      <w:r w:rsidRPr="006D34E8">
        <w:rPr>
          <w:rFonts w:asciiTheme="minorHAnsi" w:eastAsiaTheme="minorHAnsi" w:hAnsiTheme="minorHAnsi" w:cstheme="minorBidi"/>
          <w:sz w:val="22"/>
          <w:szCs w:val="24"/>
        </w:rPr>
        <w:t xml:space="preserve"> Engage Victoria or </w:t>
      </w:r>
      <w:r w:rsidR="00DB2778">
        <w:rPr>
          <w:rFonts w:asciiTheme="minorHAnsi" w:eastAsiaTheme="minorHAnsi" w:hAnsiTheme="minorHAnsi" w:cstheme="minorBidi"/>
          <w:sz w:val="22"/>
          <w:szCs w:val="24"/>
        </w:rPr>
        <w:t>posted</w:t>
      </w:r>
      <w:r w:rsidR="00DB2778" w:rsidRPr="006D34E8">
        <w:rPr>
          <w:rFonts w:asciiTheme="minorHAnsi" w:eastAsiaTheme="minorHAnsi" w:hAnsiTheme="minorHAnsi" w:cstheme="minorBidi"/>
          <w:sz w:val="22"/>
          <w:szCs w:val="24"/>
        </w:rPr>
        <w:t xml:space="preserve"> </w:t>
      </w:r>
      <w:r w:rsidRPr="006D34E8">
        <w:rPr>
          <w:rFonts w:asciiTheme="minorHAnsi" w:eastAsiaTheme="minorHAnsi" w:hAnsiTheme="minorHAnsi" w:cstheme="minorBidi"/>
          <w:sz w:val="22"/>
          <w:szCs w:val="24"/>
        </w:rPr>
        <w:t>to</w:t>
      </w:r>
      <w:r w:rsidR="00F06F32">
        <w:rPr>
          <w:rFonts w:asciiTheme="minorHAnsi" w:eastAsiaTheme="minorHAnsi" w:hAnsiTheme="minorHAnsi" w:cstheme="minorBidi"/>
          <w:sz w:val="22"/>
          <w:szCs w:val="24"/>
        </w:rPr>
        <w:t>:</w:t>
      </w:r>
    </w:p>
    <w:p w14:paraId="24E7E14E" w14:textId="08F7F208" w:rsidR="003A2EBF" w:rsidRDefault="00DB2778" w:rsidP="002806C5">
      <w:pPr>
        <w:pStyle w:val="EYBodytextwithparaspace"/>
        <w:numPr>
          <w:ilvl w:val="0"/>
          <w:numId w:val="93"/>
        </w:numPr>
        <w:spacing w:before="120" w:after="120"/>
        <w:rPr>
          <w:rFonts w:asciiTheme="minorHAnsi" w:eastAsiaTheme="minorHAnsi" w:hAnsiTheme="minorHAnsi" w:cstheme="minorBidi"/>
          <w:sz w:val="22"/>
          <w:szCs w:val="24"/>
        </w:rPr>
      </w:pPr>
      <w:r>
        <w:rPr>
          <w:rFonts w:asciiTheme="minorHAnsi" w:eastAsiaTheme="minorHAnsi" w:hAnsiTheme="minorHAnsi" w:cstheme="minorBidi"/>
          <w:sz w:val="22"/>
          <w:szCs w:val="24"/>
        </w:rPr>
        <w:t>Children’s Services Regulations 2020</w:t>
      </w:r>
      <w:r w:rsidR="00F06F32">
        <w:rPr>
          <w:rFonts w:asciiTheme="minorHAnsi" w:eastAsiaTheme="minorHAnsi" w:hAnsiTheme="minorHAnsi" w:cstheme="minorBidi"/>
          <w:sz w:val="22"/>
          <w:szCs w:val="24"/>
        </w:rPr>
        <w:br/>
      </w:r>
      <w:r w:rsidR="003A2EBF" w:rsidRPr="006D34E8">
        <w:rPr>
          <w:rFonts w:asciiTheme="minorHAnsi" w:eastAsiaTheme="minorHAnsi" w:hAnsiTheme="minorHAnsi" w:cstheme="minorBidi"/>
          <w:sz w:val="22"/>
          <w:szCs w:val="24"/>
        </w:rPr>
        <w:t>Depart</w:t>
      </w:r>
      <w:r w:rsidR="00F06F32">
        <w:rPr>
          <w:rFonts w:asciiTheme="minorHAnsi" w:eastAsiaTheme="minorHAnsi" w:hAnsiTheme="minorHAnsi" w:cstheme="minorBidi"/>
          <w:sz w:val="22"/>
          <w:szCs w:val="24"/>
        </w:rPr>
        <w:t>ment of Education and Training</w:t>
      </w:r>
      <w:r w:rsidR="00F06F32">
        <w:rPr>
          <w:rFonts w:asciiTheme="minorHAnsi" w:eastAsiaTheme="minorHAnsi" w:hAnsiTheme="minorHAnsi" w:cstheme="minorBidi"/>
          <w:sz w:val="22"/>
          <w:szCs w:val="24"/>
        </w:rPr>
        <w:br/>
        <w:t>Level 20, 80 Collins Street</w:t>
      </w:r>
      <w:r w:rsidR="00F06F32">
        <w:rPr>
          <w:rFonts w:asciiTheme="minorHAnsi" w:eastAsiaTheme="minorHAnsi" w:hAnsiTheme="minorHAnsi" w:cstheme="minorBidi"/>
          <w:sz w:val="22"/>
          <w:szCs w:val="24"/>
        </w:rPr>
        <w:br/>
      </w:r>
      <w:r w:rsidR="003A2EBF" w:rsidRPr="006D34E8">
        <w:rPr>
          <w:rFonts w:asciiTheme="minorHAnsi" w:eastAsiaTheme="minorHAnsi" w:hAnsiTheme="minorHAnsi" w:cstheme="minorBidi"/>
          <w:sz w:val="22"/>
          <w:szCs w:val="24"/>
        </w:rPr>
        <w:t>Melbourne 3000</w:t>
      </w:r>
      <w:r w:rsidR="003A2EBF">
        <w:rPr>
          <w:rFonts w:asciiTheme="minorHAnsi" w:eastAsiaTheme="minorHAnsi" w:hAnsiTheme="minorHAnsi" w:cstheme="minorBidi"/>
          <w:sz w:val="22"/>
          <w:szCs w:val="24"/>
        </w:rPr>
        <w:t>.</w:t>
      </w:r>
    </w:p>
    <w:p w14:paraId="6EBB2C0C" w14:textId="33734C54" w:rsidR="003A2EBF" w:rsidRPr="006D34E8" w:rsidRDefault="003A2EBF" w:rsidP="003A2EBF">
      <w:pPr>
        <w:pStyle w:val="EYBodytextwithparaspace"/>
        <w:spacing w:before="120" w:after="120"/>
        <w:rPr>
          <w:rFonts w:asciiTheme="minorHAnsi" w:eastAsiaTheme="minorHAnsi" w:hAnsiTheme="minorHAnsi" w:cstheme="minorBidi"/>
          <w:sz w:val="22"/>
          <w:szCs w:val="24"/>
        </w:rPr>
      </w:pPr>
      <w:r>
        <w:rPr>
          <w:rFonts w:asciiTheme="minorHAnsi" w:eastAsiaTheme="minorHAnsi" w:hAnsiTheme="minorHAnsi" w:cstheme="minorBidi"/>
          <w:sz w:val="22"/>
          <w:szCs w:val="24"/>
        </w:rPr>
        <w:t xml:space="preserve">All submissions must be marked </w:t>
      </w:r>
      <w:r w:rsidRPr="00F06F32">
        <w:rPr>
          <w:rFonts w:asciiTheme="minorHAnsi" w:eastAsiaTheme="minorHAnsi" w:hAnsiTheme="minorHAnsi" w:cstheme="minorBidi"/>
          <w:b/>
          <w:sz w:val="22"/>
          <w:szCs w:val="24"/>
        </w:rPr>
        <w:t>‘Children’s Services Regulations 2020’</w:t>
      </w:r>
      <w:r>
        <w:rPr>
          <w:rFonts w:asciiTheme="minorHAnsi" w:eastAsiaTheme="minorHAnsi" w:hAnsiTheme="minorHAnsi" w:cstheme="minorBidi"/>
          <w:sz w:val="22"/>
          <w:szCs w:val="24"/>
        </w:rPr>
        <w:t xml:space="preserve"> and be received by </w:t>
      </w:r>
      <w:r w:rsidRPr="00215708">
        <w:rPr>
          <w:rFonts w:asciiTheme="minorHAnsi" w:eastAsiaTheme="minorHAnsi" w:hAnsiTheme="minorHAnsi" w:cstheme="minorBidi"/>
          <w:b/>
          <w:sz w:val="22"/>
          <w:szCs w:val="24"/>
        </w:rPr>
        <w:t xml:space="preserve">midnight </w:t>
      </w:r>
      <w:r w:rsidR="00E81795">
        <w:rPr>
          <w:rFonts w:asciiTheme="minorHAnsi" w:eastAsiaTheme="minorHAnsi" w:hAnsiTheme="minorHAnsi" w:cstheme="minorBidi"/>
          <w:b/>
          <w:sz w:val="22"/>
          <w:szCs w:val="24"/>
        </w:rPr>
        <w:t>Tuesday</w:t>
      </w:r>
      <w:r w:rsidRPr="00215708">
        <w:rPr>
          <w:rFonts w:asciiTheme="minorHAnsi" w:eastAsiaTheme="minorHAnsi" w:hAnsiTheme="minorHAnsi" w:cstheme="minorBidi"/>
          <w:b/>
          <w:sz w:val="22"/>
          <w:szCs w:val="24"/>
        </w:rPr>
        <w:t xml:space="preserve"> </w:t>
      </w:r>
      <w:r w:rsidR="00E81795">
        <w:rPr>
          <w:rFonts w:asciiTheme="minorHAnsi" w:eastAsiaTheme="minorHAnsi" w:hAnsiTheme="minorHAnsi" w:cstheme="minorBidi"/>
          <w:b/>
          <w:sz w:val="22"/>
          <w:szCs w:val="24"/>
        </w:rPr>
        <w:t>17 March</w:t>
      </w:r>
      <w:r w:rsidRPr="00215708">
        <w:rPr>
          <w:rFonts w:asciiTheme="minorHAnsi" w:eastAsiaTheme="minorHAnsi" w:hAnsiTheme="minorHAnsi" w:cstheme="minorBidi"/>
          <w:b/>
          <w:sz w:val="22"/>
          <w:szCs w:val="24"/>
        </w:rPr>
        <w:t xml:space="preserve"> 2020</w:t>
      </w:r>
      <w:r w:rsidRPr="00215708">
        <w:rPr>
          <w:rFonts w:asciiTheme="minorHAnsi" w:eastAsiaTheme="minorHAnsi" w:hAnsiTheme="minorHAnsi" w:cstheme="minorBidi"/>
          <w:sz w:val="22"/>
          <w:szCs w:val="24"/>
        </w:rPr>
        <w:t>.</w:t>
      </w:r>
    </w:p>
    <w:p w14:paraId="1D95C9D6" w14:textId="2E813C7D" w:rsidR="003A2EBF" w:rsidRDefault="003A2EBF" w:rsidP="003A2EBF">
      <w:pPr>
        <w:pStyle w:val="EYBodytextwithparaspace"/>
        <w:spacing w:before="120" w:after="120"/>
        <w:rPr>
          <w:rFonts w:asciiTheme="minorHAnsi" w:eastAsiaTheme="minorHAnsi" w:hAnsiTheme="minorHAnsi" w:cstheme="minorBidi"/>
          <w:sz w:val="22"/>
          <w:szCs w:val="24"/>
        </w:rPr>
      </w:pPr>
      <w:r>
        <w:rPr>
          <w:rFonts w:asciiTheme="minorHAnsi" w:eastAsiaTheme="minorHAnsi" w:hAnsiTheme="minorHAnsi" w:cstheme="minorBidi"/>
          <w:sz w:val="22"/>
          <w:szCs w:val="24"/>
        </w:rPr>
        <w:t xml:space="preserve">All submissions received will be considered </w:t>
      </w:r>
      <w:r w:rsidRPr="006D34E8">
        <w:rPr>
          <w:rFonts w:asciiTheme="minorHAnsi" w:eastAsiaTheme="minorHAnsi" w:hAnsiTheme="minorHAnsi" w:cstheme="minorBidi"/>
          <w:sz w:val="22"/>
          <w:szCs w:val="24"/>
        </w:rPr>
        <w:t>and will inform the</w:t>
      </w:r>
      <w:r>
        <w:rPr>
          <w:rFonts w:asciiTheme="minorHAnsi" w:eastAsiaTheme="minorHAnsi" w:hAnsiTheme="minorHAnsi" w:cstheme="minorBidi"/>
          <w:sz w:val="22"/>
          <w:szCs w:val="24"/>
        </w:rPr>
        <w:t xml:space="preserve"> development of the</w:t>
      </w:r>
      <w:r w:rsidRPr="006D34E8">
        <w:rPr>
          <w:rFonts w:asciiTheme="minorHAnsi" w:eastAsiaTheme="minorHAnsi" w:hAnsiTheme="minorHAnsi" w:cstheme="minorBidi"/>
          <w:sz w:val="22"/>
          <w:szCs w:val="24"/>
        </w:rPr>
        <w:t xml:space="preserve"> final </w:t>
      </w:r>
      <w:r>
        <w:rPr>
          <w:rFonts w:asciiTheme="minorHAnsi" w:eastAsiaTheme="minorHAnsi" w:hAnsiTheme="minorHAnsi" w:cstheme="minorBidi"/>
          <w:sz w:val="22"/>
          <w:szCs w:val="24"/>
        </w:rPr>
        <w:t>Children’s Services Regulations 2020</w:t>
      </w:r>
      <w:r w:rsidRPr="006D34E8">
        <w:rPr>
          <w:rFonts w:asciiTheme="minorHAnsi" w:eastAsiaTheme="minorHAnsi" w:hAnsiTheme="minorHAnsi" w:cstheme="minorBidi"/>
          <w:sz w:val="22"/>
          <w:szCs w:val="24"/>
        </w:rPr>
        <w:t xml:space="preserve">. </w:t>
      </w:r>
    </w:p>
    <w:p w14:paraId="166CEBCA" w14:textId="77777777" w:rsidR="003A2EBF" w:rsidRPr="006D34E8" w:rsidRDefault="003A2EBF" w:rsidP="003A2EBF">
      <w:pPr>
        <w:pStyle w:val="EYBodytextwithparaspace"/>
        <w:spacing w:before="120" w:after="120"/>
        <w:rPr>
          <w:rFonts w:asciiTheme="minorHAnsi" w:eastAsiaTheme="minorHAnsi" w:hAnsiTheme="minorHAnsi" w:cstheme="minorBidi"/>
          <w:sz w:val="22"/>
          <w:szCs w:val="24"/>
        </w:rPr>
      </w:pPr>
      <w:r w:rsidRPr="006D34E8">
        <w:rPr>
          <w:rFonts w:asciiTheme="minorHAnsi" w:eastAsiaTheme="minorHAnsi" w:hAnsiTheme="minorHAnsi" w:cstheme="minorBidi"/>
          <w:sz w:val="22"/>
          <w:szCs w:val="24"/>
        </w:rPr>
        <w:t>A summary report of comments received will be published to the Department of Education and Training website.</w:t>
      </w:r>
    </w:p>
    <w:p w14:paraId="0CDF0324" w14:textId="7E7C3B19" w:rsidR="00511CB8" w:rsidRDefault="00511CB8">
      <w:pPr>
        <w:spacing w:after="0"/>
        <w:rPr>
          <w:rFonts w:eastAsia="Times New Roman" w:cstheme="minorHAnsi"/>
          <w:szCs w:val="22"/>
          <w:lang w:val="en-AU"/>
        </w:rPr>
      </w:pPr>
      <w:r>
        <w:rPr>
          <w:rFonts w:cstheme="minorHAnsi"/>
          <w:szCs w:val="22"/>
        </w:rPr>
        <w:br w:type="page"/>
      </w:r>
    </w:p>
    <w:p w14:paraId="62882A3B" w14:textId="5A09DB50" w:rsidR="00C01E92" w:rsidRPr="000107A9" w:rsidRDefault="000F2018" w:rsidP="00A87A06">
      <w:pPr>
        <w:pStyle w:val="Heading2"/>
      </w:pPr>
      <w:bookmarkStart w:id="326" w:name="_Toc30669636"/>
      <w:bookmarkStart w:id="327" w:name="_Toc32936901"/>
      <w:r>
        <w:lastRenderedPageBreak/>
        <w:t xml:space="preserve">10.3 </w:t>
      </w:r>
      <w:r w:rsidR="00C01E92" w:rsidRPr="000107A9">
        <w:t>Key amendments to the Children’s Services Act</w:t>
      </w:r>
      <w:bookmarkEnd w:id="324"/>
      <w:bookmarkEnd w:id="325"/>
      <w:bookmarkEnd w:id="326"/>
      <w:bookmarkEnd w:id="327"/>
    </w:p>
    <w:p w14:paraId="1CC91571"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w:t>
      </w:r>
      <w:hyperlink r:id="rId36" w:history="1">
        <w:r w:rsidRPr="000107A9">
          <w:rPr>
            <w:rStyle w:val="Hyperlink"/>
            <w:rFonts w:asciiTheme="minorHAnsi" w:hAnsiTheme="minorHAnsi" w:cstheme="minorHAnsi"/>
            <w:szCs w:val="22"/>
          </w:rPr>
          <w:t>Children’s Services Amendment Ac</w:t>
        </w:r>
        <w:r w:rsidRPr="000107A9">
          <w:rPr>
            <w:rStyle w:val="Hyperlink"/>
            <w:rFonts w:asciiTheme="minorHAnsi" w:hAnsiTheme="minorHAnsi" w:cstheme="minorHAnsi"/>
            <w:szCs w:val="22"/>
          </w:rPr>
          <w:t>t</w:t>
        </w:r>
        <w:r w:rsidRPr="000107A9">
          <w:rPr>
            <w:rStyle w:val="Hyperlink"/>
            <w:rFonts w:asciiTheme="minorHAnsi" w:hAnsiTheme="minorHAnsi" w:cstheme="minorHAnsi"/>
            <w:szCs w:val="22"/>
          </w:rPr>
          <w:t xml:space="preserve"> 2019</w:t>
        </w:r>
      </w:hyperlink>
      <w:r w:rsidRPr="000107A9">
        <w:rPr>
          <w:rFonts w:asciiTheme="minorHAnsi" w:hAnsiTheme="minorHAnsi" w:cstheme="minorHAnsi"/>
          <w:sz w:val="22"/>
          <w:szCs w:val="22"/>
        </w:rPr>
        <w:t>, is the first step in the process of aligning to the NQF (where appropriate). Some of the key requirements of the Law include:</w:t>
      </w:r>
    </w:p>
    <w:p w14:paraId="69485B20" w14:textId="77777777" w:rsidR="00C01E92" w:rsidRPr="000107A9" w:rsidRDefault="00C01E92" w:rsidP="002806C5">
      <w:pPr>
        <w:pStyle w:val="EYBulletnoparaspace"/>
        <w:numPr>
          <w:ilvl w:val="0"/>
          <w:numId w:val="72"/>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objectives and guiding principles</w:t>
      </w:r>
    </w:p>
    <w:p w14:paraId="17DCDAFB" w14:textId="77777777" w:rsidR="00C01E92" w:rsidRPr="000107A9" w:rsidRDefault="00C01E92" w:rsidP="002806C5">
      <w:pPr>
        <w:pStyle w:val="EYBulletnoparaspace"/>
        <w:numPr>
          <w:ilvl w:val="0"/>
          <w:numId w:val="72"/>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terminology and roles of key personnel</w:t>
      </w:r>
    </w:p>
    <w:p w14:paraId="0EC9886F" w14:textId="77777777" w:rsidR="00C01E92" w:rsidRPr="000107A9" w:rsidRDefault="00C01E92" w:rsidP="002806C5">
      <w:pPr>
        <w:pStyle w:val="EYBulletnoparaspace"/>
        <w:numPr>
          <w:ilvl w:val="0"/>
          <w:numId w:val="72"/>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provider and service approval processes</w:t>
      </w:r>
    </w:p>
    <w:p w14:paraId="6483B51B" w14:textId="77777777" w:rsidR="00C01E92" w:rsidRPr="000107A9" w:rsidRDefault="00C01E92" w:rsidP="002806C5">
      <w:pPr>
        <w:pStyle w:val="EYBulletnoparaspace"/>
        <w:numPr>
          <w:ilvl w:val="0"/>
          <w:numId w:val="72"/>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compliance, monitoring and enforcement approaches</w:t>
      </w:r>
    </w:p>
    <w:p w14:paraId="2BC7C226" w14:textId="77777777" w:rsidR="00C01E92" w:rsidRPr="000107A9" w:rsidRDefault="00C01E92" w:rsidP="002806C5">
      <w:pPr>
        <w:pStyle w:val="EYBulletnoparaspace"/>
        <w:numPr>
          <w:ilvl w:val="0"/>
          <w:numId w:val="72"/>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Educational programming.</w:t>
      </w:r>
    </w:p>
    <w:p w14:paraId="296FF084"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Amendment Act does not take effect until May 2020—in tandem with the making of new Regulations.</w:t>
      </w:r>
    </w:p>
    <w:p w14:paraId="6AB4E6A4" w14:textId="1C7EFDEC"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Links to the Amendment Act and Regulations will be made available on the Department website at </w:t>
      </w:r>
      <w:hyperlink r:id="rId37" w:history="1">
        <w:r w:rsidRPr="000107A9">
          <w:rPr>
            <w:rStyle w:val="Hyperlink"/>
            <w:rFonts w:asciiTheme="minorHAnsi" w:hAnsiTheme="minorHAnsi" w:cstheme="minorHAnsi"/>
            <w:szCs w:val="22"/>
          </w:rPr>
          <w:t>https://www.education.vic.gov.au/childhood/providers/regulation/Pages/csareform.aspx</w:t>
        </w:r>
      </w:hyperlink>
      <w:r w:rsidRPr="000107A9">
        <w:rPr>
          <w:rFonts w:asciiTheme="minorHAnsi" w:hAnsiTheme="minorHAnsi" w:cstheme="minorHAnsi"/>
          <w:sz w:val="22"/>
          <w:szCs w:val="22"/>
        </w:rPr>
        <w:t xml:space="preserve"> </w:t>
      </w:r>
    </w:p>
    <w:p w14:paraId="39010F59" w14:textId="77777777" w:rsidR="00C01E92" w:rsidRPr="000107A9" w:rsidRDefault="00C01E92" w:rsidP="00C01E92">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b/>
          <w:sz w:val="22"/>
          <w:szCs w:val="22"/>
        </w:rPr>
        <w:t>Objectives</w:t>
      </w:r>
    </w:p>
    <w:p w14:paraId="78B6A724" w14:textId="77777777" w:rsidR="00C01E92" w:rsidRPr="000107A9" w:rsidRDefault="00C01E92" w:rsidP="002806C5">
      <w:pPr>
        <w:pStyle w:val="EYBulletnoparaspace"/>
        <w:numPr>
          <w:ilvl w:val="0"/>
          <w:numId w:val="72"/>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To ensure the safety, health and wellbeing of children attending children’s services.</w:t>
      </w:r>
    </w:p>
    <w:p w14:paraId="1236F9CE" w14:textId="77777777" w:rsidR="00C01E92" w:rsidRPr="000107A9" w:rsidRDefault="00C01E92" w:rsidP="002806C5">
      <w:pPr>
        <w:pStyle w:val="EYBulletnoparaspace"/>
        <w:numPr>
          <w:ilvl w:val="0"/>
          <w:numId w:val="72"/>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To improve the educational and developmental outcomes for children attending children’s services.</w:t>
      </w:r>
    </w:p>
    <w:p w14:paraId="621A12B3" w14:textId="77777777" w:rsidR="00C01E92" w:rsidRPr="000107A9" w:rsidRDefault="00C01E92" w:rsidP="002806C5">
      <w:pPr>
        <w:pStyle w:val="EYBulletnoparaspace"/>
        <w:numPr>
          <w:ilvl w:val="0"/>
          <w:numId w:val="72"/>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To promote continuous improvement in the provision of quality children’s services.</w:t>
      </w:r>
    </w:p>
    <w:p w14:paraId="1D4C4614" w14:textId="77777777" w:rsidR="00C01E92" w:rsidRPr="000107A9" w:rsidRDefault="00C01E92" w:rsidP="00C01E92">
      <w:pPr>
        <w:pStyle w:val="EYBodytextwithparaspace"/>
        <w:spacing w:before="120" w:after="120"/>
        <w:rPr>
          <w:rFonts w:asciiTheme="minorHAnsi" w:eastAsia="Arial" w:hAnsiTheme="minorHAnsi" w:cstheme="minorHAnsi"/>
          <w:sz w:val="22"/>
          <w:szCs w:val="22"/>
          <w:lang w:eastAsia="en-AU"/>
        </w:rPr>
      </w:pPr>
      <w:r w:rsidRPr="000107A9">
        <w:rPr>
          <w:rFonts w:asciiTheme="minorHAnsi" w:eastAsia="Arial" w:hAnsiTheme="minorHAnsi" w:cstheme="minorHAnsi"/>
          <w:sz w:val="22"/>
          <w:szCs w:val="22"/>
          <w:lang w:eastAsia="en-AU"/>
        </w:rPr>
        <w:t xml:space="preserve">The objectives focus on quality outcomes and safety, health and wellbeing of children. The NQF has more objectives than the three listed above, but only the </w:t>
      </w:r>
      <w:r w:rsidRPr="000107A9">
        <w:rPr>
          <w:rFonts w:asciiTheme="minorHAnsi" w:eastAsia="Arial" w:hAnsiTheme="minorHAnsi" w:cstheme="minorHAnsi"/>
          <w:b/>
          <w:sz w:val="22"/>
          <w:szCs w:val="22"/>
          <w:lang w:eastAsia="en-AU"/>
        </w:rPr>
        <w:t>relevant</w:t>
      </w:r>
      <w:r w:rsidRPr="000107A9">
        <w:rPr>
          <w:rFonts w:asciiTheme="minorHAnsi" w:eastAsia="Arial" w:hAnsiTheme="minorHAnsi" w:cstheme="minorHAnsi"/>
          <w:sz w:val="22"/>
          <w:szCs w:val="22"/>
          <w:lang w:eastAsia="en-AU"/>
        </w:rPr>
        <w:t xml:space="preserve"> ones have been included in the Amendment Act (i.e. the Amendment Act does not include objectives that apply to the shared system of national integration).</w:t>
      </w:r>
    </w:p>
    <w:p w14:paraId="12293A12" w14:textId="77777777" w:rsidR="00C01E92" w:rsidRPr="000107A9" w:rsidRDefault="00C01E92" w:rsidP="00C01E92">
      <w:pPr>
        <w:pStyle w:val="EYBodytextwithparaspace"/>
        <w:spacing w:before="120" w:after="120"/>
        <w:rPr>
          <w:rFonts w:asciiTheme="minorHAnsi" w:eastAsia="Arial" w:hAnsiTheme="minorHAnsi" w:cstheme="minorHAnsi"/>
          <w:sz w:val="22"/>
          <w:szCs w:val="22"/>
          <w:lang w:eastAsia="en-AU"/>
        </w:rPr>
      </w:pPr>
      <w:r w:rsidRPr="000107A9">
        <w:rPr>
          <w:rFonts w:asciiTheme="minorHAnsi" w:eastAsia="Arial" w:hAnsiTheme="minorHAnsi" w:cstheme="minorHAnsi"/>
          <w:sz w:val="22"/>
          <w:szCs w:val="22"/>
          <w:lang w:eastAsia="en-AU"/>
        </w:rPr>
        <w:t>These objectives already apply in NQF settings where there is short term, irregular attendance i.e. they apply in a proportionate way in OSHC and vacation care services, therefore they can equally apply to limited hours and occasional care settings.</w:t>
      </w:r>
    </w:p>
    <w:p w14:paraId="52A57EFB" w14:textId="77777777" w:rsidR="00C01E92" w:rsidRPr="000107A9" w:rsidRDefault="00C01E92" w:rsidP="00C01E92">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b/>
          <w:sz w:val="22"/>
          <w:szCs w:val="22"/>
        </w:rPr>
        <w:t>Guiding principles</w:t>
      </w:r>
    </w:p>
    <w:p w14:paraId="32055719" w14:textId="77777777" w:rsidR="00C01E92" w:rsidRPr="000107A9" w:rsidRDefault="00C01E92" w:rsidP="002806C5">
      <w:pPr>
        <w:pStyle w:val="EYBulletnoparaspace"/>
        <w:numPr>
          <w:ilvl w:val="0"/>
          <w:numId w:val="72"/>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The rights and best interests of the child are paramount</w:t>
      </w:r>
    </w:p>
    <w:p w14:paraId="11EB33D9" w14:textId="77777777" w:rsidR="00C01E92" w:rsidRPr="000107A9" w:rsidRDefault="00C01E92" w:rsidP="002806C5">
      <w:pPr>
        <w:pStyle w:val="EYBulletnoparaspace"/>
        <w:numPr>
          <w:ilvl w:val="0"/>
          <w:numId w:val="72"/>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Children are successful, competent and capable learners</w:t>
      </w:r>
    </w:p>
    <w:p w14:paraId="0730D68A" w14:textId="77777777" w:rsidR="00C01E92" w:rsidRPr="000107A9" w:rsidRDefault="00C01E92" w:rsidP="002806C5">
      <w:pPr>
        <w:pStyle w:val="EYBulletnoparaspace"/>
        <w:numPr>
          <w:ilvl w:val="0"/>
          <w:numId w:val="72"/>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Principles of equity, inclusion and diversity underlie the law</w:t>
      </w:r>
    </w:p>
    <w:p w14:paraId="77A32347" w14:textId="77777777" w:rsidR="00C01E92" w:rsidRPr="000107A9" w:rsidRDefault="00C01E92" w:rsidP="002806C5">
      <w:pPr>
        <w:pStyle w:val="EYBulletnoparaspace"/>
        <w:numPr>
          <w:ilvl w:val="0"/>
          <w:numId w:val="72"/>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Australia’s Aboriginal and Torres Strait Islander cultures are valued</w:t>
      </w:r>
    </w:p>
    <w:p w14:paraId="488D4F02" w14:textId="77777777" w:rsidR="00C01E92" w:rsidRPr="000107A9" w:rsidRDefault="00C01E92" w:rsidP="002806C5">
      <w:pPr>
        <w:pStyle w:val="EYBulletnoparaspace"/>
        <w:numPr>
          <w:ilvl w:val="0"/>
          <w:numId w:val="72"/>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The role of parents and families is respected and supported</w:t>
      </w:r>
    </w:p>
    <w:p w14:paraId="701CCF13" w14:textId="45EA5AAA" w:rsidR="00C01E92" w:rsidRPr="000107A9" w:rsidRDefault="00C01E92" w:rsidP="002806C5">
      <w:pPr>
        <w:pStyle w:val="EYBulletnoparaspace"/>
        <w:numPr>
          <w:ilvl w:val="0"/>
          <w:numId w:val="72"/>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Best practice is expected in the provision of children’s services</w:t>
      </w:r>
      <w:r w:rsidR="004144EB">
        <w:rPr>
          <w:rFonts w:asciiTheme="minorHAnsi" w:hAnsiTheme="minorHAnsi" w:cstheme="minorHAnsi"/>
          <w:sz w:val="22"/>
          <w:szCs w:val="22"/>
        </w:rPr>
        <w:t>.</w:t>
      </w:r>
    </w:p>
    <w:p w14:paraId="1C40F375"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The guiding principles in the Amendment Act are </w:t>
      </w:r>
      <w:r w:rsidRPr="000107A9">
        <w:rPr>
          <w:rFonts w:asciiTheme="minorHAnsi" w:hAnsiTheme="minorHAnsi" w:cstheme="minorHAnsi"/>
          <w:b/>
          <w:sz w:val="22"/>
          <w:szCs w:val="22"/>
        </w:rPr>
        <w:t>identical</w:t>
      </w:r>
      <w:r w:rsidRPr="000107A9">
        <w:rPr>
          <w:rFonts w:asciiTheme="minorHAnsi" w:hAnsiTheme="minorHAnsi" w:cstheme="minorHAnsi"/>
          <w:sz w:val="22"/>
          <w:szCs w:val="22"/>
        </w:rPr>
        <w:t xml:space="preserve"> to the guiding principles of the NQF and, like the objectives, they are all relevant and proportionate to the occasional care context.</w:t>
      </w:r>
    </w:p>
    <w:p w14:paraId="077592F6" w14:textId="77777777" w:rsidR="00511CB8" w:rsidRDefault="00511CB8">
      <w:pPr>
        <w:spacing w:after="0"/>
        <w:rPr>
          <w:rFonts w:eastAsia="Times New Roman" w:cstheme="minorHAnsi"/>
          <w:b/>
          <w:szCs w:val="22"/>
          <w:lang w:val="en-AU"/>
        </w:rPr>
      </w:pPr>
      <w:r>
        <w:rPr>
          <w:rFonts w:cstheme="minorHAnsi"/>
          <w:b/>
          <w:szCs w:val="22"/>
        </w:rPr>
        <w:br w:type="page"/>
      </w:r>
    </w:p>
    <w:p w14:paraId="02C8842F" w14:textId="3CB85A86" w:rsidR="00C01E92" w:rsidRPr="000107A9" w:rsidRDefault="00C01E92" w:rsidP="00C01E92">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b/>
          <w:sz w:val="22"/>
          <w:szCs w:val="22"/>
        </w:rPr>
        <w:lastRenderedPageBreak/>
        <w:t>Terminology and roles of key personnel</w:t>
      </w:r>
    </w:p>
    <w:p w14:paraId="6183A6C9"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The diagram below shows the new terminology to be used for the different roles for key personnel, but the roles are fundamentally the same. The Amendment Act retains the term “children’s service”, whereas services under the NQF are called “education and care services”.</w:t>
      </w:r>
    </w:p>
    <w:tbl>
      <w:tblPr>
        <w:tblStyle w:val="TableGrid"/>
        <w:tblW w:w="9664" w:type="dxa"/>
        <w:tblLook w:val="04A0" w:firstRow="1" w:lastRow="0" w:firstColumn="1" w:lastColumn="0" w:noHBand="0" w:noVBand="1"/>
      </w:tblPr>
      <w:tblGrid>
        <w:gridCol w:w="4054"/>
        <w:gridCol w:w="1386"/>
        <w:gridCol w:w="4224"/>
      </w:tblGrid>
      <w:tr w:rsidR="00FB1FAE" w:rsidRPr="003E0DF9" w14:paraId="379CB677" w14:textId="77777777" w:rsidTr="00FB1FA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109" w:type="dxa"/>
          </w:tcPr>
          <w:p w14:paraId="12A25134" w14:textId="77777777" w:rsidR="00FB1FAE" w:rsidRPr="003E0DF9" w:rsidRDefault="00FB1FAE" w:rsidP="003D0B64">
            <w:pPr>
              <w:pStyle w:val="EYBodytextwithparaspace"/>
              <w:spacing w:after="60"/>
              <w:jc w:val="center"/>
              <w:rPr>
                <w:rFonts w:ascii="Arial Narrow" w:hAnsi="Arial Narrow" w:cstheme="minorHAnsi"/>
                <w:b w:val="0"/>
                <w:sz w:val="22"/>
                <w:szCs w:val="22"/>
              </w:rPr>
            </w:pPr>
            <w:r w:rsidRPr="003E0DF9">
              <w:rPr>
                <w:rFonts w:ascii="Arial Narrow" w:hAnsi="Arial Narrow" w:cstheme="minorHAnsi"/>
                <w:sz w:val="22"/>
                <w:szCs w:val="22"/>
              </w:rPr>
              <w:t>Under the CS Act</w:t>
            </w:r>
          </w:p>
        </w:tc>
        <w:tc>
          <w:tcPr>
            <w:tcW w:w="1273" w:type="dxa"/>
            <w:vMerge w:val="restart"/>
            <w:shd w:val="clear" w:color="auto" w:fill="auto"/>
            <w:vAlign w:val="center"/>
          </w:tcPr>
          <w:p w14:paraId="7811FCBF" w14:textId="143F2112" w:rsidR="00FB1FAE" w:rsidRPr="00FB1FAE" w:rsidRDefault="00FB1FAE" w:rsidP="00FB1FAE">
            <w:pPr>
              <w:pStyle w:val="EYBodytextwithparaspace"/>
              <w:spacing w:after="60"/>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noProof/>
                <w:color w:val="000000" w:themeColor="text1"/>
                <w:sz w:val="22"/>
                <w:szCs w:val="22"/>
                <w:lang w:eastAsia="en-AU"/>
              </w:rPr>
            </w:pPr>
            <w:r w:rsidRPr="00FB1FAE">
              <w:rPr>
                <w:rFonts w:ascii="Arial Narrow" w:hAnsi="Arial Narrow" w:cstheme="minorHAnsi"/>
                <w:noProof/>
                <w:color w:val="000000" w:themeColor="text1"/>
                <w:sz w:val="22"/>
                <w:szCs w:val="22"/>
                <w:lang w:eastAsia="en-AU"/>
              </w:rPr>
              <mc:AlternateContent>
                <mc:Choice Requires="wps">
                  <w:drawing>
                    <wp:inline distT="0" distB="0" distL="0" distR="0" wp14:anchorId="54E45E12" wp14:editId="4921B837">
                      <wp:extent cx="710565" cy="1073785"/>
                      <wp:effectExtent l="0" t="38100" r="32385" b="50165"/>
                      <wp:docPr id="14" name="Right Arrow 14" descr="This is a black arrow pointing to the right"/>
                      <wp:cNvGraphicFramePr/>
                      <a:graphic xmlns:a="http://schemas.openxmlformats.org/drawingml/2006/main">
                        <a:graphicData uri="http://schemas.microsoft.com/office/word/2010/wordprocessingShape">
                          <wps:wsp>
                            <wps:cNvSpPr/>
                            <wps:spPr>
                              <a:xfrm>
                                <a:off x="0" y="0"/>
                                <a:ext cx="710565" cy="1073785"/>
                              </a:xfrm>
                              <a:prstGeom prst="rightArrow">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14C9A6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alt="This is a black arrow pointing to the right" style="width:55.95pt;height:84.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sjpgIAAJ4FAAAOAAAAZHJzL2Uyb0RvYy54bWysVN1P2zAQf5+0/8Hy+0jStZRVpKgCMU1C&#10;DAETz65jNxaOz7Pdpt1fv7Pz0Yqxl2lV5Zx9d7/7vsurfaPJTjivwJS0OMspEYZDpcympD+ebz9d&#10;UOIDMxXTYERJD8LTq+XHD5etXYgJ1KAr4QiCGL9obUnrEOwiyzyvRcP8GVhhkCnBNSzg1W2yyrEW&#10;0RudTfL8PGvBVdYBF97j603HpMuEL6Xg4buUXgSiS4q+hXS6dK7jmS0v2WLjmK0V791g/+BFw5RB&#10;oyPUDQuMbJ36A6pR3IEHGc44NBlIqbhIMWA0Rf4mmqeaWZFiweR4O6bJ/z9Yfr97cERVWLspJYY1&#10;WKNHtakDWTkHLYmvlfAcU/ZcK0/wz8haM/5KWBKwoEzAzJMAJNSCuKgc09pav0D0J/vg+ptHMuZo&#10;L10Tvxg92adSHMZSiH0gHB/nRT47n1HCkVXk88/zi1kEzY7a1vnwVUBDIlHSZDf5nOrAdnc+dAqD&#10;YDTpQavqVmmdLrHJxLV2ZMewPcK+6E2cSGUxjM7xRIWDFlFXm0chMW/o6iQZTB17BKtei+65ZpXo&#10;8Gc5/gYLg+kUUgKLqBI9G3F7gEGyA4m4XVi9bFQTqdFHxfxvDnWKo3SyCCaMio0y4N5T1mG02smj&#10;2yfpiOQaqgN2koNuxLzltwoLc8d8eGAOZwqnD/dE+I6H1NCWFHqKkhrcr/feozy2OnIpaXFGS+p/&#10;bpkTlOhvBofgSzGdxqFOl+lsPsGLO+WsTzlm21wD1rnAjWR5IqN80AMpHTQvuE5W0SqymOFou6Q8&#10;uOFyHbrdgQuJi9UqieEgWxbuzJPlETxmNbbc8/6FOdt3Z8C+vodhntniTXt2slHTwGobQKrUu8e8&#10;9vnGJZAapl9Yccuc3pPUca0ufwMAAP//AwBQSwMEFAAGAAgAAAAhALLjxlfbAAAABQEAAA8AAABk&#10;cnMvZG93bnJldi54bWxMj0FLw0AQhe+C/2EZwYvYzVoINmZTglAQ8VBrf8A2O01Ss7Nhd9rGf+/W&#10;i70Mb3jDe9+Uy8kN4oQh9p40qFkGAqnxtqdWw/Zr9fgMIrIhawZPqOEHIyyr25vSFNaf6RNPG25F&#10;CqFYGA0d81hIGZsOnYkzPyIlb++DM5zW0EobzDmFu0E+ZVkunekpNXRmxNcOm+/N0WlgWr+t6498&#10;nocH5d7nh5pX21rr+7upfgHBOPH/MVzwEzpUiWnnj2SjGDSkR/hvXjylFiB2SeQLBbIq5TV99QsA&#10;AP//AwBQSwECLQAUAAYACAAAACEAtoM4kv4AAADhAQAAEwAAAAAAAAAAAAAAAAAAAAAAW0NvbnRl&#10;bnRfVHlwZXNdLnhtbFBLAQItABQABgAIAAAAIQA4/SH/1gAAAJQBAAALAAAAAAAAAAAAAAAAAC8B&#10;AABfcmVscy8ucmVsc1BLAQItABQABgAIAAAAIQBgbZsjpgIAAJ4FAAAOAAAAAAAAAAAAAAAAAC4C&#10;AABkcnMvZTJvRG9jLnhtbFBLAQItABQABgAIAAAAIQCy48ZX2wAAAAUBAAAPAAAAAAAAAAAAAAAA&#10;AAAFAABkcnMvZG93bnJldi54bWxQSwUGAAAAAAQABADzAAAACAYAAAAA&#10;" adj="10800" fillcolor="black [3213]" strokecolor="black [1600]" strokeweight="1pt">
                      <w10:anchorlock/>
                    </v:shape>
                  </w:pict>
                </mc:Fallback>
              </mc:AlternateContent>
            </w:r>
          </w:p>
        </w:tc>
        <w:tc>
          <w:tcPr>
            <w:tcW w:w="4282" w:type="dxa"/>
          </w:tcPr>
          <w:p w14:paraId="651A28D1" w14:textId="10390513" w:rsidR="00FB1FAE" w:rsidRPr="003E0DF9" w:rsidRDefault="00FB1FAE" w:rsidP="003D0B64">
            <w:pPr>
              <w:pStyle w:val="EYBodytextwithparaspace"/>
              <w:spacing w:after="60"/>
              <w:jc w:val="center"/>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sz w:val="22"/>
                <w:szCs w:val="22"/>
              </w:rPr>
            </w:pPr>
            <w:r w:rsidRPr="003E0DF9">
              <w:rPr>
                <w:rFonts w:ascii="Arial Narrow" w:hAnsi="Arial Narrow" w:cstheme="minorHAnsi"/>
                <w:sz w:val="22"/>
                <w:szCs w:val="22"/>
              </w:rPr>
              <w:t>Under the NQF</w:t>
            </w:r>
            <w:r>
              <w:rPr>
                <w:rFonts w:ascii="Arial Narrow" w:hAnsi="Arial Narrow" w:cstheme="minorHAnsi"/>
                <w:sz w:val="22"/>
                <w:szCs w:val="22"/>
              </w:rPr>
              <w:t xml:space="preserve"> </w:t>
            </w:r>
            <w:r w:rsidRPr="003E0DF9">
              <w:rPr>
                <w:rFonts w:ascii="Arial Narrow" w:hAnsi="Arial Narrow" w:cstheme="minorHAnsi"/>
                <w:sz w:val="22"/>
                <w:szCs w:val="22"/>
              </w:rPr>
              <w:t>and in the Amendment Act</w:t>
            </w:r>
          </w:p>
        </w:tc>
      </w:tr>
      <w:tr w:rsidR="00FB1FAE" w:rsidRPr="003E0DF9" w14:paraId="3CB536FF" w14:textId="77777777" w:rsidTr="003D0B64">
        <w:trPr>
          <w:trHeight w:val="370"/>
        </w:trPr>
        <w:tc>
          <w:tcPr>
            <w:cnfStyle w:val="001000000000" w:firstRow="0" w:lastRow="0" w:firstColumn="1" w:lastColumn="0" w:oddVBand="0" w:evenVBand="0" w:oddHBand="0" w:evenHBand="0" w:firstRowFirstColumn="0" w:firstRowLastColumn="0" w:lastRowFirstColumn="0" w:lastRowLastColumn="0"/>
            <w:tcW w:w="4109" w:type="dxa"/>
          </w:tcPr>
          <w:p w14:paraId="1210B339" w14:textId="77777777" w:rsidR="00FB1FAE" w:rsidRPr="003D0B64" w:rsidRDefault="00FB1FAE" w:rsidP="003D0B64">
            <w:pPr>
              <w:pStyle w:val="EYBodytextwithparaspace"/>
              <w:spacing w:after="60"/>
              <w:jc w:val="center"/>
              <w:rPr>
                <w:rFonts w:ascii="Arial Narrow" w:hAnsi="Arial Narrow" w:cstheme="minorHAnsi"/>
                <w:sz w:val="22"/>
                <w:szCs w:val="22"/>
              </w:rPr>
            </w:pPr>
            <w:r w:rsidRPr="003D0B64">
              <w:rPr>
                <w:rFonts w:ascii="Arial Narrow" w:hAnsi="Arial Narrow" w:cstheme="minorHAnsi"/>
                <w:sz w:val="22"/>
                <w:szCs w:val="22"/>
              </w:rPr>
              <w:t>Licensee</w:t>
            </w:r>
          </w:p>
        </w:tc>
        <w:tc>
          <w:tcPr>
            <w:tcW w:w="1273" w:type="dxa"/>
            <w:vMerge/>
            <w:shd w:val="clear" w:color="auto" w:fill="auto"/>
          </w:tcPr>
          <w:p w14:paraId="25B849D5" w14:textId="62F79C52" w:rsidR="00FB1FAE" w:rsidRPr="003E0DF9" w:rsidRDefault="00FB1FAE" w:rsidP="003D0B64">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p>
        </w:tc>
        <w:tc>
          <w:tcPr>
            <w:tcW w:w="4282" w:type="dxa"/>
          </w:tcPr>
          <w:p w14:paraId="29F525BB" w14:textId="77777777" w:rsidR="00FB1FAE" w:rsidRPr="003E0DF9" w:rsidRDefault="00FB1FAE" w:rsidP="003D0B64">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3E0DF9">
              <w:rPr>
                <w:rFonts w:ascii="Arial Narrow" w:hAnsi="Arial Narrow" w:cstheme="minorHAnsi"/>
                <w:sz w:val="22"/>
                <w:szCs w:val="22"/>
              </w:rPr>
              <w:t>Approved provider</w:t>
            </w:r>
          </w:p>
        </w:tc>
      </w:tr>
      <w:tr w:rsidR="00FB1FAE" w:rsidRPr="003E0DF9" w14:paraId="47798369" w14:textId="77777777" w:rsidTr="003D0B64">
        <w:trPr>
          <w:trHeight w:val="370"/>
        </w:trPr>
        <w:tc>
          <w:tcPr>
            <w:cnfStyle w:val="001000000000" w:firstRow="0" w:lastRow="0" w:firstColumn="1" w:lastColumn="0" w:oddVBand="0" w:evenVBand="0" w:oddHBand="0" w:evenHBand="0" w:firstRowFirstColumn="0" w:firstRowLastColumn="0" w:lastRowFirstColumn="0" w:lastRowLastColumn="0"/>
            <w:tcW w:w="4109" w:type="dxa"/>
          </w:tcPr>
          <w:p w14:paraId="0F0BBA18" w14:textId="77777777" w:rsidR="00FB1FAE" w:rsidRPr="003D0B64" w:rsidRDefault="00FB1FAE" w:rsidP="003D0B64">
            <w:pPr>
              <w:pStyle w:val="EYBodytextwithparaspace"/>
              <w:spacing w:after="60"/>
              <w:jc w:val="center"/>
              <w:rPr>
                <w:rFonts w:ascii="Arial Narrow" w:hAnsi="Arial Narrow" w:cstheme="minorHAnsi"/>
                <w:sz w:val="22"/>
                <w:szCs w:val="22"/>
              </w:rPr>
            </w:pPr>
            <w:r w:rsidRPr="003D0B64">
              <w:rPr>
                <w:rFonts w:ascii="Arial Narrow" w:hAnsi="Arial Narrow" w:cstheme="minorHAnsi"/>
                <w:sz w:val="22"/>
                <w:szCs w:val="22"/>
              </w:rPr>
              <w:t>Licence</w:t>
            </w:r>
          </w:p>
        </w:tc>
        <w:tc>
          <w:tcPr>
            <w:tcW w:w="1273" w:type="dxa"/>
            <w:vMerge/>
            <w:shd w:val="clear" w:color="auto" w:fill="auto"/>
          </w:tcPr>
          <w:p w14:paraId="4FEEDBF2" w14:textId="22D45EF1" w:rsidR="00FB1FAE" w:rsidRPr="003E0DF9" w:rsidRDefault="00FB1FAE" w:rsidP="003D0B64">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p>
        </w:tc>
        <w:tc>
          <w:tcPr>
            <w:tcW w:w="4282" w:type="dxa"/>
          </w:tcPr>
          <w:p w14:paraId="1978B9B8" w14:textId="77777777" w:rsidR="00FB1FAE" w:rsidRPr="003E0DF9" w:rsidRDefault="00FB1FAE" w:rsidP="003D0B64">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3E0DF9">
              <w:rPr>
                <w:rFonts w:ascii="Arial Narrow" w:hAnsi="Arial Narrow" w:cstheme="minorHAnsi"/>
                <w:sz w:val="22"/>
                <w:szCs w:val="22"/>
              </w:rPr>
              <w:t>Service approval</w:t>
            </w:r>
          </w:p>
        </w:tc>
      </w:tr>
      <w:tr w:rsidR="00FB1FAE" w:rsidRPr="003E0DF9" w14:paraId="6A3AD67E" w14:textId="77777777" w:rsidTr="003D0B64">
        <w:trPr>
          <w:trHeight w:val="370"/>
        </w:trPr>
        <w:tc>
          <w:tcPr>
            <w:cnfStyle w:val="001000000000" w:firstRow="0" w:lastRow="0" w:firstColumn="1" w:lastColumn="0" w:oddVBand="0" w:evenVBand="0" w:oddHBand="0" w:evenHBand="0" w:firstRowFirstColumn="0" w:firstRowLastColumn="0" w:lastRowFirstColumn="0" w:lastRowLastColumn="0"/>
            <w:tcW w:w="4109" w:type="dxa"/>
          </w:tcPr>
          <w:p w14:paraId="1BB33C7F" w14:textId="77777777" w:rsidR="00FB1FAE" w:rsidRPr="003D0B64" w:rsidRDefault="00FB1FAE" w:rsidP="003D0B64">
            <w:pPr>
              <w:pStyle w:val="EYBodytextwithparaspace"/>
              <w:spacing w:after="60"/>
              <w:jc w:val="center"/>
              <w:rPr>
                <w:rFonts w:ascii="Arial Narrow" w:hAnsi="Arial Narrow" w:cstheme="minorHAnsi"/>
                <w:sz w:val="22"/>
                <w:szCs w:val="22"/>
              </w:rPr>
            </w:pPr>
            <w:r w:rsidRPr="003D0B64">
              <w:rPr>
                <w:rFonts w:ascii="Arial Narrow" w:hAnsi="Arial Narrow" w:cstheme="minorHAnsi"/>
                <w:sz w:val="22"/>
                <w:szCs w:val="22"/>
              </w:rPr>
              <w:t>Primary nominee</w:t>
            </w:r>
          </w:p>
        </w:tc>
        <w:tc>
          <w:tcPr>
            <w:tcW w:w="1273" w:type="dxa"/>
            <w:vMerge/>
            <w:shd w:val="clear" w:color="auto" w:fill="auto"/>
          </w:tcPr>
          <w:p w14:paraId="46249673" w14:textId="3609C3FE" w:rsidR="00FB1FAE" w:rsidRPr="003E0DF9" w:rsidRDefault="00FB1FAE" w:rsidP="003D0B64">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p>
        </w:tc>
        <w:tc>
          <w:tcPr>
            <w:tcW w:w="4282" w:type="dxa"/>
          </w:tcPr>
          <w:p w14:paraId="04AC8A1B" w14:textId="77777777" w:rsidR="00FB1FAE" w:rsidRPr="003E0DF9" w:rsidRDefault="00FB1FAE" w:rsidP="003D0B64">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3E0DF9">
              <w:rPr>
                <w:rFonts w:ascii="Arial Narrow" w:hAnsi="Arial Narrow" w:cstheme="minorHAnsi"/>
                <w:sz w:val="22"/>
                <w:szCs w:val="22"/>
              </w:rPr>
              <w:t>Nominated supervisor</w:t>
            </w:r>
          </w:p>
        </w:tc>
      </w:tr>
      <w:tr w:rsidR="00FB1FAE" w:rsidRPr="003E0DF9" w14:paraId="76345507" w14:textId="77777777" w:rsidTr="003D0B64">
        <w:trPr>
          <w:trHeight w:val="370"/>
        </w:trPr>
        <w:tc>
          <w:tcPr>
            <w:cnfStyle w:val="001000000000" w:firstRow="0" w:lastRow="0" w:firstColumn="1" w:lastColumn="0" w:oddVBand="0" w:evenVBand="0" w:oddHBand="0" w:evenHBand="0" w:firstRowFirstColumn="0" w:firstRowLastColumn="0" w:lastRowFirstColumn="0" w:lastRowLastColumn="0"/>
            <w:tcW w:w="4109" w:type="dxa"/>
          </w:tcPr>
          <w:p w14:paraId="6E4391D0" w14:textId="77777777" w:rsidR="00FB1FAE" w:rsidRPr="003D0B64" w:rsidRDefault="00FB1FAE" w:rsidP="003D0B64">
            <w:pPr>
              <w:pStyle w:val="EYBodytextwithparaspace"/>
              <w:spacing w:after="60"/>
              <w:jc w:val="center"/>
              <w:rPr>
                <w:rFonts w:ascii="Arial Narrow" w:hAnsi="Arial Narrow" w:cstheme="minorHAnsi"/>
                <w:sz w:val="22"/>
                <w:szCs w:val="22"/>
              </w:rPr>
            </w:pPr>
            <w:r w:rsidRPr="003D0B64">
              <w:rPr>
                <w:rFonts w:ascii="Arial Narrow" w:hAnsi="Arial Narrow" w:cstheme="minorHAnsi"/>
                <w:sz w:val="22"/>
                <w:szCs w:val="22"/>
              </w:rPr>
              <w:t>Approved / accepted nominee</w:t>
            </w:r>
          </w:p>
        </w:tc>
        <w:tc>
          <w:tcPr>
            <w:tcW w:w="1273" w:type="dxa"/>
            <w:vMerge/>
            <w:shd w:val="clear" w:color="auto" w:fill="auto"/>
          </w:tcPr>
          <w:p w14:paraId="313DC3F0" w14:textId="210DBC88" w:rsidR="00FB1FAE" w:rsidRPr="003E0DF9" w:rsidRDefault="00FB1FAE" w:rsidP="003D0B64">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p>
        </w:tc>
        <w:tc>
          <w:tcPr>
            <w:tcW w:w="4282" w:type="dxa"/>
          </w:tcPr>
          <w:p w14:paraId="29928CE7" w14:textId="63C16834" w:rsidR="00FB1FAE" w:rsidRPr="003E0DF9" w:rsidRDefault="000A1627" w:rsidP="000A162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Pr>
                <w:rFonts w:ascii="Arial Narrow" w:hAnsi="Arial Narrow" w:cstheme="minorHAnsi"/>
                <w:sz w:val="22"/>
                <w:szCs w:val="22"/>
              </w:rPr>
              <w:t>Person in day-to-day charge</w:t>
            </w:r>
          </w:p>
        </w:tc>
      </w:tr>
      <w:tr w:rsidR="00FB1FAE" w:rsidRPr="003E0DF9" w14:paraId="16F4753F" w14:textId="77777777" w:rsidTr="003D0B64">
        <w:trPr>
          <w:trHeight w:val="415"/>
        </w:trPr>
        <w:tc>
          <w:tcPr>
            <w:cnfStyle w:val="001000000000" w:firstRow="0" w:lastRow="0" w:firstColumn="1" w:lastColumn="0" w:oddVBand="0" w:evenVBand="0" w:oddHBand="0" w:evenHBand="0" w:firstRowFirstColumn="0" w:firstRowLastColumn="0" w:lastRowFirstColumn="0" w:lastRowLastColumn="0"/>
            <w:tcW w:w="4109" w:type="dxa"/>
          </w:tcPr>
          <w:p w14:paraId="50AEE8F3" w14:textId="77777777" w:rsidR="00FB1FAE" w:rsidRPr="003D0B64" w:rsidRDefault="00FB1FAE" w:rsidP="003D0B64">
            <w:pPr>
              <w:pStyle w:val="EYBodytextwithparaspace"/>
              <w:spacing w:after="60"/>
              <w:jc w:val="center"/>
              <w:rPr>
                <w:rFonts w:ascii="Arial Narrow" w:hAnsi="Arial Narrow" w:cstheme="minorHAnsi"/>
                <w:sz w:val="22"/>
                <w:szCs w:val="22"/>
              </w:rPr>
            </w:pPr>
            <w:r w:rsidRPr="003D0B64">
              <w:rPr>
                <w:rFonts w:ascii="Arial Narrow" w:hAnsi="Arial Narrow" w:cstheme="minorHAnsi"/>
                <w:sz w:val="22"/>
                <w:szCs w:val="22"/>
              </w:rPr>
              <w:t>Responsible person</w:t>
            </w:r>
          </w:p>
        </w:tc>
        <w:tc>
          <w:tcPr>
            <w:tcW w:w="1273" w:type="dxa"/>
            <w:vMerge/>
            <w:shd w:val="clear" w:color="auto" w:fill="auto"/>
          </w:tcPr>
          <w:p w14:paraId="612B9269" w14:textId="3AA026E5" w:rsidR="00FB1FAE" w:rsidRPr="003E0DF9" w:rsidRDefault="00FB1FAE" w:rsidP="003D0B64">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p>
        </w:tc>
        <w:tc>
          <w:tcPr>
            <w:tcW w:w="4282" w:type="dxa"/>
          </w:tcPr>
          <w:p w14:paraId="5F9CA1B5" w14:textId="57812B2F" w:rsidR="00FB1FAE" w:rsidRPr="003E0DF9" w:rsidRDefault="00FB1FAE" w:rsidP="000A1627">
            <w:pPr>
              <w:pStyle w:val="EYBodytextwithparaspace"/>
              <w:spacing w:after="60"/>
              <w:jc w:val="center"/>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3E0DF9">
              <w:rPr>
                <w:rFonts w:ascii="Arial Narrow" w:hAnsi="Arial Narrow" w:cstheme="minorHAnsi"/>
                <w:sz w:val="22"/>
                <w:szCs w:val="22"/>
              </w:rPr>
              <w:t>Pe</w:t>
            </w:r>
            <w:r w:rsidR="000A1627">
              <w:rPr>
                <w:rFonts w:ascii="Arial Narrow" w:hAnsi="Arial Narrow" w:cstheme="minorHAnsi"/>
                <w:sz w:val="22"/>
                <w:szCs w:val="22"/>
              </w:rPr>
              <w:t>rson with management or control</w:t>
            </w:r>
          </w:p>
        </w:tc>
      </w:tr>
      <w:tr w:rsidR="00C01E92" w:rsidRPr="003E0DF9" w14:paraId="09C87030" w14:textId="77777777" w:rsidTr="003D0B64">
        <w:trPr>
          <w:trHeight w:val="370"/>
        </w:trPr>
        <w:tc>
          <w:tcPr>
            <w:cnfStyle w:val="001000000000" w:firstRow="0" w:lastRow="0" w:firstColumn="1" w:lastColumn="0" w:oddVBand="0" w:evenVBand="0" w:oddHBand="0" w:evenHBand="0" w:firstRowFirstColumn="0" w:firstRowLastColumn="0" w:lastRowFirstColumn="0" w:lastRowLastColumn="0"/>
            <w:tcW w:w="9664" w:type="dxa"/>
            <w:gridSpan w:val="3"/>
            <w:shd w:val="clear" w:color="auto" w:fill="auto"/>
          </w:tcPr>
          <w:p w14:paraId="3B42B938" w14:textId="77777777" w:rsidR="00C01E92" w:rsidRPr="003E0DF9" w:rsidRDefault="00C01E92" w:rsidP="003D0B64">
            <w:pPr>
              <w:pStyle w:val="EYBodytextwithparaspace"/>
              <w:spacing w:after="60"/>
              <w:rPr>
                <w:rFonts w:ascii="Arial Narrow" w:hAnsi="Arial Narrow" w:cstheme="minorHAnsi"/>
                <w:b/>
                <w:sz w:val="22"/>
                <w:szCs w:val="22"/>
              </w:rPr>
            </w:pPr>
            <w:r w:rsidRPr="003E0DF9">
              <w:rPr>
                <w:rFonts w:ascii="Arial Narrow" w:hAnsi="Arial Narrow" w:cstheme="minorHAnsi"/>
                <w:i/>
                <w:sz w:val="22"/>
                <w:szCs w:val="22"/>
              </w:rPr>
              <w:t>The term “Proprietor” is redundant in the Amendment Act</w:t>
            </w:r>
          </w:p>
        </w:tc>
      </w:tr>
    </w:tbl>
    <w:p w14:paraId="6984A8EB"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Under the CS Act, the licensee, a responsible person or a nominee has to be present at the service.</w:t>
      </w:r>
    </w:p>
    <w:p w14:paraId="63FAB6CC" w14:textId="49D15866" w:rsidR="004144EB" w:rsidRPr="000107A9" w:rsidRDefault="004144EB" w:rsidP="00C01E92">
      <w:pPr>
        <w:pStyle w:val="EYBodytextwithparaspace"/>
        <w:spacing w:before="120" w:after="120"/>
        <w:rPr>
          <w:rFonts w:asciiTheme="minorHAnsi" w:hAnsiTheme="minorHAnsi" w:cstheme="minorHAnsi"/>
          <w:sz w:val="22"/>
          <w:szCs w:val="22"/>
        </w:rPr>
      </w:pPr>
      <w:r w:rsidRPr="000A1627">
        <w:rPr>
          <w:rFonts w:asciiTheme="minorHAnsi" w:hAnsiTheme="minorHAnsi" w:cstheme="minorHAnsi"/>
          <w:sz w:val="22"/>
          <w:szCs w:val="22"/>
        </w:rPr>
        <w:t xml:space="preserve">Under the NQF, a responsible person must be present at each centre-based service at all times children are being educated and cared for by the service. This can be the person with management or control, a nominated supervisor, </w:t>
      </w:r>
      <w:r w:rsidR="000A1627" w:rsidRPr="000A1627">
        <w:rPr>
          <w:rFonts w:asciiTheme="minorHAnsi" w:hAnsiTheme="minorHAnsi" w:cstheme="minorHAnsi"/>
          <w:sz w:val="22"/>
          <w:szCs w:val="22"/>
        </w:rPr>
        <w:t>or a person in day-to-day charge</w:t>
      </w:r>
      <w:r w:rsidRPr="000A1627">
        <w:rPr>
          <w:rFonts w:asciiTheme="minorHAnsi" w:hAnsiTheme="minorHAnsi" w:cstheme="minorHAnsi"/>
          <w:sz w:val="22"/>
          <w:szCs w:val="22"/>
        </w:rPr>
        <w:t>.</w:t>
      </w:r>
    </w:p>
    <w:p w14:paraId="40E4AB68"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Fundamentally, the roles are the same, however move explicit requirements in the NQF will apply to due diligence to be undertaken by approved providers in appointing people to these roles.</w:t>
      </w:r>
    </w:p>
    <w:p w14:paraId="1F909A50"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As with the beginning of the NQF, the law change will transition the roles automatically. For </w:t>
      </w:r>
      <w:r w:rsidRPr="000107A9">
        <w:rPr>
          <w:rFonts w:asciiTheme="minorHAnsi" w:hAnsiTheme="minorHAnsi" w:cstheme="minorHAnsi"/>
          <w:b/>
          <w:sz w:val="22"/>
          <w:szCs w:val="22"/>
        </w:rPr>
        <w:t>existing services</w:t>
      </w:r>
      <w:r w:rsidRPr="000107A9">
        <w:rPr>
          <w:rFonts w:asciiTheme="minorHAnsi" w:hAnsiTheme="minorHAnsi" w:cstheme="minorHAnsi"/>
          <w:sz w:val="22"/>
          <w:szCs w:val="22"/>
        </w:rPr>
        <w:t xml:space="preserve"> and their key personnel, there will no requirement to make new applications to operate the service or to be assessed as fit and proper. However, once the change takes effect, providers can decide to appoint people to different roles if needed.</w:t>
      </w:r>
    </w:p>
    <w:p w14:paraId="097CA743"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Similarly, the terminology used to describe the employees and teaching staff of a children’s service will adopt the terminology of the NQF. The previous terms “employee, staff member, qualified staff member and teaching staff member” will be </w:t>
      </w:r>
      <w:r w:rsidRPr="000107A9">
        <w:rPr>
          <w:rFonts w:asciiTheme="minorHAnsi" w:hAnsiTheme="minorHAnsi" w:cstheme="minorHAnsi"/>
          <w:b/>
          <w:sz w:val="22"/>
          <w:szCs w:val="22"/>
        </w:rPr>
        <w:t>replaced</w:t>
      </w:r>
      <w:r w:rsidRPr="000107A9">
        <w:rPr>
          <w:rFonts w:asciiTheme="minorHAnsi" w:hAnsiTheme="minorHAnsi" w:cstheme="minorHAnsi"/>
          <w:sz w:val="22"/>
          <w:szCs w:val="22"/>
        </w:rPr>
        <w:t xml:space="preserve"> with the following:</w:t>
      </w:r>
    </w:p>
    <w:tbl>
      <w:tblPr>
        <w:tblStyle w:val="TableGrid"/>
        <w:tblW w:w="0" w:type="auto"/>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842"/>
        <w:gridCol w:w="7780"/>
      </w:tblGrid>
      <w:tr w:rsidR="003E0DF9" w:rsidRPr="003E0DF9" w14:paraId="66FA1C56" w14:textId="77777777" w:rsidTr="003D0B64">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632" w:type="dxa"/>
            <w:gridSpan w:val="2"/>
          </w:tcPr>
          <w:p w14:paraId="0E2971A9" w14:textId="02FD8AC4" w:rsidR="003E0DF9" w:rsidRPr="003E0DF9" w:rsidRDefault="003E0DF9" w:rsidP="003E0DF9">
            <w:pPr>
              <w:pStyle w:val="EYBodytextwithparaspace"/>
              <w:spacing w:after="60"/>
              <w:rPr>
                <w:rFonts w:ascii="Arial Narrow" w:hAnsi="Arial Narrow" w:cstheme="minorHAnsi"/>
                <w:b w:val="0"/>
                <w:sz w:val="22"/>
                <w:szCs w:val="22"/>
              </w:rPr>
            </w:pPr>
            <w:r w:rsidRPr="003E0DF9">
              <w:rPr>
                <w:rFonts w:ascii="Arial Narrow" w:hAnsi="Arial Narrow" w:cstheme="minorHAnsi"/>
                <w:sz w:val="22"/>
                <w:szCs w:val="22"/>
              </w:rPr>
              <w:t>Under the NQF and/or in the Amendment Act/proposed Regulations</w:t>
            </w:r>
          </w:p>
        </w:tc>
      </w:tr>
      <w:tr w:rsidR="003E0DF9" w:rsidRPr="003E0DF9" w14:paraId="02123DDF" w14:textId="77777777" w:rsidTr="003D0B64">
        <w:tc>
          <w:tcPr>
            <w:cnfStyle w:val="001000000000" w:firstRow="0" w:lastRow="0" w:firstColumn="1" w:lastColumn="0" w:oddVBand="0" w:evenVBand="0" w:oddHBand="0" w:evenHBand="0" w:firstRowFirstColumn="0" w:firstRowLastColumn="0" w:lastRowFirstColumn="0" w:lastRowLastColumn="0"/>
            <w:tcW w:w="1843" w:type="dxa"/>
          </w:tcPr>
          <w:p w14:paraId="3B9A3453" w14:textId="38D0EFAD" w:rsidR="003E0DF9" w:rsidRPr="003E0DF9" w:rsidRDefault="003E0DF9" w:rsidP="003E0DF9">
            <w:pPr>
              <w:pStyle w:val="EYBodytextwithparaspace"/>
              <w:spacing w:after="60"/>
              <w:rPr>
                <w:rFonts w:ascii="Arial Narrow" w:hAnsi="Arial Narrow" w:cstheme="minorHAnsi"/>
                <w:sz w:val="22"/>
                <w:szCs w:val="22"/>
              </w:rPr>
            </w:pPr>
            <w:r w:rsidRPr="003E0DF9">
              <w:rPr>
                <w:rFonts w:ascii="Arial Narrow" w:hAnsi="Arial Narrow" w:cstheme="minorHAnsi"/>
                <w:sz w:val="22"/>
                <w:szCs w:val="22"/>
              </w:rPr>
              <w:t>Staff member</w:t>
            </w:r>
          </w:p>
        </w:tc>
        <w:tc>
          <w:tcPr>
            <w:tcW w:w="7789" w:type="dxa"/>
          </w:tcPr>
          <w:p w14:paraId="2C4F879C" w14:textId="0A0F2D42" w:rsidR="003E0DF9" w:rsidRPr="003E0DF9" w:rsidRDefault="003E0DF9" w:rsidP="004144EB">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3E0DF9">
              <w:rPr>
                <w:rFonts w:ascii="Arial Narrow" w:hAnsi="Arial Narrow" w:cstheme="minorHAnsi"/>
                <w:sz w:val="22"/>
                <w:szCs w:val="22"/>
              </w:rPr>
              <w:t>Person employed by the service, which could be an administrative person, a cleaner, or other person o</w:t>
            </w:r>
            <w:r w:rsidR="004144EB">
              <w:rPr>
                <w:rFonts w:ascii="Arial Narrow" w:hAnsi="Arial Narrow" w:cstheme="minorHAnsi"/>
                <w:sz w:val="22"/>
                <w:szCs w:val="22"/>
              </w:rPr>
              <w:t>r</w:t>
            </w:r>
            <w:r w:rsidRPr="003E0DF9">
              <w:rPr>
                <w:rFonts w:ascii="Arial Narrow" w:hAnsi="Arial Narrow" w:cstheme="minorHAnsi"/>
                <w:sz w:val="22"/>
                <w:szCs w:val="22"/>
              </w:rPr>
              <w:t xml:space="preserve"> staff at the service</w:t>
            </w:r>
          </w:p>
        </w:tc>
      </w:tr>
      <w:tr w:rsidR="003E0DF9" w:rsidRPr="003E0DF9" w14:paraId="4568117B" w14:textId="77777777" w:rsidTr="003D0B64">
        <w:tc>
          <w:tcPr>
            <w:cnfStyle w:val="001000000000" w:firstRow="0" w:lastRow="0" w:firstColumn="1" w:lastColumn="0" w:oddVBand="0" w:evenVBand="0" w:oddHBand="0" w:evenHBand="0" w:firstRowFirstColumn="0" w:firstRowLastColumn="0" w:lastRowFirstColumn="0" w:lastRowLastColumn="0"/>
            <w:tcW w:w="1843" w:type="dxa"/>
          </w:tcPr>
          <w:p w14:paraId="22C3B110" w14:textId="073FBDC2" w:rsidR="003E0DF9" w:rsidRPr="003E0DF9" w:rsidRDefault="003E0DF9" w:rsidP="003E0DF9">
            <w:pPr>
              <w:pStyle w:val="EYBodytextwithparaspace"/>
              <w:spacing w:after="60"/>
              <w:rPr>
                <w:rFonts w:ascii="Arial Narrow" w:hAnsi="Arial Narrow" w:cstheme="minorHAnsi"/>
                <w:sz w:val="22"/>
                <w:szCs w:val="22"/>
              </w:rPr>
            </w:pPr>
            <w:r w:rsidRPr="003E0DF9">
              <w:rPr>
                <w:rFonts w:ascii="Arial Narrow" w:hAnsi="Arial Narrow" w:cstheme="minorHAnsi"/>
                <w:sz w:val="22"/>
                <w:szCs w:val="22"/>
              </w:rPr>
              <w:t>Educator</w:t>
            </w:r>
          </w:p>
        </w:tc>
        <w:tc>
          <w:tcPr>
            <w:tcW w:w="7789" w:type="dxa"/>
          </w:tcPr>
          <w:p w14:paraId="6F2DA6E2" w14:textId="042144B6" w:rsidR="003E0DF9" w:rsidRPr="003E0DF9" w:rsidRDefault="003E0DF9" w:rsidP="000A1627">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3E0DF9">
              <w:rPr>
                <w:rFonts w:ascii="Arial Narrow" w:hAnsi="Arial Narrow" w:cstheme="minorHAnsi"/>
                <w:sz w:val="22"/>
                <w:szCs w:val="22"/>
              </w:rPr>
              <w:t>Includes all previously defined staff members (i.e. at least Certificate III) and could also include previously defined qualified staff (i.e. with Diploma)</w:t>
            </w:r>
          </w:p>
        </w:tc>
      </w:tr>
      <w:tr w:rsidR="003E0DF9" w:rsidRPr="003E0DF9" w14:paraId="11AB4A6D" w14:textId="77777777" w:rsidTr="003D0B64">
        <w:tc>
          <w:tcPr>
            <w:cnfStyle w:val="001000000000" w:firstRow="0" w:lastRow="0" w:firstColumn="1" w:lastColumn="0" w:oddVBand="0" w:evenVBand="0" w:oddHBand="0" w:evenHBand="0" w:firstRowFirstColumn="0" w:firstRowLastColumn="0" w:lastRowFirstColumn="0" w:lastRowLastColumn="0"/>
            <w:tcW w:w="1843" w:type="dxa"/>
          </w:tcPr>
          <w:p w14:paraId="03AAFEE4" w14:textId="67A02C35" w:rsidR="003E0DF9" w:rsidRPr="003E0DF9" w:rsidRDefault="003E0DF9" w:rsidP="003E0DF9">
            <w:pPr>
              <w:pStyle w:val="EYBodytextwithparaspace"/>
              <w:spacing w:after="60"/>
              <w:rPr>
                <w:rFonts w:ascii="Arial Narrow" w:hAnsi="Arial Narrow" w:cstheme="minorHAnsi"/>
                <w:sz w:val="22"/>
                <w:szCs w:val="22"/>
              </w:rPr>
            </w:pPr>
            <w:r w:rsidRPr="003E0DF9">
              <w:rPr>
                <w:rFonts w:ascii="Arial Narrow" w:hAnsi="Arial Narrow" w:cstheme="minorHAnsi"/>
                <w:sz w:val="22"/>
                <w:szCs w:val="22"/>
              </w:rPr>
              <w:t>Early childhood teacher</w:t>
            </w:r>
          </w:p>
        </w:tc>
        <w:tc>
          <w:tcPr>
            <w:tcW w:w="7789" w:type="dxa"/>
          </w:tcPr>
          <w:p w14:paraId="1B11B722" w14:textId="77777777" w:rsidR="003E0DF9" w:rsidRPr="003E0DF9" w:rsidRDefault="003E0DF9" w:rsidP="003E0DF9">
            <w:pPr>
              <w:pStyle w:val="EYBodytextwithparaspace"/>
              <w:spacing w:after="60"/>
              <w:cnfStyle w:val="000000000000" w:firstRow="0" w:lastRow="0" w:firstColumn="0" w:lastColumn="0" w:oddVBand="0" w:evenVBand="0" w:oddHBand="0" w:evenHBand="0" w:firstRowFirstColumn="0" w:firstRowLastColumn="0" w:lastRowFirstColumn="0" w:lastRowLastColumn="0"/>
              <w:rPr>
                <w:rFonts w:ascii="Arial Narrow" w:hAnsi="Arial Narrow" w:cstheme="minorHAnsi"/>
                <w:sz w:val="22"/>
                <w:szCs w:val="22"/>
              </w:rPr>
            </w:pPr>
            <w:r w:rsidRPr="003E0DF9">
              <w:rPr>
                <w:rFonts w:ascii="Arial Narrow" w:hAnsi="Arial Narrow" w:cstheme="minorHAnsi"/>
                <w:sz w:val="22"/>
                <w:szCs w:val="22"/>
              </w:rPr>
              <w:t>Includes some previously defined qualified staff (i.e. Diploma) and all previously defined teaching staff (i.e. approved early childhood teaching qualification or above)</w:t>
            </w:r>
          </w:p>
        </w:tc>
      </w:tr>
    </w:tbl>
    <w:p w14:paraId="7352FE7A" w14:textId="26C521B3"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hAnsiTheme="minorHAnsi" w:cstheme="minorHAnsi"/>
          <w:sz w:val="22"/>
          <w:szCs w:val="22"/>
        </w:rPr>
        <w:t xml:space="preserve">Adopting the term ‘educator’ to describe </w:t>
      </w:r>
      <w:r w:rsidR="004144EB">
        <w:rPr>
          <w:rFonts w:asciiTheme="minorHAnsi" w:hAnsiTheme="minorHAnsi" w:cstheme="minorHAnsi"/>
          <w:sz w:val="22"/>
          <w:szCs w:val="22"/>
        </w:rPr>
        <w:t xml:space="preserve">all persons educating and caring for children that are working towards or </w:t>
      </w:r>
      <w:r w:rsidRPr="000107A9">
        <w:rPr>
          <w:rFonts w:asciiTheme="minorHAnsi" w:hAnsiTheme="minorHAnsi" w:cstheme="minorHAnsi"/>
          <w:sz w:val="22"/>
          <w:szCs w:val="22"/>
        </w:rPr>
        <w:t>holding a minimum Certificate III qualification, acknowledges the professionalism of the sector and reinforces the important education and care provided in services that offer short-term, ad hoc care.</w:t>
      </w:r>
    </w:p>
    <w:p w14:paraId="51F98814" w14:textId="77777777" w:rsidR="00C01E92" w:rsidRPr="000107A9" w:rsidRDefault="00C01E92" w:rsidP="00C01E92">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b/>
          <w:sz w:val="22"/>
          <w:szCs w:val="22"/>
        </w:rPr>
        <w:lastRenderedPageBreak/>
        <w:t>Provider approvals</w:t>
      </w:r>
    </w:p>
    <w:p w14:paraId="6CE6478C"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eastAsiaTheme="minorEastAsia" w:hAnsiTheme="minorHAnsi" w:cstheme="minorHAnsi"/>
          <w:sz w:val="22"/>
          <w:szCs w:val="22"/>
        </w:rPr>
        <w:t xml:space="preserve">Fit and proper person requirements are similar, but more comprehensive, requiring explicit </w:t>
      </w:r>
      <w:proofErr w:type="gramStart"/>
      <w:r w:rsidRPr="000107A9">
        <w:rPr>
          <w:rFonts w:asciiTheme="minorHAnsi" w:eastAsiaTheme="minorEastAsia" w:hAnsiTheme="minorHAnsi" w:cstheme="minorHAnsi"/>
          <w:sz w:val="22"/>
          <w:szCs w:val="22"/>
        </w:rPr>
        <w:t>consideration</w:t>
      </w:r>
      <w:proofErr w:type="gramEnd"/>
      <w:r w:rsidRPr="000107A9">
        <w:rPr>
          <w:rFonts w:asciiTheme="minorHAnsi" w:eastAsiaTheme="minorEastAsia" w:hAnsiTheme="minorHAnsi" w:cstheme="minorHAnsi"/>
          <w:sz w:val="22"/>
          <w:szCs w:val="22"/>
        </w:rPr>
        <w:t xml:space="preserve"> of the applicant’s past conduct under other relevant laws.</w:t>
      </w:r>
    </w:p>
    <w:p w14:paraId="5953AF5B" w14:textId="275B4E3F"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eastAsiaTheme="minorEastAsia" w:hAnsiTheme="minorHAnsi" w:cstheme="minorHAnsi"/>
          <w:sz w:val="22"/>
          <w:szCs w:val="22"/>
        </w:rPr>
        <w:t xml:space="preserve">All existing responsible persons and nominees, i.e. people who already need to be fit and proper, will be </w:t>
      </w:r>
      <w:r w:rsidRPr="000107A9">
        <w:rPr>
          <w:rFonts w:asciiTheme="minorHAnsi" w:eastAsiaTheme="minorEastAsia" w:hAnsiTheme="minorHAnsi" w:cstheme="minorHAnsi"/>
          <w:b/>
          <w:sz w:val="22"/>
          <w:szCs w:val="22"/>
        </w:rPr>
        <w:t>taken to be fit and proper</w:t>
      </w:r>
      <w:r w:rsidRPr="000107A9">
        <w:rPr>
          <w:rFonts w:asciiTheme="minorHAnsi" w:eastAsiaTheme="minorEastAsia" w:hAnsiTheme="minorHAnsi" w:cstheme="minorHAnsi"/>
          <w:sz w:val="22"/>
          <w:szCs w:val="22"/>
        </w:rPr>
        <w:t xml:space="preserve"> under the Amendment Act. </w:t>
      </w:r>
      <w:r w:rsidRPr="000A1627">
        <w:rPr>
          <w:rFonts w:asciiTheme="minorHAnsi" w:eastAsiaTheme="minorEastAsia" w:hAnsiTheme="minorHAnsi" w:cstheme="minorHAnsi"/>
          <w:sz w:val="22"/>
          <w:szCs w:val="22"/>
        </w:rPr>
        <w:t>People who are members of executive committees will not need to re-apply to be assessed as fit and proper if they are already fit and proper.</w:t>
      </w:r>
    </w:p>
    <w:p w14:paraId="7A7B2CAB"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eastAsiaTheme="minorEastAsia" w:hAnsiTheme="minorHAnsi" w:cstheme="minorHAnsi"/>
          <w:sz w:val="22"/>
          <w:szCs w:val="22"/>
        </w:rPr>
        <w:t>Currently, a licensee must make a separate licence application to operate each service. An approved provider will be able to operate multiple services under the Amendment Act, under a single provider approval.</w:t>
      </w:r>
    </w:p>
    <w:p w14:paraId="626D8A90" w14:textId="77777777" w:rsidR="00C01E92" w:rsidRPr="000107A9" w:rsidRDefault="00C01E92" w:rsidP="00C01E92">
      <w:pPr>
        <w:pStyle w:val="EYBodytextwithparaspace"/>
        <w:spacing w:before="120" w:after="120"/>
        <w:rPr>
          <w:rFonts w:asciiTheme="minorHAnsi" w:hAnsiTheme="minorHAnsi" w:cstheme="minorHAnsi"/>
          <w:sz w:val="22"/>
          <w:szCs w:val="22"/>
        </w:rPr>
      </w:pPr>
      <w:r w:rsidRPr="000107A9">
        <w:rPr>
          <w:rFonts w:asciiTheme="minorHAnsi" w:eastAsiaTheme="minorEastAsia" w:hAnsiTheme="minorHAnsi" w:cstheme="minorHAnsi"/>
          <w:sz w:val="22"/>
          <w:szCs w:val="22"/>
        </w:rPr>
        <w:t>Existing approved providers under the NQF will be eligible to operate a children’s service under the Amendment Act without needing to obtain a separate provider approval.</w:t>
      </w:r>
    </w:p>
    <w:p w14:paraId="1F69ACA0" w14:textId="77777777" w:rsidR="00C01E92" w:rsidRPr="000107A9" w:rsidRDefault="00C01E92" w:rsidP="00C01E92">
      <w:pPr>
        <w:pStyle w:val="EYBodytextwithparaspace"/>
        <w:spacing w:before="120" w:after="120"/>
        <w:rPr>
          <w:rFonts w:asciiTheme="minorHAnsi" w:hAnsiTheme="minorHAnsi" w:cstheme="minorHAnsi"/>
          <w:b/>
          <w:sz w:val="22"/>
          <w:szCs w:val="22"/>
        </w:rPr>
      </w:pPr>
      <w:r w:rsidRPr="000107A9">
        <w:rPr>
          <w:rFonts w:asciiTheme="minorHAnsi" w:hAnsiTheme="minorHAnsi" w:cstheme="minorHAnsi"/>
          <w:b/>
          <w:sz w:val="22"/>
          <w:szCs w:val="22"/>
        </w:rPr>
        <w:t>Service approvals</w:t>
      </w:r>
    </w:p>
    <w:p w14:paraId="341048B2" w14:textId="77777777" w:rsidR="00C01E92" w:rsidRPr="000107A9" w:rsidRDefault="00C01E92" w:rsidP="00C01E92">
      <w:pPr>
        <w:pStyle w:val="EYBodytextwithparaspace"/>
        <w:spacing w:before="120" w:after="120"/>
        <w:rPr>
          <w:rFonts w:asciiTheme="minorHAnsi" w:eastAsiaTheme="minorEastAsia" w:hAnsiTheme="minorHAnsi" w:cstheme="minorHAnsi"/>
          <w:sz w:val="22"/>
          <w:szCs w:val="22"/>
        </w:rPr>
      </w:pPr>
      <w:r w:rsidRPr="000107A9">
        <w:rPr>
          <w:rFonts w:asciiTheme="minorHAnsi" w:eastAsiaTheme="minorEastAsia" w:hAnsiTheme="minorHAnsi" w:cstheme="minorHAnsi"/>
          <w:sz w:val="22"/>
          <w:szCs w:val="22"/>
        </w:rPr>
        <w:t xml:space="preserve">Currently, there is a two-step process for approval of service premises. This has been replaced in the Amendment Act with a </w:t>
      </w:r>
      <w:r w:rsidRPr="000107A9">
        <w:rPr>
          <w:rFonts w:asciiTheme="minorHAnsi" w:eastAsiaTheme="minorEastAsia" w:hAnsiTheme="minorHAnsi" w:cstheme="minorHAnsi"/>
          <w:b/>
          <w:sz w:val="22"/>
          <w:szCs w:val="22"/>
        </w:rPr>
        <w:t>one-step integrated process</w:t>
      </w:r>
      <w:r w:rsidRPr="000107A9">
        <w:rPr>
          <w:rFonts w:asciiTheme="minorHAnsi" w:eastAsiaTheme="minorEastAsia" w:hAnsiTheme="minorHAnsi" w:cstheme="minorHAnsi"/>
          <w:sz w:val="22"/>
          <w:szCs w:val="22"/>
        </w:rPr>
        <w:t>. The single application, aligned with the process in the National Law, reduces red tape and time for the applicant and enables the regulatory authority to consider all relevant matters about the service premises together.</w:t>
      </w:r>
    </w:p>
    <w:tbl>
      <w:tblPr>
        <w:tblStyle w:val="TableGrid"/>
        <w:tblW w:w="0" w:type="auto"/>
        <w:jc w:val="center"/>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4A0" w:firstRow="1" w:lastRow="0" w:firstColumn="1" w:lastColumn="0" w:noHBand="0" w:noVBand="1"/>
      </w:tblPr>
      <w:tblGrid>
        <w:gridCol w:w="3629"/>
        <w:gridCol w:w="1296"/>
        <w:gridCol w:w="3629"/>
      </w:tblGrid>
      <w:tr w:rsidR="00C01E92" w:rsidRPr="003E0DF9" w14:paraId="51405DA2" w14:textId="77777777" w:rsidTr="00FB1F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29" w:type="dxa"/>
            <w:tcBorders>
              <w:bottom w:val="single" w:sz="36" w:space="0" w:color="FFFFFF" w:themeColor="background1"/>
            </w:tcBorders>
            <w:shd w:val="clear" w:color="auto" w:fill="004EA8"/>
            <w:vAlign w:val="center"/>
          </w:tcPr>
          <w:p w14:paraId="6FC1B4F2" w14:textId="77777777" w:rsidR="00C01E92" w:rsidRPr="003E0DF9" w:rsidRDefault="00C01E92" w:rsidP="00090AF4">
            <w:pPr>
              <w:pStyle w:val="EYBodytextwithparaspace"/>
              <w:spacing w:before="120" w:after="120"/>
              <w:jc w:val="center"/>
              <w:rPr>
                <w:rFonts w:asciiTheme="minorHAnsi" w:hAnsiTheme="minorHAnsi" w:cstheme="minorHAnsi"/>
                <w:b w:val="0"/>
                <w:sz w:val="22"/>
                <w:szCs w:val="22"/>
              </w:rPr>
            </w:pPr>
            <w:r w:rsidRPr="003E0DF9">
              <w:rPr>
                <w:rFonts w:asciiTheme="minorHAnsi" w:hAnsiTheme="minorHAnsi" w:cstheme="minorHAnsi"/>
                <w:b w:val="0"/>
                <w:sz w:val="22"/>
                <w:szCs w:val="22"/>
              </w:rPr>
              <w:t>Two-step premises approval</w:t>
            </w:r>
          </w:p>
        </w:tc>
        <w:tc>
          <w:tcPr>
            <w:tcW w:w="1276" w:type="dxa"/>
            <w:tcBorders>
              <w:bottom w:val="single" w:sz="36" w:space="0" w:color="FFFFFF" w:themeColor="background1"/>
            </w:tcBorders>
            <w:shd w:val="clear" w:color="auto" w:fill="auto"/>
            <w:vAlign w:val="center"/>
          </w:tcPr>
          <w:p w14:paraId="75479169" w14:textId="77777777" w:rsidR="00C01E92" w:rsidRPr="003E0DF9" w:rsidRDefault="00C01E92" w:rsidP="00090AF4">
            <w:pPr>
              <w:pStyle w:val="EYBodytextwithparaspace"/>
              <w:spacing w:before="120" w:after="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3E0DF9">
              <w:rPr>
                <w:rFonts w:asciiTheme="minorHAnsi" w:hAnsiTheme="minorHAnsi" w:cstheme="minorHAnsi"/>
                <w:noProof/>
                <w:sz w:val="22"/>
                <w:szCs w:val="22"/>
                <w:lang w:eastAsia="en-AU"/>
              </w:rPr>
              <mc:AlternateContent>
                <mc:Choice Requires="wps">
                  <w:drawing>
                    <wp:inline distT="0" distB="0" distL="0" distR="0" wp14:anchorId="786F26A4" wp14:editId="588DCEF1">
                      <wp:extent cx="647700" cy="245110"/>
                      <wp:effectExtent l="0" t="19050" r="38100" b="40640"/>
                      <wp:docPr id="25" name="Right Arrow 25" descr="This is a black arrow pointing to the right"/>
                      <wp:cNvGraphicFramePr/>
                      <a:graphic xmlns:a="http://schemas.openxmlformats.org/drawingml/2006/main">
                        <a:graphicData uri="http://schemas.microsoft.com/office/word/2010/wordprocessingShape">
                          <wps:wsp>
                            <wps:cNvSpPr/>
                            <wps:spPr>
                              <a:xfrm>
                                <a:off x="0" y="0"/>
                                <a:ext cx="647700" cy="245110"/>
                              </a:xfrm>
                              <a:prstGeom prst="rightArrow">
                                <a:avLst/>
                              </a:prstGeom>
                              <a:solidFill>
                                <a:srgbClr val="2E2E38"/>
                              </a:solidFill>
                              <a:ln w="25400" cap="flat" cmpd="sng" algn="ctr">
                                <a:solidFill>
                                  <a:srgbClr val="2E2E38"/>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F3FCF5D" id="Right Arrow 25" o:spid="_x0000_s1026" type="#_x0000_t13" alt="This is a black arrow pointing to the right" style="width:51pt;height:1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pDGgwIAABcFAAAOAAAAZHJzL2Uyb0RvYy54bWysVNtu2zAMfR+wfxD0vjrx0suCJkXQyzCg&#10;aIu1Q58ZWbaFyaJGKXG6rx8lu9ftYRgGGLIoUrwcHur4ZNdZsdUUDLqFnO5NpNBOYWVcs5Df7i4+&#10;HEkRIrgKLDq9kA86yJPl+3fHvZ/rElu0lSbBTlyY934h2xj9vCiCanUHYQ+9dqyskTqILFJTVAQ9&#10;e+9sUU4mB0WPVHlCpUPg07NBKZfZf11rFa/rOugo7EJybjGvlNd1WovlMcwbAt8aNaYB/5BFB8Zx&#10;0CdXZxBBbMj85qozijBgHfcUdgXWtVE618DVTCdvqrltwetcC4MT/BNM4f+5VVfbGxKmWshyXwoH&#10;Hffoq2naKFZE2It0WumgGLK71gTBH4i1BfVdQDbwaFxk5EVEEVstKF1OsPY+zNn7rb+hUQq8TRjt&#10;aurSn6sXu9yKh6dW6F0Uig8PZoeHE26YYlU5259Oc6uK58ueQvyssRNps5A5bE45twG2lyFyWL7w&#10;aJgiBrSmujDWZoGa9aklsQXmRnlenn88SnnzlVdm1ok+oTPL6QBztLYQObPOM2rBNVKAbZj8KlKO&#10;/ep2+LsgKckzCO2QTPYw5mJdylVnKo81JWQHLNNujdUDt5Bw4Hbw6sKwt0sI8QaIycwo8oDGa15q&#10;i1wLjjspWqSffzpP9swx1krR83BwnT82QFoK+8Ux+z5NZ7M0TVmY7R+WLNBLzfqlxm26U2SMp/wU&#10;eJW3yT7ax21N2N3zHK9SVFaBUxx7QHQUTuMwtPwSKL1aZTOeIA/x0t16lZwnnBKOd7t7ID/yIjKh&#10;rvBxkGD+hhiDbbrpcLWJWJvMmmdcmQ9J4OnLzBhfijTeL+Vs9fyeLX8BAAD//wMAUEsDBBQABgAI&#10;AAAAIQCioL9y2gAAAAQBAAAPAAAAZHJzL2Rvd25yZXYueG1sTI/BasMwEETvhfyD2EBvjZy4hOBa&#10;DiWQ3Eqpm0OPsrWxTaWVsRTHydd300t7GRhmmXmbbydnxYhD6DwpWC4SEEi1Nx01Co6f+6cNiBA1&#10;GW09oYIrBtgWs4dcZ8Zf6APHMjaCSyhkWkEbY59JGeoWnQ4L3yNxdvKD05Ht0Egz6AuXOytXSbKW&#10;TnfEC63ucddi/V2enYLT4f04Vs0Sze3rzZbyOb1dD6lSj/Pp9QVExCn+HcMdn9GhYKbKn8kEYRXw&#10;I/FX71myYlspSDdrkEUu/8MXPwAAAP//AwBQSwECLQAUAAYACAAAACEAtoM4kv4AAADhAQAAEwAA&#10;AAAAAAAAAAAAAAAAAAAAW0NvbnRlbnRfVHlwZXNdLnhtbFBLAQItABQABgAIAAAAIQA4/SH/1gAA&#10;AJQBAAALAAAAAAAAAAAAAAAAAC8BAABfcmVscy8ucmVsc1BLAQItABQABgAIAAAAIQCp4pDGgwIA&#10;ABcFAAAOAAAAAAAAAAAAAAAAAC4CAABkcnMvZTJvRG9jLnhtbFBLAQItABQABgAIAAAAIQCioL9y&#10;2gAAAAQBAAAPAAAAAAAAAAAAAAAAAN0EAABkcnMvZG93bnJldi54bWxQSwUGAAAAAAQABADzAAAA&#10;5AUAAAAA&#10;" adj="17513" fillcolor="#2e2e38" strokecolor="#2e2e38" strokeweight="2pt">
                      <w10:anchorlock/>
                    </v:shape>
                  </w:pict>
                </mc:Fallback>
              </mc:AlternateContent>
            </w:r>
          </w:p>
        </w:tc>
        <w:tc>
          <w:tcPr>
            <w:tcW w:w="3629" w:type="dxa"/>
            <w:tcBorders>
              <w:bottom w:val="single" w:sz="36" w:space="0" w:color="FFFFFF" w:themeColor="background1"/>
            </w:tcBorders>
            <w:shd w:val="clear" w:color="auto" w:fill="D9D9D6" w:themeFill="background2"/>
            <w:vAlign w:val="center"/>
          </w:tcPr>
          <w:p w14:paraId="55A25FC1" w14:textId="77777777" w:rsidR="00C01E92" w:rsidRPr="0021530C" w:rsidRDefault="00C01E92" w:rsidP="00090AF4">
            <w:pPr>
              <w:pStyle w:val="EYBodytextwithparaspace"/>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auto"/>
                <w:sz w:val="22"/>
                <w:szCs w:val="22"/>
              </w:rPr>
            </w:pPr>
            <w:r w:rsidRPr="0021530C">
              <w:rPr>
                <w:rFonts w:asciiTheme="minorHAnsi" w:hAnsiTheme="minorHAnsi" w:cstheme="minorHAnsi"/>
                <w:b w:val="0"/>
                <w:color w:val="auto"/>
                <w:sz w:val="22"/>
                <w:szCs w:val="22"/>
              </w:rPr>
              <w:t>One-step integrated process</w:t>
            </w:r>
          </w:p>
        </w:tc>
      </w:tr>
    </w:tbl>
    <w:p w14:paraId="2D54E69F" w14:textId="77777777" w:rsidR="00C01E92" w:rsidRPr="000107A9" w:rsidRDefault="00C01E92" w:rsidP="00C01E92">
      <w:pPr>
        <w:pStyle w:val="EYBodytextwithparaspace"/>
        <w:spacing w:before="120" w:after="120"/>
        <w:rPr>
          <w:rFonts w:asciiTheme="minorHAnsi" w:eastAsiaTheme="minorEastAsia" w:hAnsiTheme="minorHAnsi" w:cstheme="minorHAnsi"/>
          <w:sz w:val="22"/>
          <w:szCs w:val="22"/>
        </w:rPr>
      </w:pPr>
      <w:r w:rsidRPr="000107A9">
        <w:rPr>
          <w:rFonts w:asciiTheme="minorHAnsi" w:eastAsiaTheme="minorEastAsia" w:hAnsiTheme="minorHAnsi" w:cstheme="minorHAnsi"/>
          <w:sz w:val="22"/>
          <w:szCs w:val="22"/>
        </w:rPr>
        <w:t xml:space="preserve">The current fixed-term licences of one, three or five years’ duration, which must be renewed on application and payment of a fee, will be replaced with </w:t>
      </w:r>
      <w:r w:rsidRPr="000107A9">
        <w:rPr>
          <w:rFonts w:asciiTheme="minorHAnsi" w:eastAsiaTheme="minorEastAsia" w:hAnsiTheme="minorHAnsi" w:cstheme="minorHAnsi"/>
          <w:b/>
          <w:sz w:val="22"/>
          <w:szCs w:val="22"/>
        </w:rPr>
        <w:t>perpetual service approvals</w:t>
      </w:r>
      <w:r w:rsidRPr="000107A9">
        <w:rPr>
          <w:rFonts w:asciiTheme="minorHAnsi" w:eastAsiaTheme="minorEastAsia" w:hAnsiTheme="minorHAnsi" w:cstheme="minorHAnsi"/>
          <w:sz w:val="22"/>
          <w:szCs w:val="22"/>
        </w:rPr>
        <w:t xml:space="preserve">, with an </w:t>
      </w:r>
      <w:r w:rsidRPr="000107A9">
        <w:rPr>
          <w:rFonts w:asciiTheme="minorHAnsi" w:eastAsiaTheme="minorEastAsia" w:hAnsiTheme="minorHAnsi" w:cstheme="minorHAnsi"/>
          <w:b/>
          <w:sz w:val="22"/>
          <w:szCs w:val="22"/>
        </w:rPr>
        <w:t>annual fee payable on invoice</w:t>
      </w:r>
      <w:r w:rsidRPr="000107A9">
        <w:rPr>
          <w:rFonts w:asciiTheme="minorHAnsi" w:eastAsiaTheme="minorEastAsia" w:hAnsiTheme="minorHAnsi" w:cstheme="minorHAnsi"/>
          <w:sz w:val="22"/>
          <w:szCs w:val="22"/>
        </w:rPr>
        <w:t>, which reduces red tape as a provider no longer needs to re-apply for a licence—saving time and resources in collecting relevant information/paperwork to process an application. Service approvals can be suspended or cancelled at any time by the regulatory authority.</w:t>
      </w:r>
    </w:p>
    <w:tbl>
      <w:tblPr>
        <w:tblStyle w:val="TableGrid"/>
        <w:tblW w:w="0" w:type="auto"/>
        <w:jc w:val="center"/>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4A0" w:firstRow="1" w:lastRow="0" w:firstColumn="1" w:lastColumn="0" w:noHBand="0" w:noVBand="1"/>
      </w:tblPr>
      <w:tblGrid>
        <w:gridCol w:w="3629"/>
        <w:gridCol w:w="1296"/>
        <w:gridCol w:w="3629"/>
      </w:tblGrid>
      <w:tr w:rsidR="00C01E92" w:rsidRPr="0021530C" w14:paraId="638AD112" w14:textId="77777777" w:rsidTr="00FB1F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29" w:type="dxa"/>
            <w:tcBorders>
              <w:bottom w:val="single" w:sz="36" w:space="0" w:color="FFFFFF" w:themeColor="background1"/>
            </w:tcBorders>
            <w:shd w:val="clear" w:color="auto" w:fill="004EA8"/>
            <w:vAlign w:val="center"/>
          </w:tcPr>
          <w:p w14:paraId="2D202247" w14:textId="77777777" w:rsidR="00C01E92" w:rsidRPr="003E0DF9" w:rsidRDefault="00C01E92" w:rsidP="00090AF4">
            <w:pPr>
              <w:pStyle w:val="EYBodytextwithparaspace"/>
              <w:spacing w:before="120" w:after="120"/>
              <w:jc w:val="center"/>
              <w:rPr>
                <w:rFonts w:asciiTheme="minorHAnsi" w:hAnsiTheme="minorHAnsi" w:cstheme="minorHAnsi"/>
                <w:b w:val="0"/>
                <w:sz w:val="22"/>
                <w:szCs w:val="22"/>
              </w:rPr>
            </w:pPr>
            <w:r w:rsidRPr="003E0DF9">
              <w:rPr>
                <w:rFonts w:asciiTheme="minorHAnsi" w:hAnsiTheme="minorHAnsi" w:cstheme="minorHAnsi"/>
                <w:b w:val="0"/>
                <w:sz w:val="22"/>
                <w:szCs w:val="22"/>
              </w:rPr>
              <w:t>Fixed-term licence</w:t>
            </w:r>
          </w:p>
        </w:tc>
        <w:tc>
          <w:tcPr>
            <w:tcW w:w="1276" w:type="dxa"/>
            <w:tcBorders>
              <w:bottom w:val="single" w:sz="36" w:space="0" w:color="FFFFFF" w:themeColor="background1"/>
            </w:tcBorders>
            <w:shd w:val="clear" w:color="auto" w:fill="auto"/>
            <w:vAlign w:val="center"/>
          </w:tcPr>
          <w:p w14:paraId="44CFC054" w14:textId="77777777" w:rsidR="00C01E92" w:rsidRPr="003E0DF9" w:rsidRDefault="00C01E92" w:rsidP="00090AF4">
            <w:pPr>
              <w:pStyle w:val="EYBodytextwithparaspace"/>
              <w:spacing w:before="120" w:after="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3E0DF9">
              <w:rPr>
                <w:rFonts w:asciiTheme="minorHAnsi" w:hAnsiTheme="minorHAnsi" w:cstheme="minorHAnsi"/>
                <w:noProof/>
                <w:sz w:val="22"/>
                <w:szCs w:val="22"/>
                <w:lang w:eastAsia="en-AU"/>
              </w:rPr>
              <mc:AlternateContent>
                <mc:Choice Requires="wps">
                  <w:drawing>
                    <wp:inline distT="0" distB="0" distL="0" distR="0" wp14:anchorId="0246DACE" wp14:editId="0E851A80">
                      <wp:extent cx="647700" cy="245110"/>
                      <wp:effectExtent l="0" t="19050" r="38100" b="40640"/>
                      <wp:docPr id="26" name="Right Arrow 26" descr="This is a black arrow pointing to the right"/>
                      <wp:cNvGraphicFramePr/>
                      <a:graphic xmlns:a="http://schemas.openxmlformats.org/drawingml/2006/main">
                        <a:graphicData uri="http://schemas.microsoft.com/office/word/2010/wordprocessingShape">
                          <wps:wsp>
                            <wps:cNvSpPr/>
                            <wps:spPr>
                              <a:xfrm>
                                <a:off x="0" y="0"/>
                                <a:ext cx="647700" cy="245110"/>
                              </a:xfrm>
                              <a:prstGeom prst="rightArrow">
                                <a:avLst/>
                              </a:prstGeom>
                              <a:solidFill>
                                <a:srgbClr val="2E2E38"/>
                              </a:solidFill>
                              <a:ln w="25400" cap="flat" cmpd="sng" algn="ctr">
                                <a:solidFill>
                                  <a:srgbClr val="2E2E38"/>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21A6A2" id="Right Arrow 26" o:spid="_x0000_s1026" type="#_x0000_t13" alt="This is a black arrow pointing to the right" style="width:51pt;height:1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vVEhAIAABcFAAAOAAAAZHJzL2Uyb0RvYy54bWysVNtu2zAMfR+wfxD0vjrx0suCOkXQyzCg&#10;aIu1Q58ZWbaFyaJGKXG6rx+luNftYRgGGLIoUrwcHur4ZNtbsdEUDLpKTvcmUminsDaureS3u4sP&#10;R1KECK4Gi05X8kEHebJ4/+548HNdYoe21iTYiQvzwVeyi9HPiyKoTvcQ9tBrx8oGqYfIIrVFTTCw&#10;994W5WRyUAxItSdUOgQ+Pdsp5SL7bxqt4nXTBB2FrSTnFvNKeV2ltVgcw7wl8J1RYxrwD1n0YBwH&#10;fXJ1BhHEmsxvrnqjCAM2cU9hX2DTGKVzDVzNdPKmmtsOvM61MDjBP8EU/p9bdbW5IWHqSpYHUjjo&#10;uUdfTdtFsSTCQaTTWgfFkN11Jgj+QKwsqO8CsoFH4yIjLyKK2GlB6XKCdfBhzt5v/Q2NUuBtwmjb&#10;UJ/+XL3Y5lY8PLVCb6NQfHgwOzyccMMUq8rZ/nSaW1U8X/YU4meNvUibSuawOeXcBthchshh+cKj&#10;YYoY0Jr6wlibBWpXp5bEBpgb5Xl5/vEo5c1XXplZJwbW789yOsAcbSxEzqz3jFpwrRRgWya/ipRj&#10;v7od/i5ISvIMQrdLJnsYc7Eu5aozlceaErI7LNNuhfUDt5Bwx+3g1YVhb5cQ4g0Qk5lR5AGN17w0&#10;FrkWHHdSdEg//3Se7JljrJVi4OHgOn+sgbQU9otj9n2azmZpmrIw2z8sWaCXmtVLjVv3p8gYT/kp&#10;8Cpvk320j9uGsL/nOV6mqKwCpzj2DtFROI27oeWXQOnlMpvxBHmIl+7Wq+Q84ZRwvNveA/mRF5EJ&#10;dYWPgwTzN8TY2aabDpfriI3JrHnGlfmQBJ6+zIzxpUjj/VLOVs/v2eIXAAAA//8DAFBLAwQUAAYA&#10;CAAAACEAoqC/ctoAAAAEAQAADwAAAGRycy9kb3ducmV2LnhtbEyPwWrDMBBE74X8g9hAb42cuITg&#10;Wg4lkNxKqZtDj7K1sU2llbEUx8nXd9NLexkYZpl5m28nZ8WIQ+g8KVguEhBItTcdNQqOn/unDYgQ&#10;NRltPaGCKwbYFrOHXGfGX+gDxzI2gksoZFpBG2OfSRnqFp0OC98jcXbyg9OR7dBIM+gLlzsrV0my&#10;lk53xAut7nHXYv1dnp2C0+H9OFbNEs3t682W8jm9XQ+pUo/z6fUFRMQp/h3DHZ/RoWCmyp/JBGEV&#10;8CPxV+9ZsmJbKUg3a5BFLv/DFz8AAAD//wMAUEsBAi0AFAAGAAgAAAAhALaDOJL+AAAA4QEAABMA&#10;AAAAAAAAAAAAAAAAAAAAAFtDb250ZW50X1R5cGVzXS54bWxQSwECLQAUAAYACAAAACEAOP0h/9YA&#10;AACUAQAACwAAAAAAAAAAAAAAAAAvAQAAX3JlbHMvLnJlbHNQSwECLQAUAAYACAAAACEAQXL1RIQC&#10;AAAXBQAADgAAAAAAAAAAAAAAAAAuAgAAZHJzL2Uyb0RvYy54bWxQSwECLQAUAAYACAAAACEAoqC/&#10;ctoAAAAEAQAADwAAAAAAAAAAAAAAAADeBAAAZHJzL2Rvd25yZXYueG1sUEsFBgAAAAAEAAQA8wAA&#10;AOUFAAAAAA==&#10;" adj="17513" fillcolor="#2e2e38" strokecolor="#2e2e38" strokeweight="2pt">
                      <w10:anchorlock/>
                    </v:shape>
                  </w:pict>
                </mc:Fallback>
              </mc:AlternateContent>
            </w:r>
          </w:p>
        </w:tc>
        <w:tc>
          <w:tcPr>
            <w:tcW w:w="3629" w:type="dxa"/>
            <w:tcBorders>
              <w:bottom w:val="single" w:sz="36" w:space="0" w:color="FFFFFF" w:themeColor="background1"/>
            </w:tcBorders>
            <w:shd w:val="clear" w:color="auto" w:fill="D9D9D6" w:themeFill="background2"/>
            <w:vAlign w:val="center"/>
          </w:tcPr>
          <w:p w14:paraId="71123BBE" w14:textId="77777777" w:rsidR="00C01E92" w:rsidRPr="0021530C" w:rsidRDefault="00C01E92" w:rsidP="00090AF4">
            <w:pPr>
              <w:pStyle w:val="EYBodytextwithparaspace"/>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auto"/>
                <w:sz w:val="22"/>
                <w:szCs w:val="22"/>
              </w:rPr>
            </w:pPr>
            <w:r w:rsidRPr="0021530C">
              <w:rPr>
                <w:rFonts w:asciiTheme="minorHAnsi" w:hAnsiTheme="minorHAnsi" w:cstheme="minorHAnsi"/>
                <w:b w:val="0"/>
                <w:color w:val="auto"/>
                <w:sz w:val="22"/>
                <w:szCs w:val="22"/>
              </w:rPr>
              <w:t>Perpetual service approval</w:t>
            </w:r>
          </w:p>
        </w:tc>
      </w:tr>
    </w:tbl>
    <w:p w14:paraId="5F8392DA" w14:textId="77777777" w:rsidR="00C01E92" w:rsidRPr="000107A9" w:rsidRDefault="00C01E92" w:rsidP="00C01E92">
      <w:pPr>
        <w:pStyle w:val="EYBodytextwithparaspace"/>
        <w:spacing w:before="120" w:after="120"/>
        <w:rPr>
          <w:rFonts w:asciiTheme="minorHAnsi" w:eastAsiaTheme="minorEastAsia" w:hAnsiTheme="minorHAnsi" w:cstheme="minorHAnsi"/>
          <w:sz w:val="22"/>
          <w:szCs w:val="22"/>
        </w:rPr>
      </w:pPr>
      <w:r w:rsidRPr="000107A9">
        <w:rPr>
          <w:rFonts w:asciiTheme="minorHAnsi" w:eastAsiaTheme="minorEastAsia" w:hAnsiTheme="minorHAnsi" w:cstheme="minorHAnsi"/>
          <w:sz w:val="22"/>
          <w:szCs w:val="22"/>
        </w:rPr>
        <w:t xml:space="preserve">Subject to approval and possible intervention by the regulatory authority as in the National Law, service approvals are </w:t>
      </w:r>
      <w:r w:rsidRPr="000107A9">
        <w:rPr>
          <w:rFonts w:asciiTheme="minorHAnsi" w:eastAsiaTheme="minorEastAsia" w:hAnsiTheme="minorHAnsi" w:cstheme="minorHAnsi"/>
          <w:b/>
          <w:sz w:val="22"/>
          <w:szCs w:val="22"/>
        </w:rPr>
        <w:t>transferrable</w:t>
      </w:r>
      <w:r w:rsidRPr="000107A9">
        <w:rPr>
          <w:rFonts w:asciiTheme="minorHAnsi" w:eastAsiaTheme="minorEastAsia" w:hAnsiTheme="minorHAnsi" w:cstheme="minorHAnsi"/>
          <w:sz w:val="22"/>
          <w:szCs w:val="22"/>
        </w:rPr>
        <w:t xml:space="preserve"> between approved providers and end when surrendered or cancelled—providing greater market flexibility for approved providers.</w:t>
      </w:r>
    </w:p>
    <w:p w14:paraId="55A5A3F0" w14:textId="77777777" w:rsidR="00C01E92" w:rsidRPr="000107A9" w:rsidRDefault="00C01E92" w:rsidP="00C01E92">
      <w:pPr>
        <w:pStyle w:val="EYBodytextwithparaspace"/>
        <w:spacing w:before="120" w:after="120"/>
        <w:rPr>
          <w:rFonts w:asciiTheme="minorHAnsi" w:eastAsiaTheme="minorEastAsia" w:hAnsiTheme="minorHAnsi" w:cstheme="minorHAnsi"/>
          <w:b/>
          <w:sz w:val="22"/>
          <w:szCs w:val="22"/>
        </w:rPr>
      </w:pPr>
      <w:r w:rsidRPr="000107A9">
        <w:rPr>
          <w:rFonts w:asciiTheme="minorHAnsi" w:eastAsiaTheme="minorEastAsia" w:hAnsiTheme="minorHAnsi" w:cstheme="minorHAnsi"/>
          <w:b/>
          <w:sz w:val="22"/>
          <w:szCs w:val="22"/>
        </w:rPr>
        <w:t>Approved Associated Children’s Services (AACS)</w:t>
      </w:r>
    </w:p>
    <w:p w14:paraId="4E8F19DC" w14:textId="77777777" w:rsidR="00C01E92" w:rsidRPr="000107A9" w:rsidRDefault="00C01E92" w:rsidP="00C01E92">
      <w:pPr>
        <w:pStyle w:val="EYBodytextwithparaspace"/>
        <w:spacing w:before="120" w:after="120"/>
        <w:rPr>
          <w:rFonts w:asciiTheme="minorHAnsi" w:hAnsiTheme="minorHAnsi" w:cstheme="minorHAnsi"/>
          <w:sz w:val="22"/>
          <w:szCs w:val="22"/>
          <w:lang w:eastAsia="en-AU"/>
        </w:rPr>
      </w:pPr>
      <w:r w:rsidRPr="000107A9">
        <w:rPr>
          <w:rFonts w:asciiTheme="minorHAnsi" w:eastAsiaTheme="minorEastAsia" w:hAnsiTheme="minorHAnsi" w:cstheme="minorHAnsi"/>
          <w:sz w:val="22"/>
          <w:szCs w:val="22"/>
          <w:lang w:eastAsia="en-AU"/>
        </w:rPr>
        <w:t>The AACS model enables an approved provider to operate a service under the NQF and a service under the CS Act at the same location, under a single NQF service approval. The concept was devised when the NQF was introduced to overcome the need for a provider to obtain service approvals under two regulatory regimes).</w:t>
      </w:r>
    </w:p>
    <w:p w14:paraId="62DFE76F" w14:textId="77777777" w:rsidR="00C01E92" w:rsidRPr="000107A9" w:rsidRDefault="00C01E92" w:rsidP="00C01E92">
      <w:pPr>
        <w:pStyle w:val="EYBodytextwithparaspace"/>
        <w:spacing w:before="120" w:after="120"/>
        <w:rPr>
          <w:rFonts w:asciiTheme="minorHAnsi" w:hAnsiTheme="minorHAnsi" w:cstheme="minorHAnsi"/>
          <w:sz w:val="22"/>
          <w:szCs w:val="22"/>
          <w:lang w:eastAsia="en-AU"/>
        </w:rPr>
      </w:pPr>
      <w:r w:rsidRPr="000107A9">
        <w:rPr>
          <w:rFonts w:asciiTheme="minorHAnsi" w:eastAsiaTheme="minorEastAsia" w:hAnsiTheme="minorHAnsi" w:cstheme="minorHAnsi"/>
          <w:sz w:val="22"/>
          <w:szCs w:val="22"/>
          <w:lang w:eastAsia="en-AU"/>
        </w:rPr>
        <w:t>Approved providers under the NQF who currently hold a service approval and operate an AACS will be able to operate the entire service under the NQF service approval (with appropriate service conditions and/or waivers, if required), so that both the existing NQF approved service and the AACS become regulated under the NQF; or apply for a separate service approval under the Amendment Act, which relates only to their AACS.</w:t>
      </w:r>
    </w:p>
    <w:p w14:paraId="42BE7759" w14:textId="77777777" w:rsidR="00C01E92" w:rsidRPr="000107A9" w:rsidRDefault="00C01E92" w:rsidP="00C01E92">
      <w:pPr>
        <w:pStyle w:val="EYBodytextwithparaspace"/>
        <w:spacing w:before="120" w:after="120"/>
        <w:rPr>
          <w:rFonts w:asciiTheme="minorHAnsi" w:eastAsiaTheme="minorEastAsia" w:hAnsiTheme="minorHAnsi" w:cstheme="minorHAnsi"/>
          <w:sz w:val="22"/>
          <w:szCs w:val="22"/>
        </w:rPr>
      </w:pPr>
      <w:r w:rsidRPr="000107A9">
        <w:rPr>
          <w:rFonts w:asciiTheme="minorHAnsi" w:eastAsiaTheme="minorEastAsia" w:hAnsiTheme="minorHAnsi" w:cstheme="minorHAnsi"/>
          <w:b/>
          <w:sz w:val="22"/>
          <w:szCs w:val="22"/>
          <w:lang w:eastAsia="en-AU"/>
        </w:rPr>
        <w:lastRenderedPageBreak/>
        <w:t>AACSs will be phased out by 2022</w:t>
      </w:r>
      <w:r w:rsidRPr="000107A9">
        <w:rPr>
          <w:rFonts w:asciiTheme="minorHAnsi" w:eastAsiaTheme="minorEastAsia" w:hAnsiTheme="minorHAnsi" w:cstheme="minorHAnsi"/>
          <w:sz w:val="22"/>
          <w:szCs w:val="22"/>
          <w:lang w:eastAsia="en-AU"/>
        </w:rPr>
        <w:t>. In the interim, a</w:t>
      </w:r>
      <w:r w:rsidRPr="000107A9">
        <w:rPr>
          <w:rFonts w:asciiTheme="minorHAnsi" w:eastAsiaTheme="minorEastAsia" w:hAnsiTheme="minorHAnsi" w:cstheme="minorHAnsi"/>
          <w:sz w:val="22"/>
          <w:szCs w:val="22"/>
        </w:rPr>
        <w:t xml:space="preserve">pproved providers under the NQF will be able to operate separate services under both regulatory regimes, and enjoy the same flexibility as under the AACS model, such as reciprocal recognition of supervisors. </w:t>
      </w:r>
    </w:p>
    <w:p w14:paraId="1FF56BFF" w14:textId="77777777" w:rsidR="00C01E92" w:rsidRPr="000107A9" w:rsidRDefault="00C01E92" w:rsidP="00C01E92">
      <w:pPr>
        <w:pStyle w:val="EYBodytextwithparaspace"/>
        <w:spacing w:before="120" w:after="120"/>
        <w:rPr>
          <w:rFonts w:asciiTheme="minorHAnsi" w:eastAsiaTheme="minorEastAsia" w:hAnsiTheme="minorHAnsi" w:cstheme="minorHAnsi"/>
          <w:sz w:val="22"/>
          <w:szCs w:val="22"/>
          <w:lang w:eastAsia="en-AU"/>
        </w:rPr>
      </w:pPr>
      <w:r w:rsidRPr="000107A9">
        <w:rPr>
          <w:rFonts w:asciiTheme="minorHAnsi" w:eastAsiaTheme="minorEastAsia" w:hAnsiTheme="minorHAnsi" w:cstheme="minorHAnsi"/>
          <w:sz w:val="22"/>
          <w:szCs w:val="22"/>
          <w:lang w:eastAsia="en-AU"/>
        </w:rPr>
        <w:t>The Department will work with affected providers individually to establish appropriate transitional arrangements for each AACS.</w:t>
      </w:r>
    </w:p>
    <w:p w14:paraId="253CE73C" w14:textId="77777777" w:rsidR="00C01E92" w:rsidRPr="0021530C" w:rsidRDefault="00C01E92" w:rsidP="00C01E92">
      <w:pPr>
        <w:pStyle w:val="EYBodytextwithparaspace"/>
        <w:spacing w:before="120" w:after="120"/>
        <w:rPr>
          <w:rFonts w:asciiTheme="minorHAnsi" w:eastAsiaTheme="minorEastAsia" w:hAnsiTheme="minorHAnsi" w:cstheme="minorHAnsi"/>
          <w:b/>
          <w:i/>
          <w:sz w:val="22"/>
          <w:szCs w:val="22"/>
        </w:rPr>
      </w:pPr>
      <w:r w:rsidRPr="0021530C">
        <w:rPr>
          <w:rFonts w:asciiTheme="minorHAnsi" w:eastAsiaTheme="minorEastAsia" w:hAnsiTheme="minorHAnsi" w:cstheme="minorHAnsi"/>
          <w:b/>
          <w:i/>
          <w:sz w:val="22"/>
          <w:szCs w:val="22"/>
        </w:rPr>
        <w:t>Compliance and enforcement</w:t>
      </w:r>
    </w:p>
    <w:p w14:paraId="2C7FBB38" w14:textId="77777777" w:rsidR="00C01E92" w:rsidRPr="000107A9" w:rsidRDefault="00C01E92" w:rsidP="00C01E92">
      <w:pPr>
        <w:pStyle w:val="EYBodytextwithparaspace"/>
        <w:spacing w:before="120" w:after="120"/>
        <w:rPr>
          <w:rFonts w:asciiTheme="minorHAnsi" w:eastAsiaTheme="minorEastAsia" w:hAnsiTheme="minorHAnsi" w:cstheme="minorHAnsi"/>
          <w:sz w:val="22"/>
          <w:szCs w:val="22"/>
        </w:rPr>
      </w:pPr>
      <w:r w:rsidRPr="000107A9">
        <w:rPr>
          <w:rFonts w:asciiTheme="minorHAnsi" w:eastAsiaTheme="minorEastAsia" w:hAnsiTheme="minorHAnsi" w:cstheme="minorHAnsi"/>
          <w:sz w:val="22"/>
          <w:szCs w:val="22"/>
        </w:rPr>
        <w:t>Enforcement action is rarely required in the children’s services sector (or under the NQF). The approach to compliance, monitoring and enforcement under the NQF gives the regulatory authority a more comprehensive suite of powers and a greater range of compliance and enforcement options than is currently available under the CS Act.</w:t>
      </w:r>
    </w:p>
    <w:p w14:paraId="3B3E25B1" w14:textId="77777777" w:rsidR="00C01E92" w:rsidRPr="000107A9" w:rsidRDefault="00C01E92" w:rsidP="00C01E92">
      <w:pPr>
        <w:pStyle w:val="EYBodytextwithparaspace"/>
        <w:spacing w:before="120" w:after="120"/>
        <w:rPr>
          <w:rFonts w:asciiTheme="minorHAnsi" w:eastAsiaTheme="minorEastAsia" w:hAnsiTheme="minorHAnsi" w:cstheme="minorHAnsi"/>
          <w:sz w:val="22"/>
          <w:szCs w:val="22"/>
        </w:rPr>
      </w:pPr>
      <w:r w:rsidRPr="000107A9">
        <w:rPr>
          <w:rFonts w:asciiTheme="minorHAnsi" w:eastAsiaTheme="minorEastAsia" w:hAnsiTheme="minorHAnsi" w:cstheme="minorHAnsi"/>
          <w:sz w:val="22"/>
          <w:szCs w:val="22"/>
        </w:rPr>
        <w:t xml:space="preserve">Alignment will give the regulatory authority the necessary powers to enforce a more nuanced variety of tools, such as the option to use an </w:t>
      </w:r>
      <w:r w:rsidRPr="000107A9">
        <w:rPr>
          <w:rFonts w:asciiTheme="minorHAnsi" w:eastAsiaTheme="minorEastAsia" w:hAnsiTheme="minorHAnsi" w:cstheme="minorHAnsi"/>
          <w:b/>
          <w:sz w:val="22"/>
          <w:szCs w:val="22"/>
        </w:rPr>
        <w:t>enforceable undertaking</w:t>
      </w:r>
      <w:r w:rsidRPr="000107A9">
        <w:rPr>
          <w:rFonts w:asciiTheme="minorHAnsi" w:eastAsiaTheme="minorEastAsia" w:hAnsiTheme="minorHAnsi" w:cstheme="minorHAnsi"/>
          <w:sz w:val="22"/>
          <w:szCs w:val="22"/>
        </w:rPr>
        <w:t xml:space="preserve"> (an alternative to prosecution), which helps bring a provider into compliance by reducing the time, expense and uncertainty of court proceedings – for both the provider and the regulatory authority.</w:t>
      </w:r>
    </w:p>
    <w:p w14:paraId="5A38C2AD" w14:textId="77777777" w:rsidR="00C01E92" w:rsidRPr="00EB06D8" w:rsidRDefault="00C01E92" w:rsidP="00C01E92">
      <w:pPr>
        <w:pStyle w:val="EYBodytextwithparaspace"/>
        <w:spacing w:before="120" w:after="120"/>
        <w:rPr>
          <w:rFonts w:asciiTheme="minorHAnsi" w:eastAsiaTheme="minorEastAsia" w:hAnsiTheme="minorHAnsi" w:cstheme="minorHAnsi"/>
          <w:b/>
          <w:sz w:val="22"/>
          <w:szCs w:val="22"/>
        </w:rPr>
      </w:pPr>
      <w:r w:rsidRPr="00EB06D8">
        <w:rPr>
          <w:rFonts w:asciiTheme="minorHAnsi" w:eastAsiaTheme="minorEastAsia" w:hAnsiTheme="minorHAnsi" w:cstheme="minorHAnsi"/>
          <w:b/>
          <w:sz w:val="22"/>
          <w:szCs w:val="22"/>
        </w:rPr>
        <w:t>Prohibition notices</w:t>
      </w:r>
    </w:p>
    <w:p w14:paraId="4E915CB6" w14:textId="77777777" w:rsidR="00C01E92" w:rsidRPr="000107A9" w:rsidRDefault="00C01E92" w:rsidP="00C01E92">
      <w:pPr>
        <w:pStyle w:val="EYBodytextwithparaspace"/>
        <w:spacing w:before="120" w:after="120"/>
        <w:rPr>
          <w:rFonts w:asciiTheme="minorHAnsi" w:eastAsiaTheme="minorEastAsia" w:hAnsiTheme="minorHAnsi" w:cstheme="minorHAnsi"/>
          <w:sz w:val="22"/>
          <w:szCs w:val="22"/>
        </w:rPr>
      </w:pPr>
      <w:r w:rsidRPr="000107A9">
        <w:rPr>
          <w:rFonts w:asciiTheme="minorHAnsi" w:eastAsiaTheme="minorEastAsia" w:hAnsiTheme="minorHAnsi" w:cstheme="minorHAnsi"/>
          <w:sz w:val="22"/>
          <w:szCs w:val="22"/>
        </w:rPr>
        <w:t>Under the NQF, people who pose an unacceptable risk of harm to children can be barred from working in the sector. There is a lower threshold for nominated supervisors – who can be barred if they are not a fit and proper person.</w:t>
      </w:r>
    </w:p>
    <w:p w14:paraId="399E813E" w14:textId="77777777" w:rsidR="00C01E92" w:rsidRPr="000107A9" w:rsidRDefault="00C01E92" w:rsidP="00C01E92">
      <w:pPr>
        <w:pStyle w:val="EYBodytextwithparaspace"/>
        <w:spacing w:before="120" w:after="120"/>
        <w:rPr>
          <w:rFonts w:asciiTheme="minorHAnsi" w:eastAsiaTheme="minorEastAsia" w:hAnsiTheme="minorHAnsi" w:cstheme="minorHAnsi"/>
          <w:sz w:val="22"/>
          <w:szCs w:val="22"/>
        </w:rPr>
      </w:pPr>
      <w:r w:rsidRPr="000107A9">
        <w:rPr>
          <w:rFonts w:asciiTheme="minorHAnsi" w:eastAsiaTheme="minorEastAsia" w:hAnsiTheme="minorHAnsi" w:cstheme="minorHAnsi"/>
          <w:sz w:val="22"/>
          <w:szCs w:val="22"/>
        </w:rPr>
        <w:t>Prohibition notices help keep people out to the sector who should not be there – preventing them moving around services. They are a helpful way of addressing individual conduct in a regime where there are fewer direct liability offences for individual educators. Prohibited status information will be available to potential employers, thereby ensuring the safety, health and wellbeing of children.</w:t>
      </w:r>
    </w:p>
    <w:p w14:paraId="10D0FA2C" w14:textId="77777777" w:rsidR="00C01E92" w:rsidRPr="000107A9" w:rsidRDefault="00C01E92" w:rsidP="00C01E92">
      <w:pPr>
        <w:pStyle w:val="EYBodytextwithparaspace"/>
        <w:spacing w:before="120" w:after="120"/>
        <w:rPr>
          <w:rFonts w:asciiTheme="minorHAnsi" w:eastAsiaTheme="minorEastAsia" w:hAnsiTheme="minorHAnsi" w:cstheme="minorHAnsi"/>
          <w:sz w:val="22"/>
          <w:szCs w:val="22"/>
        </w:rPr>
      </w:pPr>
      <w:r w:rsidRPr="000107A9">
        <w:rPr>
          <w:rFonts w:asciiTheme="minorHAnsi" w:eastAsiaTheme="minorEastAsia" w:hAnsiTheme="minorHAnsi" w:cstheme="minorHAnsi"/>
          <w:sz w:val="22"/>
          <w:szCs w:val="22"/>
        </w:rPr>
        <w:t>The regulatory authority notifies Justice, CCYP about prohibition notices, but it is up to them to take action under their own legislation (e.g. of person prohibited from providing FDC due to partner being charged with sexual assault, but who would not lose WWCC as FDC educator not charged with anything).</w:t>
      </w:r>
    </w:p>
    <w:p w14:paraId="68785B82" w14:textId="1FC77326" w:rsidR="006A56A8" w:rsidRPr="000107A9" w:rsidRDefault="00C01E92" w:rsidP="00C01E92">
      <w:pPr>
        <w:pStyle w:val="EYBodytextwithparaspace"/>
        <w:spacing w:before="120" w:after="120"/>
        <w:rPr>
          <w:rFonts w:asciiTheme="minorHAnsi" w:eastAsiaTheme="minorEastAsia" w:hAnsiTheme="minorHAnsi" w:cstheme="minorHAnsi"/>
          <w:sz w:val="22"/>
          <w:szCs w:val="22"/>
        </w:rPr>
      </w:pPr>
      <w:r w:rsidRPr="000107A9">
        <w:rPr>
          <w:rFonts w:asciiTheme="minorHAnsi" w:eastAsiaTheme="minorEastAsia" w:hAnsiTheme="minorHAnsi" w:cstheme="minorHAnsi"/>
          <w:sz w:val="22"/>
          <w:szCs w:val="22"/>
        </w:rPr>
        <w:t>There are fewer direct liability offences for individual educators in the NQF. Under the CS Act, individual staff are liable for offences around supervision, harm and hazard. Under the NQF, individual educators are only liable for inappropriate discipline offences. Nominated supervisors are liable for inadequate supervision offence.</w:t>
      </w:r>
    </w:p>
    <w:p w14:paraId="52EB9264" w14:textId="77777777" w:rsidR="00C01E92" w:rsidRPr="00EB06D8" w:rsidRDefault="00C01E92" w:rsidP="00C01E92">
      <w:pPr>
        <w:pStyle w:val="EYBodytextwithparaspace"/>
        <w:spacing w:before="120" w:after="120"/>
        <w:rPr>
          <w:rFonts w:asciiTheme="minorHAnsi" w:eastAsiaTheme="minorEastAsia" w:hAnsiTheme="minorHAnsi" w:cstheme="minorHAnsi"/>
          <w:b/>
          <w:sz w:val="22"/>
          <w:szCs w:val="22"/>
        </w:rPr>
      </w:pPr>
      <w:r w:rsidRPr="00EB06D8">
        <w:rPr>
          <w:rFonts w:asciiTheme="minorHAnsi" w:eastAsiaTheme="minorEastAsia" w:hAnsiTheme="minorHAnsi" w:cstheme="minorHAnsi"/>
          <w:b/>
          <w:sz w:val="22"/>
          <w:szCs w:val="22"/>
        </w:rPr>
        <w:t>Offences and penalties</w:t>
      </w:r>
    </w:p>
    <w:p w14:paraId="325BD6F4" w14:textId="77777777" w:rsidR="00C01E92" w:rsidRPr="000107A9" w:rsidRDefault="00C01E92" w:rsidP="00C01E92">
      <w:pPr>
        <w:pStyle w:val="EYBodytextwithparaspace"/>
        <w:spacing w:before="120" w:after="120"/>
        <w:rPr>
          <w:rFonts w:asciiTheme="minorHAnsi" w:eastAsiaTheme="minorEastAsia" w:hAnsiTheme="minorHAnsi" w:cstheme="minorHAnsi"/>
          <w:sz w:val="22"/>
          <w:szCs w:val="22"/>
        </w:rPr>
      </w:pPr>
      <w:r w:rsidRPr="000107A9">
        <w:rPr>
          <w:rFonts w:asciiTheme="minorHAnsi" w:eastAsiaTheme="minorEastAsia" w:hAnsiTheme="minorHAnsi" w:cstheme="minorHAnsi"/>
          <w:sz w:val="22"/>
          <w:szCs w:val="22"/>
        </w:rPr>
        <w:t>Offences in the Amendment Act are aligned as closely as possible to the equivalent offences in the National Law.</w:t>
      </w:r>
    </w:p>
    <w:p w14:paraId="08521334" w14:textId="77777777" w:rsidR="00C01E92" w:rsidRPr="000107A9" w:rsidRDefault="00C01E92" w:rsidP="00C01E92">
      <w:pPr>
        <w:pStyle w:val="EYBodytextwithparaspace"/>
        <w:spacing w:before="120" w:after="120"/>
        <w:rPr>
          <w:rFonts w:asciiTheme="minorHAnsi" w:eastAsiaTheme="minorEastAsia" w:hAnsiTheme="minorHAnsi" w:cstheme="minorHAnsi"/>
          <w:sz w:val="22"/>
          <w:szCs w:val="22"/>
        </w:rPr>
      </w:pPr>
      <w:r w:rsidRPr="000107A9">
        <w:rPr>
          <w:rFonts w:asciiTheme="minorHAnsi" w:eastAsiaTheme="minorEastAsia" w:hAnsiTheme="minorHAnsi" w:cstheme="minorHAnsi"/>
          <w:sz w:val="22"/>
          <w:szCs w:val="22"/>
        </w:rPr>
        <w:t>Under the CS Act, each offence carries a single maximum penalty that applies to both individuals and corporate bodies, expressed in penalty units. Under the National Law, offences carry different maximum penalties for individuals and corporate bodies, expressed in dollar amounts. Generally, the maximum penalties under the CS Act lie midway between the equivalent individual and corporate penalties in the National Law.</w:t>
      </w:r>
    </w:p>
    <w:p w14:paraId="4FB76D15" w14:textId="77777777" w:rsidR="00C01E92" w:rsidRPr="000107A9" w:rsidRDefault="00C01E92" w:rsidP="00C01E92">
      <w:pPr>
        <w:pStyle w:val="EYBodytextwithparaspace"/>
        <w:spacing w:before="120" w:after="120"/>
        <w:rPr>
          <w:rFonts w:asciiTheme="minorHAnsi" w:eastAsiaTheme="minorEastAsia" w:hAnsiTheme="minorHAnsi" w:cstheme="minorHAnsi"/>
          <w:sz w:val="22"/>
          <w:szCs w:val="22"/>
        </w:rPr>
      </w:pPr>
      <w:r w:rsidRPr="000107A9">
        <w:rPr>
          <w:rFonts w:asciiTheme="minorHAnsi" w:eastAsiaTheme="minorEastAsia" w:hAnsiTheme="minorHAnsi" w:cstheme="minorHAnsi"/>
          <w:sz w:val="22"/>
          <w:szCs w:val="22"/>
        </w:rPr>
        <w:t>In the Amendment Act, penalties and offences are aligned as closely as possible with the penalties and offences in the NQF, while retaining the Victoria penalty unit approach. For example, the current offence under the CS Act of inadequately supervising children carries a maximum penalty of 120 penalty units (around $19,826). The equivalent offence under the National Law carries a maximum penalty of $10,000 for individuals and $50,000 for corporate bodies.</w:t>
      </w:r>
    </w:p>
    <w:p w14:paraId="4AE0AB80" w14:textId="77777777" w:rsidR="00C01E92" w:rsidRPr="000107A9" w:rsidRDefault="00C01E92" w:rsidP="00C01E92">
      <w:pPr>
        <w:pStyle w:val="EYBodytextwithparaspace"/>
        <w:spacing w:before="120" w:after="120"/>
        <w:rPr>
          <w:rFonts w:asciiTheme="minorHAnsi" w:eastAsiaTheme="minorEastAsia" w:hAnsiTheme="minorHAnsi" w:cstheme="minorHAnsi"/>
          <w:sz w:val="22"/>
          <w:szCs w:val="22"/>
        </w:rPr>
      </w:pPr>
      <w:r w:rsidRPr="000107A9">
        <w:rPr>
          <w:rFonts w:asciiTheme="minorHAnsi" w:eastAsiaTheme="minorEastAsia" w:hAnsiTheme="minorHAnsi" w:cstheme="minorHAnsi"/>
          <w:sz w:val="22"/>
          <w:szCs w:val="22"/>
        </w:rPr>
        <w:t>*For Financial Year 2019-2020, 1 penalty unit = $165.22</w:t>
      </w:r>
    </w:p>
    <w:p w14:paraId="2820246B" w14:textId="77777777" w:rsidR="00C01E92" w:rsidRPr="00EB06D8" w:rsidRDefault="00C01E92" w:rsidP="00C01E92">
      <w:pPr>
        <w:pStyle w:val="EYBodytextwithparaspace"/>
        <w:spacing w:before="120" w:after="120"/>
        <w:rPr>
          <w:rFonts w:asciiTheme="minorHAnsi" w:eastAsiaTheme="minorEastAsia" w:hAnsiTheme="minorHAnsi" w:cstheme="minorHAnsi"/>
          <w:b/>
          <w:sz w:val="22"/>
          <w:szCs w:val="22"/>
        </w:rPr>
      </w:pPr>
      <w:r w:rsidRPr="00EB06D8">
        <w:rPr>
          <w:rFonts w:asciiTheme="minorHAnsi" w:eastAsiaTheme="minorEastAsia" w:hAnsiTheme="minorHAnsi" w:cstheme="minorHAnsi"/>
          <w:b/>
          <w:sz w:val="22"/>
          <w:szCs w:val="22"/>
        </w:rPr>
        <w:lastRenderedPageBreak/>
        <w:t>Educational program</w:t>
      </w:r>
    </w:p>
    <w:p w14:paraId="7421EB51" w14:textId="40463EEB" w:rsidR="00C01E92" w:rsidRPr="000107A9" w:rsidRDefault="00C01E92" w:rsidP="00C01E92">
      <w:pPr>
        <w:pStyle w:val="EYBodytextwithparaspace"/>
        <w:spacing w:before="120" w:after="120"/>
        <w:rPr>
          <w:rFonts w:asciiTheme="minorHAnsi" w:eastAsiaTheme="minorEastAsia" w:hAnsiTheme="minorHAnsi" w:cstheme="minorHAnsi"/>
          <w:sz w:val="22"/>
          <w:szCs w:val="22"/>
        </w:rPr>
      </w:pPr>
      <w:r w:rsidRPr="000107A9">
        <w:rPr>
          <w:rFonts w:asciiTheme="minorHAnsi" w:eastAsiaTheme="minorEastAsia" w:hAnsiTheme="minorHAnsi" w:cstheme="minorHAnsi"/>
          <w:sz w:val="22"/>
          <w:szCs w:val="22"/>
        </w:rPr>
        <w:t>The requirement for an education</w:t>
      </w:r>
      <w:r w:rsidR="00EB06D8">
        <w:rPr>
          <w:rFonts w:asciiTheme="minorHAnsi" w:eastAsiaTheme="minorEastAsia" w:hAnsiTheme="minorHAnsi" w:cstheme="minorHAnsi"/>
          <w:sz w:val="22"/>
          <w:szCs w:val="22"/>
        </w:rPr>
        <w:t>al</w:t>
      </w:r>
      <w:r w:rsidRPr="000107A9">
        <w:rPr>
          <w:rFonts w:asciiTheme="minorHAnsi" w:eastAsiaTheme="minorEastAsia" w:hAnsiTheme="minorHAnsi" w:cstheme="minorHAnsi"/>
          <w:sz w:val="22"/>
          <w:szCs w:val="22"/>
        </w:rPr>
        <w:t xml:space="preserve"> program will be similar, but strengthened through becoming more explicit that the program must be based on an approved learning framework.</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9"/>
        <w:gridCol w:w="1296"/>
        <w:gridCol w:w="3629"/>
      </w:tblGrid>
      <w:tr w:rsidR="00C01E92" w:rsidRPr="003E0DF9" w14:paraId="49159747" w14:textId="77777777" w:rsidTr="002153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29" w:type="dxa"/>
            <w:shd w:val="clear" w:color="auto" w:fill="004EA8"/>
            <w:vAlign w:val="center"/>
          </w:tcPr>
          <w:p w14:paraId="544D8972" w14:textId="77777777" w:rsidR="00C01E92" w:rsidRPr="003E0DF9" w:rsidRDefault="00C01E92" w:rsidP="00090AF4">
            <w:pPr>
              <w:pStyle w:val="EYBodytextwithparaspace"/>
              <w:spacing w:after="60"/>
              <w:jc w:val="center"/>
              <w:rPr>
                <w:rFonts w:ascii="Arial Narrow" w:hAnsi="Arial Narrow" w:cstheme="minorHAnsi"/>
                <w:sz w:val="22"/>
                <w:szCs w:val="22"/>
              </w:rPr>
            </w:pPr>
            <w:r w:rsidRPr="003E0DF9">
              <w:rPr>
                <w:rFonts w:ascii="Arial Narrow" w:hAnsi="Arial Narrow" w:cstheme="minorHAnsi"/>
                <w:sz w:val="22"/>
                <w:szCs w:val="22"/>
              </w:rPr>
              <w:t>Under the CS Act</w:t>
            </w:r>
          </w:p>
          <w:p w14:paraId="3D9EC08B" w14:textId="77777777" w:rsidR="00C01E92" w:rsidRPr="003E0DF9" w:rsidRDefault="00C01E92" w:rsidP="00090AF4">
            <w:pPr>
              <w:pStyle w:val="EYBodytextwithparaspace"/>
              <w:spacing w:after="60"/>
              <w:jc w:val="center"/>
              <w:rPr>
                <w:rFonts w:ascii="Arial Narrow" w:hAnsi="Arial Narrow" w:cstheme="minorHAnsi"/>
                <w:b w:val="0"/>
                <w:sz w:val="22"/>
                <w:szCs w:val="22"/>
              </w:rPr>
            </w:pPr>
            <w:r w:rsidRPr="003E0DF9">
              <w:rPr>
                <w:rFonts w:ascii="Arial Narrow" w:hAnsi="Arial Narrow" w:cstheme="minorHAnsi"/>
                <w:b w:val="0"/>
                <w:sz w:val="22"/>
                <w:szCs w:val="22"/>
              </w:rPr>
              <w:t>An educational or recreational program based on the developmental needs, interests and experiences of each child that is designed to take into account the individual differences of those children, and that enhances each child’s development.</w:t>
            </w:r>
          </w:p>
        </w:tc>
        <w:tc>
          <w:tcPr>
            <w:tcW w:w="1276" w:type="dxa"/>
            <w:shd w:val="clear" w:color="auto" w:fill="auto"/>
            <w:vAlign w:val="center"/>
          </w:tcPr>
          <w:p w14:paraId="0E4D5E14" w14:textId="77777777" w:rsidR="00C01E92" w:rsidRPr="003E0DF9" w:rsidRDefault="00C01E92" w:rsidP="00090AF4">
            <w:pPr>
              <w:pStyle w:val="EYBodytextwithparaspace"/>
              <w:spacing w:before="120" w:after="120"/>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sz w:val="22"/>
                <w:szCs w:val="22"/>
              </w:rPr>
            </w:pPr>
            <w:r w:rsidRPr="003E0DF9">
              <w:rPr>
                <w:rFonts w:ascii="Arial Narrow" w:hAnsi="Arial Narrow" w:cstheme="minorHAnsi"/>
                <w:noProof/>
                <w:sz w:val="22"/>
                <w:szCs w:val="22"/>
                <w:lang w:eastAsia="en-AU"/>
              </w:rPr>
              <mc:AlternateContent>
                <mc:Choice Requires="wps">
                  <w:drawing>
                    <wp:inline distT="0" distB="0" distL="0" distR="0" wp14:anchorId="31CCCFFC" wp14:editId="7F116025">
                      <wp:extent cx="647700" cy="245110"/>
                      <wp:effectExtent l="0" t="19050" r="38100" b="40640"/>
                      <wp:docPr id="10" name="Right Arrow 10" descr="This is a black arrow pointing to the right"/>
                      <wp:cNvGraphicFramePr/>
                      <a:graphic xmlns:a="http://schemas.openxmlformats.org/drawingml/2006/main">
                        <a:graphicData uri="http://schemas.microsoft.com/office/word/2010/wordprocessingShape">
                          <wps:wsp>
                            <wps:cNvSpPr/>
                            <wps:spPr>
                              <a:xfrm>
                                <a:off x="0" y="0"/>
                                <a:ext cx="647700" cy="245110"/>
                              </a:xfrm>
                              <a:prstGeom prst="rightArrow">
                                <a:avLst/>
                              </a:prstGeom>
                              <a:solidFill>
                                <a:srgbClr val="2E2E38"/>
                              </a:solidFill>
                              <a:ln w="25400" cap="flat" cmpd="sng" algn="ctr">
                                <a:solidFill>
                                  <a:srgbClr val="2E2E38"/>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757F19" id="Right Arrow 10" o:spid="_x0000_s1026" type="#_x0000_t13" alt="This is a black arrow pointing to the right" style="width:51pt;height:1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hw1gAIAABcFAAAOAAAAZHJzL2Uyb0RvYy54bWysVNtu2zAMfR+wfxD0vjrJ0suCJEXQyzCg&#10;aIs1Q58ZWbaFyaJGKXG6rx8lu9ftYRgGGDIpUrwcHWp+um+t2GkKBt1Cjg9GUminsDSuXshv68sP&#10;J1KECK4Ei04v5IMO8nT5/t288zM9wQZtqUlwEBdmnV/IJkY/K4qgGt1COECvHRsrpBYiq1QXJUHH&#10;0VtbTEajo6JDKj2h0iHw7nlvlMscv6q0ijdVFXQUdiG5tphXyusmrcVyDrOawDdGDWXAP1TRgnGc&#10;9CnUOUQQWzK/hWqNIgxYxQOFbYFVZZTOPXA349Gbbu4a8Dr3wuAE/wRT+H9h1fXuloQp+e4YHgct&#10;39FXUzdRrIiwE2m31EExZOvGBMEfiI0F9V1AdvBoXGTkRUQRGy0oHU6wdj7MOPqdv6VBCywmjPYV&#10;tenP3Yt9voqHp6vQ+ygUbx5Nj49HnFuxaTI9HHMdHKV4PuwpxM8aW5GEhcxpc8n5GmB3FWJ/4NEx&#10;ZQxoTXlprM0K1ZszS2IHzI3JxeTi48mQ45WbdaJj++E0lwPM0cpC5Mpaz6gFV0sBtmbyq0g596vT&#10;4e+SpCLPITR9MTnCUIt1qVadqTz0lJDtsUzSBssHvkLCntvBq0vD0a4gxFsgJjOjyAMab3ipLHIv&#10;OEhSNEg//7Sf/JljbJWi4+HgPn9sgbQU9otj9n0aT6ccNmZleng8YYVeWjYvLW7bniFjPOanwKss&#10;Jv9oH8WKsL3nOV6lrGwCpzh3j+ignMV+aPklUHq1ym48QR7ilbvzKgVPOCUc1/t7ID/wIjKhrvFx&#10;kGD2hhi9bzrpcLWNWJnMmmdcmXNJ4enL7BteijTeL/Xs9fyeLX8BAAD//wMAUEsDBBQABgAIAAAA&#10;IQCioL9y2gAAAAQBAAAPAAAAZHJzL2Rvd25yZXYueG1sTI/BasMwEETvhfyD2EBvjZy4hOBaDiWQ&#10;3Eqpm0OPsrWxTaWVsRTHydd300t7GRhmmXmbbydnxYhD6DwpWC4SEEi1Nx01Co6f+6cNiBA1GW09&#10;oYIrBtgWs4dcZ8Zf6APHMjaCSyhkWkEbY59JGeoWnQ4L3yNxdvKD05Ht0Egz6AuXOytXSbKWTnfE&#10;C63ucddi/V2enYLT4f04Vs0Sze3rzZbyOb1dD6lSj/Pp9QVExCn+HcMdn9GhYKbKn8kEYRXwI/FX&#10;71myYlspSDdrkEUu/8MXPwAAAP//AwBQSwECLQAUAAYACAAAACEAtoM4kv4AAADhAQAAEwAAAAAA&#10;AAAAAAAAAAAAAAAAW0NvbnRlbnRfVHlwZXNdLnhtbFBLAQItABQABgAIAAAAIQA4/SH/1gAAAJQB&#10;AAALAAAAAAAAAAAAAAAAAC8BAABfcmVscy8ucmVsc1BLAQItABQABgAIAAAAIQAKWhw1gAIAABcF&#10;AAAOAAAAAAAAAAAAAAAAAC4CAABkcnMvZTJvRG9jLnhtbFBLAQItABQABgAIAAAAIQCioL9y2gAA&#10;AAQBAAAPAAAAAAAAAAAAAAAAANoEAABkcnMvZG93bnJldi54bWxQSwUGAAAAAAQABADzAAAA4QUA&#10;AAAA&#10;" adj="17513" fillcolor="#2e2e38" strokecolor="#2e2e38" strokeweight="2pt">
                      <w10:anchorlock/>
                    </v:shape>
                  </w:pict>
                </mc:Fallback>
              </mc:AlternateContent>
            </w:r>
          </w:p>
        </w:tc>
        <w:tc>
          <w:tcPr>
            <w:tcW w:w="3629" w:type="dxa"/>
            <w:shd w:val="clear" w:color="auto" w:fill="BADAFF" w:themeFill="accent1" w:themeFillTint="33"/>
            <w:vAlign w:val="center"/>
          </w:tcPr>
          <w:p w14:paraId="491EE6FA" w14:textId="77777777" w:rsidR="00C01E92" w:rsidRPr="0021530C" w:rsidRDefault="00C01E92" w:rsidP="00090AF4">
            <w:pPr>
              <w:pStyle w:val="EYBodytextwithparaspace"/>
              <w:spacing w:after="60"/>
              <w:jc w:val="center"/>
              <w:cnfStyle w:val="100000000000" w:firstRow="1" w:lastRow="0" w:firstColumn="0" w:lastColumn="0" w:oddVBand="0" w:evenVBand="0" w:oddHBand="0" w:evenHBand="0" w:firstRowFirstColumn="0" w:firstRowLastColumn="0" w:lastRowFirstColumn="0" w:lastRowLastColumn="0"/>
              <w:rPr>
                <w:rFonts w:ascii="Arial Narrow" w:hAnsi="Arial Narrow" w:cstheme="minorHAnsi"/>
                <w:color w:val="auto"/>
                <w:sz w:val="22"/>
                <w:szCs w:val="22"/>
              </w:rPr>
            </w:pPr>
            <w:r w:rsidRPr="0021530C">
              <w:rPr>
                <w:rFonts w:ascii="Arial Narrow" w:hAnsi="Arial Narrow" w:cstheme="minorHAnsi"/>
                <w:color w:val="auto"/>
                <w:sz w:val="22"/>
                <w:szCs w:val="22"/>
              </w:rPr>
              <w:t>Under the NQF</w:t>
            </w:r>
          </w:p>
          <w:p w14:paraId="418FEA20" w14:textId="77777777" w:rsidR="00C01E92" w:rsidRPr="0021530C" w:rsidRDefault="00C01E92" w:rsidP="00090AF4">
            <w:pPr>
              <w:pStyle w:val="EYBodytextwithparaspace"/>
              <w:spacing w:after="60"/>
              <w:jc w:val="center"/>
              <w:cnfStyle w:val="100000000000" w:firstRow="1" w:lastRow="0" w:firstColumn="0" w:lastColumn="0" w:oddVBand="0" w:evenVBand="0" w:oddHBand="0" w:evenHBand="0" w:firstRowFirstColumn="0" w:firstRowLastColumn="0" w:lastRowFirstColumn="0" w:lastRowLastColumn="0"/>
              <w:rPr>
                <w:rFonts w:ascii="Arial Narrow" w:hAnsi="Arial Narrow" w:cstheme="minorHAnsi"/>
                <w:b w:val="0"/>
                <w:color w:val="auto"/>
                <w:sz w:val="22"/>
                <w:szCs w:val="22"/>
              </w:rPr>
            </w:pPr>
            <w:r w:rsidRPr="0021530C">
              <w:rPr>
                <w:rFonts w:ascii="Arial Narrow" w:hAnsi="Arial Narrow" w:cstheme="minorHAnsi"/>
                <w:b w:val="0"/>
                <w:color w:val="auto"/>
                <w:sz w:val="22"/>
                <w:szCs w:val="22"/>
              </w:rPr>
              <w:t>A program must be based on an approved learning framework that is delivered in a manner that accords with the approved learning framework, is based on the developmental needs, interests and experiences of each child, and which is designed to take into account the individual difference of each child.</w:t>
            </w:r>
          </w:p>
        </w:tc>
      </w:tr>
    </w:tbl>
    <w:p w14:paraId="5C596DD6" w14:textId="77777777" w:rsidR="00C01E92" w:rsidRPr="000107A9" w:rsidRDefault="00C01E92" w:rsidP="00C01E92">
      <w:pPr>
        <w:pStyle w:val="EYBodytextwithparaspace"/>
        <w:spacing w:before="120" w:after="120"/>
        <w:rPr>
          <w:rFonts w:asciiTheme="minorHAnsi" w:eastAsiaTheme="minorEastAsia" w:hAnsiTheme="minorHAnsi" w:cstheme="minorHAnsi"/>
          <w:sz w:val="22"/>
          <w:szCs w:val="22"/>
        </w:rPr>
      </w:pPr>
      <w:r w:rsidRPr="000107A9">
        <w:rPr>
          <w:rFonts w:asciiTheme="minorHAnsi" w:eastAsiaTheme="minorEastAsia" w:hAnsiTheme="minorHAnsi" w:cstheme="minorHAnsi"/>
          <w:sz w:val="22"/>
          <w:szCs w:val="22"/>
        </w:rPr>
        <w:t xml:space="preserve">The </w:t>
      </w:r>
      <w:r w:rsidRPr="000107A9">
        <w:rPr>
          <w:rFonts w:asciiTheme="minorHAnsi" w:eastAsiaTheme="minorEastAsia" w:hAnsiTheme="minorHAnsi" w:cstheme="minorHAnsi"/>
          <w:b/>
          <w:sz w:val="22"/>
          <w:szCs w:val="22"/>
        </w:rPr>
        <w:t>approved learning frameworks</w:t>
      </w:r>
      <w:r w:rsidRPr="000107A9">
        <w:rPr>
          <w:rFonts w:asciiTheme="minorHAnsi" w:eastAsiaTheme="minorEastAsia" w:hAnsiTheme="minorHAnsi" w:cstheme="minorHAnsi"/>
          <w:sz w:val="22"/>
          <w:szCs w:val="22"/>
        </w:rPr>
        <w:t xml:space="preserve"> are the same frameworks as in the NQF:</w:t>
      </w:r>
    </w:p>
    <w:p w14:paraId="6DD78BEC" w14:textId="77777777" w:rsidR="00C01E92" w:rsidRPr="000107A9" w:rsidRDefault="00C01E92" w:rsidP="002806C5">
      <w:pPr>
        <w:pStyle w:val="EYBulletnoparaspace"/>
        <w:numPr>
          <w:ilvl w:val="0"/>
          <w:numId w:val="100"/>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Victorian Early Years Learning and Development Framework (VEYLDF)</w:t>
      </w:r>
    </w:p>
    <w:p w14:paraId="011FCD22" w14:textId="77777777" w:rsidR="00C01E92" w:rsidRPr="000107A9" w:rsidRDefault="00C01E92" w:rsidP="002806C5">
      <w:pPr>
        <w:pStyle w:val="EYBulletnoparaspace"/>
        <w:numPr>
          <w:ilvl w:val="0"/>
          <w:numId w:val="72"/>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Belonging, Being and Becoming: The Early Years Learning Framework for Australia (EYLF)</w:t>
      </w:r>
    </w:p>
    <w:p w14:paraId="3C0D3026" w14:textId="75837AAA" w:rsidR="00C01E92" w:rsidRPr="000107A9" w:rsidRDefault="00C01E92" w:rsidP="002806C5">
      <w:pPr>
        <w:pStyle w:val="EYBulletnoparaspace"/>
        <w:numPr>
          <w:ilvl w:val="0"/>
          <w:numId w:val="72"/>
        </w:numPr>
        <w:spacing w:before="120" w:after="120"/>
        <w:contextualSpacing w:val="0"/>
        <w:rPr>
          <w:rFonts w:asciiTheme="minorHAnsi" w:hAnsiTheme="minorHAnsi" w:cstheme="minorHAnsi"/>
          <w:sz w:val="22"/>
          <w:szCs w:val="22"/>
        </w:rPr>
      </w:pPr>
      <w:r w:rsidRPr="000107A9">
        <w:rPr>
          <w:rFonts w:asciiTheme="minorHAnsi" w:hAnsiTheme="minorHAnsi" w:cstheme="minorHAnsi"/>
          <w:sz w:val="22"/>
          <w:szCs w:val="22"/>
        </w:rPr>
        <w:t>My Time, Our Place: Framework for School Age Care in Australia (MTOP)</w:t>
      </w:r>
      <w:r w:rsidR="00EB06D8">
        <w:rPr>
          <w:rFonts w:asciiTheme="minorHAnsi" w:hAnsiTheme="minorHAnsi" w:cstheme="minorHAnsi"/>
          <w:sz w:val="22"/>
          <w:szCs w:val="22"/>
        </w:rPr>
        <w:t>.</w:t>
      </w:r>
    </w:p>
    <w:p w14:paraId="60FCEE62" w14:textId="46BD15AB" w:rsidR="00C01E92" w:rsidRPr="000107A9" w:rsidRDefault="00C01E92" w:rsidP="00C01E92">
      <w:pPr>
        <w:pStyle w:val="EYBodytextwithparaspace"/>
        <w:spacing w:before="120" w:after="120"/>
        <w:rPr>
          <w:rFonts w:asciiTheme="minorHAnsi" w:eastAsiaTheme="minorEastAsia" w:hAnsiTheme="minorHAnsi" w:cstheme="minorHAnsi"/>
          <w:sz w:val="22"/>
          <w:szCs w:val="22"/>
        </w:rPr>
      </w:pPr>
      <w:r w:rsidRPr="000107A9">
        <w:rPr>
          <w:rFonts w:asciiTheme="minorHAnsi" w:eastAsiaTheme="minorEastAsia" w:hAnsiTheme="minorHAnsi" w:cstheme="minorHAnsi"/>
          <w:sz w:val="22"/>
          <w:szCs w:val="22"/>
        </w:rPr>
        <w:t>The program will</w:t>
      </w:r>
      <w:r w:rsidR="00EB06D8">
        <w:rPr>
          <w:rFonts w:asciiTheme="minorHAnsi" w:eastAsiaTheme="minorEastAsia" w:hAnsiTheme="minorHAnsi" w:cstheme="minorHAnsi"/>
          <w:sz w:val="22"/>
          <w:szCs w:val="22"/>
        </w:rPr>
        <w:t xml:space="preserve"> continue to be required and will</w:t>
      </w:r>
      <w:r w:rsidRPr="000107A9">
        <w:rPr>
          <w:rFonts w:asciiTheme="minorHAnsi" w:eastAsiaTheme="minorEastAsia" w:hAnsiTheme="minorHAnsi" w:cstheme="minorHAnsi"/>
          <w:sz w:val="22"/>
          <w:szCs w:val="22"/>
        </w:rPr>
        <w:t xml:space="preserve"> need to be tailored to reflect the nature of the education and care being provided and the period of time that the children attend the service or if a particular child has additional needs.</w:t>
      </w:r>
    </w:p>
    <w:p w14:paraId="6251FCF7" w14:textId="46D6F9AC" w:rsidR="00C01E92" w:rsidRDefault="00C01E92" w:rsidP="00C01E92">
      <w:pPr>
        <w:pStyle w:val="EYBodytextwithparaspace"/>
        <w:spacing w:before="120" w:after="120"/>
        <w:rPr>
          <w:rFonts w:asciiTheme="minorHAnsi" w:eastAsiaTheme="minorEastAsia" w:hAnsiTheme="minorHAnsi" w:cstheme="minorHAnsi"/>
          <w:sz w:val="22"/>
          <w:szCs w:val="22"/>
        </w:rPr>
      </w:pPr>
      <w:r w:rsidRPr="000107A9">
        <w:rPr>
          <w:rFonts w:asciiTheme="minorHAnsi" w:eastAsiaTheme="minorEastAsia" w:hAnsiTheme="minorHAnsi" w:cstheme="minorHAnsi"/>
          <w:sz w:val="22"/>
          <w:szCs w:val="22"/>
        </w:rPr>
        <w:t xml:space="preserve">The Department will provide information, training and resources to </w:t>
      </w:r>
      <w:r w:rsidR="00EB06D8">
        <w:rPr>
          <w:rFonts w:asciiTheme="minorHAnsi" w:eastAsiaTheme="minorEastAsia" w:hAnsiTheme="minorHAnsi" w:cstheme="minorHAnsi"/>
          <w:sz w:val="22"/>
          <w:szCs w:val="22"/>
        </w:rPr>
        <w:t>support</w:t>
      </w:r>
      <w:r w:rsidRPr="000107A9">
        <w:rPr>
          <w:rFonts w:asciiTheme="minorHAnsi" w:eastAsiaTheme="minorEastAsia" w:hAnsiTheme="minorHAnsi" w:cstheme="minorHAnsi"/>
          <w:sz w:val="22"/>
          <w:szCs w:val="22"/>
        </w:rPr>
        <w:t xml:space="preserve"> services develop programs appropriate to their service. Educators’ guides</w:t>
      </w:r>
      <w:r w:rsidRPr="006A56A8">
        <w:rPr>
          <w:rStyle w:val="FootnoteReference"/>
          <w:rFonts w:asciiTheme="minorHAnsi" w:eastAsiaTheme="minorEastAsia" w:hAnsiTheme="minorHAnsi" w:cstheme="minorHAnsi"/>
          <w:color w:val="auto"/>
          <w:sz w:val="22"/>
          <w:szCs w:val="22"/>
        </w:rPr>
        <w:footnoteReference w:id="71"/>
      </w:r>
      <w:r w:rsidRPr="006A56A8">
        <w:rPr>
          <w:rFonts w:asciiTheme="minorHAnsi" w:eastAsiaTheme="minorEastAsia" w:hAnsiTheme="minorHAnsi" w:cstheme="minorHAnsi"/>
          <w:sz w:val="22"/>
          <w:szCs w:val="22"/>
        </w:rPr>
        <w:t xml:space="preserve"> </w:t>
      </w:r>
      <w:r w:rsidRPr="000107A9">
        <w:rPr>
          <w:rFonts w:asciiTheme="minorHAnsi" w:eastAsiaTheme="minorEastAsia" w:hAnsiTheme="minorHAnsi" w:cstheme="minorHAnsi"/>
          <w:sz w:val="22"/>
          <w:szCs w:val="22"/>
        </w:rPr>
        <w:t>are currently available to support the approved learning frameworks, including resources to support the VEYLDF.</w:t>
      </w:r>
    </w:p>
    <w:p w14:paraId="61515E4D" w14:textId="162C0F0E" w:rsidR="001C06F3" w:rsidRDefault="001C06F3">
      <w:pPr>
        <w:spacing w:after="0"/>
        <w:rPr>
          <w:rFonts w:eastAsiaTheme="minorEastAsia" w:cstheme="minorHAnsi"/>
          <w:szCs w:val="22"/>
          <w:lang w:val="en-AU"/>
        </w:rPr>
      </w:pPr>
      <w:r>
        <w:rPr>
          <w:rFonts w:eastAsiaTheme="minorEastAsia" w:cstheme="minorHAnsi"/>
          <w:szCs w:val="22"/>
        </w:rPr>
        <w:br w:type="page"/>
      </w:r>
    </w:p>
    <w:p w14:paraId="7E6287FD" w14:textId="39A7E852" w:rsidR="00C01E92" w:rsidRPr="000107A9" w:rsidRDefault="00C44242" w:rsidP="001F6CBC">
      <w:pPr>
        <w:pStyle w:val="Heading2"/>
        <w:rPr>
          <w:rFonts w:eastAsiaTheme="minorEastAsia"/>
        </w:rPr>
      </w:pPr>
      <w:bookmarkStart w:id="328" w:name="_Ref30499011"/>
      <w:bookmarkStart w:id="329" w:name="_Toc30669637"/>
      <w:bookmarkStart w:id="330" w:name="_Toc32936902"/>
      <w:r>
        <w:rPr>
          <w:rFonts w:eastAsiaTheme="minorEastAsia"/>
        </w:rPr>
        <w:lastRenderedPageBreak/>
        <w:t>10.4</w:t>
      </w:r>
      <w:r w:rsidR="006A56A8">
        <w:rPr>
          <w:rFonts w:eastAsiaTheme="minorEastAsia"/>
        </w:rPr>
        <w:t xml:space="preserve"> </w:t>
      </w:r>
      <w:r w:rsidR="00A30B4D">
        <w:rPr>
          <w:rFonts w:eastAsiaTheme="minorEastAsia"/>
        </w:rPr>
        <w:t>Methodology and a</w:t>
      </w:r>
      <w:r w:rsidR="00C01E92" w:rsidRPr="000107A9">
        <w:rPr>
          <w:rFonts w:eastAsiaTheme="minorEastAsia"/>
        </w:rPr>
        <w:t>ssumptions</w:t>
      </w:r>
      <w:bookmarkEnd w:id="328"/>
      <w:bookmarkEnd w:id="329"/>
      <w:bookmarkEnd w:id="330"/>
    </w:p>
    <w:p w14:paraId="40123230" w14:textId="26D45F9E" w:rsidR="00BF7699" w:rsidRPr="00BF7699" w:rsidRDefault="00BF7699" w:rsidP="00BF7699">
      <w:pPr>
        <w:pStyle w:val="EYBodytextwithparaspace"/>
        <w:spacing w:before="120" w:after="120"/>
        <w:rPr>
          <w:rFonts w:asciiTheme="minorHAnsi" w:eastAsiaTheme="minorEastAsia" w:hAnsiTheme="minorHAnsi" w:cstheme="minorHAnsi"/>
          <w:sz w:val="22"/>
          <w:szCs w:val="22"/>
        </w:rPr>
      </w:pPr>
      <w:r w:rsidRPr="00BF7699">
        <w:rPr>
          <w:rFonts w:asciiTheme="minorHAnsi" w:eastAsiaTheme="minorEastAsia" w:hAnsiTheme="minorHAnsi" w:cstheme="minorHAnsi"/>
          <w:sz w:val="22"/>
          <w:szCs w:val="22"/>
        </w:rPr>
        <w:t>This appendix sets out how the expected costs of each area of regulation were calculated</w:t>
      </w:r>
      <w:r w:rsidR="0021530C">
        <w:rPr>
          <w:rFonts w:asciiTheme="minorHAnsi" w:eastAsiaTheme="minorEastAsia" w:hAnsiTheme="minorHAnsi" w:cstheme="minorHAnsi"/>
          <w:sz w:val="22"/>
          <w:szCs w:val="22"/>
        </w:rPr>
        <w:t xml:space="preserve"> and includes tables setting out</w:t>
      </w:r>
      <w:r w:rsidRPr="00BF7699">
        <w:rPr>
          <w:rFonts w:asciiTheme="minorHAnsi" w:eastAsiaTheme="minorEastAsia" w:hAnsiTheme="minorHAnsi" w:cstheme="minorHAnsi"/>
          <w:sz w:val="22"/>
          <w:szCs w:val="22"/>
        </w:rPr>
        <w:t xml:space="preserve"> the assumptions that were used in the costings and the sources they were drawn from.</w:t>
      </w:r>
    </w:p>
    <w:p w14:paraId="151C2505" w14:textId="77777777" w:rsidR="00BF7699" w:rsidRPr="00BF7699" w:rsidRDefault="00BF7699" w:rsidP="00BF7699">
      <w:pPr>
        <w:spacing w:before="120"/>
        <w:rPr>
          <w:rFonts w:eastAsiaTheme="minorEastAsia" w:cstheme="minorHAnsi"/>
          <w:szCs w:val="22"/>
        </w:rPr>
      </w:pPr>
      <w:r w:rsidRPr="00BF7699">
        <w:rPr>
          <w:rFonts w:eastAsiaTheme="minorEastAsia" w:cstheme="minorHAnsi"/>
          <w:b/>
          <w:szCs w:val="22"/>
        </w:rPr>
        <w:t>6.2.1.1. Approval applications</w:t>
      </w:r>
    </w:p>
    <w:p w14:paraId="73C4F287" w14:textId="61E0939F" w:rsidR="00BF7699" w:rsidRPr="00BF7699" w:rsidRDefault="00BF7699" w:rsidP="00BF7699">
      <w:pPr>
        <w:pStyle w:val="EYBodytextwithparaspace"/>
        <w:spacing w:before="120" w:after="120"/>
        <w:rPr>
          <w:rFonts w:asciiTheme="minorHAnsi" w:eastAsiaTheme="minorEastAsia" w:hAnsiTheme="minorHAnsi" w:cstheme="minorHAnsi"/>
          <w:sz w:val="22"/>
          <w:szCs w:val="22"/>
        </w:rPr>
      </w:pPr>
      <w:r w:rsidRPr="00BF7699">
        <w:rPr>
          <w:rFonts w:asciiTheme="minorHAnsi" w:eastAsiaTheme="minorEastAsia" w:hAnsiTheme="minorHAnsi" w:cstheme="minorHAnsi"/>
          <w:sz w:val="22"/>
          <w:szCs w:val="22"/>
        </w:rPr>
        <w:t>The costs associated with completing the approval application process under Option A.2. Alignment were calculated by multiplying the time assumed to complete each application task by the hourly cost of the staff member expected to complete the task. It is assumed that a Director level staff member would complete the approval application, so the calculations use the Children’s Service Award Level 6.1 hourly wage. All staff costs include an addit</w:t>
      </w:r>
      <w:r w:rsidR="004453BD">
        <w:rPr>
          <w:rFonts w:asciiTheme="minorHAnsi" w:eastAsiaTheme="minorEastAsia" w:hAnsiTheme="minorHAnsi" w:cstheme="minorHAnsi"/>
          <w:sz w:val="22"/>
          <w:szCs w:val="22"/>
        </w:rPr>
        <w:t>ional 20% to reflect overheads.</w:t>
      </w:r>
    </w:p>
    <w:p w14:paraId="65990A58" w14:textId="77777777" w:rsidR="00BF7699" w:rsidRPr="009E68AC" w:rsidRDefault="00BF7699" w:rsidP="00BF7699">
      <w:pPr>
        <w:spacing w:before="120"/>
        <w:rPr>
          <w:rFonts w:ascii="Arial" w:eastAsiaTheme="minorEastAsia" w:hAnsi="Arial" w:cs="Arial"/>
        </w:rPr>
      </w:pPr>
      <m:oMathPara>
        <m:oMath>
          <m:r>
            <w:rPr>
              <w:rFonts w:ascii="Cambria Math" w:eastAsiaTheme="minorEastAsia" w:hAnsi="Cambria Math" w:cs="Arial"/>
            </w:rPr>
            <m:t xml:space="preserve">Time assumption x </m:t>
          </m:r>
          <m:d>
            <m:dPr>
              <m:ctrlPr>
                <w:rPr>
                  <w:rFonts w:ascii="Cambria Math" w:eastAsiaTheme="minorEastAsia" w:hAnsi="Cambria Math" w:cs="Arial"/>
                  <w:i/>
                </w:rPr>
              </m:ctrlPr>
            </m:dPr>
            <m:e>
              <m:r>
                <w:rPr>
                  <w:rFonts w:ascii="Cambria Math" w:eastAsiaTheme="minorEastAsia" w:hAnsi="Cambria Math" w:cs="Arial"/>
                </w:rPr>
                <m:t xml:space="preserve">Level 6.1 </m:t>
              </m:r>
              <m:r>
                <w:rPr>
                  <w:rFonts w:ascii="Cambria Math" w:eastAsiaTheme="minorEastAsia" w:hAnsi="Cambria Math" w:cs="Arial"/>
                </w:rPr>
                <m:t>hourly wage+20%</m:t>
              </m:r>
            </m:e>
          </m:d>
          <m:r>
            <w:rPr>
              <w:rFonts w:ascii="Cambria Math" w:eastAsiaTheme="minorEastAsia" w:hAnsi="Cambria Math" w:cs="Arial"/>
            </w:rPr>
            <m:t>=cost of completing application</m:t>
          </m:r>
        </m:oMath>
      </m:oMathPara>
    </w:p>
    <w:p w14:paraId="3B2EC1FD" w14:textId="77777777" w:rsidR="00BF7699" w:rsidRPr="00BF7699" w:rsidRDefault="00BF7699" w:rsidP="00BF7699">
      <w:pPr>
        <w:pStyle w:val="EYBodytextwithparaspace"/>
        <w:spacing w:before="120" w:after="120"/>
        <w:rPr>
          <w:rFonts w:ascii="Arial" w:eastAsiaTheme="minorEastAsia" w:hAnsi="Arial" w:cs="Arial"/>
          <w:sz w:val="22"/>
          <w:szCs w:val="22"/>
        </w:rPr>
      </w:pPr>
      <w:r w:rsidRPr="00BF7699">
        <w:rPr>
          <w:rFonts w:ascii="Arial" w:eastAsiaTheme="minorEastAsia" w:hAnsi="Arial" w:cs="Arial"/>
          <w:sz w:val="22"/>
          <w:szCs w:val="22"/>
        </w:rPr>
        <w:t>The same methodology was used to calculate the cost of completing applications to vary or suspend approvals.</w:t>
      </w:r>
    </w:p>
    <w:p w14:paraId="0BD4CF98" w14:textId="77777777" w:rsidR="00BF7699" w:rsidRPr="00BF7699" w:rsidRDefault="00BF7699" w:rsidP="00BF7699">
      <w:pPr>
        <w:spacing w:before="120"/>
        <w:rPr>
          <w:rFonts w:ascii="Arial" w:eastAsiaTheme="minorEastAsia" w:hAnsi="Arial" w:cs="Arial"/>
          <w:szCs w:val="22"/>
        </w:rPr>
      </w:pPr>
      <w:r w:rsidRPr="00BF7699">
        <w:rPr>
          <w:rFonts w:ascii="Arial" w:eastAsiaTheme="minorEastAsia" w:hAnsi="Arial" w:cs="Arial"/>
          <w:b/>
          <w:szCs w:val="22"/>
        </w:rPr>
        <w:t>6.2.1.3. Staffing</w:t>
      </w:r>
    </w:p>
    <w:p w14:paraId="7E2CB509" w14:textId="6E4B8154" w:rsidR="00BF7699" w:rsidRPr="00BF7699" w:rsidRDefault="00BF7699" w:rsidP="00BF7699">
      <w:pPr>
        <w:pStyle w:val="EYBodytextwithparaspace"/>
        <w:spacing w:before="120" w:after="120"/>
        <w:rPr>
          <w:rFonts w:ascii="Arial" w:eastAsiaTheme="minorEastAsia" w:hAnsi="Arial" w:cs="Arial"/>
          <w:sz w:val="22"/>
          <w:szCs w:val="22"/>
        </w:rPr>
      </w:pPr>
      <w:r w:rsidRPr="00BF7699">
        <w:rPr>
          <w:rFonts w:ascii="Arial" w:eastAsiaTheme="minorEastAsia" w:hAnsi="Arial" w:cs="Arial"/>
          <w:sz w:val="22"/>
          <w:szCs w:val="22"/>
        </w:rPr>
        <w:t xml:space="preserve">The overall staffing costs are based on calculations of the average daily number of children attending a service, drawn from </w:t>
      </w:r>
      <w:r w:rsidR="00EB06D8">
        <w:rPr>
          <w:rFonts w:ascii="Arial" w:eastAsiaTheme="minorEastAsia" w:hAnsi="Arial" w:cs="Arial"/>
          <w:sz w:val="22"/>
          <w:szCs w:val="22"/>
        </w:rPr>
        <w:t>Department</w:t>
      </w:r>
      <w:r w:rsidRPr="00BF7699">
        <w:rPr>
          <w:rFonts w:ascii="Arial" w:eastAsiaTheme="minorEastAsia" w:hAnsi="Arial" w:cs="Arial"/>
          <w:sz w:val="22"/>
          <w:szCs w:val="22"/>
        </w:rPr>
        <w:t xml:space="preserve"> data about the average maximum number of approved places at each service type and the average attendance rate (see assumptions table below).</w:t>
      </w:r>
    </w:p>
    <w:p w14:paraId="142A0AAA" w14:textId="77777777" w:rsidR="00BF7699" w:rsidRPr="00BF7699" w:rsidRDefault="00BF7699" w:rsidP="00BF7699">
      <w:pPr>
        <w:pStyle w:val="EYBodytextwithparaspace"/>
        <w:spacing w:before="120" w:after="120"/>
        <w:rPr>
          <w:rFonts w:ascii="Arial" w:eastAsiaTheme="minorEastAsia" w:hAnsi="Arial" w:cs="Arial"/>
          <w:sz w:val="22"/>
          <w:szCs w:val="22"/>
        </w:rPr>
      </w:pPr>
      <w:r w:rsidRPr="00BF7699">
        <w:rPr>
          <w:rFonts w:ascii="Arial" w:eastAsiaTheme="minorEastAsia" w:hAnsi="Arial" w:cs="Arial"/>
          <w:sz w:val="22"/>
          <w:szCs w:val="22"/>
        </w:rPr>
        <w:t>Attendance rates can vary considerably from day to day and from service to service; for the purpose of these calculations a sample of data drawn from DET monitoring and compliance visits was used to create an average attendance rate.</w:t>
      </w:r>
    </w:p>
    <w:p w14:paraId="2BE7E0EB" w14:textId="77777777" w:rsidR="00BF7699" w:rsidRPr="00BF7699" w:rsidRDefault="00BF7699" w:rsidP="00BF7699">
      <w:pPr>
        <w:pStyle w:val="EYBodytextwithparaspace"/>
        <w:spacing w:before="120" w:after="120"/>
        <w:rPr>
          <w:rFonts w:ascii="Arial" w:eastAsiaTheme="minorEastAsia" w:hAnsi="Arial" w:cs="Arial"/>
          <w:sz w:val="22"/>
          <w:szCs w:val="22"/>
        </w:rPr>
      </w:pPr>
      <w:r w:rsidRPr="00BF7699">
        <w:rPr>
          <w:rFonts w:ascii="Arial" w:eastAsiaTheme="minorEastAsia" w:hAnsi="Arial" w:cs="Arial"/>
          <w:sz w:val="22"/>
          <w:szCs w:val="22"/>
        </w:rPr>
        <w:t>The average split between over and under 3-year-olds from the DET data was applied and then assessed against the-staff to-child ratios to ascertain the average number of staff required on a given day (this varied between different types of service owing to differing staff/child ratios).</w:t>
      </w:r>
    </w:p>
    <w:p w14:paraId="79AC63F2" w14:textId="77777777" w:rsidR="00BF7699" w:rsidRPr="00BF7699" w:rsidRDefault="00BF7699" w:rsidP="00BF7699">
      <w:pPr>
        <w:pStyle w:val="EYBodytextwithparaspace"/>
        <w:spacing w:before="120" w:after="120"/>
        <w:rPr>
          <w:rFonts w:ascii="Arial" w:eastAsiaTheme="minorEastAsia" w:hAnsi="Arial" w:cs="Arial"/>
          <w:sz w:val="22"/>
          <w:szCs w:val="22"/>
        </w:rPr>
      </w:pPr>
      <w:r w:rsidRPr="00BF7699">
        <w:rPr>
          <w:rFonts w:ascii="Arial" w:eastAsiaTheme="minorEastAsia" w:hAnsi="Arial" w:cs="Arial"/>
          <w:sz w:val="22"/>
          <w:szCs w:val="22"/>
        </w:rPr>
        <w:t>For costing Option H.1. Status Quo, each type of service (LH2, LH1 and SL) annual staffing costs were costed as follows. The average number and type of staff required was multiplied by the hourly staff cost, the service’s maximum weekly hours of operation (an average drawn from DET data) and 52 to give the annual staffing costs per service.</w:t>
      </w:r>
    </w:p>
    <w:p w14:paraId="65832D2E" w14:textId="77777777" w:rsidR="00BF7699" w:rsidRPr="009E68AC" w:rsidRDefault="00BF7699" w:rsidP="00BF7699">
      <w:pPr>
        <w:spacing w:before="120"/>
        <w:rPr>
          <w:rFonts w:ascii="Arial" w:eastAsiaTheme="minorEastAsia" w:hAnsi="Arial" w:cs="Arial"/>
        </w:rPr>
      </w:pPr>
      <m:oMathPara>
        <m:oMath>
          <m:r>
            <w:rPr>
              <w:rFonts w:ascii="Cambria Math" w:eastAsiaTheme="minorEastAsia" w:hAnsi="Cambria Math" w:cs="Arial"/>
            </w:rPr>
            <m:t xml:space="preserve">((Av. no.  Cert III staff ×(Level 3.1 </m:t>
          </m:r>
          <m:r>
            <w:rPr>
              <w:rFonts w:ascii="Cambria Math" w:eastAsiaTheme="minorEastAsia" w:hAnsi="Cambria Math" w:cs="Arial"/>
            </w:rPr>
            <m:t>hourly wage+20%))+</m:t>
          </m:r>
          <m:d>
            <m:dPr>
              <m:ctrlPr>
                <w:rPr>
                  <w:rFonts w:ascii="Cambria Math" w:eastAsiaTheme="minorEastAsia" w:hAnsi="Cambria Math" w:cs="Arial"/>
                  <w:i/>
                </w:rPr>
              </m:ctrlPr>
            </m:dPr>
            <m:e>
              <m:r>
                <w:rPr>
                  <w:rFonts w:ascii="Cambria Math" w:eastAsiaTheme="minorEastAsia" w:hAnsi="Cambria Math" w:cs="Arial"/>
                </w:rPr>
                <m:t>Av. no.  Diploma staff×</m:t>
              </m:r>
              <m:d>
                <m:dPr>
                  <m:ctrlPr>
                    <w:rPr>
                      <w:rFonts w:ascii="Cambria Math" w:eastAsiaTheme="minorEastAsia" w:hAnsi="Cambria Math" w:cs="Arial"/>
                      <w:i/>
                    </w:rPr>
                  </m:ctrlPr>
                </m:dPr>
                <m:e>
                  <m:r>
                    <w:rPr>
                      <w:rFonts w:ascii="Cambria Math" w:eastAsiaTheme="minorEastAsia" w:hAnsi="Cambria Math" w:cs="Arial"/>
                    </w:rPr>
                    <m:t xml:space="preserve">Level 4.1 </m:t>
                  </m:r>
                  <m:r>
                    <w:rPr>
                      <w:rFonts w:ascii="Cambria Math" w:eastAsiaTheme="minorEastAsia" w:hAnsi="Cambria Math" w:cs="Arial"/>
                    </w:rPr>
                    <m:t>hourly wage+20%</m:t>
                  </m:r>
                </m:e>
              </m:d>
            </m:e>
          </m:d>
          <m:r>
            <w:rPr>
              <w:rFonts w:ascii="Cambria Math" w:eastAsiaTheme="minorEastAsia" w:hAnsi="Cambria Math" w:cs="Arial"/>
            </w:rPr>
            <m:t>)×Service weekly hours ×52=annual staffing costs per service</m:t>
          </m:r>
        </m:oMath>
      </m:oMathPara>
    </w:p>
    <w:p w14:paraId="746917B2" w14:textId="77777777" w:rsidR="00BF7699" w:rsidRPr="00BF7699" w:rsidRDefault="00BF7699" w:rsidP="00BF7699">
      <w:pPr>
        <w:pStyle w:val="EYBodytextwithparaspace"/>
        <w:spacing w:before="120" w:after="120"/>
        <w:rPr>
          <w:rFonts w:ascii="Arial" w:eastAsiaTheme="minorEastAsia" w:hAnsi="Arial" w:cs="Arial"/>
          <w:sz w:val="22"/>
          <w:szCs w:val="22"/>
        </w:rPr>
      </w:pPr>
      <w:r w:rsidRPr="00BF7699">
        <w:rPr>
          <w:rFonts w:ascii="Arial" w:eastAsiaTheme="minorEastAsia" w:hAnsi="Arial" w:cs="Arial"/>
          <w:sz w:val="22"/>
          <w:szCs w:val="22"/>
        </w:rPr>
        <w:t>For costing Option H.2. Alignment, the hourly staff cost was split 50:50 between the minimum Award wage for a fully qualified staff member and the minimum Award wage for a staff member who has not obtained the qualification but performs the same duties as a qualified staff member. This change reflects the allowance under the proposed Regulations for staff to be ‘actively working towards’ their qualification. So, for example, to calculate the hourly cost of a Certificate III staff member under the proposed Regulations, the cost was split between the Award wage for a Level 3.1 staff member (a worker holding a Certificate III) and a Level 2.1 staff member (a worker with no qualification but with experience).</w:t>
      </w:r>
    </w:p>
    <w:p w14:paraId="7EBF0DA2" w14:textId="77777777" w:rsidR="00BF7699" w:rsidRPr="006C5D9D" w:rsidRDefault="00BF7699" w:rsidP="00BF7699">
      <w:pPr>
        <w:spacing w:before="120"/>
        <w:rPr>
          <w:rFonts w:ascii="Arial" w:eastAsiaTheme="minorEastAsia" w:hAnsi="Arial" w:cs="Arial"/>
        </w:rPr>
      </w:pPr>
      <m:oMathPara>
        <m:oMathParaPr>
          <m:jc m:val="center"/>
        </m:oMathParaPr>
        <m:oMath>
          <m:r>
            <w:rPr>
              <w:rFonts w:ascii="Cambria Math" w:eastAsiaTheme="minorEastAsia" w:hAnsi="Cambria Math" w:cs="Arial"/>
            </w:rPr>
            <m:t xml:space="preserve">((Av. no. Cert III staff ×((0.5 ×(Level 2.1 </m:t>
          </m:r>
          <m:r>
            <w:rPr>
              <w:rFonts w:ascii="Cambria Math" w:eastAsiaTheme="minorEastAsia" w:hAnsi="Cambria Math" w:cs="Arial"/>
            </w:rPr>
            <m:t xml:space="preserve">hourly wage+20%))+(0.5 ×(Level 3.1 </m:t>
          </m:r>
          <m:r>
            <w:rPr>
              <w:rFonts w:ascii="Cambria Math" w:eastAsiaTheme="minorEastAsia" w:hAnsi="Cambria Math" w:cs="Arial"/>
            </w:rPr>
            <m:t>hourly wage+20%)))</m:t>
          </m:r>
          <m:r>
            <m:rPr>
              <m:sty m:val="p"/>
            </m:rPr>
            <w:rPr>
              <w:rFonts w:ascii="Cambria Math" w:eastAsiaTheme="minorEastAsia" w:hAnsi="Cambria Math" w:cs="Arial"/>
            </w:rPr>
            <w:br/>
          </m:r>
        </m:oMath>
        <m:oMath>
          <m:r>
            <w:rPr>
              <w:rFonts w:ascii="Cambria Math" w:eastAsiaTheme="minorEastAsia" w:hAnsi="Cambria Math" w:cs="Arial"/>
            </w:rPr>
            <m:t>+</m:t>
          </m:r>
        </m:oMath>
      </m:oMathPara>
    </w:p>
    <w:p w14:paraId="027AF75E" w14:textId="77777777" w:rsidR="00BF7699" w:rsidRPr="009E68AC" w:rsidRDefault="00BF7699" w:rsidP="00BF7699">
      <w:pPr>
        <w:spacing w:before="120"/>
        <w:rPr>
          <w:rFonts w:ascii="Arial" w:eastAsiaTheme="minorEastAsia" w:hAnsi="Arial" w:cs="Arial"/>
        </w:rPr>
      </w:pPr>
      <m:oMathPara>
        <m:oMath>
          <m:r>
            <w:rPr>
              <w:rFonts w:ascii="Cambria Math" w:eastAsiaTheme="minorEastAsia" w:hAnsi="Cambria Math" w:cs="Arial"/>
            </w:rPr>
            <w:lastRenderedPageBreak/>
            <m:t>(Av. no. Diploma staff ×(</m:t>
          </m:r>
          <m:d>
            <m:dPr>
              <m:ctrlPr>
                <w:rPr>
                  <w:rFonts w:ascii="Cambria Math" w:eastAsiaTheme="minorEastAsia" w:hAnsi="Cambria Math" w:cs="Arial"/>
                  <w:i/>
                </w:rPr>
              </m:ctrlPr>
            </m:dPr>
            <m:e>
              <m:r>
                <w:rPr>
                  <w:rFonts w:ascii="Cambria Math" w:eastAsiaTheme="minorEastAsia" w:hAnsi="Cambria Math" w:cs="Arial"/>
                </w:rPr>
                <m:t>0.5×</m:t>
              </m:r>
              <m:d>
                <m:dPr>
                  <m:ctrlPr>
                    <w:rPr>
                      <w:rFonts w:ascii="Cambria Math" w:eastAsiaTheme="minorEastAsia" w:hAnsi="Cambria Math" w:cs="Arial"/>
                      <w:i/>
                    </w:rPr>
                  </m:ctrlPr>
                </m:dPr>
                <m:e>
                  <m:r>
                    <w:rPr>
                      <w:rFonts w:ascii="Cambria Math" w:eastAsiaTheme="minorEastAsia" w:hAnsi="Cambria Math" w:cs="Arial"/>
                    </w:rPr>
                    <m:t>Level 4A hourly wage+20%</m:t>
                  </m:r>
                </m:e>
              </m:d>
            </m:e>
          </m:d>
          <m:r>
            <w:rPr>
              <w:rFonts w:ascii="Cambria Math" w:eastAsiaTheme="minorEastAsia" w:hAnsi="Cambria Math" w:cs="Arial"/>
            </w:rPr>
            <m:t>+</m:t>
          </m:r>
          <m:d>
            <m:dPr>
              <m:ctrlPr>
                <w:rPr>
                  <w:rFonts w:ascii="Cambria Math" w:eastAsiaTheme="minorEastAsia" w:hAnsi="Cambria Math" w:cs="Arial"/>
                  <w:i/>
                </w:rPr>
              </m:ctrlPr>
            </m:dPr>
            <m:e>
              <m:d>
                <m:dPr>
                  <m:ctrlPr>
                    <w:rPr>
                      <w:rFonts w:ascii="Cambria Math" w:eastAsiaTheme="minorEastAsia" w:hAnsi="Cambria Math" w:cs="Arial"/>
                      <w:i/>
                    </w:rPr>
                  </m:ctrlPr>
                </m:dPr>
                <m:e>
                  <m:r>
                    <w:rPr>
                      <w:rFonts w:ascii="Cambria Math" w:eastAsiaTheme="minorEastAsia" w:hAnsi="Cambria Math" w:cs="Arial"/>
                    </w:rPr>
                    <m:t>0.5 ×</m:t>
                  </m:r>
                  <m:d>
                    <m:dPr>
                      <m:ctrlPr>
                        <w:rPr>
                          <w:rFonts w:ascii="Cambria Math" w:eastAsiaTheme="minorEastAsia" w:hAnsi="Cambria Math" w:cs="Arial"/>
                          <w:i/>
                        </w:rPr>
                      </m:ctrlPr>
                    </m:dPr>
                    <m:e>
                      <m:r>
                        <w:rPr>
                          <w:rFonts w:ascii="Cambria Math" w:eastAsiaTheme="minorEastAsia" w:hAnsi="Cambria Math" w:cs="Arial"/>
                        </w:rPr>
                        <m:t xml:space="preserve">Level 4.1 </m:t>
                      </m:r>
                      <m:r>
                        <w:rPr>
                          <w:rFonts w:ascii="Cambria Math" w:eastAsiaTheme="minorEastAsia" w:hAnsi="Cambria Math" w:cs="Arial"/>
                        </w:rPr>
                        <m:t>hourly wage+20%</m:t>
                      </m:r>
                    </m:e>
                  </m:d>
                </m:e>
              </m:d>
            </m:e>
          </m:d>
        </m:oMath>
      </m:oMathPara>
    </w:p>
    <w:p w14:paraId="427079D6" w14:textId="77777777" w:rsidR="00BF7699" w:rsidRPr="009E68AC" w:rsidRDefault="00BF7699" w:rsidP="00BF7699">
      <w:pPr>
        <w:spacing w:before="120"/>
        <w:rPr>
          <w:rFonts w:ascii="Arial" w:eastAsiaTheme="minorEastAsia" w:hAnsi="Arial" w:cs="Arial"/>
        </w:rPr>
      </w:pPr>
      <m:oMathPara>
        <m:oMathParaPr>
          <m:jc m:val="center"/>
        </m:oMathParaPr>
        <m:oMath>
          <m:r>
            <w:rPr>
              <w:rFonts w:ascii="Cambria Math" w:eastAsiaTheme="minorEastAsia" w:hAnsi="Cambria Math" w:cs="Arial"/>
            </w:rPr>
            <m:t>+</m:t>
          </m:r>
        </m:oMath>
      </m:oMathPara>
    </w:p>
    <w:p w14:paraId="6FFED26B" w14:textId="77777777" w:rsidR="00BF7699" w:rsidRPr="009E68AC" w:rsidRDefault="008A603E" w:rsidP="00BF7699">
      <w:pPr>
        <w:spacing w:before="120"/>
        <w:rPr>
          <w:rFonts w:ascii="Arial" w:eastAsiaTheme="minorEastAsia" w:hAnsi="Arial" w:cs="Arial"/>
        </w:rPr>
      </w:pPr>
      <m:oMathPara>
        <m:oMath>
          <m:d>
            <m:dPr>
              <m:ctrlPr>
                <w:rPr>
                  <w:rFonts w:ascii="Cambria Math" w:eastAsiaTheme="minorEastAsia" w:hAnsi="Cambria Math" w:cs="Arial"/>
                  <w:i/>
                </w:rPr>
              </m:ctrlPr>
            </m:dPr>
            <m:e>
              <m:r>
                <w:rPr>
                  <w:rFonts w:ascii="Cambria Math" w:eastAsiaTheme="minorEastAsia" w:hAnsi="Cambria Math" w:cs="Arial"/>
                </w:rPr>
                <m:t>Av. no. Degree staff ×</m:t>
              </m:r>
              <m:d>
                <m:dPr>
                  <m:ctrlPr>
                    <w:rPr>
                      <w:rFonts w:ascii="Cambria Math" w:eastAsiaTheme="minorEastAsia" w:hAnsi="Cambria Math" w:cs="Arial"/>
                      <w:i/>
                    </w:rPr>
                  </m:ctrlPr>
                </m:dPr>
                <m:e>
                  <m:r>
                    <w:rPr>
                      <w:rFonts w:ascii="Cambria Math" w:eastAsiaTheme="minorEastAsia" w:hAnsi="Cambria Math" w:cs="Arial"/>
                    </w:rPr>
                    <m:t xml:space="preserve">Level 6.1 </m:t>
                  </m:r>
                  <m:r>
                    <w:rPr>
                      <w:rFonts w:ascii="Cambria Math" w:eastAsiaTheme="minorEastAsia" w:hAnsi="Cambria Math" w:cs="Arial"/>
                    </w:rPr>
                    <m:t>hourly wage+20%</m:t>
                  </m:r>
                </m:e>
              </m:d>
              <m:r>
                <w:rPr>
                  <w:rFonts w:ascii="Cambria Math" w:eastAsiaTheme="minorEastAsia" w:hAnsi="Cambria Math" w:cs="Arial"/>
                </w:rPr>
                <m:t>)</m:t>
              </m:r>
            </m:e>
          </m:d>
          <m:r>
            <w:rPr>
              <w:rFonts w:ascii="Cambria Math" w:eastAsiaTheme="minorEastAsia" w:hAnsi="Cambria Math" w:cs="Arial"/>
            </w:rPr>
            <m:t>×service weekly hours ×52=Annual staffing costs per service</m:t>
          </m:r>
        </m:oMath>
      </m:oMathPara>
    </w:p>
    <w:p w14:paraId="1DDB5540" w14:textId="5E241A24" w:rsidR="00BF7699" w:rsidRPr="00BF7699" w:rsidRDefault="00BF7699" w:rsidP="00BF7699">
      <w:pPr>
        <w:pStyle w:val="EYBodytextwithparaspace"/>
        <w:spacing w:before="120" w:after="120"/>
        <w:rPr>
          <w:rFonts w:ascii="Arial" w:eastAsiaTheme="minorEastAsia" w:hAnsi="Arial" w:cs="Arial"/>
          <w:sz w:val="22"/>
          <w:szCs w:val="22"/>
        </w:rPr>
      </w:pPr>
      <w:r w:rsidRPr="00BF7699">
        <w:rPr>
          <w:rFonts w:ascii="Arial" w:eastAsiaTheme="minorEastAsia" w:hAnsi="Arial" w:cs="Arial"/>
          <w:sz w:val="22"/>
          <w:szCs w:val="22"/>
        </w:rPr>
        <w:t xml:space="preserve">The total cost to industry as a whole were calculated using the following formula. The 2 school holidays care services were included in the LH2 calculations, as explained in the RIS. </w:t>
      </w:r>
    </w:p>
    <w:p w14:paraId="02622DD4" w14:textId="77777777" w:rsidR="00BF7699" w:rsidRPr="009E68AC" w:rsidRDefault="008A603E" w:rsidP="00BF7699">
      <w:pPr>
        <w:spacing w:before="120"/>
        <w:rPr>
          <w:rFonts w:ascii="Arial" w:eastAsiaTheme="minorEastAsia" w:hAnsi="Arial" w:cs="Arial"/>
        </w:rPr>
      </w:pPr>
      <m:oMathPara>
        <m:oMath>
          <m:d>
            <m:dPr>
              <m:ctrlPr>
                <w:rPr>
                  <w:rFonts w:ascii="Cambria Math" w:eastAsiaTheme="minorEastAsia" w:hAnsi="Cambria Math" w:cs="Arial"/>
                  <w:i/>
                </w:rPr>
              </m:ctrlPr>
            </m:dPr>
            <m:e>
              <m:r>
                <w:rPr>
                  <w:rFonts w:ascii="Cambria Math" w:eastAsiaTheme="minorEastAsia" w:hAnsi="Cambria Math" w:cs="Arial"/>
                </w:rPr>
                <m:t>annual LH2 service staffing costs ×no. LH2 services</m:t>
              </m:r>
            </m:e>
          </m:d>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annual LH1 service staffing costs ×no. LH1 services</m:t>
              </m:r>
            </m:e>
          </m:d>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annual SL service staffing costs ×no. SL services</m:t>
              </m:r>
            </m:e>
          </m:d>
          <m:r>
            <w:rPr>
              <w:rFonts w:ascii="Cambria Math" w:eastAsiaTheme="minorEastAsia" w:hAnsi="Cambria Math" w:cs="Arial"/>
            </w:rPr>
            <m:t>=total annual staffing costs to industry</m:t>
          </m:r>
        </m:oMath>
      </m:oMathPara>
    </w:p>
    <w:p w14:paraId="0B84CCA0" w14:textId="77777777" w:rsidR="00BF7699" w:rsidRPr="00BF7699" w:rsidRDefault="00BF7699" w:rsidP="00BF7699">
      <w:pPr>
        <w:pStyle w:val="EYBodytextwithparaspace"/>
        <w:spacing w:before="120" w:after="120"/>
        <w:rPr>
          <w:rFonts w:ascii="Arial" w:eastAsiaTheme="minorEastAsia" w:hAnsi="Arial" w:cs="Arial"/>
          <w:sz w:val="22"/>
          <w:szCs w:val="22"/>
        </w:rPr>
      </w:pPr>
      <w:r w:rsidRPr="00BF7699">
        <w:rPr>
          <w:rFonts w:ascii="Arial" w:eastAsiaTheme="minorEastAsia" w:hAnsi="Arial" w:cs="Arial"/>
          <w:sz w:val="22"/>
          <w:szCs w:val="22"/>
        </w:rPr>
        <w:t>This cost was projected over 10 years by taking the annual staffing costs and adding a fraction of the total annual costs for each type of service proportionate to the number of new services expected to enter the market each year (20).</w:t>
      </w:r>
    </w:p>
    <w:p w14:paraId="00AAC8DC" w14:textId="77777777" w:rsidR="00BF7699" w:rsidRPr="009E68AC" w:rsidRDefault="008A603E" w:rsidP="00BF7699">
      <w:pPr>
        <w:spacing w:before="120"/>
        <w:rPr>
          <w:rFonts w:ascii="Arial" w:eastAsiaTheme="minorEastAsia" w:hAnsi="Arial" w:cs="Arial"/>
        </w:rPr>
      </w:pPr>
      <m:oMathPara>
        <m:oMath>
          <m:d>
            <m:dPr>
              <m:ctrlPr>
                <w:rPr>
                  <w:rFonts w:ascii="Cambria Math" w:eastAsiaTheme="minorEastAsia" w:hAnsi="Cambria Math" w:cs="Arial"/>
                  <w:i/>
                </w:rPr>
              </m:ctrlPr>
            </m:dPr>
            <m:e>
              <m:d>
                <m:dPr>
                  <m:ctrlPr>
                    <w:rPr>
                      <w:rFonts w:ascii="Cambria Math" w:eastAsiaTheme="minorEastAsia" w:hAnsi="Cambria Math" w:cs="Arial"/>
                      <w:i/>
                    </w:rPr>
                  </m:ctrlPr>
                </m:dPr>
                <m:e>
                  <m:d>
                    <m:dPr>
                      <m:ctrlPr>
                        <w:rPr>
                          <w:rFonts w:ascii="Cambria Math" w:eastAsiaTheme="minorEastAsia" w:hAnsi="Cambria Math" w:cs="Arial"/>
                          <w:i/>
                        </w:rPr>
                      </m:ctrlPr>
                    </m:dPr>
                    <m:e>
                      <m:r>
                        <w:rPr>
                          <w:rFonts w:ascii="Cambria Math" w:eastAsiaTheme="minorEastAsia" w:hAnsi="Cambria Math" w:cs="Arial"/>
                        </w:rPr>
                        <m:t>no. LH2 services ÷total no. services</m:t>
                      </m:r>
                    </m:e>
                  </m:d>
                  <m:r>
                    <w:rPr>
                      <w:rFonts w:ascii="Cambria Math" w:eastAsiaTheme="minorEastAsia" w:hAnsi="Cambria Math" w:cs="Arial"/>
                    </w:rPr>
                    <m:t>×20</m:t>
                  </m:r>
                </m:e>
              </m:d>
              <m:r>
                <w:rPr>
                  <w:rFonts w:ascii="Cambria Math" w:eastAsiaTheme="minorEastAsia" w:hAnsi="Cambria Math" w:cs="Arial"/>
                </w:rPr>
                <m:t>×annual staffing costs per LH2 service</m:t>
              </m:r>
            </m:e>
          </m:d>
          <m:r>
            <w:rPr>
              <w:rFonts w:ascii="Cambria Math" w:eastAsiaTheme="minorEastAsia" w:hAnsi="Cambria Math" w:cs="Arial"/>
            </w:rPr>
            <m:t>+</m:t>
          </m:r>
          <m:d>
            <m:dPr>
              <m:ctrlPr>
                <w:rPr>
                  <w:rFonts w:ascii="Cambria Math" w:eastAsiaTheme="minorEastAsia" w:hAnsi="Cambria Math" w:cs="Arial"/>
                  <w:i/>
                </w:rPr>
              </m:ctrlPr>
            </m:dPr>
            <m:e>
              <m:d>
                <m:dPr>
                  <m:ctrlPr>
                    <w:rPr>
                      <w:rFonts w:ascii="Cambria Math" w:eastAsiaTheme="minorEastAsia" w:hAnsi="Cambria Math" w:cs="Arial"/>
                      <w:i/>
                    </w:rPr>
                  </m:ctrlPr>
                </m:dPr>
                <m:e>
                  <m:d>
                    <m:dPr>
                      <m:ctrlPr>
                        <w:rPr>
                          <w:rFonts w:ascii="Cambria Math" w:eastAsiaTheme="minorEastAsia" w:hAnsi="Cambria Math" w:cs="Arial"/>
                          <w:i/>
                        </w:rPr>
                      </m:ctrlPr>
                    </m:dPr>
                    <m:e>
                      <m:r>
                        <w:rPr>
                          <w:rFonts w:ascii="Cambria Math" w:eastAsiaTheme="minorEastAsia" w:hAnsi="Cambria Math" w:cs="Arial"/>
                        </w:rPr>
                        <m:t>no. LH1 services ÷total no. services</m:t>
                      </m:r>
                    </m:e>
                  </m:d>
                  <m:r>
                    <w:rPr>
                      <w:rFonts w:ascii="Cambria Math" w:eastAsiaTheme="minorEastAsia" w:hAnsi="Cambria Math" w:cs="Arial"/>
                    </w:rPr>
                    <m:t>×20</m:t>
                  </m:r>
                </m:e>
              </m:d>
              <m:r>
                <w:rPr>
                  <w:rFonts w:ascii="Cambria Math" w:eastAsiaTheme="minorEastAsia" w:hAnsi="Cambria Math" w:cs="Arial"/>
                </w:rPr>
                <m:t>×annual staffing costs per LH1 service</m:t>
              </m:r>
            </m:e>
          </m:d>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no. SL services÷total no. services</m:t>
                  </m:r>
                </m:e>
              </m:d>
              <m:r>
                <w:rPr>
                  <w:rFonts w:ascii="Cambria Math" w:eastAsiaTheme="minorEastAsia" w:hAnsi="Cambria Math" w:cs="Arial"/>
                </w:rPr>
                <m:t>×20</m:t>
              </m:r>
            </m:e>
          </m:d>
          <m:r>
            <w:rPr>
              <w:rFonts w:ascii="Cambria Math" w:eastAsiaTheme="minorEastAsia" w:hAnsi="Cambria Math" w:cs="Arial"/>
            </w:rPr>
            <m:t>×annual staffing costs per SL service)</m:t>
          </m:r>
        </m:oMath>
      </m:oMathPara>
    </w:p>
    <w:p w14:paraId="32E842E8" w14:textId="77777777" w:rsidR="00BF7699" w:rsidRPr="009E68AC" w:rsidRDefault="00BF7699" w:rsidP="00BF7699">
      <w:pPr>
        <w:spacing w:before="120"/>
        <w:rPr>
          <w:rFonts w:ascii="Arial" w:eastAsiaTheme="minorEastAsia" w:hAnsi="Arial" w:cs="Arial"/>
        </w:rPr>
      </w:pPr>
      <m:oMathPara>
        <m:oMath>
          <m:r>
            <w:rPr>
              <w:rFonts w:ascii="Cambria Math" w:eastAsiaTheme="minorEastAsia" w:hAnsi="Cambria Math" w:cs="Arial"/>
            </w:rPr>
            <m:t>=total staffing costs for new services each year</m:t>
          </m:r>
        </m:oMath>
      </m:oMathPara>
    </w:p>
    <w:p w14:paraId="135B8233" w14:textId="77777777" w:rsidR="00BF7699" w:rsidRPr="009E68AC" w:rsidRDefault="00BF7699" w:rsidP="00BF7699">
      <w:pPr>
        <w:spacing w:before="120"/>
        <w:jc w:val="center"/>
        <w:rPr>
          <w:rFonts w:ascii="Arial" w:eastAsiaTheme="minorEastAsia" w:hAnsi="Arial" w:cs="Arial"/>
        </w:rPr>
      </w:pPr>
      <m:oMathPara>
        <m:oMath>
          <m:r>
            <w:rPr>
              <w:rFonts w:ascii="Cambria Math" w:eastAsiaTheme="minorEastAsia" w:hAnsi="Cambria Math" w:cs="Arial"/>
            </w:rPr>
            <m:t>total annual staffing costs to industry+total staffing costs for new services each year=staffing costs yr 1</m:t>
          </m:r>
        </m:oMath>
      </m:oMathPara>
    </w:p>
    <w:p w14:paraId="389E944A" w14:textId="77777777" w:rsidR="00BF7699" w:rsidRPr="009E68AC" w:rsidRDefault="00BF7699" w:rsidP="00BF7699">
      <w:pPr>
        <w:spacing w:before="120"/>
        <w:jc w:val="center"/>
        <w:rPr>
          <w:rFonts w:ascii="Arial" w:eastAsiaTheme="minorEastAsia" w:hAnsi="Arial" w:cs="Arial"/>
        </w:rPr>
      </w:pPr>
      <m:oMathPara>
        <m:oMath>
          <m:r>
            <w:rPr>
              <w:rFonts w:ascii="Cambria Math" w:eastAsiaTheme="minorEastAsia" w:hAnsi="Cambria Math" w:cs="Arial"/>
            </w:rPr>
            <m:t>staffing costs yr 1+total staffing costs for new services each yr=staffing costs yr 2</m:t>
          </m:r>
        </m:oMath>
      </m:oMathPara>
    </w:p>
    <w:p w14:paraId="36ABAE17" w14:textId="77777777" w:rsidR="00BF7699" w:rsidRPr="009E68AC" w:rsidRDefault="00BF7699" w:rsidP="00BF7699">
      <w:pPr>
        <w:spacing w:before="120"/>
        <w:jc w:val="center"/>
        <w:rPr>
          <w:rFonts w:ascii="Arial" w:eastAsiaTheme="minorEastAsia" w:hAnsi="Arial" w:cs="Arial"/>
        </w:rPr>
      </w:pPr>
      <m:oMathPara>
        <m:oMath>
          <m:r>
            <w:rPr>
              <w:rFonts w:ascii="Cambria Math" w:eastAsiaTheme="minorEastAsia" w:hAnsi="Cambria Math" w:cs="Arial"/>
            </w:rPr>
            <m:t>staffing costs yr 2+total staffing costs for new services each yr=staffing costs yr 3</m:t>
          </m:r>
        </m:oMath>
      </m:oMathPara>
    </w:p>
    <w:p w14:paraId="73428A5C" w14:textId="77777777" w:rsidR="00BF7699" w:rsidRPr="006C5D9D" w:rsidRDefault="00BF7699" w:rsidP="00BF7699">
      <w:pPr>
        <w:pStyle w:val="EYBodytextwithparaspace"/>
        <w:spacing w:before="120" w:after="120"/>
        <w:jc w:val="center"/>
        <w:rPr>
          <w:rFonts w:ascii="Cambria Math" w:eastAsiaTheme="minorEastAsia" w:hAnsi="Cambria Math" w:cs="Arial"/>
          <w:i/>
        </w:rPr>
      </w:pPr>
      <w:r w:rsidRPr="006C5D9D">
        <w:rPr>
          <w:rFonts w:ascii="Cambria Math" w:eastAsiaTheme="minorEastAsia" w:hAnsi="Cambria Math" w:cs="Arial"/>
          <w:i/>
        </w:rPr>
        <w:t>(</w:t>
      </w:r>
      <w:proofErr w:type="gramStart"/>
      <w:r w:rsidRPr="006C5D9D">
        <w:rPr>
          <w:rFonts w:ascii="Cambria Math" w:eastAsiaTheme="minorEastAsia" w:hAnsi="Cambria Math" w:cs="Arial"/>
          <w:i/>
        </w:rPr>
        <w:t>repeated</w:t>
      </w:r>
      <w:proofErr w:type="gramEnd"/>
      <w:r w:rsidRPr="006C5D9D">
        <w:rPr>
          <w:rFonts w:ascii="Cambria Math" w:eastAsiaTheme="minorEastAsia" w:hAnsi="Cambria Math" w:cs="Arial"/>
          <w:i/>
        </w:rPr>
        <w:t>)</w:t>
      </w:r>
    </w:p>
    <w:p w14:paraId="5AC2DBBD" w14:textId="77777777" w:rsidR="00BF7699" w:rsidRPr="009E68AC" w:rsidRDefault="00BF7699" w:rsidP="00BF7699">
      <w:pPr>
        <w:spacing w:before="120"/>
        <w:jc w:val="center"/>
        <w:rPr>
          <w:rFonts w:ascii="Arial" w:eastAsiaTheme="minorEastAsia" w:hAnsi="Arial" w:cs="Arial"/>
        </w:rPr>
      </w:pPr>
      <m:oMathPara>
        <m:oMath>
          <m:r>
            <w:rPr>
              <w:rFonts w:ascii="Cambria Math" w:eastAsiaTheme="minorEastAsia" w:hAnsi="Cambria Math" w:cs="Arial"/>
            </w:rPr>
            <m:t>staffing costs yr 1+staffing costs yr 2+staffing costs yr 3+…+staffing costs yr 10=total staffing costs to industry over 10 yrs</m:t>
          </m:r>
        </m:oMath>
      </m:oMathPara>
    </w:p>
    <w:p w14:paraId="0074C64B" w14:textId="77777777" w:rsidR="00BF7699" w:rsidRPr="009E68AC" w:rsidRDefault="00BF7699" w:rsidP="00BF7699">
      <w:pPr>
        <w:spacing w:before="120"/>
        <w:rPr>
          <w:rFonts w:ascii="Arial" w:eastAsiaTheme="minorEastAsia" w:hAnsi="Arial" w:cs="Arial"/>
        </w:rPr>
      </w:pPr>
      <w:r w:rsidRPr="009E68AC">
        <w:rPr>
          <w:rFonts w:ascii="Arial" w:eastAsiaTheme="minorEastAsia" w:hAnsi="Arial" w:cs="Arial"/>
          <w:b/>
        </w:rPr>
        <w:t>6.2.1.5. Safety, health and wellbeing of children</w:t>
      </w:r>
    </w:p>
    <w:p w14:paraId="1AE7DC8D" w14:textId="77777777" w:rsidR="00BF7699" w:rsidRPr="00BF7699" w:rsidRDefault="00BF7699" w:rsidP="00BF7699">
      <w:pPr>
        <w:pStyle w:val="EYBodytextwithparaspace"/>
        <w:spacing w:before="120" w:after="120"/>
        <w:rPr>
          <w:rFonts w:ascii="Arial" w:eastAsiaTheme="minorEastAsia" w:hAnsi="Arial" w:cs="Arial"/>
          <w:sz w:val="22"/>
          <w:szCs w:val="22"/>
        </w:rPr>
      </w:pPr>
      <w:r w:rsidRPr="00BF7699">
        <w:rPr>
          <w:rFonts w:ascii="Arial" w:eastAsiaTheme="minorEastAsia" w:hAnsi="Arial" w:cs="Arial"/>
          <w:sz w:val="22"/>
          <w:szCs w:val="22"/>
        </w:rPr>
        <w:t xml:space="preserve">The cost of meeting </w:t>
      </w:r>
      <w:r w:rsidRPr="00BF7699">
        <w:rPr>
          <w:rFonts w:ascii="Arial" w:eastAsiaTheme="minorEastAsia" w:hAnsi="Arial" w:cs="Arial"/>
          <w:b/>
          <w:sz w:val="22"/>
          <w:szCs w:val="22"/>
        </w:rPr>
        <w:t>administrative requirements relating to excursions</w:t>
      </w:r>
      <w:r w:rsidRPr="00BF7699">
        <w:rPr>
          <w:rFonts w:ascii="Arial" w:eastAsiaTheme="minorEastAsia" w:hAnsi="Arial" w:cs="Arial"/>
          <w:sz w:val="22"/>
          <w:szCs w:val="22"/>
        </w:rPr>
        <w:t xml:space="preserve"> was costed by multiplying the time assumed to be required to complete the task by the hourly staff cost a Certificate III qualified staff member.</w:t>
      </w:r>
    </w:p>
    <w:p w14:paraId="4C04D4A1" w14:textId="77777777" w:rsidR="00BF7699" w:rsidRPr="006C5D9D" w:rsidRDefault="00BF7699" w:rsidP="00BF7699">
      <w:pPr>
        <w:spacing w:before="120"/>
        <w:jc w:val="center"/>
        <w:rPr>
          <w:rFonts w:ascii="Arial" w:eastAsiaTheme="minorEastAsia" w:hAnsi="Arial" w:cs="Arial"/>
        </w:rPr>
      </w:pPr>
      <m:oMathPara>
        <m:oMath>
          <m:r>
            <w:rPr>
              <w:rFonts w:ascii="Cambria Math" w:eastAsiaTheme="minorEastAsia" w:hAnsi="Cambria Math" w:cs="Arial"/>
            </w:rPr>
            <m:t>small service time assumption ×</m:t>
          </m:r>
          <m:d>
            <m:dPr>
              <m:ctrlPr>
                <w:rPr>
                  <w:rFonts w:ascii="Cambria Math" w:eastAsiaTheme="minorEastAsia" w:hAnsi="Cambria Math" w:cs="Arial"/>
                  <w:i/>
                </w:rPr>
              </m:ctrlPr>
            </m:dPr>
            <m:e>
              <m:r>
                <w:rPr>
                  <w:rFonts w:ascii="Cambria Math" w:eastAsiaTheme="minorEastAsia" w:hAnsi="Cambria Math" w:cs="Arial"/>
                </w:rPr>
                <m:t xml:space="preserve">Level 3.1 </m:t>
              </m:r>
              <m:r>
                <w:rPr>
                  <w:rFonts w:ascii="Cambria Math" w:eastAsiaTheme="minorEastAsia" w:hAnsi="Cambria Math" w:cs="Arial"/>
                </w:rPr>
                <m:t>hourly wage+20%</m:t>
              </m:r>
            </m:e>
          </m:d>
          <m:r>
            <w:rPr>
              <w:rFonts w:ascii="Cambria Math" w:eastAsiaTheme="minorEastAsia" w:hAnsi="Cambria Math" w:cs="Arial"/>
            </w:rPr>
            <m:t>=cost of completing task for small service</m:t>
          </m:r>
        </m:oMath>
      </m:oMathPara>
    </w:p>
    <w:p w14:paraId="705E0DCC" w14:textId="77777777" w:rsidR="00BF7699" w:rsidRPr="009E68AC" w:rsidRDefault="00BF7699" w:rsidP="00BF7699">
      <w:pPr>
        <w:spacing w:before="120"/>
        <w:jc w:val="center"/>
        <w:rPr>
          <w:rFonts w:ascii="Arial" w:eastAsiaTheme="minorEastAsia" w:hAnsi="Arial" w:cs="Arial"/>
        </w:rPr>
      </w:pPr>
      <m:oMathPara>
        <m:oMath>
          <m:r>
            <w:rPr>
              <w:rFonts w:ascii="Cambria Math" w:eastAsiaTheme="minorEastAsia" w:hAnsi="Cambria Math" w:cs="Arial"/>
            </w:rPr>
            <m:t>medium service time assumption ×</m:t>
          </m:r>
          <m:d>
            <m:dPr>
              <m:ctrlPr>
                <w:rPr>
                  <w:rFonts w:ascii="Cambria Math" w:eastAsiaTheme="minorEastAsia" w:hAnsi="Cambria Math" w:cs="Arial"/>
                  <w:i/>
                </w:rPr>
              </m:ctrlPr>
            </m:dPr>
            <m:e>
              <m:r>
                <w:rPr>
                  <w:rFonts w:ascii="Cambria Math" w:eastAsiaTheme="minorEastAsia" w:hAnsi="Cambria Math" w:cs="Arial"/>
                </w:rPr>
                <m:t xml:space="preserve">Level 3.1 </m:t>
              </m:r>
              <m:r>
                <w:rPr>
                  <w:rFonts w:ascii="Cambria Math" w:eastAsiaTheme="minorEastAsia" w:hAnsi="Cambria Math" w:cs="Arial"/>
                </w:rPr>
                <m:t>hourly wage+20%</m:t>
              </m:r>
            </m:e>
          </m:d>
          <m:r>
            <w:rPr>
              <w:rFonts w:ascii="Cambria Math" w:eastAsiaTheme="minorEastAsia" w:hAnsi="Cambria Math" w:cs="Arial"/>
            </w:rPr>
            <m:t>=cost of completing task for medium service</m:t>
          </m:r>
        </m:oMath>
      </m:oMathPara>
    </w:p>
    <w:p w14:paraId="63444371" w14:textId="77777777" w:rsidR="00BF7699" w:rsidRPr="00BF7699" w:rsidRDefault="00BF7699" w:rsidP="00BF7699">
      <w:pPr>
        <w:pStyle w:val="EYBodytextwithparaspace"/>
        <w:spacing w:before="120" w:after="120"/>
        <w:rPr>
          <w:rFonts w:ascii="Arial" w:eastAsiaTheme="minorEastAsia" w:hAnsi="Arial" w:cs="Arial"/>
          <w:sz w:val="22"/>
          <w:szCs w:val="22"/>
        </w:rPr>
      </w:pPr>
      <w:r w:rsidRPr="00BF7699">
        <w:rPr>
          <w:rFonts w:ascii="Arial" w:eastAsiaTheme="minorEastAsia" w:hAnsi="Arial" w:cs="Arial"/>
          <w:sz w:val="22"/>
          <w:szCs w:val="22"/>
        </w:rPr>
        <w:t>The cost to the industry per year was calculated through multiplying the cost for each service type by the total number of that type of service (i.e. small and medium), and this was projected forward over 10 years using the same methodology as for staffing costs.</w:t>
      </w:r>
    </w:p>
    <w:p w14:paraId="4CDC3B77" w14:textId="77777777" w:rsidR="00BF7699" w:rsidRPr="009E68AC" w:rsidRDefault="008A603E" w:rsidP="00BF7699">
      <w:pPr>
        <w:spacing w:before="120"/>
        <w:rPr>
          <w:rFonts w:ascii="Arial" w:eastAsiaTheme="minorEastAsia" w:hAnsi="Arial" w:cs="Arial"/>
        </w:rPr>
      </w:pPr>
      <m:oMathPara>
        <m:oMath>
          <m:d>
            <m:dPr>
              <m:ctrlPr>
                <w:rPr>
                  <w:rFonts w:ascii="Cambria Math" w:eastAsiaTheme="minorEastAsia" w:hAnsi="Cambria Math" w:cs="Arial"/>
                  <w:i/>
                </w:rPr>
              </m:ctrlPr>
            </m:dPr>
            <m:e>
              <m:r>
                <w:rPr>
                  <w:rFonts w:ascii="Cambria Math" w:eastAsiaTheme="minorEastAsia" w:hAnsi="Cambria Math" w:cs="Arial"/>
                </w:rPr>
                <m:t>cost of completing task for small service ×no. small services</m:t>
              </m:r>
            </m:e>
          </m:d>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cost of completing task for medium service ×no. medium services</m:t>
              </m:r>
            </m:e>
          </m:d>
          <m:r>
            <w:rPr>
              <w:rFonts w:ascii="Cambria Math" w:eastAsiaTheme="minorEastAsia" w:hAnsi="Cambria Math" w:cs="Arial"/>
            </w:rPr>
            <m:t>=total annual cost of completing task</m:t>
          </m:r>
        </m:oMath>
      </m:oMathPara>
    </w:p>
    <w:p w14:paraId="37E20FE9" w14:textId="77777777" w:rsidR="00BF7699" w:rsidRPr="00BF7699" w:rsidRDefault="00BF7699" w:rsidP="00BF7699">
      <w:pPr>
        <w:pStyle w:val="EYBodytextwithparaspace"/>
        <w:spacing w:before="120" w:after="120"/>
        <w:rPr>
          <w:rFonts w:ascii="Arial" w:eastAsiaTheme="minorEastAsia" w:hAnsi="Arial" w:cs="Arial"/>
          <w:sz w:val="22"/>
          <w:szCs w:val="22"/>
        </w:rPr>
      </w:pPr>
      <w:r w:rsidRPr="00BF7699">
        <w:rPr>
          <w:rFonts w:ascii="Arial" w:eastAsiaTheme="minorEastAsia" w:hAnsi="Arial" w:cs="Arial"/>
          <w:sz w:val="22"/>
          <w:szCs w:val="22"/>
        </w:rPr>
        <w:t xml:space="preserve">The cost of </w:t>
      </w:r>
      <w:r w:rsidRPr="00BF7699">
        <w:rPr>
          <w:rFonts w:ascii="Arial" w:eastAsiaTheme="minorEastAsia" w:hAnsi="Arial" w:cs="Arial"/>
          <w:b/>
          <w:sz w:val="22"/>
          <w:szCs w:val="22"/>
        </w:rPr>
        <w:t>first aid training</w:t>
      </w:r>
      <w:r w:rsidRPr="00BF7699">
        <w:rPr>
          <w:rFonts w:ascii="Arial" w:eastAsiaTheme="minorEastAsia" w:hAnsi="Arial" w:cs="Arial"/>
          <w:sz w:val="22"/>
          <w:szCs w:val="22"/>
        </w:rPr>
        <w:t xml:space="preserve"> per service (of each type: LH2, LH1 and SL) was calculated by multiplying the cost of first aid training by the number of staff required to be trained. For Option E.1. Status Quo, the number of staff required was calculated using the average LH2, LH1 and SL service based on DET data and used throughout all relevant costings. For Option E.2. Alignment, only one staff member needs to hold current first-aid training. The cost to all services was calculated by multiplying the cost per service by the total number of services of each type. The total first aid kit costing per type of service was calculated by multiplying the cost of a first aid kit by the number of services. Note that because first aid certification and first aid kits both last 3 years, in the total cost to industry over 10 years calculations in section 6.2.1.10, these costs are only included once every three years (as opposed to other, annual costs). </w:t>
      </w:r>
    </w:p>
    <w:p w14:paraId="768922A7" w14:textId="77777777" w:rsidR="00BF7699" w:rsidRPr="009E68AC" w:rsidRDefault="008A603E" w:rsidP="00BF7699">
      <w:pPr>
        <w:spacing w:before="120"/>
        <w:rPr>
          <w:rFonts w:ascii="Arial" w:eastAsiaTheme="minorEastAsia" w:hAnsi="Arial" w:cs="Arial"/>
        </w:rPr>
      </w:pPr>
      <m:oMathPara>
        <m:oMath>
          <m:d>
            <m:dPr>
              <m:ctrlPr>
                <w:rPr>
                  <w:rFonts w:ascii="Cambria Math" w:eastAsiaTheme="minorEastAsia" w:hAnsi="Cambria Math" w:cs="Arial"/>
                  <w:i/>
                </w:rPr>
              </m:ctrlPr>
            </m:dPr>
            <m:e>
              <m:r>
                <w:rPr>
                  <w:rFonts w:ascii="Cambria Math" w:eastAsiaTheme="minorEastAsia" w:hAnsi="Cambria Math" w:cs="Arial"/>
                </w:rPr>
                <m:t>cost of firstaid training ×no. staff trained LH2</m:t>
              </m:r>
            </m:e>
          </m:d>
          <m:r>
            <w:rPr>
              <w:rFonts w:ascii="Cambria Math" w:eastAsiaTheme="minorEastAsia" w:hAnsi="Cambria Math" w:cs="Arial"/>
            </w:rPr>
            <m:t>×no. LH2 services=total cost of firstaid training for LH2 services</m:t>
          </m:r>
        </m:oMath>
      </m:oMathPara>
    </w:p>
    <w:p w14:paraId="060345AD" w14:textId="77777777" w:rsidR="00BF7699" w:rsidRPr="009E68AC" w:rsidRDefault="008A603E" w:rsidP="00BF7699">
      <w:pPr>
        <w:spacing w:before="120"/>
        <w:rPr>
          <w:rFonts w:ascii="Arial" w:eastAsiaTheme="minorEastAsia" w:hAnsi="Arial" w:cs="Arial"/>
        </w:rPr>
      </w:pPr>
      <m:oMathPara>
        <m:oMath>
          <m:d>
            <m:dPr>
              <m:ctrlPr>
                <w:rPr>
                  <w:rFonts w:ascii="Cambria Math" w:eastAsiaTheme="minorEastAsia" w:hAnsi="Cambria Math" w:cs="Arial"/>
                  <w:i/>
                </w:rPr>
              </m:ctrlPr>
            </m:dPr>
            <m:e>
              <m:r>
                <w:rPr>
                  <w:rFonts w:ascii="Cambria Math" w:eastAsiaTheme="minorEastAsia" w:hAnsi="Cambria Math" w:cs="Arial"/>
                </w:rPr>
                <m:t>cost of firstaid training ×no. staff trained LH1</m:t>
              </m:r>
            </m:e>
          </m:d>
          <m:r>
            <w:rPr>
              <w:rFonts w:ascii="Cambria Math" w:eastAsiaTheme="minorEastAsia" w:hAnsi="Cambria Math" w:cs="Arial"/>
            </w:rPr>
            <m:t>×no. LH1 services=total cost of firstaid training for LH1 services</m:t>
          </m:r>
        </m:oMath>
      </m:oMathPara>
    </w:p>
    <w:p w14:paraId="4694ABA1" w14:textId="77777777" w:rsidR="00BF7699" w:rsidRPr="009E68AC" w:rsidRDefault="008A603E" w:rsidP="00BF7699">
      <w:pPr>
        <w:spacing w:before="120"/>
        <w:rPr>
          <w:rFonts w:ascii="Arial" w:eastAsiaTheme="minorEastAsia" w:hAnsi="Arial" w:cs="Arial"/>
        </w:rPr>
      </w:pPr>
      <m:oMathPara>
        <m:oMath>
          <m:d>
            <m:dPr>
              <m:ctrlPr>
                <w:rPr>
                  <w:rFonts w:ascii="Cambria Math" w:eastAsiaTheme="minorEastAsia" w:hAnsi="Cambria Math" w:cs="Arial"/>
                  <w:i/>
                </w:rPr>
              </m:ctrlPr>
            </m:dPr>
            <m:e>
              <m:r>
                <w:rPr>
                  <w:rFonts w:ascii="Cambria Math" w:eastAsiaTheme="minorEastAsia" w:hAnsi="Cambria Math" w:cs="Arial"/>
                </w:rPr>
                <m:t>cost of firstaid training ×no. staff trained SL</m:t>
              </m:r>
            </m:e>
          </m:d>
          <m:r>
            <w:rPr>
              <w:rFonts w:ascii="Cambria Math" w:eastAsiaTheme="minorEastAsia" w:hAnsi="Cambria Math" w:cs="Arial"/>
            </w:rPr>
            <m:t>×no. SL services=total cost of firstaid training for SL services</m:t>
          </m:r>
        </m:oMath>
      </m:oMathPara>
    </w:p>
    <w:p w14:paraId="508918A7" w14:textId="77777777" w:rsidR="00BF7699" w:rsidRPr="009E68AC" w:rsidRDefault="00BF7699" w:rsidP="00BF7699">
      <w:pPr>
        <w:spacing w:before="120"/>
        <w:rPr>
          <w:rFonts w:ascii="Arial" w:eastAsiaTheme="minorEastAsia" w:hAnsi="Arial" w:cs="Arial"/>
        </w:rPr>
      </w:pPr>
      <w:r w:rsidRPr="009E68AC">
        <w:rPr>
          <w:rFonts w:ascii="Arial" w:eastAsiaTheme="minorEastAsia" w:hAnsi="Arial" w:cs="Arial"/>
          <w:b/>
        </w:rPr>
        <w:t>6.2.1.7. Record-keeping</w:t>
      </w:r>
    </w:p>
    <w:p w14:paraId="36839E5A" w14:textId="77777777" w:rsidR="00BF7699" w:rsidRPr="00BF7699" w:rsidRDefault="00BF7699" w:rsidP="00BF7699">
      <w:pPr>
        <w:pStyle w:val="EYBodytextwithparaspace"/>
        <w:spacing w:before="120" w:after="120"/>
        <w:rPr>
          <w:rFonts w:ascii="Arial" w:eastAsiaTheme="minorEastAsia" w:hAnsi="Arial" w:cs="Arial"/>
          <w:sz w:val="22"/>
          <w:szCs w:val="22"/>
        </w:rPr>
      </w:pPr>
      <w:r w:rsidRPr="00BF7699">
        <w:rPr>
          <w:rFonts w:ascii="Arial" w:eastAsiaTheme="minorEastAsia" w:hAnsi="Arial" w:cs="Arial"/>
          <w:sz w:val="22"/>
          <w:szCs w:val="22"/>
        </w:rPr>
        <w:t xml:space="preserve">The cost per service of their </w:t>
      </w:r>
      <w:r w:rsidRPr="00BF7699">
        <w:rPr>
          <w:rFonts w:ascii="Arial" w:eastAsiaTheme="minorEastAsia" w:hAnsi="Arial" w:cs="Arial"/>
          <w:b/>
          <w:sz w:val="22"/>
          <w:szCs w:val="22"/>
        </w:rPr>
        <w:t>initial establishment of policies and procedures</w:t>
      </w:r>
      <w:r w:rsidRPr="00BF7699">
        <w:rPr>
          <w:rFonts w:ascii="Arial" w:eastAsiaTheme="minorEastAsia" w:hAnsi="Arial" w:cs="Arial"/>
          <w:sz w:val="22"/>
          <w:szCs w:val="22"/>
        </w:rPr>
        <w:t xml:space="preserve"> and the </w:t>
      </w:r>
      <w:r w:rsidRPr="00BF7699">
        <w:rPr>
          <w:rFonts w:ascii="Arial" w:eastAsiaTheme="minorEastAsia" w:hAnsi="Arial" w:cs="Arial"/>
          <w:b/>
          <w:sz w:val="22"/>
          <w:szCs w:val="22"/>
        </w:rPr>
        <w:t>annual review and update of policies and procedures</w:t>
      </w:r>
      <w:r w:rsidRPr="00BF7699">
        <w:rPr>
          <w:rFonts w:ascii="Arial" w:eastAsiaTheme="minorEastAsia" w:hAnsi="Arial" w:cs="Arial"/>
          <w:sz w:val="22"/>
          <w:szCs w:val="22"/>
        </w:rPr>
        <w:t xml:space="preserve"> was calculated by multiplying the time assumption for each service type by the hourly staff cost of a Diploma qualified staff member. </w:t>
      </w:r>
    </w:p>
    <w:p w14:paraId="725EBACF" w14:textId="77777777" w:rsidR="00BF7699" w:rsidRPr="006C5D9D" w:rsidRDefault="00BF7699" w:rsidP="00BF7699">
      <w:pPr>
        <w:spacing w:before="120"/>
        <w:rPr>
          <w:rFonts w:ascii="Arial" w:eastAsiaTheme="minorEastAsia" w:hAnsi="Arial" w:cs="Arial"/>
        </w:rPr>
      </w:pPr>
      <m:oMathPara>
        <m:oMath>
          <m:r>
            <w:rPr>
              <w:rFonts w:ascii="Cambria Math" w:eastAsiaTheme="minorEastAsia" w:hAnsi="Cambria Math" w:cs="Arial"/>
            </w:rPr>
            <m:t>small service time assumption ×</m:t>
          </m:r>
          <m:d>
            <m:dPr>
              <m:ctrlPr>
                <w:rPr>
                  <w:rFonts w:ascii="Cambria Math" w:eastAsiaTheme="minorEastAsia" w:hAnsi="Cambria Math" w:cs="Arial"/>
                  <w:i/>
                </w:rPr>
              </m:ctrlPr>
            </m:dPr>
            <m:e>
              <m:r>
                <w:rPr>
                  <w:rFonts w:ascii="Cambria Math" w:eastAsiaTheme="minorEastAsia" w:hAnsi="Cambria Math" w:cs="Arial"/>
                </w:rPr>
                <m:t xml:space="preserve">Level 3.1 </m:t>
              </m:r>
              <m:r>
                <w:rPr>
                  <w:rFonts w:ascii="Cambria Math" w:eastAsiaTheme="minorEastAsia" w:hAnsi="Cambria Math" w:cs="Arial"/>
                </w:rPr>
                <m:t>hourly wage+20%</m:t>
              </m:r>
            </m:e>
          </m:d>
          <m:r>
            <w:rPr>
              <w:rFonts w:ascii="Cambria Math" w:eastAsiaTheme="minorEastAsia" w:hAnsi="Cambria Math" w:cs="Arial"/>
            </w:rPr>
            <m:t>=cost of completing task for small service</m:t>
          </m:r>
        </m:oMath>
      </m:oMathPara>
    </w:p>
    <w:p w14:paraId="3731886B" w14:textId="77777777" w:rsidR="00BF7699" w:rsidRPr="009E68AC" w:rsidRDefault="00BF7699" w:rsidP="00BF7699">
      <w:pPr>
        <w:spacing w:before="120"/>
        <w:rPr>
          <w:rFonts w:ascii="Arial" w:eastAsiaTheme="minorEastAsia" w:hAnsi="Arial" w:cs="Arial"/>
        </w:rPr>
      </w:pPr>
      <m:oMathPara>
        <m:oMath>
          <m:r>
            <w:rPr>
              <w:rFonts w:ascii="Cambria Math" w:eastAsiaTheme="minorEastAsia" w:hAnsi="Cambria Math" w:cs="Arial"/>
            </w:rPr>
            <m:t>medium service time assumption ×</m:t>
          </m:r>
          <m:d>
            <m:dPr>
              <m:ctrlPr>
                <w:rPr>
                  <w:rFonts w:ascii="Cambria Math" w:eastAsiaTheme="minorEastAsia" w:hAnsi="Cambria Math" w:cs="Arial"/>
                  <w:i/>
                </w:rPr>
              </m:ctrlPr>
            </m:dPr>
            <m:e>
              <m:r>
                <w:rPr>
                  <w:rFonts w:ascii="Cambria Math" w:eastAsiaTheme="minorEastAsia" w:hAnsi="Cambria Math" w:cs="Arial"/>
                </w:rPr>
                <m:t xml:space="preserve">Level 3.1 </m:t>
              </m:r>
              <m:r>
                <w:rPr>
                  <w:rFonts w:ascii="Cambria Math" w:eastAsiaTheme="minorEastAsia" w:hAnsi="Cambria Math" w:cs="Arial"/>
                </w:rPr>
                <m:t>hourly wage+20%</m:t>
              </m:r>
            </m:e>
          </m:d>
          <m:r>
            <w:rPr>
              <w:rFonts w:ascii="Cambria Math" w:eastAsiaTheme="minorEastAsia" w:hAnsi="Cambria Math" w:cs="Arial"/>
            </w:rPr>
            <m:t>=cost of completing task for medium service</m:t>
          </m:r>
        </m:oMath>
      </m:oMathPara>
    </w:p>
    <w:p w14:paraId="024B3609" w14:textId="77777777" w:rsidR="00BF7699" w:rsidRPr="00BF7699" w:rsidRDefault="00BF7699" w:rsidP="00BF7699">
      <w:pPr>
        <w:pStyle w:val="EYBodytextwithparaspace"/>
        <w:spacing w:before="120" w:after="120"/>
        <w:rPr>
          <w:rFonts w:ascii="Arial" w:eastAsiaTheme="minorEastAsia" w:hAnsi="Arial" w:cs="Arial"/>
          <w:sz w:val="22"/>
          <w:szCs w:val="22"/>
        </w:rPr>
      </w:pPr>
      <w:r w:rsidRPr="00BF7699">
        <w:rPr>
          <w:rFonts w:ascii="Arial" w:eastAsiaTheme="minorEastAsia" w:hAnsi="Arial" w:cs="Arial"/>
          <w:sz w:val="22"/>
          <w:szCs w:val="22"/>
        </w:rPr>
        <w:t>The annual cost for all new services to establish policies and procedures was calculated by multiplying this establishment cost by the number of new services expected to enter the sector each year (in the proportion of service type that currently exists).</w:t>
      </w:r>
    </w:p>
    <w:p w14:paraId="1A649D7C" w14:textId="77777777" w:rsidR="00BF7699" w:rsidRPr="006C5D9D" w:rsidRDefault="008A603E" w:rsidP="00BF7699">
      <w:pPr>
        <w:spacing w:before="120"/>
        <w:rPr>
          <w:rFonts w:ascii="Arial" w:eastAsiaTheme="minorEastAsia" w:hAnsi="Arial" w:cs="Arial"/>
        </w:rPr>
      </w:pPr>
      <m:oMathPara>
        <m:oMath>
          <m:d>
            <m:dPr>
              <m:ctrlPr>
                <w:rPr>
                  <w:rFonts w:ascii="Cambria Math" w:eastAsiaTheme="minorEastAsia" w:hAnsi="Cambria Math" w:cs="Arial"/>
                  <w:i/>
                </w:rPr>
              </m:ctrlPr>
            </m:dPr>
            <m:e>
              <m:r>
                <w:rPr>
                  <w:rFonts w:ascii="Cambria Math" w:eastAsiaTheme="minorEastAsia" w:hAnsi="Cambria Math" w:cs="Arial"/>
                </w:rPr>
                <m:t>(no. small services ÷total no. services</m:t>
              </m:r>
            </m:e>
          </m:d>
          <m:r>
            <w:rPr>
              <w:rFonts w:ascii="Cambria Math" w:eastAsiaTheme="minorEastAsia" w:hAnsi="Cambria Math" w:cs="Arial"/>
            </w:rPr>
            <m:t>×20) ×cost of completing task for small service=annual cost of establishing polices for new small services</m:t>
          </m:r>
        </m:oMath>
      </m:oMathPara>
    </w:p>
    <w:p w14:paraId="20FA69F4" w14:textId="77777777" w:rsidR="00BF7699" w:rsidRPr="009E68AC" w:rsidRDefault="008A603E" w:rsidP="00BF7699">
      <w:pPr>
        <w:spacing w:before="120"/>
        <w:rPr>
          <w:rFonts w:ascii="Arial" w:eastAsiaTheme="minorEastAsia" w:hAnsi="Arial" w:cs="Arial"/>
        </w:rPr>
      </w:pPr>
      <m:oMathPara>
        <m:oMath>
          <m:d>
            <m:dPr>
              <m:ctrlPr>
                <w:rPr>
                  <w:rFonts w:ascii="Cambria Math" w:eastAsiaTheme="minorEastAsia" w:hAnsi="Cambria Math" w:cs="Arial"/>
                  <w:i/>
                </w:rPr>
              </m:ctrlPr>
            </m:dPr>
            <m:e>
              <m:d>
                <m:dPr>
                  <m:ctrlPr>
                    <w:rPr>
                      <w:rFonts w:ascii="Cambria Math" w:eastAsiaTheme="minorEastAsia" w:hAnsi="Cambria Math" w:cs="Arial"/>
                      <w:i/>
                    </w:rPr>
                  </m:ctrlPr>
                </m:dPr>
                <m:e>
                  <m:r>
                    <w:rPr>
                      <w:rFonts w:ascii="Cambria Math" w:eastAsiaTheme="minorEastAsia" w:hAnsi="Cambria Math" w:cs="Arial"/>
                    </w:rPr>
                    <m:t>no. medium services ÷total no. services</m:t>
                  </m:r>
                </m:e>
              </m:d>
              <m:r>
                <w:rPr>
                  <w:rFonts w:ascii="Cambria Math" w:eastAsiaTheme="minorEastAsia" w:hAnsi="Cambria Math" w:cs="Arial"/>
                </w:rPr>
                <m:t>×20</m:t>
              </m:r>
            </m:e>
          </m:d>
          <m:r>
            <w:rPr>
              <w:rFonts w:ascii="Cambria Math" w:eastAsiaTheme="minorEastAsia" w:hAnsi="Cambria Math" w:cs="Arial"/>
            </w:rPr>
            <m:t>×costof completing task for medium service=annual cost of establishing policies for new medium services</m:t>
          </m:r>
        </m:oMath>
      </m:oMathPara>
    </w:p>
    <w:p w14:paraId="41BF8032" w14:textId="77777777" w:rsidR="00BF7699" w:rsidRPr="00BF7699" w:rsidRDefault="00BF7699" w:rsidP="00BF7699">
      <w:pPr>
        <w:pStyle w:val="EYBodytextwithparaspace"/>
        <w:spacing w:before="120" w:after="120"/>
        <w:rPr>
          <w:rFonts w:ascii="Arial" w:eastAsiaTheme="minorEastAsia" w:hAnsi="Arial" w:cs="Arial"/>
          <w:sz w:val="22"/>
          <w:szCs w:val="22"/>
        </w:rPr>
      </w:pPr>
      <w:r w:rsidRPr="00BF7699">
        <w:rPr>
          <w:rFonts w:ascii="Arial" w:eastAsiaTheme="minorEastAsia" w:hAnsi="Arial" w:cs="Arial"/>
          <w:sz w:val="22"/>
          <w:szCs w:val="22"/>
        </w:rPr>
        <w:t>The total cost of new services establishing policies and procedures over 10 years was calculated by multiplying the total annual cost of all new services completing this task by 10 (as the same number of new services is assumed to enter the sector each year).</w:t>
      </w:r>
    </w:p>
    <w:p w14:paraId="5C7D89C1" w14:textId="77777777" w:rsidR="001C06F3" w:rsidRDefault="001C06F3">
      <w:pPr>
        <w:spacing w:after="0"/>
        <w:rPr>
          <w:rFonts w:ascii="Arial" w:hAnsi="Arial" w:cs="Arial"/>
          <w:b/>
        </w:rPr>
      </w:pPr>
      <w:r>
        <w:rPr>
          <w:rFonts w:ascii="Arial" w:hAnsi="Arial" w:cs="Arial"/>
          <w:b/>
        </w:rPr>
        <w:br w:type="page"/>
      </w:r>
    </w:p>
    <w:p w14:paraId="75D2A1C0" w14:textId="15CFB5C8" w:rsidR="00BF7699" w:rsidRPr="0004599B" w:rsidRDefault="00BF7699" w:rsidP="00BF7699">
      <w:pPr>
        <w:spacing w:before="120"/>
        <w:rPr>
          <w:rFonts w:ascii="Arial" w:hAnsi="Arial" w:cs="Arial"/>
          <w:b/>
        </w:rPr>
      </w:pPr>
      <w:r w:rsidRPr="0004599B">
        <w:rPr>
          <w:rFonts w:ascii="Arial" w:hAnsi="Arial" w:cs="Arial"/>
          <w:b/>
        </w:rPr>
        <w:lastRenderedPageBreak/>
        <w:t>Costing assumptions – units and sources</w:t>
      </w:r>
    </w:p>
    <w:p w14:paraId="2C9437A4" w14:textId="77777777" w:rsidR="00BF7699" w:rsidRPr="0004599B" w:rsidRDefault="00BF7699" w:rsidP="00BF7699">
      <w:pPr>
        <w:rPr>
          <w:rFonts w:ascii="Arial" w:hAnsi="Arial" w:cs="Arial"/>
          <w:b/>
          <w:i/>
        </w:rPr>
      </w:pPr>
      <w:r w:rsidRPr="0004599B">
        <w:rPr>
          <w:rFonts w:ascii="Arial" w:hAnsi="Arial" w:cs="Arial"/>
          <w:b/>
          <w:i/>
        </w:rPr>
        <w:t>General assumptions</w:t>
      </w:r>
    </w:p>
    <w:tbl>
      <w:tblPr>
        <w:tblStyle w:val="TableGrid"/>
        <w:tblW w:w="0" w:type="auto"/>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1980"/>
        <w:gridCol w:w="4678"/>
        <w:gridCol w:w="2358"/>
      </w:tblGrid>
      <w:tr w:rsidR="00BF7699" w:rsidRPr="0017351B" w14:paraId="7BF01B41" w14:textId="77777777" w:rsidTr="00876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right w:val="none" w:sz="0" w:space="0" w:color="auto"/>
            </w:tcBorders>
          </w:tcPr>
          <w:p w14:paraId="4D274FD7" w14:textId="77777777" w:rsidR="00BF7699" w:rsidRPr="0017351B" w:rsidRDefault="00BF7699" w:rsidP="00876E9B">
            <w:pPr>
              <w:spacing w:after="60"/>
              <w:rPr>
                <w:rFonts w:cs="Arial"/>
              </w:rPr>
            </w:pPr>
            <w:r w:rsidRPr="0017351B">
              <w:rPr>
                <w:rFonts w:cs="Arial"/>
              </w:rPr>
              <w:t>Category</w:t>
            </w:r>
          </w:p>
        </w:tc>
        <w:tc>
          <w:tcPr>
            <w:tcW w:w="4678" w:type="dxa"/>
            <w:tcBorders>
              <w:left w:val="none" w:sz="0" w:space="0" w:color="auto"/>
              <w:right w:val="none" w:sz="0" w:space="0" w:color="auto"/>
            </w:tcBorders>
            <w:vAlign w:val="center"/>
          </w:tcPr>
          <w:p w14:paraId="782ECCF5" w14:textId="77777777" w:rsidR="00BF7699" w:rsidRPr="0017351B" w:rsidRDefault="00BF7699" w:rsidP="00876E9B">
            <w:pPr>
              <w:spacing w:after="60"/>
              <w:cnfStyle w:val="100000000000" w:firstRow="1" w:lastRow="0" w:firstColumn="0" w:lastColumn="0" w:oddVBand="0" w:evenVBand="0" w:oddHBand="0" w:evenHBand="0" w:firstRowFirstColumn="0" w:firstRowLastColumn="0" w:lastRowFirstColumn="0" w:lastRowLastColumn="0"/>
              <w:rPr>
                <w:rFonts w:cs="Arial"/>
              </w:rPr>
            </w:pPr>
            <w:r w:rsidRPr="0017351B">
              <w:rPr>
                <w:rFonts w:cs="Arial"/>
              </w:rPr>
              <w:t>Assumption</w:t>
            </w:r>
          </w:p>
        </w:tc>
        <w:tc>
          <w:tcPr>
            <w:tcW w:w="2358" w:type="dxa"/>
            <w:tcBorders>
              <w:left w:val="none" w:sz="0" w:space="0" w:color="auto"/>
            </w:tcBorders>
            <w:vAlign w:val="center"/>
          </w:tcPr>
          <w:p w14:paraId="3679DBC0" w14:textId="77777777" w:rsidR="00BF7699" w:rsidRPr="0017351B" w:rsidRDefault="00BF7699" w:rsidP="00876E9B">
            <w:pPr>
              <w:spacing w:after="60"/>
              <w:cnfStyle w:val="100000000000" w:firstRow="1" w:lastRow="0" w:firstColumn="0" w:lastColumn="0" w:oddVBand="0" w:evenVBand="0" w:oddHBand="0" w:evenHBand="0" w:firstRowFirstColumn="0" w:firstRowLastColumn="0" w:lastRowFirstColumn="0" w:lastRowLastColumn="0"/>
              <w:rPr>
                <w:rFonts w:cs="Arial"/>
              </w:rPr>
            </w:pPr>
            <w:r w:rsidRPr="0017351B">
              <w:rPr>
                <w:rFonts w:cs="Arial"/>
              </w:rPr>
              <w:t>Source</w:t>
            </w:r>
          </w:p>
        </w:tc>
      </w:tr>
      <w:tr w:rsidR="00BF7699" w:rsidRPr="0017351B" w14:paraId="07808CF1" w14:textId="77777777" w:rsidTr="00876E9B">
        <w:tc>
          <w:tcPr>
            <w:cnfStyle w:val="001000000000" w:firstRow="0" w:lastRow="0" w:firstColumn="1" w:lastColumn="0" w:oddVBand="0" w:evenVBand="0" w:oddHBand="0" w:evenHBand="0" w:firstRowFirstColumn="0" w:firstRowLastColumn="0" w:lastRowFirstColumn="0" w:lastRowLastColumn="0"/>
            <w:tcW w:w="1980" w:type="dxa"/>
          </w:tcPr>
          <w:p w14:paraId="455289E5" w14:textId="77777777" w:rsidR="00BF7699" w:rsidRPr="0017351B" w:rsidRDefault="00BF7699" w:rsidP="00876E9B">
            <w:pPr>
              <w:spacing w:after="60"/>
              <w:rPr>
                <w:rFonts w:cs="Arial"/>
              </w:rPr>
            </w:pPr>
            <w:r w:rsidRPr="0017351B">
              <w:rPr>
                <w:rFonts w:cs="Arial"/>
              </w:rPr>
              <w:t>Timing</w:t>
            </w:r>
          </w:p>
        </w:tc>
        <w:tc>
          <w:tcPr>
            <w:tcW w:w="4678" w:type="dxa"/>
            <w:vAlign w:val="center"/>
          </w:tcPr>
          <w:p w14:paraId="0DD0483D" w14:textId="35229DC1" w:rsidR="00BF7699" w:rsidRPr="0017351B" w:rsidRDefault="00BF7699" w:rsidP="00876E9B">
            <w:pPr>
              <w:spacing w:after="60"/>
              <w:cnfStyle w:val="000000000000" w:firstRow="0" w:lastRow="0" w:firstColumn="0" w:lastColumn="0" w:oddVBand="0" w:evenVBand="0" w:oddHBand="0" w:evenHBand="0" w:firstRowFirstColumn="0" w:firstRowLastColumn="0" w:lastRowFirstColumn="0" w:lastRowLastColumn="0"/>
              <w:rPr>
                <w:rFonts w:cs="Arial"/>
              </w:rPr>
            </w:pPr>
            <w:r w:rsidRPr="0017351B">
              <w:rPr>
                <w:rFonts w:cs="Arial"/>
              </w:rPr>
              <w:t>Model start date July 2020</w:t>
            </w:r>
            <w:r w:rsidR="00876E9B">
              <w:rPr>
                <w:rFonts w:cs="Arial"/>
              </w:rPr>
              <w:t xml:space="preserve">; </w:t>
            </w:r>
            <w:r w:rsidRPr="0017351B">
              <w:rPr>
                <w:rFonts w:cs="Arial"/>
              </w:rPr>
              <w:t>Model end date July 2030</w:t>
            </w:r>
          </w:p>
        </w:tc>
        <w:tc>
          <w:tcPr>
            <w:tcW w:w="2358" w:type="dxa"/>
            <w:vAlign w:val="center"/>
          </w:tcPr>
          <w:p w14:paraId="0A700BC7" w14:textId="77777777" w:rsidR="00BF7699" w:rsidRPr="0017351B" w:rsidRDefault="00BF7699" w:rsidP="00876E9B">
            <w:pPr>
              <w:spacing w:after="60"/>
              <w:cnfStyle w:val="000000000000" w:firstRow="0" w:lastRow="0" w:firstColumn="0" w:lastColumn="0" w:oddVBand="0" w:evenVBand="0" w:oddHBand="0" w:evenHBand="0" w:firstRowFirstColumn="0" w:firstRowLastColumn="0" w:lastRowFirstColumn="0" w:lastRowLastColumn="0"/>
              <w:rPr>
                <w:rFonts w:cs="Arial"/>
              </w:rPr>
            </w:pPr>
            <w:r w:rsidRPr="0017351B">
              <w:rPr>
                <w:rFonts w:cs="Arial"/>
              </w:rPr>
              <w:t>Global assumption</w:t>
            </w:r>
          </w:p>
        </w:tc>
      </w:tr>
      <w:tr w:rsidR="00BF7699" w:rsidRPr="0017351B" w14:paraId="3B47A9D3" w14:textId="77777777" w:rsidTr="00876E9B">
        <w:tc>
          <w:tcPr>
            <w:cnfStyle w:val="001000000000" w:firstRow="0" w:lastRow="0" w:firstColumn="1" w:lastColumn="0" w:oddVBand="0" w:evenVBand="0" w:oddHBand="0" w:evenHBand="0" w:firstRowFirstColumn="0" w:firstRowLastColumn="0" w:lastRowFirstColumn="0" w:lastRowLastColumn="0"/>
            <w:tcW w:w="1980" w:type="dxa"/>
          </w:tcPr>
          <w:p w14:paraId="69AB9D24" w14:textId="77777777" w:rsidR="00BF7699" w:rsidRPr="0017351B" w:rsidRDefault="00BF7699" w:rsidP="00876E9B">
            <w:pPr>
              <w:spacing w:after="60"/>
              <w:rPr>
                <w:rFonts w:cs="Arial"/>
              </w:rPr>
            </w:pPr>
            <w:r w:rsidRPr="0017351B">
              <w:rPr>
                <w:rFonts w:cs="Arial"/>
              </w:rPr>
              <w:t>Discount Rate</w:t>
            </w:r>
          </w:p>
        </w:tc>
        <w:tc>
          <w:tcPr>
            <w:tcW w:w="4678" w:type="dxa"/>
            <w:vAlign w:val="center"/>
          </w:tcPr>
          <w:p w14:paraId="77B852A1" w14:textId="77777777" w:rsidR="00BF7699" w:rsidRPr="0017351B" w:rsidRDefault="00BF7699" w:rsidP="00876E9B">
            <w:pPr>
              <w:spacing w:after="60"/>
              <w:cnfStyle w:val="000000000000" w:firstRow="0" w:lastRow="0" w:firstColumn="0" w:lastColumn="0" w:oddVBand="0" w:evenVBand="0" w:oddHBand="0" w:evenHBand="0" w:firstRowFirstColumn="0" w:firstRowLastColumn="0" w:lastRowFirstColumn="0" w:lastRowLastColumn="0"/>
              <w:rPr>
                <w:rFonts w:cs="Arial"/>
              </w:rPr>
            </w:pPr>
            <w:r w:rsidRPr="0017351B">
              <w:rPr>
                <w:rFonts w:cs="Arial"/>
              </w:rPr>
              <w:t>Real @ 4%</w:t>
            </w:r>
          </w:p>
        </w:tc>
        <w:tc>
          <w:tcPr>
            <w:tcW w:w="2358" w:type="dxa"/>
            <w:vAlign w:val="center"/>
          </w:tcPr>
          <w:p w14:paraId="7546E18C" w14:textId="365B2DE9" w:rsidR="00BF7699" w:rsidRPr="0017351B" w:rsidRDefault="00876E9B" w:rsidP="00876E9B">
            <w:pPr>
              <w:spacing w:after="60"/>
              <w:cnfStyle w:val="000000000000" w:firstRow="0" w:lastRow="0" w:firstColumn="0" w:lastColumn="0" w:oddVBand="0" w:evenVBand="0" w:oddHBand="0" w:evenHBand="0" w:firstRowFirstColumn="0" w:firstRowLastColumn="0" w:lastRowFirstColumn="0" w:lastRowLastColumn="0"/>
              <w:rPr>
                <w:rFonts w:cs="Arial"/>
              </w:rPr>
            </w:pPr>
            <w:r>
              <w:rPr>
                <w:rFonts w:cs="Arial"/>
              </w:rPr>
              <w:t>Better Regulation Victoria</w:t>
            </w:r>
          </w:p>
        </w:tc>
      </w:tr>
    </w:tbl>
    <w:p w14:paraId="474AE822" w14:textId="77777777" w:rsidR="00BF7699" w:rsidRPr="00876E9B" w:rsidRDefault="00BF7699" w:rsidP="00BF7699">
      <w:pPr>
        <w:rPr>
          <w:rFonts w:ascii="Arial Narrow" w:hAnsi="Arial Narrow" w:cs="Arial"/>
        </w:rPr>
      </w:pPr>
    </w:p>
    <w:p w14:paraId="1FB82A15" w14:textId="77777777" w:rsidR="00BF7699" w:rsidRPr="0004599B" w:rsidRDefault="00BF7699" w:rsidP="00BF7699">
      <w:pPr>
        <w:rPr>
          <w:rFonts w:ascii="Arial" w:hAnsi="Arial" w:cs="Arial"/>
          <w:b/>
          <w:i/>
        </w:rPr>
      </w:pPr>
      <w:r w:rsidRPr="0004599B">
        <w:rPr>
          <w:rFonts w:ascii="Arial" w:hAnsi="Arial" w:cs="Arial"/>
          <w:b/>
          <w:i/>
        </w:rPr>
        <w:t>Number of services</w:t>
      </w:r>
    </w:p>
    <w:tbl>
      <w:tblPr>
        <w:tblStyle w:val="TableGrid"/>
        <w:tblW w:w="0" w:type="auto"/>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3256"/>
        <w:gridCol w:w="2976"/>
        <w:gridCol w:w="1418"/>
      </w:tblGrid>
      <w:tr w:rsidR="00BF7699" w:rsidRPr="0004599B" w14:paraId="0AB6671D" w14:textId="77777777" w:rsidTr="003D0B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right w:val="none" w:sz="0" w:space="0" w:color="auto"/>
            </w:tcBorders>
          </w:tcPr>
          <w:p w14:paraId="77333746" w14:textId="77777777" w:rsidR="00BF7699" w:rsidRPr="0004599B" w:rsidRDefault="00BF7699" w:rsidP="00BF7699">
            <w:pPr>
              <w:spacing w:after="0"/>
              <w:rPr>
                <w:rFonts w:cs="Arial"/>
              </w:rPr>
            </w:pPr>
            <w:r>
              <w:rPr>
                <w:rFonts w:cs="Arial"/>
              </w:rPr>
              <w:t>Category</w:t>
            </w:r>
          </w:p>
        </w:tc>
        <w:tc>
          <w:tcPr>
            <w:tcW w:w="2976" w:type="dxa"/>
            <w:tcBorders>
              <w:left w:val="none" w:sz="0" w:space="0" w:color="auto"/>
              <w:right w:val="none" w:sz="0" w:space="0" w:color="auto"/>
            </w:tcBorders>
          </w:tcPr>
          <w:p w14:paraId="02DC7BDC" w14:textId="77777777" w:rsidR="00BF7699" w:rsidRPr="0004599B" w:rsidRDefault="00BF7699" w:rsidP="00BF7699">
            <w:pPr>
              <w:spacing w:after="0"/>
              <w:cnfStyle w:val="100000000000" w:firstRow="1" w:lastRow="0" w:firstColumn="0" w:lastColumn="0" w:oddVBand="0" w:evenVBand="0" w:oddHBand="0" w:evenHBand="0" w:firstRowFirstColumn="0" w:firstRowLastColumn="0" w:lastRowFirstColumn="0" w:lastRowLastColumn="0"/>
              <w:rPr>
                <w:rFonts w:cs="Arial"/>
              </w:rPr>
            </w:pPr>
            <w:r>
              <w:rPr>
                <w:rFonts w:cs="Arial"/>
              </w:rPr>
              <w:t>Unit</w:t>
            </w:r>
          </w:p>
        </w:tc>
        <w:tc>
          <w:tcPr>
            <w:tcW w:w="1418" w:type="dxa"/>
            <w:tcBorders>
              <w:left w:val="none" w:sz="0" w:space="0" w:color="auto"/>
            </w:tcBorders>
          </w:tcPr>
          <w:p w14:paraId="5F884B1C" w14:textId="77777777" w:rsidR="00BF7699" w:rsidRPr="0004599B" w:rsidRDefault="00BF7699" w:rsidP="00BF7699">
            <w:pPr>
              <w:spacing w:after="0"/>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w:t>
            </w:r>
          </w:p>
        </w:tc>
      </w:tr>
      <w:tr w:rsidR="00BF7699" w:rsidRPr="0004599B" w14:paraId="0B556AC6" w14:textId="77777777" w:rsidTr="003D0B64">
        <w:tc>
          <w:tcPr>
            <w:cnfStyle w:val="001000000000" w:firstRow="0" w:lastRow="0" w:firstColumn="1" w:lastColumn="0" w:oddVBand="0" w:evenVBand="0" w:oddHBand="0" w:evenHBand="0" w:firstRowFirstColumn="0" w:firstRowLastColumn="0" w:lastRowFirstColumn="0" w:lastRowLastColumn="0"/>
            <w:tcW w:w="3256" w:type="dxa"/>
            <w:vMerge w:val="restart"/>
          </w:tcPr>
          <w:p w14:paraId="129E8A45" w14:textId="77777777" w:rsidR="00BF7699" w:rsidRDefault="00BF7699" w:rsidP="00BF7699">
            <w:pPr>
              <w:spacing w:after="0"/>
              <w:rPr>
                <w:rFonts w:cs="Arial"/>
              </w:rPr>
            </w:pPr>
            <w:r>
              <w:rPr>
                <w:rFonts w:cs="Arial"/>
              </w:rPr>
              <w:t>Approved places</w:t>
            </w:r>
          </w:p>
        </w:tc>
        <w:tc>
          <w:tcPr>
            <w:tcW w:w="2976" w:type="dxa"/>
          </w:tcPr>
          <w:p w14:paraId="672B3E86" w14:textId="77777777" w:rsidR="00BF7699" w:rsidRPr="0004599B" w:rsidRDefault="00BF7699" w:rsidP="00BF7699">
            <w:pPr>
              <w:spacing w:after="0"/>
              <w:cnfStyle w:val="000000000000" w:firstRow="0" w:lastRow="0" w:firstColumn="0" w:lastColumn="0" w:oddVBand="0" w:evenVBand="0" w:oddHBand="0" w:evenHBand="0" w:firstRowFirstColumn="0" w:firstRowLastColumn="0" w:lastRowFirstColumn="0" w:lastRowLastColumn="0"/>
              <w:rPr>
                <w:rFonts w:cs="Arial"/>
              </w:rPr>
            </w:pPr>
            <w:r>
              <w:rPr>
                <w:rFonts w:cs="Arial"/>
              </w:rPr>
              <w:t>1-15</w:t>
            </w:r>
          </w:p>
        </w:tc>
        <w:tc>
          <w:tcPr>
            <w:tcW w:w="1418" w:type="dxa"/>
          </w:tcPr>
          <w:p w14:paraId="010A8322"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68</w:t>
            </w:r>
          </w:p>
        </w:tc>
      </w:tr>
      <w:tr w:rsidR="00BF7699" w:rsidRPr="0004599B" w14:paraId="3E20650B" w14:textId="77777777" w:rsidTr="003D0B64">
        <w:tc>
          <w:tcPr>
            <w:cnfStyle w:val="001000000000" w:firstRow="0" w:lastRow="0" w:firstColumn="1" w:lastColumn="0" w:oddVBand="0" w:evenVBand="0" w:oddHBand="0" w:evenHBand="0" w:firstRowFirstColumn="0" w:firstRowLastColumn="0" w:lastRowFirstColumn="0" w:lastRowLastColumn="0"/>
            <w:tcW w:w="3256" w:type="dxa"/>
            <w:vMerge/>
          </w:tcPr>
          <w:p w14:paraId="66EDE2FA" w14:textId="77777777" w:rsidR="00BF7699" w:rsidRDefault="00BF7699" w:rsidP="00BF7699">
            <w:pPr>
              <w:spacing w:after="0"/>
              <w:rPr>
                <w:rFonts w:cs="Arial"/>
              </w:rPr>
            </w:pPr>
          </w:p>
        </w:tc>
        <w:tc>
          <w:tcPr>
            <w:tcW w:w="2976" w:type="dxa"/>
          </w:tcPr>
          <w:p w14:paraId="4F298D3D" w14:textId="77777777" w:rsidR="00BF7699" w:rsidRPr="0004599B" w:rsidRDefault="00BF7699" w:rsidP="00BF7699">
            <w:pPr>
              <w:spacing w:after="0"/>
              <w:cnfStyle w:val="000000000000" w:firstRow="0" w:lastRow="0" w:firstColumn="0" w:lastColumn="0" w:oddVBand="0" w:evenVBand="0" w:oddHBand="0" w:evenHBand="0" w:firstRowFirstColumn="0" w:firstRowLastColumn="0" w:lastRowFirstColumn="0" w:lastRowLastColumn="0"/>
              <w:rPr>
                <w:rFonts w:cs="Arial"/>
              </w:rPr>
            </w:pPr>
            <w:r>
              <w:rPr>
                <w:rFonts w:cs="Arial"/>
              </w:rPr>
              <w:t>16-30</w:t>
            </w:r>
          </w:p>
        </w:tc>
        <w:tc>
          <w:tcPr>
            <w:tcW w:w="1418" w:type="dxa"/>
          </w:tcPr>
          <w:p w14:paraId="081C3B6C"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208</w:t>
            </w:r>
          </w:p>
        </w:tc>
      </w:tr>
      <w:tr w:rsidR="00BF7699" w:rsidRPr="0004599B" w14:paraId="29732B5B" w14:textId="77777777" w:rsidTr="003D0B64">
        <w:tc>
          <w:tcPr>
            <w:cnfStyle w:val="001000000000" w:firstRow="0" w:lastRow="0" w:firstColumn="1" w:lastColumn="0" w:oddVBand="0" w:evenVBand="0" w:oddHBand="0" w:evenHBand="0" w:firstRowFirstColumn="0" w:firstRowLastColumn="0" w:lastRowFirstColumn="0" w:lastRowLastColumn="0"/>
            <w:tcW w:w="3256" w:type="dxa"/>
            <w:vMerge/>
          </w:tcPr>
          <w:p w14:paraId="7BD1236B" w14:textId="77777777" w:rsidR="00BF7699" w:rsidRDefault="00BF7699" w:rsidP="00BF7699">
            <w:pPr>
              <w:spacing w:after="0"/>
              <w:rPr>
                <w:rFonts w:cs="Arial"/>
              </w:rPr>
            </w:pPr>
          </w:p>
        </w:tc>
        <w:tc>
          <w:tcPr>
            <w:tcW w:w="2976" w:type="dxa"/>
          </w:tcPr>
          <w:p w14:paraId="2148CA91" w14:textId="77777777" w:rsidR="00BF7699" w:rsidRPr="0004599B" w:rsidRDefault="00BF7699" w:rsidP="00BF7699">
            <w:pPr>
              <w:spacing w:after="0"/>
              <w:cnfStyle w:val="000000000000" w:firstRow="0" w:lastRow="0" w:firstColumn="0" w:lastColumn="0" w:oddVBand="0" w:evenVBand="0" w:oddHBand="0" w:evenHBand="0" w:firstRowFirstColumn="0" w:firstRowLastColumn="0" w:lastRowFirstColumn="0" w:lastRowLastColumn="0"/>
              <w:rPr>
                <w:rFonts w:cs="Arial"/>
              </w:rPr>
            </w:pPr>
            <w:r>
              <w:rPr>
                <w:rFonts w:cs="Arial"/>
              </w:rPr>
              <w:t>31-60</w:t>
            </w:r>
          </w:p>
        </w:tc>
        <w:tc>
          <w:tcPr>
            <w:tcW w:w="1418" w:type="dxa"/>
          </w:tcPr>
          <w:p w14:paraId="008FD88C"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59</w:t>
            </w:r>
          </w:p>
        </w:tc>
      </w:tr>
      <w:tr w:rsidR="00BF7699" w:rsidRPr="0004599B" w14:paraId="2CD2A0EA" w14:textId="77777777" w:rsidTr="003D0B64">
        <w:tc>
          <w:tcPr>
            <w:cnfStyle w:val="001000000000" w:firstRow="0" w:lastRow="0" w:firstColumn="1" w:lastColumn="0" w:oddVBand="0" w:evenVBand="0" w:oddHBand="0" w:evenHBand="0" w:firstRowFirstColumn="0" w:firstRowLastColumn="0" w:lastRowFirstColumn="0" w:lastRowLastColumn="0"/>
            <w:tcW w:w="3256" w:type="dxa"/>
            <w:vMerge/>
          </w:tcPr>
          <w:p w14:paraId="42531A40" w14:textId="77777777" w:rsidR="00BF7699" w:rsidRDefault="00BF7699" w:rsidP="00BF7699">
            <w:pPr>
              <w:spacing w:after="0"/>
              <w:rPr>
                <w:rFonts w:cs="Arial"/>
              </w:rPr>
            </w:pPr>
          </w:p>
        </w:tc>
        <w:tc>
          <w:tcPr>
            <w:tcW w:w="2976" w:type="dxa"/>
          </w:tcPr>
          <w:p w14:paraId="0922E694" w14:textId="77777777" w:rsidR="00BF7699" w:rsidRPr="0004599B" w:rsidRDefault="00BF7699" w:rsidP="00BF7699">
            <w:pPr>
              <w:spacing w:after="0"/>
              <w:cnfStyle w:val="000000000000" w:firstRow="0" w:lastRow="0" w:firstColumn="0" w:lastColumn="0" w:oddVBand="0" w:evenVBand="0" w:oddHBand="0" w:evenHBand="0" w:firstRowFirstColumn="0" w:firstRowLastColumn="0" w:lastRowFirstColumn="0" w:lastRowLastColumn="0"/>
              <w:rPr>
                <w:rFonts w:cs="Arial"/>
              </w:rPr>
            </w:pPr>
            <w:r>
              <w:rPr>
                <w:rFonts w:cs="Arial"/>
              </w:rPr>
              <w:t>61-120</w:t>
            </w:r>
          </w:p>
        </w:tc>
        <w:tc>
          <w:tcPr>
            <w:tcW w:w="1418" w:type="dxa"/>
          </w:tcPr>
          <w:p w14:paraId="1AF464FB"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5</w:t>
            </w:r>
          </w:p>
        </w:tc>
      </w:tr>
      <w:tr w:rsidR="00BF7699" w:rsidRPr="0004599B" w14:paraId="6EC2AB38" w14:textId="77777777" w:rsidTr="003D0B64">
        <w:tc>
          <w:tcPr>
            <w:cnfStyle w:val="001000000000" w:firstRow="0" w:lastRow="0" w:firstColumn="1" w:lastColumn="0" w:oddVBand="0" w:evenVBand="0" w:oddHBand="0" w:evenHBand="0" w:firstRowFirstColumn="0" w:firstRowLastColumn="0" w:lastRowFirstColumn="0" w:lastRowLastColumn="0"/>
            <w:tcW w:w="3256" w:type="dxa"/>
            <w:vMerge/>
          </w:tcPr>
          <w:p w14:paraId="2773FF89" w14:textId="77777777" w:rsidR="00BF7699" w:rsidRPr="0004599B" w:rsidRDefault="00BF7699" w:rsidP="00BF7699">
            <w:pPr>
              <w:spacing w:after="0"/>
              <w:rPr>
                <w:rFonts w:cs="Arial"/>
              </w:rPr>
            </w:pPr>
          </w:p>
        </w:tc>
        <w:tc>
          <w:tcPr>
            <w:tcW w:w="2976" w:type="dxa"/>
          </w:tcPr>
          <w:p w14:paraId="281EEC09" w14:textId="77777777" w:rsidR="00BF7699" w:rsidRPr="0004599B" w:rsidRDefault="00BF7699" w:rsidP="00BF7699">
            <w:pPr>
              <w:spacing w:after="0"/>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121 or more</w:t>
            </w:r>
          </w:p>
        </w:tc>
        <w:tc>
          <w:tcPr>
            <w:tcW w:w="1418" w:type="dxa"/>
          </w:tcPr>
          <w:p w14:paraId="4551D0C3"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1</w:t>
            </w:r>
          </w:p>
        </w:tc>
      </w:tr>
      <w:tr w:rsidR="00BF7699" w:rsidRPr="0004599B" w14:paraId="4D0F08D1" w14:textId="77777777" w:rsidTr="003D0B64">
        <w:tc>
          <w:tcPr>
            <w:cnfStyle w:val="001000000000" w:firstRow="0" w:lastRow="0" w:firstColumn="1" w:lastColumn="0" w:oddVBand="0" w:evenVBand="0" w:oddHBand="0" w:evenHBand="0" w:firstRowFirstColumn="0" w:firstRowLastColumn="0" w:lastRowFirstColumn="0" w:lastRowLastColumn="0"/>
            <w:tcW w:w="3256" w:type="dxa"/>
            <w:vMerge w:val="restart"/>
          </w:tcPr>
          <w:p w14:paraId="3D2F7024" w14:textId="77777777" w:rsidR="00BF7699" w:rsidRDefault="00BF7699" w:rsidP="00BF7699">
            <w:pPr>
              <w:spacing w:after="0"/>
              <w:rPr>
                <w:rFonts w:cs="Arial"/>
              </w:rPr>
            </w:pPr>
            <w:r>
              <w:rPr>
                <w:rFonts w:cs="Arial"/>
              </w:rPr>
              <w:t>Services</w:t>
            </w:r>
          </w:p>
        </w:tc>
        <w:tc>
          <w:tcPr>
            <w:tcW w:w="2976" w:type="dxa"/>
          </w:tcPr>
          <w:p w14:paraId="5FEDE506" w14:textId="77777777" w:rsidR="00BF7699" w:rsidRPr="0004599B" w:rsidRDefault="00BF7699" w:rsidP="00BF7699">
            <w:pPr>
              <w:spacing w:after="0"/>
              <w:cnfStyle w:val="000000000000" w:firstRow="0" w:lastRow="0" w:firstColumn="0" w:lastColumn="0" w:oddVBand="0" w:evenVBand="0" w:oddHBand="0" w:evenHBand="0" w:firstRowFirstColumn="0" w:firstRowLastColumn="0" w:lastRowFirstColumn="0" w:lastRowLastColumn="0"/>
              <w:rPr>
                <w:rFonts w:cs="Arial"/>
              </w:rPr>
            </w:pPr>
            <w:r>
              <w:rPr>
                <w:rFonts w:cs="Arial"/>
              </w:rPr>
              <w:t>New per year</w:t>
            </w:r>
          </w:p>
        </w:tc>
        <w:tc>
          <w:tcPr>
            <w:tcW w:w="1418" w:type="dxa"/>
          </w:tcPr>
          <w:p w14:paraId="4478101D"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20</w:t>
            </w:r>
          </w:p>
        </w:tc>
      </w:tr>
      <w:tr w:rsidR="00BF7699" w:rsidRPr="0004599B" w14:paraId="499238CE" w14:textId="77777777" w:rsidTr="003D0B64">
        <w:tc>
          <w:tcPr>
            <w:cnfStyle w:val="001000000000" w:firstRow="0" w:lastRow="0" w:firstColumn="1" w:lastColumn="0" w:oddVBand="0" w:evenVBand="0" w:oddHBand="0" w:evenHBand="0" w:firstRowFirstColumn="0" w:firstRowLastColumn="0" w:lastRowFirstColumn="0" w:lastRowLastColumn="0"/>
            <w:tcW w:w="3256" w:type="dxa"/>
            <w:vMerge/>
          </w:tcPr>
          <w:p w14:paraId="54D2236D" w14:textId="77777777" w:rsidR="00BF7699" w:rsidRPr="0004599B" w:rsidRDefault="00BF7699" w:rsidP="00BF7699">
            <w:pPr>
              <w:spacing w:after="0"/>
              <w:rPr>
                <w:rFonts w:cs="Arial"/>
              </w:rPr>
            </w:pPr>
          </w:p>
        </w:tc>
        <w:tc>
          <w:tcPr>
            <w:tcW w:w="2976" w:type="dxa"/>
          </w:tcPr>
          <w:p w14:paraId="1CA5DCD9" w14:textId="77777777" w:rsidR="00BF7699" w:rsidRPr="0004599B" w:rsidRDefault="00BF7699" w:rsidP="00BF7699">
            <w:pPr>
              <w:spacing w:after="0"/>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Small</w:t>
            </w:r>
          </w:p>
        </w:tc>
        <w:tc>
          <w:tcPr>
            <w:tcW w:w="1418" w:type="dxa"/>
          </w:tcPr>
          <w:p w14:paraId="221638EA"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188</w:t>
            </w:r>
          </w:p>
        </w:tc>
      </w:tr>
      <w:tr w:rsidR="00BF7699" w:rsidRPr="0004599B" w14:paraId="31117590" w14:textId="77777777" w:rsidTr="003D0B64">
        <w:tc>
          <w:tcPr>
            <w:cnfStyle w:val="001000000000" w:firstRow="0" w:lastRow="0" w:firstColumn="1" w:lastColumn="0" w:oddVBand="0" w:evenVBand="0" w:oddHBand="0" w:evenHBand="0" w:firstRowFirstColumn="0" w:firstRowLastColumn="0" w:lastRowFirstColumn="0" w:lastRowLastColumn="0"/>
            <w:tcW w:w="3256" w:type="dxa"/>
            <w:vMerge/>
          </w:tcPr>
          <w:p w14:paraId="099A21D6" w14:textId="77777777" w:rsidR="00BF7699" w:rsidRPr="0004599B" w:rsidRDefault="00BF7699" w:rsidP="00BF7699">
            <w:pPr>
              <w:spacing w:after="0"/>
              <w:rPr>
                <w:rFonts w:cs="Arial"/>
              </w:rPr>
            </w:pPr>
          </w:p>
        </w:tc>
        <w:tc>
          <w:tcPr>
            <w:tcW w:w="2976" w:type="dxa"/>
          </w:tcPr>
          <w:p w14:paraId="7910D0E7" w14:textId="77777777" w:rsidR="00BF7699" w:rsidRPr="0004599B" w:rsidRDefault="00BF7699" w:rsidP="00BF7699">
            <w:pPr>
              <w:spacing w:after="0"/>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Medium</w:t>
            </w:r>
          </w:p>
        </w:tc>
        <w:tc>
          <w:tcPr>
            <w:tcW w:w="1418" w:type="dxa"/>
          </w:tcPr>
          <w:p w14:paraId="152B16AC"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132</w:t>
            </w:r>
          </w:p>
        </w:tc>
      </w:tr>
      <w:tr w:rsidR="00BF7699" w:rsidRPr="0004599B" w14:paraId="6C804CB9" w14:textId="77777777" w:rsidTr="003D0B64">
        <w:tc>
          <w:tcPr>
            <w:cnfStyle w:val="001000000000" w:firstRow="0" w:lastRow="0" w:firstColumn="1" w:lastColumn="0" w:oddVBand="0" w:evenVBand="0" w:oddHBand="0" w:evenHBand="0" w:firstRowFirstColumn="0" w:firstRowLastColumn="0" w:lastRowFirstColumn="0" w:lastRowLastColumn="0"/>
            <w:tcW w:w="3256" w:type="dxa"/>
            <w:vMerge w:val="restart"/>
          </w:tcPr>
          <w:p w14:paraId="05D7EE2E" w14:textId="2D08849B" w:rsidR="00BF7699" w:rsidRPr="0004599B" w:rsidRDefault="00BF7699" w:rsidP="00BF7699">
            <w:pPr>
              <w:spacing w:after="0"/>
              <w:rPr>
                <w:rFonts w:cs="Arial"/>
              </w:rPr>
            </w:pPr>
            <w:r>
              <w:rPr>
                <w:rFonts w:cs="Arial"/>
              </w:rPr>
              <w:t>Licence</w:t>
            </w:r>
            <w:r w:rsidR="004453BD">
              <w:rPr>
                <w:rFonts w:cs="Arial"/>
              </w:rPr>
              <w:t>s</w:t>
            </w:r>
          </w:p>
        </w:tc>
        <w:tc>
          <w:tcPr>
            <w:tcW w:w="2976" w:type="dxa"/>
          </w:tcPr>
          <w:p w14:paraId="47D91E85" w14:textId="77777777" w:rsidR="00BF7699" w:rsidRPr="0004599B" w:rsidRDefault="00BF7699" w:rsidP="00BF7699">
            <w:pPr>
              <w:spacing w:after="0"/>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Limited Hours Type 2 – LH2</w:t>
            </w:r>
          </w:p>
        </w:tc>
        <w:tc>
          <w:tcPr>
            <w:tcW w:w="1418" w:type="dxa"/>
          </w:tcPr>
          <w:p w14:paraId="6F74BCEA"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247</w:t>
            </w:r>
          </w:p>
        </w:tc>
      </w:tr>
      <w:tr w:rsidR="00BF7699" w:rsidRPr="0004599B" w14:paraId="6BBAC6B2" w14:textId="77777777" w:rsidTr="003D0B64">
        <w:tc>
          <w:tcPr>
            <w:cnfStyle w:val="001000000000" w:firstRow="0" w:lastRow="0" w:firstColumn="1" w:lastColumn="0" w:oddVBand="0" w:evenVBand="0" w:oddHBand="0" w:evenHBand="0" w:firstRowFirstColumn="0" w:firstRowLastColumn="0" w:lastRowFirstColumn="0" w:lastRowLastColumn="0"/>
            <w:tcW w:w="3256" w:type="dxa"/>
            <w:vMerge/>
          </w:tcPr>
          <w:p w14:paraId="110C4ED2" w14:textId="77777777" w:rsidR="00BF7699" w:rsidRPr="0004599B" w:rsidRDefault="00BF7699" w:rsidP="00BF7699">
            <w:pPr>
              <w:spacing w:after="0"/>
              <w:rPr>
                <w:rFonts w:cs="Arial"/>
              </w:rPr>
            </w:pPr>
          </w:p>
        </w:tc>
        <w:tc>
          <w:tcPr>
            <w:tcW w:w="2976" w:type="dxa"/>
          </w:tcPr>
          <w:p w14:paraId="20387A46" w14:textId="77777777" w:rsidR="00BF7699" w:rsidRPr="0004599B" w:rsidRDefault="00BF7699" w:rsidP="00BF7699">
            <w:pPr>
              <w:spacing w:after="0"/>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Limited Hours Type 1 – LH1</w:t>
            </w:r>
          </w:p>
        </w:tc>
        <w:tc>
          <w:tcPr>
            <w:tcW w:w="1418" w:type="dxa"/>
          </w:tcPr>
          <w:p w14:paraId="31B79ACF"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46</w:t>
            </w:r>
          </w:p>
        </w:tc>
      </w:tr>
      <w:tr w:rsidR="00BF7699" w:rsidRPr="0004599B" w14:paraId="4182C4D0" w14:textId="77777777" w:rsidTr="003D0B64">
        <w:tc>
          <w:tcPr>
            <w:cnfStyle w:val="001000000000" w:firstRow="0" w:lastRow="0" w:firstColumn="1" w:lastColumn="0" w:oddVBand="0" w:evenVBand="0" w:oddHBand="0" w:evenHBand="0" w:firstRowFirstColumn="0" w:firstRowLastColumn="0" w:lastRowFirstColumn="0" w:lastRowLastColumn="0"/>
            <w:tcW w:w="3256" w:type="dxa"/>
            <w:vMerge/>
          </w:tcPr>
          <w:p w14:paraId="77659026" w14:textId="77777777" w:rsidR="00BF7699" w:rsidRPr="0004599B" w:rsidRDefault="00BF7699" w:rsidP="00BF7699">
            <w:pPr>
              <w:spacing w:after="0"/>
              <w:rPr>
                <w:rFonts w:cs="Arial"/>
              </w:rPr>
            </w:pPr>
          </w:p>
        </w:tc>
        <w:tc>
          <w:tcPr>
            <w:tcW w:w="2976" w:type="dxa"/>
          </w:tcPr>
          <w:p w14:paraId="0E57FAD1" w14:textId="77777777" w:rsidR="00BF7699" w:rsidRPr="0004599B" w:rsidRDefault="00BF7699" w:rsidP="00BF7699">
            <w:pPr>
              <w:spacing w:after="0"/>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Standard</w:t>
            </w:r>
          </w:p>
        </w:tc>
        <w:tc>
          <w:tcPr>
            <w:tcW w:w="1418" w:type="dxa"/>
          </w:tcPr>
          <w:p w14:paraId="603DE4E3"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29</w:t>
            </w:r>
          </w:p>
        </w:tc>
      </w:tr>
    </w:tbl>
    <w:p w14:paraId="50C52C10" w14:textId="0E047C75" w:rsidR="00BF7699" w:rsidRDefault="00BF7699" w:rsidP="00BF7699">
      <w:pPr>
        <w:rPr>
          <w:rFonts w:ascii="Arial Narrow" w:hAnsi="Arial Narrow" w:cs="Arial"/>
          <w:i/>
        </w:rPr>
      </w:pPr>
      <w:r w:rsidRPr="0017351B">
        <w:rPr>
          <w:rFonts w:ascii="Arial Narrow" w:hAnsi="Arial Narrow" w:cs="Arial"/>
          <w:i/>
        </w:rPr>
        <w:t>Source: DET Data</w:t>
      </w:r>
    </w:p>
    <w:p w14:paraId="4F0D8C93" w14:textId="77777777" w:rsidR="00876E9B" w:rsidRPr="00876E9B" w:rsidRDefault="00876E9B" w:rsidP="00FB1FAE">
      <w:pPr>
        <w:rPr>
          <w:rFonts w:ascii="Arial" w:hAnsi="Arial" w:cs="Arial"/>
          <w:i/>
        </w:rPr>
      </w:pPr>
    </w:p>
    <w:p w14:paraId="5F6CE8FE" w14:textId="56672BF0" w:rsidR="00FB1FAE" w:rsidRPr="0004599B" w:rsidRDefault="00FB1FAE" w:rsidP="00FB1FAE">
      <w:pPr>
        <w:rPr>
          <w:rFonts w:ascii="Arial" w:hAnsi="Arial" w:cs="Arial"/>
          <w:b/>
          <w:i/>
        </w:rPr>
      </w:pPr>
      <w:r w:rsidRPr="0004599B">
        <w:rPr>
          <w:rFonts w:ascii="Arial" w:hAnsi="Arial" w:cs="Arial"/>
          <w:b/>
          <w:i/>
        </w:rPr>
        <w:t>Staffing costs</w:t>
      </w:r>
    </w:p>
    <w:tbl>
      <w:tblPr>
        <w:tblStyle w:val="TableGrid"/>
        <w:tblW w:w="0" w:type="auto"/>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4248"/>
        <w:gridCol w:w="2410"/>
        <w:gridCol w:w="2366"/>
      </w:tblGrid>
      <w:tr w:rsidR="00FB1FAE" w:rsidRPr="0004599B" w14:paraId="1BA86C54" w14:textId="77777777" w:rsidTr="00D238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right w:val="none" w:sz="0" w:space="0" w:color="auto"/>
            </w:tcBorders>
          </w:tcPr>
          <w:p w14:paraId="70333D46" w14:textId="77777777" w:rsidR="00FB1FAE" w:rsidRPr="0004599B" w:rsidRDefault="00FB1FAE" w:rsidP="00D238FF">
            <w:pPr>
              <w:spacing w:after="0"/>
              <w:rPr>
                <w:rFonts w:cs="Arial"/>
              </w:rPr>
            </w:pPr>
            <w:r w:rsidRPr="0004599B">
              <w:rPr>
                <w:rFonts w:cs="Arial"/>
              </w:rPr>
              <w:t>Qualification</w:t>
            </w:r>
          </w:p>
        </w:tc>
        <w:tc>
          <w:tcPr>
            <w:tcW w:w="2410" w:type="dxa"/>
            <w:tcBorders>
              <w:left w:val="none" w:sz="0" w:space="0" w:color="auto"/>
              <w:right w:val="none" w:sz="0" w:space="0" w:color="auto"/>
            </w:tcBorders>
          </w:tcPr>
          <w:p w14:paraId="78C2A0EF" w14:textId="77777777" w:rsidR="00FB1FAE" w:rsidRPr="0004599B" w:rsidRDefault="00FB1FAE" w:rsidP="00D238FF">
            <w:pPr>
              <w:spacing w:after="0"/>
              <w:jc w:val="center"/>
              <w:cnfStyle w:val="100000000000" w:firstRow="1" w:lastRow="0" w:firstColumn="0" w:lastColumn="0" w:oddVBand="0" w:evenVBand="0" w:oddHBand="0" w:evenHBand="0" w:firstRowFirstColumn="0" w:firstRowLastColumn="0" w:lastRowFirstColumn="0" w:lastRowLastColumn="0"/>
              <w:rPr>
                <w:rFonts w:cs="Arial"/>
              </w:rPr>
            </w:pPr>
            <w:r w:rsidRPr="0004599B">
              <w:rPr>
                <w:rFonts w:cs="Arial"/>
              </w:rPr>
              <w:t>Award Level</w:t>
            </w:r>
          </w:p>
        </w:tc>
        <w:tc>
          <w:tcPr>
            <w:tcW w:w="2366" w:type="dxa"/>
            <w:tcBorders>
              <w:left w:val="none" w:sz="0" w:space="0" w:color="auto"/>
            </w:tcBorders>
          </w:tcPr>
          <w:p w14:paraId="5DA4F06D" w14:textId="77777777" w:rsidR="00FB1FAE" w:rsidRPr="0004599B" w:rsidRDefault="00FB1FAE" w:rsidP="00D238FF">
            <w:pPr>
              <w:spacing w:after="0"/>
              <w:jc w:val="center"/>
              <w:cnfStyle w:val="100000000000" w:firstRow="1" w:lastRow="0" w:firstColumn="0" w:lastColumn="0" w:oddVBand="0" w:evenVBand="0" w:oddHBand="0" w:evenHBand="0" w:firstRowFirstColumn="0" w:firstRowLastColumn="0" w:lastRowFirstColumn="0" w:lastRowLastColumn="0"/>
              <w:rPr>
                <w:rFonts w:cs="Arial"/>
              </w:rPr>
            </w:pPr>
            <w:r w:rsidRPr="0004599B">
              <w:rPr>
                <w:rFonts w:cs="Arial"/>
              </w:rPr>
              <w:t xml:space="preserve">$ Award wage + </w:t>
            </w:r>
            <w:r w:rsidRPr="0004599B">
              <w:rPr>
                <w:rFonts w:cs="Arial"/>
              </w:rPr>
              <w:br/>
              <w:t>20% on costs p/hr</w:t>
            </w:r>
          </w:p>
        </w:tc>
      </w:tr>
      <w:tr w:rsidR="00FB1FAE" w:rsidRPr="0004599B" w14:paraId="0D40FC9B" w14:textId="77777777" w:rsidTr="00D238FF">
        <w:tc>
          <w:tcPr>
            <w:cnfStyle w:val="001000000000" w:firstRow="0" w:lastRow="0" w:firstColumn="1" w:lastColumn="0" w:oddVBand="0" w:evenVBand="0" w:oddHBand="0" w:evenHBand="0" w:firstRowFirstColumn="0" w:firstRowLastColumn="0" w:lastRowFirstColumn="0" w:lastRowLastColumn="0"/>
            <w:tcW w:w="4248" w:type="dxa"/>
          </w:tcPr>
          <w:p w14:paraId="2750871E" w14:textId="77777777" w:rsidR="00FB1FAE" w:rsidRPr="0004599B" w:rsidRDefault="00FB1FAE" w:rsidP="00D238FF">
            <w:pPr>
              <w:spacing w:after="0"/>
              <w:rPr>
                <w:rFonts w:cs="Arial"/>
              </w:rPr>
            </w:pPr>
            <w:r w:rsidRPr="0004599B">
              <w:rPr>
                <w:rFonts w:cs="Arial"/>
              </w:rPr>
              <w:t>Actively working towards Certificate III</w:t>
            </w:r>
          </w:p>
        </w:tc>
        <w:tc>
          <w:tcPr>
            <w:tcW w:w="2410" w:type="dxa"/>
          </w:tcPr>
          <w:p w14:paraId="575C5101" w14:textId="77777777" w:rsidR="00FB1FAE" w:rsidRPr="0004599B" w:rsidRDefault="00FB1FAE" w:rsidP="00D238FF">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Level 2.1</w:t>
            </w:r>
          </w:p>
        </w:tc>
        <w:tc>
          <w:tcPr>
            <w:tcW w:w="2366" w:type="dxa"/>
          </w:tcPr>
          <w:p w14:paraId="0B9C7BAB" w14:textId="77777777" w:rsidR="00FB1FAE" w:rsidRPr="0004599B" w:rsidRDefault="00FB1FAE" w:rsidP="00D238FF">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$24.84</w:t>
            </w:r>
          </w:p>
        </w:tc>
      </w:tr>
      <w:tr w:rsidR="00FB1FAE" w:rsidRPr="0004599B" w14:paraId="7FCFAF16" w14:textId="77777777" w:rsidTr="00D238FF">
        <w:tc>
          <w:tcPr>
            <w:cnfStyle w:val="001000000000" w:firstRow="0" w:lastRow="0" w:firstColumn="1" w:lastColumn="0" w:oddVBand="0" w:evenVBand="0" w:oddHBand="0" w:evenHBand="0" w:firstRowFirstColumn="0" w:firstRowLastColumn="0" w:lastRowFirstColumn="0" w:lastRowLastColumn="0"/>
            <w:tcW w:w="4248" w:type="dxa"/>
          </w:tcPr>
          <w:p w14:paraId="1127839A" w14:textId="77777777" w:rsidR="00FB1FAE" w:rsidRPr="0004599B" w:rsidRDefault="00FB1FAE" w:rsidP="00D238FF">
            <w:pPr>
              <w:spacing w:after="0"/>
              <w:rPr>
                <w:rFonts w:cs="Arial"/>
              </w:rPr>
            </w:pPr>
            <w:r w:rsidRPr="0004599B">
              <w:rPr>
                <w:rFonts w:cs="Arial"/>
              </w:rPr>
              <w:t>Certificate III</w:t>
            </w:r>
          </w:p>
        </w:tc>
        <w:tc>
          <w:tcPr>
            <w:tcW w:w="2410" w:type="dxa"/>
          </w:tcPr>
          <w:p w14:paraId="33F074C0" w14:textId="77777777" w:rsidR="00FB1FAE" w:rsidRPr="0004599B" w:rsidRDefault="00FB1FAE" w:rsidP="00D238FF">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Level 3.1</w:t>
            </w:r>
          </w:p>
        </w:tc>
        <w:tc>
          <w:tcPr>
            <w:tcW w:w="2366" w:type="dxa"/>
          </w:tcPr>
          <w:p w14:paraId="2ABBC05E" w14:textId="77777777" w:rsidR="00FB1FAE" w:rsidRPr="0004599B" w:rsidRDefault="00FB1FAE" w:rsidP="00D238FF">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$27.24</w:t>
            </w:r>
          </w:p>
        </w:tc>
      </w:tr>
      <w:tr w:rsidR="00FB1FAE" w:rsidRPr="0004599B" w14:paraId="4BD4829A" w14:textId="77777777" w:rsidTr="00D238FF">
        <w:tc>
          <w:tcPr>
            <w:cnfStyle w:val="001000000000" w:firstRow="0" w:lastRow="0" w:firstColumn="1" w:lastColumn="0" w:oddVBand="0" w:evenVBand="0" w:oddHBand="0" w:evenHBand="0" w:firstRowFirstColumn="0" w:firstRowLastColumn="0" w:lastRowFirstColumn="0" w:lastRowLastColumn="0"/>
            <w:tcW w:w="4248" w:type="dxa"/>
          </w:tcPr>
          <w:p w14:paraId="5D7CD022" w14:textId="77777777" w:rsidR="00FB1FAE" w:rsidRPr="0004599B" w:rsidRDefault="00FB1FAE" w:rsidP="00D238FF">
            <w:pPr>
              <w:spacing w:after="0"/>
              <w:rPr>
                <w:rFonts w:cs="Arial"/>
              </w:rPr>
            </w:pPr>
            <w:r w:rsidRPr="0004599B">
              <w:rPr>
                <w:rFonts w:cs="Arial"/>
              </w:rPr>
              <w:t>Actively working towards Diploma</w:t>
            </w:r>
          </w:p>
        </w:tc>
        <w:tc>
          <w:tcPr>
            <w:tcW w:w="2410" w:type="dxa"/>
          </w:tcPr>
          <w:p w14:paraId="18498CFC" w14:textId="77777777" w:rsidR="00FB1FAE" w:rsidRPr="0004599B" w:rsidRDefault="00FB1FAE" w:rsidP="00D238FF">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Level 4A</w:t>
            </w:r>
          </w:p>
        </w:tc>
        <w:tc>
          <w:tcPr>
            <w:tcW w:w="2366" w:type="dxa"/>
          </w:tcPr>
          <w:p w14:paraId="58B250D9" w14:textId="77777777" w:rsidR="00FB1FAE" w:rsidRPr="0004599B" w:rsidRDefault="00FB1FAE" w:rsidP="00D238FF">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$29.06</w:t>
            </w:r>
          </w:p>
        </w:tc>
      </w:tr>
      <w:tr w:rsidR="00FB1FAE" w:rsidRPr="0004599B" w14:paraId="2FE9A546" w14:textId="77777777" w:rsidTr="00D238FF">
        <w:tc>
          <w:tcPr>
            <w:cnfStyle w:val="001000000000" w:firstRow="0" w:lastRow="0" w:firstColumn="1" w:lastColumn="0" w:oddVBand="0" w:evenVBand="0" w:oddHBand="0" w:evenHBand="0" w:firstRowFirstColumn="0" w:firstRowLastColumn="0" w:lastRowFirstColumn="0" w:lastRowLastColumn="0"/>
            <w:tcW w:w="4248" w:type="dxa"/>
          </w:tcPr>
          <w:p w14:paraId="32A32BC2" w14:textId="77777777" w:rsidR="00FB1FAE" w:rsidRPr="0004599B" w:rsidRDefault="00FB1FAE" w:rsidP="00D238FF">
            <w:pPr>
              <w:spacing w:after="0"/>
              <w:rPr>
                <w:rFonts w:cs="Arial"/>
              </w:rPr>
            </w:pPr>
            <w:r w:rsidRPr="0004599B">
              <w:rPr>
                <w:rFonts w:cs="Arial"/>
              </w:rPr>
              <w:t>Diploma</w:t>
            </w:r>
          </w:p>
        </w:tc>
        <w:tc>
          <w:tcPr>
            <w:tcW w:w="2410" w:type="dxa"/>
          </w:tcPr>
          <w:p w14:paraId="38D274D6" w14:textId="77777777" w:rsidR="00FB1FAE" w:rsidRPr="0004599B" w:rsidRDefault="00FB1FAE" w:rsidP="00D238FF">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Level 4.1</w:t>
            </w:r>
          </w:p>
        </w:tc>
        <w:tc>
          <w:tcPr>
            <w:tcW w:w="2366" w:type="dxa"/>
          </w:tcPr>
          <w:p w14:paraId="7CD91AE4" w14:textId="77777777" w:rsidR="00FB1FAE" w:rsidRPr="0004599B" w:rsidRDefault="00FB1FAE" w:rsidP="00D238FF">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$32.09</w:t>
            </w:r>
          </w:p>
        </w:tc>
      </w:tr>
      <w:tr w:rsidR="00FB1FAE" w:rsidRPr="0004599B" w14:paraId="7DA49505" w14:textId="77777777" w:rsidTr="00D238FF">
        <w:tc>
          <w:tcPr>
            <w:cnfStyle w:val="001000000000" w:firstRow="0" w:lastRow="0" w:firstColumn="1" w:lastColumn="0" w:oddVBand="0" w:evenVBand="0" w:oddHBand="0" w:evenHBand="0" w:firstRowFirstColumn="0" w:firstRowLastColumn="0" w:lastRowFirstColumn="0" w:lastRowLastColumn="0"/>
            <w:tcW w:w="4248" w:type="dxa"/>
          </w:tcPr>
          <w:p w14:paraId="31763F6E" w14:textId="77777777" w:rsidR="00FB1FAE" w:rsidRPr="0004599B" w:rsidRDefault="00FB1FAE" w:rsidP="00D238FF">
            <w:pPr>
              <w:spacing w:after="0"/>
              <w:rPr>
                <w:rFonts w:cs="Arial"/>
              </w:rPr>
            </w:pPr>
            <w:r w:rsidRPr="0004599B">
              <w:rPr>
                <w:rFonts w:cs="Arial"/>
              </w:rPr>
              <w:t>Degree/Director</w:t>
            </w:r>
          </w:p>
        </w:tc>
        <w:tc>
          <w:tcPr>
            <w:tcW w:w="2410" w:type="dxa"/>
          </w:tcPr>
          <w:p w14:paraId="206C2000" w14:textId="77777777" w:rsidR="00FB1FAE" w:rsidRPr="0004599B" w:rsidRDefault="00FB1FAE" w:rsidP="00D238FF">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Level 6.1</w:t>
            </w:r>
          </w:p>
        </w:tc>
        <w:tc>
          <w:tcPr>
            <w:tcW w:w="2366" w:type="dxa"/>
          </w:tcPr>
          <w:p w14:paraId="6F146CF3" w14:textId="77777777" w:rsidR="00FB1FAE" w:rsidRPr="0004599B" w:rsidRDefault="00FB1FAE" w:rsidP="00D238FF">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$38.69</w:t>
            </w:r>
          </w:p>
        </w:tc>
      </w:tr>
    </w:tbl>
    <w:p w14:paraId="2DF5CCA4" w14:textId="0C6FA86C" w:rsidR="00FB1FAE" w:rsidRDefault="00FB1FAE" w:rsidP="00FB1FAE">
      <w:pPr>
        <w:rPr>
          <w:rFonts w:ascii="Arial Narrow" w:hAnsi="Arial Narrow" w:cs="Arial"/>
          <w:i/>
        </w:rPr>
      </w:pPr>
      <w:r w:rsidRPr="0017351B">
        <w:rPr>
          <w:rFonts w:ascii="Arial Narrow" w:hAnsi="Arial Narrow" w:cs="Arial"/>
          <w:i/>
        </w:rPr>
        <w:t>Source: Children’s Services Award 2010</w:t>
      </w:r>
    </w:p>
    <w:p w14:paraId="329CE82A" w14:textId="77777777" w:rsidR="00876E9B" w:rsidRPr="00876E9B" w:rsidRDefault="00876E9B" w:rsidP="00FB1FAE">
      <w:pPr>
        <w:rPr>
          <w:rFonts w:ascii="Arial Narrow" w:hAnsi="Arial Narrow" w:cs="Arial"/>
        </w:rPr>
      </w:pPr>
    </w:p>
    <w:p w14:paraId="05F30936" w14:textId="77777777" w:rsidR="00BF7699" w:rsidRPr="0004599B" w:rsidRDefault="00BF7699" w:rsidP="00BF7699">
      <w:pPr>
        <w:rPr>
          <w:rFonts w:ascii="Arial" w:hAnsi="Arial" w:cs="Arial"/>
          <w:b/>
          <w:i/>
        </w:rPr>
      </w:pPr>
      <w:r w:rsidRPr="0004599B">
        <w:rPr>
          <w:rFonts w:ascii="Arial" w:hAnsi="Arial" w:cs="Arial"/>
          <w:b/>
          <w:i/>
        </w:rPr>
        <w:lastRenderedPageBreak/>
        <w:t>Time in hours</w:t>
      </w:r>
    </w:p>
    <w:tbl>
      <w:tblPr>
        <w:tblStyle w:val="TableGrid"/>
        <w:tblW w:w="0" w:type="auto"/>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3256"/>
        <w:gridCol w:w="1559"/>
        <w:gridCol w:w="1417"/>
        <w:gridCol w:w="1418"/>
        <w:gridCol w:w="1366"/>
      </w:tblGrid>
      <w:tr w:rsidR="00BF7699" w:rsidRPr="0004599B" w14:paraId="1FB9FE31" w14:textId="77777777" w:rsidTr="003D0B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right w:val="none" w:sz="0" w:space="0" w:color="auto"/>
            </w:tcBorders>
          </w:tcPr>
          <w:p w14:paraId="57B50E85" w14:textId="77777777" w:rsidR="00BF7699" w:rsidRPr="0004599B" w:rsidRDefault="00BF7699" w:rsidP="00BF7699">
            <w:pPr>
              <w:spacing w:after="0"/>
              <w:rPr>
                <w:rFonts w:cs="Arial"/>
              </w:rPr>
            </w:pPr>
            <w:r w:rsidRPr="0004599B">
              <w:rPr>
                <w:rFonts w:cs="Arial"/>
              </w:rPr>
              <w:t>Category</w:t>
            </w:r>
          </w:p>
        </w:tc>
        <w:tc>
          <w:tcPr>
            <w:tcW w:w="1559" w:type="dxa"/>
            <w:tcBorders>
              <w:left w:val="none" w:sz="0" w:space="0" w:color="auto"/>
              <w:right w:val="none" w:sz="0" w:space="0" w:color="auto"/>
            </w:tcBorders>
          </w:tcPr>
          <w:p w14:paraId="57FADD1B" w14:textId="77777777" w:rsidR="00BF7699" w:rsidRPr="0004599B" w:rsidRDefault="00BF7699" w:rsidP="00BF7699">
            <w:pPr>
              <w:spacing w:after="0"/>
              <w:jc w:val="center"/>
              <w:cnfStyle w:val="100000000000" w:firstRow="1" w:lastRow="0" w:firstColumn="0" w:lastColumn="0" w:oddVBand="0" w:evenVBand="0" w:oddHBand="0" w:evenHBand="0" w:firstRowFirstColumn="0" w:firstRowLastColumn="0" w:lastRowFirstColumn="0" w:lastRowLastColumn="0"/>
              <w:rPr>
                <w:rFonts w:cs="Arial"/>
              </w:rPr>
            </w:pPr>
            <w:r w:rsidRPr="0004599B">
              <w:rPr>
                <w:rFonts w:cs="Arial"/>
              </w:rPr>
              <w:t>Service size</w:t>
            </w:r>
          </w:p>
        </w:tc>
        <w:tc>
          <w:tcPr>
            <w:tcW w:w="1417" w:type="dxa"/>
            <w:tcBorders>
              <w:left w:val="none" w:sz="0" w:space="0" w:color="auto"/>
              <w:right w:val="none" w:sz="0" w:space="0" w:color="auto"/>
            </w:tcBorders>
          </w:tcPr>
          <w:p w14:paraId="4E013803" w14:textId="77777777" w:rsidR="00BF7699" w:rsidRPr="0004599B" w:rsidRDefault="00BF7699" w:rsidP="00BF7699">
            <w:pPr>
              <w:spacing w:after="0"/>
              <w:jc w:val="center"/>
              <w:cnfStyle w:val="100000000000" w:firstRow="1" w:lastRow="0" w:firstColumn="0" w:lastColumn="0" w:oddVBand="0" w:evenVBand="0" w:oddHBand="0" w:evenHBand="0" w:firstRowFirstColumn="0" w:firstRowLastColumn="0" w:lastRowFirstColumn="0" w:lastRowLastColumn="0"/>
              <w:rPr>
                <w:rFonts w:cs="Arial"/>
              </w:rPr>
            </w:pPr>
            <w:r w:rsidRPr="0004599B">
              <w:rPr>
                <w:rFonts w:cs="Arial"/>
              </w:rPr>
              <w:t>Base Case</w:t>
            </w:r>
          </w:p>
        </w:tc>
        <w:tc>
          <w:tcPr>
            <w:tcW w:w="1418" w:type="dxa"/>
            <w:tcBorders>
              <w:left w:val="none" w:sz="0" w:space="0" w:color="auto"/>
              <w:right w:val="none" w:sz="0" w:space="0" w:color="auto"/>
            </w:tcBorders>
          </w:tcPr>
          <w:p w14:paraId="1FCEB7D0" w14:textId="77777777" w:rsidR="00BF7699" w:rsidRPr="0004599B" w:rsidRDefault="00BF7699" w:rsidP="00BF7699">
            <w:pPr>
              <w:spacing w:after="0"/>
              <w:jc w:val="center"/>
              <w:cnfStyle w:val="100000000000" w:firstRow="1" w:lastRow="0" w:firstColumn="0" w:lastColumn="0" w:oddVBand="0" w:evenVBand="0" w:oddHBand="0" w:evenHBand="0" w:firstRowFirstColumn="0" w:firstRowLastColumn="0" w:lastRowFirstColumn="0" w:lastRowLastColumn="0"/>
              <w:rPr>
                <w:rFonts w:cs="Arial"/>
              </w:rPr>
            </w:pPr>
            <w:r w:rsidRPr="0004599B">
              <w:rPr>
                <w:rFonts w:cs="Arial"/>
              </w:rPr>
              <w:t>Status Quo</w:t>
            </w:r>
          </w:p>
        </w:tc>
        <w:tc>
          <w:tcPr>
            <w:tcW w:w="1366" w:type="dxa"/>
            <w:tcBorders>
              <w:left w:val="none" w:sz="0" w:space="0" w:color="auto"/>
            </w:tcBorders>
          </w:tcPr>
          <w:p w14:paraId="586E6F8B" w14:textId="77777777" w:rsidR="00BF7699" w:rsidRPr="0004599B" w:rsidRDefault="00BF7699" w:rsidP="00BF7699">
            <w:pPr>
              <w:spacing w:after="0"/>
              <w:jc w:val="center"/>
              <w:cnfStyle w:val="100000000000" w:firstRow="1" w:lastRow="0" w:firstColumn="0" w:lastColumn="0" w:oddVBand="0" w:evenVBand="0" w:oddHBand="0" w:evenHBand="0" w:firstRowFirstColumn="0" w:firstRowLastColumn="0" w:lastRowFirstColumn="0" w:lastRowLastColumn="0"/>
              <w:rPr>
                <w:rFonts w:cs="Arial"/>
              </w:rPr>
            </w:pPr>
            <w:r w:rsidRPr="0004599B">
              <w:rPr>
                <w:rFonts w:cs="Arial"/>
              </w:rPr>
              <w:t>Alignment</w:t>
            </w:r>
          </w:p>
        </w:tc>
      </w:tr>
      <w:tr w:rsidR="00BF7699" w:rsidRPr="0004599B" w14:paraId="6E598328" w14:textId="77777777" w:rsidTr="003D0B64">
        <w:tc>
          <w:tcPr>
            <w:cnfStyle w:val="001000000000" w:firstRow="0" w:lastRow="0" w:firstColumn="1" w:lastColumn="0" w:oddVBand="0" w:evenVBand="0" w:oddHBand="0" w:evenHBand="0" w:firstRowFirstColumn="0" w:firstRowLastColumn="0" w:lastRowFirstColumn="0" w:lastRowLastColumn="0"/>
            <w:tcW w:w="3256" w:type="dxa"/>
          </w:tcPr>
          <w:p w14:paraId="3D595759" w14:textId="77777777" w:rsidR="00BF7699" w:rsidRPr="0004599B" w:rsidRDefault="00BF7699" w:rsidP="00BF7699">
            <w:pPr>
              <w:spacing w:after="0"/>
              <w:rPr>
                <w:rFonts w:cs="Arial"/>
              </w:rPr>
            </w:pPr>
            <w:r w:rsidRPr="0004599B">
              <w:rPr>
                <w:rFonts w:cs="Arial"/>
              </w:rPr>
              <w:t>Excursion risk assessment</w:t>
            </w:r>
          </w:p>
        </w:tc>
        <w:tc>
          <w:tcPr>
            <w:tcW w:w="1559" w:type="dxa"/>
          </w:tcPr>
          <w:p w14:paraId="2778B7FE"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All services</w:t>
            </w:r>
          </w:p>
        </w:tc>
        <w:tc>
          <w:tcPr>
            <w:tcW w:w="1417" w:type="dxa"/>
          </w:tcPr>
          <w:p w14:paraId="5D3749C3"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n/a</w:t>
            </w:r>
          </w:p>
        </w:tc>
        <w:tc>
          <w:tcPr>
            <w:tcW w:w="1418" w:type="dxa"/>
          </w:tcPr>
          <w:p w14:paraId="2D15AA6A"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0.7</w:t>
            </w:r>
          </w:p>
        </w:tc>
        <w:tc>
          <w:tcPr>
            <w:tcW w:w="1366" w:type="dxa"/>
          </w:tcPr>
          <w:p w14:paraId="33375F8D"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0.7</w:t>
            </w:r>
          </w:p>
        </w:tc>
      </w:tr>
      <w:tr w:rsidR="00BF7699" w:rsidRPr="0004599B" w14:paraId="296420FF" w14:textId="77777777" w:rsidTr="003D0B64">
        <w:tc>
          <w:tcPr>
            <w:cnfStyle w:val="001000000000" w:firstRow="0" w:lastRow="0" w:firstColumn="1" w:lastColumn="0" w:oddVBand="0" w:evenVBand="0" w:oddHBand="0" w:evenHBand="0" w:firstRowFirstColumn="0" w:firstRowLastColumn="0" w:lastRowFirstColumn="0" w:lastRowLastColumn="0"/>
            <w:tcW w:w="3256" w:type="dxa"/>
            <w:vMerge w:val="restart"/>
          </w:tcPr>
          <w:p w14:paraId="7B0974B0" w14:textId="77777777" w:rsidR="00BF7699" w:rsidRPr="0004599B" w:rsidRDefault="00BF7699" w:rsidP="00BF7699">
            <w:pPr>
              <w:spacing w:after="0"/>
              <w:rPr>
                <w:rFonts w:cs="Arial"/>
              </w:rPr>
            </w:pPr>
            <w:r w:rsidRPr="0004599B">
              <w:rPr>
                <w:rFonts w:cs="Arial"/>
              </w:rPr>
              <w:t>Excursion authorisation</w:t>
            </w:r>
          </w:p>
        </w:tc>
        <w:tc>
          <w:tcPr>
            <w:tcW w:w="1559" w:type="dxa"/>
          </w:tcPr>
          <w:p w14:paraId="34CE7827"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Small</w:t>
            </w:r>
          </w:p>
        </w:tc>
        <w:tc>
          <w:tcPr>
            <w:tcW w:w="1417" w:type="dxa"/>
          </w:tcPr>
          <w:p w14:paraId="6FE43F84"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n/a</w:t>
            </w:r>
          </w:p>
        </w:tc>
        <w:tc>
          <w:tcPr>
            <w:tcW w:w="1418" w:type="dxa"/>
          </w:tcPr>
          <w:p w14:paraId="22659282"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1.3</w:t>
            </w:r>
          </w:p>
        </w:tc>
        <w:tc>
          <w:tcPr>
            <w:tcW w:w="1366" w:type="dxa"/>
          </w:tcPr>
          <w:p w14:paraId="2DB239E7"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1.3</w:t>
            </w:r>
          </w:p>
        </w:tc>
      </w:tr>
      <w:tr w:rsidR="00BF7699" w:rsidRPr="0004599B" w14:paraId="601E7836" w14:textId="77777777" w:rsidTr="003D0B64">
        <w:tc>
          <w:tcPr>
            <w:cnfStyle w:val="001000000000" w:firstRow="0" w:lastRow="0" w:firstColumn="1" w:lastColumn="0" w:oddVBand="0" w:evenVBand="0" w:oddHBand="0" w:evenHBand="0" w:firstRowFirstColumn="0" w:firstRowLastColumn="0" w:lastRowFirstColumn="0" w:lastRowLastColumn="0"/>
            <w:tcW w:w="3256" w:type="dxa"/>
            <w:vMerge/>
          </w:tcPr>
          <w:p w14:paraId="01529475" w14:textId="77777777" w:rsidR="00BF7699" w:rsidRPr="0004599B" w:rsidRDefault="00BF7699" w:rsidP="00BF7699">
            <w:pPr>
              <w:spacing w:after="0"/>
              <w:rPr>
                <w:rFonts w:cs="Arial"/>
              </w:rPr>
            </w:pPr>
          </w:p>
        </w:tc>
        <w:tc>
          <w:tcPr>
            <w:tcW w:w="1559" w:type="dxa"/>
          </w:tcPr>
          <w:p w14:paraId="5815FA5C"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Medium</w:t>
            </w:r>
          </w:p>
        </w:tc>
        <w:tc>
          <w:tcPr>
            <w:tcW w:w="1417" w:type="dxa"/>
          </w:tcPr>
          <w:p w14:paraId="5E327B8E"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n/a</w:t>
            </w:r>
          </w:p>
        </w:tc>
        <w:tc>
          <w:tcPr>
            <w:tcW w:w="1418" w:type="dxa"/>
          </w:tcPr>
          <w:p w14:paraId="51BADD9D"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1.0</w:t>
            </w:r>
          </w:p>
        </w:tc>
        <w:tc>
          <w:tcPr>
            <w:tcW w:w="1366" w:type="dxa"/>
          </w:tcPr>
          <w:p w14:paraId="08D4A083"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1.0</w:t>
            </w:r>
          </w:p>
        </w:tc>
      </w:tr>
      <w:tr w:rsidR="00BF7699" w:rsidRPr="0004599B" w14:paraId="5D26CD64" w14:textId="77777777" w:rsidTr="003D0B64">
        <w:tc>
          <w:tcPr>
            <w:cnfStyle w:val="001000000000" w:firstRow="0" w:lastRow="0" w:firstColumn="1" w:lastColumn="0" w:oddVBand="0" w:evenVBand="0" w:oddHBand="0" w:evenHBand="0" w:firstRowFirstColumn="0" w:firstRowLastColumn="0" w:lastRowFirstColumn="0" w:lastRowLastColumn="0"/>
            <w:tcW w:w="3256" w:type="dxa"/>
            <w:vMerge w:val="restart"/>
          </w:tcPr>
          <w:p w14:paraId="0BF6996B" w14:textId="77777777" w:rsidR="00BF7699" w:rsidRPr="0004599B" w:rsidRDefault="00BF7699" w:rsidP="00BF7699">
            <w:pPr>
              <w:spacing w:after="0"/>
              <w:rPr>
                <w:rFonts w:cs="Arial"/>
              </w:rPr>
            </w:pPr>
            <w:r w:rsidRPr="0004599B">
              <w:rPr>
                <w:rFonts w:cs="Arial"/>
              </w:rPr>
              <w:t>Provider approval application</w:t>
            </w:r>
          </w:p>
        </w:tc>
        <w:tc>
          <w:tcPr>
            <w:tcW w:w="1559" w:type="dxa"/>
          </w:tcPr>
          <w:p w14:paraId="0E6863A2"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Small</w:t>
            </w:r>
          </w:p>
        </w:tc>
        <w:tc>
          <w:tcPr>
            <w:tcW w:w="1417" w:type="dxa"/>
          </w:tcPr>
          <w:p w14:paraId="55C2F573"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2.0</w:t>
            </w:r>
          </w:p>
        </w:tc>
        <w:tc>
          <w:tcPr>
            <w:tcW w:w="1418" w:type="dxa"/>
          </w:tcPr>
          <w:p w14:paraId="334F0E13"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n/a</w:t>
            </w:r>
          </w:p>
        </w:tc>
        <w:tc>
          <w:tcPr>
            <w:tcW w:w="1366" w:type="dxa"/>
          </w:tcPr>
          <w:p w14:paraId="7ADBCBCF"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1.7</w:t>
            </w:r>
          </w:p>
        </w:tc>
      </w:tr>
      <w:tr w:rsidR="00BF7699" w:rsidRPr="0004599B" w14:paraId="5BD33BBE" w14:textId="77777777" w:rsidTr="003D0B64">
        <w:tc>
          <w:tcPr>
            <w:cnfStyle w:val="001000000000" w:firstRow="0" w:lastRow="0" w:firstColumn="1" w:lastColumn="0" w:oddVBand="0" w:evenVBand="0" w:oddHBand="0" w:evenHBand="0" w:firstRowFirstColumn="0" w:firstRowLastColumn="0" w:lastRowFirstColumn="0" w:lastRowLastColumn="0"/>
            <w:tcW w:w="3256" w:type="dxa"/>
            <w:vMerge/>
          </w:tcPr>
          <w:p w14:paraId="34A265A6" w14:textId="77777777" w:rsidR="00BF7699" w:rsidRPr="0004599B" w:rsidRDefault="00BF7699" w:rsidP="00BF7699">
            <w:pPr>
              <w:spacing w:after="0"/>
              <w:rPr>
                <w:rFonts w:cs="Arial"/>
              </w:rPr>
            </w:pPr>
          </w:p>
        </w:tc>
        <w:tc>
          <w:tcPr>
            <w:tcW w:w="1559" w:type="dxa"/>
          </w:tcPr>
          <w:p w14:paraId="55224F7F"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Medium</w:t>
            </w:r>
          </w:p>
        </w:tc>
        <w:tc>
          <w:tcPr>
            <w:tcW w:w="1417" w:type="dxa"/>
          </w:tcPr>
          <w:p w14:paraId="20508BD6"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2.4</w:t>
            </w:r>
          </w:p>
        </w:tc>
        <w:tc>
          <w:tcPr>
            <w:tcW w:w="1418" w:type="dxa"/>
          </w:tcPr>
          <w:p w14:paraId="4D115C45"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n/a</w:t>
            </w:r>
          </w:p>
        </w:tc>
        <w:tc>
          <w:tcPr>
            <w:tcW w:w="1366" w:type="dxa"/>
          </w:tcPr>
          <w:p w14:paraId="2E0DA081"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2.1</w:t>
            </w:r>
          </w:p>
        </w:tc>
      </w:tr>
      <w:tr w:rsidR="00BF7699" w:rsidRPr="0004599B" w14:paraId="036A10C0" w14:textId="77777777" w:rsidTr="003D0B64">
        <w:tc>
          <w:tcPr>
            <w:cnfStyle w:val="001000000000" w:firstRow="0" w:lastRow="0" w:firstColumn="1" w:lastColumn="0" w:oddVBand="0" w:evenVBand="0" w:oddHBand="0" w:evenHBand="0" w:firstRowFirstColumn="0" w:firstRowLastColumn="0" w:lastRowFirstColumn="0" w:lastRowLastColumn="0"/>
            <w:tcW w:w="3256" w:type="dxa"/>
            <w:vMerge w:val="restart"/>
          </w:tcPr>
          <w:p w14:paraId="51A7E1C8" w14:textId="77777777" w:rsidR="00BF7699" w:rsidRPr="0004599B" w:rsidRDefault="00BF7699" w:rsidP="00BF7699">
            <w:pPr>
              <w:spacing w:after="0"/>
              <w:rPr>
                <w:rFonts w:cs="Arial"/>
              </w:rPr>
            </w:pPr>
            <w:r w:rsidRPr="0004599B">
              <w:rPr>
                <w:rFonts w:cs="Arial"/>
              </w:rPr>
              <w:t>Service approval application</w:t>
            </w:r>
          </w:p>
        </w:tc>
        <w:tc>
          <w:tcPr>
            <w:tcW w:w="1559" w:type="dxa"/>
          </w:tcPr>
          <w:p w14:paraId="308D95DE"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Small</w:t>
            </w:r>
          </w:p>
        </w:tc>
        <w:tc>
          <w:tcPr>
            <w:tcW w:w="1417" w:type="dxa"/>
          </w:tcPr>
          <w:p w14:paraId="42BB21D1"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1.7</w:t>
            </w:r>
          </w:p>
        </w:tc>
        <w:tc>
          <w:tcPr>
            <w:tcW w:w="1418" w:type="dxa"/>
          </w:tcPr>
          <w:p w14:paraId="200D234C"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n/a</w:t>
            </w:r>
          </w:p>
        </w:tc>
        <w:tc>
          <w:tcPr>
            <w:tcW w:w="1366" w:type="dxa"/>
          </w:tcPr>
          <w:p w14:paraId="330FE251"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1.4</w:t>
            </w:r>
          </w:p>
        </w:tc>
      </w:tr>
      <w:tr w:rsidR="00BF7699" w:rsidRPr="0004599B" w14:paraId="265D4073" w14:textId="77777777" w:rsidTr="003D0B64">
        <w:tc>
          <w:tcPr>
            <w:cnfStyle w:val="001000000000" w:firstRow="0" w:lastRow="0" w:firstColumn="1" w:lastColumn="0" w:oddVBand="0" w:evenVBand="0" w:oddHBand="0" w:evenHBand="0" w:firstRowFirstColumn="0" w:firstRowLastColumn="0" w:lastRowFirstColumn="0" w:lastRowLastColumn="0"/>
            <w:tcW w:w="3256" w:type="dxa"/>
            <w:vMerge/>
          </w:tcPr>
          <w:p w14:paraId="171148A1" w14:textId="77777777" w:rsidR="00BF7699" w:rsidRPr="0004599B" w:rsidRDefault="00BF7699" w:rsidP="00BF7699">
            <w:pPr>
              <w:spacing w:after="0"/>
              <w:rPr>
                <w:rFonts w:cs="Arial"/>
              </w:rPr>
            </w:pPr>
          </w:p>
        </w:tc>
        <w:tc>
          <w:tcPr>
            <w:tcW w:w="1559" w:type="dxa"/>
          </w:tcPr>
          <w:p w14:paraId="0D1C08C8"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Medium</w:t>
            </w:r>
          </w:p>
        </w:tc>
        <w:tc>
          <w:tcPr>
            <w:tcW w:w="1417" w:type="dxa"/>
          </w:tcPr>
          <w:p w14:paraId="07898E4B"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2.8</w:t>
            </w:r>
          </w:p>
        </w:tc>
        <w:tc>
          <w:tcPr>
            <w:tcW w:w="1418" w:type="dxa"/>
          </w:tcPr>
          <w:p w14:paraId="4324781C"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n/a</w:t>
            </w:r>
          </w:p>
        </w:tc>
        <w:tc>
          <w:tcPr>
            <w:tcW w:w="1366" w:type="dxa"/>
          </w:tcPr>
          <w:p w14:paraId="6920B218"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2.5</w:t>
            </w:r>
          </w:p>
        </w:tc>
      </w:tr>
      <w:tr w:rsidR="00BF7699" w:rsidRPr="0004599B" w14:paraId="283D8C32" w14:textId="77777777" w:rsidTr="003D0B64">
        <w:tc>
          <w:tcPr>
            <w:cnfStyle w:val="001000000000" w:firstRow="0" w:lastRow="0" w:firstColumn="1" w:lastColumn="0" w:oddVBand="0" w:evenVBand="0" w:oddHBand="0" w:evenHBand="0" w:firstRowFirstColumn="0" w:firstRowLastColumn="0" w:lastRowFirstColumn="0" w:lastRowLastColumn="0"/>
            <w:tcW w:w="3256" w:type="dxa"/>
            <w:vMerge w:val="restart"/>
          </w:tcPr>
          <w:p w14:paraId="627E4DAC" w14:textId="77777777" w:rsidR="00BF7699" w:rsidRPr="0004599B" w:rsidRDefault="00BF7699" w:rsidP="00BF7699">
            <w:pPr>
              <w:spacing w:after="0"/>
              <w:rPr>
                <w:rFonts w:cs="Arial"/>
              </w:rPr>
            </w:pPr>
            <w:r w:rsidRPr="0004599B">
              <w:rPr>
                <w:rFonts w:cs="Arial"/>
              </w:rPr>
              <w:t>Application to vary/suspend</w:t>
            </w:r>
          </w:p>
        </w:tc>
        <w:tc>
          <w:tcPr>
            <w:tcW w:w="1559" w:type="dxa"/>
          </w:tcPr>
          <w:p w14:paraId="2276ADC8"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Small</w:t>
            </w:r>
          </w:p>
        </w:tc>
        <w:tc>
          <w:tcPr>
            <w:tcW w:w="1417" w:type="dxa"/>
          </w:tcPr>
          <w:p w14:paraId="3DF59385"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0.4</w:t>
            </w:r>
          </w:p>
        </w:tc>
        <w:tc>
          <w:tcPr>
            <w:tcW w:w="1418" w:type="dxa"/>
          </w:tcPr>
          <w:p w14:paraId="11292232"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n/a</w:t>
            </w:r>
          </w:p>
        </w:tc>
        <w:tc>
          <w:tcPr>
            <w:tcW w:w="1366" w:type="dxa"/>
          </w:tcPr>
          <w:p w14:paraId="72119993"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0.3</w:t>
            </w:r>
          </w:p>
        </w:tc>
      </w:tr>
      <w:tr w:rsidR="00BF7699" w:rsidRPr="0004599B" w14:paraId="2D224B73" w14:textId="77777777" w:rsidTr="003D0B64">
        <w:tc>
          <w:tcPr>
            <w:cnfStyle w:val="001000000000" w:firstRow="0" w:lastRow="0" w:firstColumn="1" w:lastColumn="0" w:oddVBand="0" w:evenVBand="0" w:oddHBand="0" w:evenHBand="0" w:firstRowFirstColumn="0" w:firstRowLastColumn="0" w:lastRowFirstColumn="0" w:lastRowLastColumn="0"/>
            <w:tcW w:w="3256" w:type="dxa"/>
            <w:vMerge/>
          </w:tcPr>
          <w:p w14:paraId="5C38344D" w14:textId="77777777" w:rsidR="00BF7699" w:rsidRPr="0004599B" w:rsidRDefault="00BF7699" w:rsidP="00BF7699">
            <w:pPr>
              <w:spacing w:after="0"/>
              <w:rPr>
                <w:rFonts w:cs="Arial"/>
              </w:rPr>
            </w:pPr>
          </w:p>
        </w:tc>
        <w:tc>
          <w:tcPr>
            <w:tcW w:w="1559" w:type="dxa"/>
          </w:tcPr>
          <w:p w14:paraId="733B5B84"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Medium</w:t>
            </w:r>
          </w:p>
        </w:tc>
        <w:tc>
          <w:tcPr>
            <w:tcW w:w="1417" w:type="dxa"/>
          </w:tcPr>
          <w:p w14:paraId="4732C639"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0.6</w:t>
            </w:r>
          </w:p>
        </w:tc>
        <w:tc>
          <w:tcPr>
            <w:tcW w:w="1418" w:type="dxa"/>
          </w:tcPr>
          <w:p w14:paraId="01EB4883"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n/a</w:t>
            </w:r>
          </w:p>
        </w:tc>
        <w:tc>
          <w:tcPr>
            <w:tcW w:w="1366" w:type="dxa"/>
          </w:tcPr>
          <w:p w14:paraId="3A4967DD"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0.5</w:t>
            </w:r>
          </w:p>
        </w:tc>
      </w:tr>
    </w:tbl>
    <w:p w14:paraId="17B5542B" w14:textId="6F858655" w:rsidR="00BF7699" w:rsidRDefault="00BF7699" w:rsidP="00BF7699">
      <w:pPr>
        <w:rPr>
          <w:rFonts w:ascii="Arial Narrow" w:hAnsi="Arial Narrow" w:cs="Arial"/>
          <w:i/>
        </w:rPr>
      </w:pPr>
      <w:r w:rsidRPr="0017351B">
        <w:rPr>
          <w:rFonts w:ascii="Arial Narrow" w:hAnsi="Arial Narrow" w:cs="Arial"/>
          <w:i/>
        </w:rPr>
        <w:t>Source: NQF Regulatory Burden Report 2013-14</w:t>
      </w:r>
    </w:p>
    <w:p w14:paraId="707F6CE0" w14:textId="77777777" w:rsidR="00BF7699" w:rsidRPr="0017351B" w:rsidRDefault="00BF7699" w:rsidP="00BF7699">
      <w:pPr>
        <w:rPr>
          <w:rFonts w:ascii="Arial Narrow" w:hAnsi="Arial Narrow" w:cs="Arial"/>
          <w:i/>
        </w:rPr>
      </w:pPr>
    </w:p>
    <w:p w14:paraId="2D4EA5E1" w14:textId="77777777" w:rsidR="00BF7699" w:rsidRPr="0004599B" w:rsidRDefault="00BF7699" w:rsidP="00BF7699">
      <w:pPr>
        <w:rPr>
          <w:rFonts w:ascii="Arial" w:hAnsi="Arial" w:cs="Arial"/>
          <w:b/>
          <w:i/>
        </w:rPr>
      </w:pPr>
      <w:r w:rsidRPr="0004599B">
        <w:rPr>
          <w:rFonts w:ascii="Arial" w:hAnsi="Arial" w:cs="Arial"/>
          <w:b/>
          <w:i/>
        </w:rPr>
        <w:t>Equipment</w:t>
      </w:r>
    </w:p>
    <w:tbl>
      <w:tblPr>
        <w:tblStyle w:val="TableGrid"/>
        <w:tblW w:w="0" w:type="auto"/>
        <w:tblBorders>
          <w:top w:val="single" w:sz="4" w:space="0" w:color="004EA8" w:themeColor="accent1"/>
          <w:left w:val="single" w:sz="4" w:space="0" w:color="004EA8" w:themeColor="accent1"/>
          <w:bottom w:val="single" w:sz="4" w:space="0" w:color="004EA8" w:themeColor="accent1"/>
          <w:right w:val="single" w:sz="4" w:space="0" w:color="004EA8" w:themeColor="accent1"/>
          <w:insideH w:val="single" w:sz="4" w:space="0" w:color="004EA8" w:themeColor="accent1"/>
          <w:insideV w:val="single" w:sz="4" w:space="0" w:color="004EA8" w:themeColor="accent1"/>
        </w:tblBorders>
        <w:tblLook w:val="04A0" w:firstRow="1" w:lastRow="0" w:firstColumn="1" w:lastColumn="0" w:noHBand="0" w:noVBand="1"/>
      </w:tblPr>
      <w:tblGrid>
        <w:gridCol w:w="4248"/>
        <w:gridCol w:w="2410"/>
        <w:gridCol w:w="2358"/>
      </w:tblGrid>
      <w:tr w:rsidR="00BF7699" w:rsidRPr="0004599B" w14:paraId="7FD9A2BC" w14:textId="77777777" w:rsidTr="003D0B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right w:val="none" w:sz="0" w:space="0" w:color="auto"/>
            </w:tcBorders>
          </w:tcPr>
          <w:p w14:paraId="3D3E68CD" w14:textId="77777777" w:rsidR="00BF7699" w:rsidRPr="0004599B" w:rsidRDefault="00BF7699" w:rsidP="00BF7699">
            <w:pPr>
              <w:spacing w:after="0"/>
              <w:rPr>
                <w:rFonts w:cs="Arial"/>
              </w:rPr>
            </w:pPr>
            <w:r w:rsidRPr="0004599B">
              <w:rPr>
                <w:rFonts w:cs="Arial"/>
              </w:rPr>
              <w:t>Category</w:t>
            </w:r>
          </w:p>
        </w:tc>
        <w:tc>
          <w:tcPr>
            <w:tcW w:w="2410" w:type="dxa"/>
            <w:tcBorders>
              <w:left w:val="none" w:sz="0" w:space="0" w:color="auto"/>
              <w:right w:val="none" w:sz="0" w:space="0" w:color="auto"/>
            </w:tcBorders>
          </w:tcPr>
          <w:p w14:paraId="1E4765EE" w14:textId="77777777" w:rsidR="00BF7699" w:rsidRPr="0004599B" w:rsidRDefault="00BF7699" w:rsidP="00BF7699">
            <w:pPr>
              <w:spacing w:after="0"/>
              <w:jc w:val="center"/>
              <w:cnfStyle w:val="100000000000" w:firstRow="1" w:lastRow="0" w:firstColumn="0" w:lastColumn="0" w:oddVBand="0" w:evenVBand="0" w:oddHBand="0" w:evenHBand="0" w:firstRowFirstColumn="0" w:firstRowLastColumn="0" w:lastRowFirstColumn="0" w:lastRowLastColumn="0"/>
              <w:rPr>
                <w:rFonts w:cs="Arial"/>
              </w:rPr>
            </w:pPr>
            <w:r w:rsidRPr="0004599B">
              <w:rPr>
                <w:rFonts w:cs="Arial"/>
              </w:rPr>
              <w:t>Unit</w:t>
            </w:r>
          </w:p>
        </w:tc>
        <w:tc>
          <w:tcPr>
            <w:tcW w:w="2358" w:type="dxa"/>
            <w:tcBorders>
              <w:left w:val="none" w:sz="0" w:space="0" w:color="auto"/>
            </w:tcBorders>
          </w:tcPr>
          <w:p w14:paraId="341E0CB1" w14:textId="77777777" w:rsidR="00BF7699" w:rsidRPr="0004599B" w:rsidRDefault="00BF7699" w:rsidP="00BF7699">
            <w:pPr>
              <w:spacing w:after="0"/>
              <w:jc w:val="center"/>
              <w:cnfStyle w:val="100000000000" w:firstRow="1" w:lastRow="0" w:firstColumn="0" w:lastColumn="0" w:oddVBand="0" w:evenVBand="0" w:oddHBand="0" w:evenHBand="0" w:firstRowFirstColumn="0" w:firstRowLastColumn="0" w:lastRowFirstColumn="0" w:lastRowLastColumn="0"/>
              <w:rPr>
                <w:rFonts w:cs="Arial"/>
              </w:rPr>
            </w:pPr>
            <w:r w:rsidRPr="0004599B">
              <w:rPr>
                <w:rFonts w:cs="Arial"/>
              </w:rPr>
              <w:t>$ Cost</w:t>
            </w:r>
          </w:p>
        </w:tc>
      </w:tr>
      <w:tr w:rsidR="00BF7699" w:rsidRPr="0004599B" w14:paraId="39929BE5" w14:textId="77777777" w:rsidTr="003D0B64">
        <w:tc>
          <w:tcPr>
            <w:cnfStyle w:val="001000000000" w:firstRow="0" w:lastRow="0" w:firstColumn="1" w:lastColumn="0" w:oddVBand="0" w:evenVBand="0" w:oddHBand="0" w:evenHBand="0" w:firstRowFirstColumn="0" w:firstRowLastColumn="0" w:lastRowFirstColumn="0" w:lastRowLastColumn="0"/>
            <w:tcW w:w="4248" w:type="dxa"/>
          </w:tcPr>
          <w:p w14:paraId="5B450E97" w14:textId="77777777" w:rsidR="00BF7699" w:rsidRPr="0004599B" w:rsidRDefault="00BF7699" w:rsidP="00BF7699">
            <w:pPr>
              <w:spacing w:after="0"/>
              <w:rPr>
                <w:rFonts w:cs="Arial"/>
              </w:rPr>
            </w:pPr>
            <w:r w:rsidRPr="0004599B">
              <w:rPr>
                <w:rFonts w:cs="Arial"/>
              </w:rPr>
              <w:t>First-aid kit</w:t>
            </w:r>
          </w:p>
        </w:tc>
        <w:tc>
          <w:tcPr>
            <w:tcW w:w="2410" w:type="dxa"/>
          </w:tcPr>
          <w:p w14:paraId="034DA049"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Per kit</w:t>
            </w:r>
          </w:p>
        </w:tc>
        <w:tc>
          <w:tcPr>
            <w:tcW w:w="2358" w:type="dxa"/>
          </w:tcPr>
          <w:p w14:paraId="540AB36F"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$124.96</w:t>
            </w:r>
          </w:p>
        </w:tc>
      </w:tr>
      <w:tr w:rsidR="00BF7699" w:rsidRPr="0004599B" w14:paraId="7DD11800" w14:textId="77777777" w:rsidTr="003D0B64">
        <w:tc>
          <w:tcPr>
            <w:cnfStyle w:val="001000000000" w:firstRow="0" w:lastRow="0" w:firstColumn="1" w:lastColumn="0" w:oddVBand="0" w:evenVBand="0" w:oddHBand="0" w:evenHBand="0" w:firstRowFirstColumn="0" w:firstRowLastColumn="0" w:lastRowFirstColumn="0" w:lastRowLastColumn="0"/>
            <w:tcW w:w="4248" w:type="dxa"/>
          </w:tcPr>
          <w:p w14:paraId="48736041" w14:textId="77777777" w:rsidR="00BF7699" w:rsidRPr="0004599B" w:rsidRDefault="00BF7699" w:rsidP="00BF7699">
            <w:pPr>
              <w:spacing w:after="0"/>
              <w:rPr>
                <w:rFonts w:cs="Arial"/>
              </w:rPr>
            </w:pPr>
            <w:r w:rsidRPr="0004599B">
              <w:rPr>
                <w:rFonts w:cs="Arial"/>
              </w:rPr>
              <w:t>First-aid training</w:t>
            </w:r>
          </w:p>
        </w:tc>
        <w:tc>
          <w:tcPr>
            <w:tcW w:w="2410" w:type="dxa"/>
          </w:tcPr>
          <w:p w14:paraId="0D408312"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Per staff member</w:t>
            </w:r>
          </w:p>
        </w:tc>
        <w:tc>
          <w:tcPr>
            <w:tcW w:w="2358" w:type="dxa"/>
          </w:tcPr>
          <w:p w14:paraId="7EF0FAC3"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$144.00</w:t>
            </w:r>
          </w:p>
        </w:tc>
      </w:tr>
      <w:tr w:rsidR="00BF7699" w:rsidRPr="0004599B" w14:paraId="4B47B48E" w14:textId="77777777" w:rsidTr="003D0B64">
        <w:tc>
          <w:tcPr>
            <w:cnfStyle w:val="001000000000" w:firstRow="0" w:lastRow="0" w:firstColumn="1" w:lastColumn="0" w:oddVBand="0" w:evenVBand="0" w:oddHBand="0" w:evenHBand="0" w:firstRowFirstColumn="0" w:firstRowLastColumn="0" w:lastRowFirstColumn="0" w:lastRowLastColumn="0"/>
            <w:tcW w:w="4248" w:type="dxa"/>
          </w:tcPr>
          <w:p w14:paraId="5992C04B" w14:textId="77777777" w:rsidR="00BF7699" w:rsidRPr="0004599B" w:rsidRDefault="00BF7699" w:rsidP="00BF7699">
            <w:pPr>
              <w:spacing w:after="0"/>
              <w:rPr>
                <w:rFonts w:cs="Arial"/>
              </w:rPr>
            </w:pPr>
            <w:r w:rsidRPr="0004599B">
              <w:rPr>
                <w:rFonts w:cs="Arial"/>
              </w:rPr>
              <w:t>Fridge</w:t>
            </w:r>
          </w:p>
        </w:tc>
        <w:tc>
          <w:tcPr>
            <w:tcW w:w="2410" w:type="dxa"/>
          </w:tcPr>
          <w:p w14:paraId="6DE7E6AB"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1</w:t>
            </w:r>
          </w:p>
        </w:tc>
        <w:tc>
          <w:tcPr>
            <w:tcW w:w="2358" w:type="dxa"/>
          </w:tcPr>
          <w:p w14:paraId="74891DC3"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$749.99</w:t>
            </w:r>
          </w:p>
        </w:tc>
      </w:tr>
      <w:tr w:rsidR="00BF7699" w:rsidRPr="0004599B" w14:paraId="1E110877" w14:textId="77777777" w:rsidTr="003D0B64">
        <w:tc>
          <w:tcPr>
            <w:cnfStyle w:val="001000000000" w:firstRow="0" w:lastRow="0" w:firstColumn="1" w:lastColumn="0" w:oddVBand="0" w:evenVBand="0" w:oddHBand="0" w:evenHBand="0" w:firstRowFirstColumn="0" w:firstRowLastColumn="0" w:lastRowFirstColumn="0" w:lastRowLastColumn="0"/>
            <w:tcW w:w="4248" w:type="dxa"/>
          </w:tcPr>
          <w:p w14:paraId="18E68906" w14:textId="77777777" w:rsidR="00BF7699" w:rsidRPr="0004599B" w:rsidRDefault="00BF7699" w:rsidP="00BF7699">
            <w:pPr>
              <w:spacing w:after="0"/>
              <w:rPr>
                <w:rFonts w:cs="Arial"/>
              </w:rPr>
            </w:pPr>
            <w:r w:rsidRPr="0004599B">
              <w:rPr>
                <w:rFonts w:cs="Arial"/>
              </w:rPr>
              <w:t>Microwave</w:t>
            </w:r>
          </w:p>
        </w:tc>
        <w:tc>
          <w:tcPr>
            <w:tcW w:w="2410" w:type="dxa"/>
          </w:tcPr>
          <w:p w14:paraId="5F23720F"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1</w:t>
            </w:r>
          </w:p>
        </w:tc>
        <w:tc>
          <w:tcPr>
            <w:tcW w:w="2358" w:type="dxa"/>
          </w:tcPr>
          <w:p w14:paraId="6DDBA335"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$169.00</w:t>
            </w:r>
          </w:p>
        </w:tc>
      </w:tr>
      <w:tr w:rsidR="00BF7699" w:rsidRPr="0004599B" w14:paraId="46762EA8" w14:textId="77777777" w:rsidTr="003D0B64">
        <w:tc>
          <w:tcPr>
            <w:cnfStyle w:val="001000000000" w:firstRow="0" w:lastRow="0" w:firstColumn="1" w:lastColumn="0" w:oddVBand="0" w:evenVBand="0" w:oddHBand="0" w:evenHBand="0" w:firstRowFirstColumn="0" w:firstRowLastColumn="0" w:lastRowFirstColumn="0" w:lastRowLastColumn="0"/>
            <w:tcW w:w="4248" w:type="dxa"/>
          </w:tcPr>
          <w:p w14:paraId="0E7E7967" w14:textId="77777777" w:rsidR="00BF7699" w:rsidRPr="0004599B" w:rsidRDefault="00BF7699" w:rsidP="00BF7699">
            <w:pPr>
              <w:spacing w:after="0"/>
              <w:rPr>
                <w:rFonts w:cs="Arial"/>
              </w:rPr>
            </w:pPr>
            <w:r w:rsidRPr="0004599B">
              <w:rPr>
                <w:rFonts w:cs="Arial"/>
              </w:rPr>
              <w:t>Sink and taps</w:t>
            </w:r>
          </w:p>
        </w:tc>
        <w:tc>
          <w:tcPr>
            <w:tcW w:w="2410" w:type="dxa"/>
          </w:tcPr>
          <w:p w14:paraId="2504126D"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1</w:t>
            </w:r>
          </w:p>
        </w:tc>
        <w:tc>
          <w:tcPr>
            <w:tcW w:w="2358" w:type="dxa"/>
          </w:tcPr>
          <w:p w14:paraId="2843A74E"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$239.00</w:t>
            </w:r>
          </w:p>
        </w:tc>
      </w:tr>
      <w:tr w:rsidR="00BF7699" w:rsidRPr="0004599B" w14:paraId="69B1A255" w14:textId="77777777" w:rsidTr="003D0B64">
        <w:tc>
          <w:tcPr>
            <w:cnfStyle w:val="001000000000" w:firstRow="0" w:lastRow="0" w:firstColumn="1" w:lastColumn="0" w:oddVBand="0" w:evenVBand="0" w:oddHBand="0" w:evenHBand="0" w:firstRowFirstColumn="0" w:firstRowLastColumn="0" w:lastRowFirstColumn="0" w:lastRowLastColumn="0"/>
            <w:tcW w:w="4248" w:type="dxa"/>
          </w:tcPr>
          <w:p w14:paraId="3EE8BC45" w14:textId="77777777" w:rsidR="00BF7699" w:rsidRPr="0004599B" w:rsidRDefault="00BF7699" w:rsidP="00BF7699">
            <w:pPr>
              <w:spacing w:after="0"/>
              <w:rPr>
                <w:rFonts w:cs="Arial"/>
              </w:rPr>
            </w:pPr>
            <w:r w:rsidRPr="0004599B">
              <w:rPr>
                <w:rFonts w:cs="Arial"/>
              </w:rPr>
              <w:t>Stretcher bedframe</w:t>
            </w:r>
          </w:p>
        </w:tc>
        <w:tc>
          <w:tcPr>
            <w:tcW w:w="2410" w:type="dxa"/>
          </w:tcPr>
          <w:p w14:paraId="018B89B9"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1</w:t>
            </w:r>
          </w:p>
        </w:tc>
        <w:tc>
          <w:tcPr>
            <w:tcW w:w="2358" w:type="dxa"/>
          </w:tcPr>
          <w:p w14:paraId="612F2BD6"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$87.55</w:t>
            </w:r>
          </w:p>
        </w:tc>
      </w:tr>
      <w:tr w:rsidR="00BF7699" w:rsidRPr="0004599B" w14:paraId="1BEF0457" w14:textId="77777777" w:rsidTr="003D0B64">
        <w:tc>
          <w:tcPr>
            <w:cnfStyle w:val="001000000000" w:firstRow="0" w:lastRow="0" w:firstColumn="1" w:lastColumn="0" w:oddVBand="0" w:evenVBand="0" w:oddHBand="0" w:evenHBand="0" w:firstRowFirstColumn="0" w:firstRowLastColumn="0" w:lastRowFirstColumn="0" w:lastRowLastColumn="0"/>
            <w:tcW w:w="4248" w:type="dxa"/>
          </w:tcPr>
          <w:p w14:paraId="5EAD8A44" w14:textId="77777777" w:rsidR="00BF7699" w:rsidRPr="0004599B" w:rsidRDefault="00BF7699" w:rsidP="00BF7699">
            <w:pPr>
              <w:spacing w:after="0"/>
              <w:rPr>
                <w:rFonts w:cs="Arial"/>
              </w:rPr>
            </w:pPr>
            <w:r w:rsidRPr="0004599B">
              <w:rPr>
                <w:rFonts w:cs="Arial"/>
              </w:rPr>
              <w:t>Bed mat</w:t>
            </w:r>
          </w:p>
        </w:tc>
        <w:tc>
          <w:tcPr>
            <w:tcW w:w="2410" w:type="dxa"/>
          </w:tcPr>
          <w:p w14:paraId="429E486A"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1</w:t>
            </w:r>
          </w:p>
        </w:tc>
        <w:tc>
          <w:tcPr>
            <w:tcW w:w="2358" w:type="dxa"/>
          </w:tcPr>
          <w:p w14:paraId="4D4CF20F"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$73.20</w:t>
            </w:r>
          </w:p>
        </w:tc>
      </w:tr>
      <w:tr w:rsidR="00BF7699" w:rsidRPr="0004599B" w14:paraId="73D48B46" w14:textId="77777777" w:rsidTr="003D0B64">
        <w:tc>
          <w:tcPr>
            <w:cnfStyle w:val="001000000000" w:firstRow="0" w:lastRow="0" w:firstColumn="1" w:lastColumn="0" w:oddVBand="0" w:evenVBand="0" w:oddHBand="0" w:evenHBand="0" w:firstRowFirstColumn="0" w:firstRowLastColumn="0" w:lastRowFirstColumn="0" w:lastRowLastColumn="0"/>
            <w:tcW w:w="4248" w:type="dxa"/>
          </w:tcPr>
          <w:p w14:paraId="3B863DBF" w14:textId="77777777" w:rsidR="00BF7699" w:rsidRPr="0004599B" w:rsidRDefault="00BF7699" w:rsidP="00BF7699">
            <w:pPr>
              <w:spacing w:after="0"/>
              <w:rPr>
                <w:rFonts w:cs="Arial"/>
              </w:rPr>
            </w:pPr>
            <w:r w:rsidRPr="0004599B">
              <w:rPr>
                <w:rFonts w:cs="Arial"/>
              </w:rPr>
              <w:t>Cot</w:t>
            </w:r>
          </w:p>
        </w:tc>
        <w:tc>
          <w:tcPr>
            <w:tcW w:w="2410" w:type="dxa"/>
          </w:tcPr>
          <w:p w14:paraId="27FB8E72"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1</w:t>
            </w:r>
          </w:p>
        </w:tc>
        <w:tc>
          <w:tcPr>
            <w:tcW w:w="2358" w:type="dxa"/>
          </w:tcPr>
          <w:p w14:paraId="78947EE2"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$129.00</w:t>
            </w:r>
          </w:p>
        </w:tc>
      </w:tr>
      <w:tr w:rsidR="00BF7699" w:rsidRPr="0004599B" w14:paraId="0B83913B" w14:textId="77777777" w:rsidTr="003D0B64">
        <w:tc>
          <w:tcPr>
            <w:cnfStyle w:val="001000000000" w:firstRow="0" w:lastRow="0" w:firstColumn="1" w:lastColumn="0" w:oddVBand="0" w:evenVBand="0" w:oddHBand="0" w:evenHBand="0" w:firstRowFirstColumn="0" w:firstRowLastColumn="0" w:lastRowFirstColumn="0" w:lastRowLastColumn="0"/>
            <w:tcW w:w="4248" w:type="dxa"/>
          </w:tcPr>
          <w:p w14:paraId="3BF00147" w14:textId="77777777" w:rsidR="00BF7699" w:rsidRPr="0004599B" w:rsidRDefault="00BF7699" w:rsidP="00BF7699">
            <w:pPr>
              <w:spacing w:after="0"/>
              <w:rPr>
                <w:rFonts w:cs="Arial"/>
              </w:rPr>
            </w:pPr>
            <w:r w:rsidRPr="0004599B">
              <w:rPr>
                <w:rFonts w:cs="Arial"/>
              </w:rPr>
              <w:t>Children’s bedding set</w:t>
            </w:r>
          </w:p>
        </w:tc>
        <w:tc>
          <w:tcPr>
            <w:tcW w:w="2410" w:type="dxa"/>
          </w:tcPr>
          <w:p w14:paraId="016DDC96"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1</w:t>
            </w:r>
          </w:p>
        </w:tc>
        <w:tc>
          <w:tcPr>
            <w:tcW w:w="2358" w:type="dxa"/>
          </w:tcPr>
          <w:p w14:paraId="6EB40729"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$35.50</w:t>
            </w:r>
          </w:p>
        </w:tc>
      </w:tr>
      <w:tr w:rsidR="00BF7699" w:rsidRPr="0004599B" w14:paraId="3EAB1583" w14:textId="77777777" w:rsidTr="003D0B64">
        <w:tc>
          <w:tcPr>
            <w:cnfStyle w:val="001000000000" w:firstRow="0" w:lastRow="0" w:firstColumn="1" w:lastColumn="0" w:oddVBand="0" w:evenVBand="0" w:oddHBand="0" w:evenHBand="0" w:firstRowFirstColumn="0" w:firstRowLastColumn="0" w:lastRowFirstColumn="0" w:lastRowLastColumn="0"/>
            <w:tcW w:w="4248" w:type="dxa"/>
          </w:tcPr>
          <w:p w14:paraId="516741A6" w14:textId="77777777" w:rsidR="00BF7699" w:rsidRPr="0004599B" w:rsidRDefault="00BF7699" w:rsidP="00BF7699">
            <w:pPr>
              <w:spacing w:after="0"/>
              <w:rPr>
                <w:rFonts w:cs="Arial"/>
              </w:rPr>
            </w:pPr>
            <w:r w:rsidRPr="0004599B">
              <w:rPr>
                <w:rFonts w:cs="Arial"/>
              </w:rPr>
              <w:t>Baby bath</w:t>
            </w:r>
          </w:p>
        </w:tc>
        <w:tc>
          <w:tcPr>
            <w:tcW w:w="2410" w:type="dxa"/>
          </w:tcPr>
          <w:p w14:paraId="014E6682"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1</w:t>
            </w:r>
          </w:p>
        </w:tc>
        <w:tc>
          <w:tcPr>
            <w:tcW w:w="2358" w:type="dxa"/>
          </w:tcPr>
          <w:p w14:paraId="37BF3D9A" w14:textId="77777777" w:rsidR="00BF7699" w:rsidRPr="0004599B" w:rsidRDefault="00BF7699" w:rsidP="00BF7699">
            <w:pPr>
              <w:spacing w:after="0"/>
              <w:jc w:val="center"/>
              <w:cnfStyle w:val="000000000000" w:firstRow="0" w:lastRow="0" w:firstColumn="0" w:lastColumn="0" w:oddVBand="0" w:evenVBand="0" w:oddHBand="0" w:evenHBand="0" w:firstRowFirstColumn="0" w:firstRowLastColumn="0" w:lastRowFirstColumn="0" w:lastRowLastColumn="0"/>
              <w:rPr>
                <w:rFonts w:cs="Arial"/>
              </w:rPr>
            </w:pPr>
            <w:r w:rsidRPr="0004599B">
              <w:rPr>
                <w:rFonts w:cs="Arial"/>
              </w:rPr>
              <w:t>$79.95</w:t>
            </w:r>
          </w:p>
        </w:tc>
      </w:tr>
    </w:tbl>
    <w:p w14:paraId="31A58CB6" w14:textId="71F550D0" w:rsidR="00BF7699" w:rsidRDefault="00BF7699" w:rsidP="00BF7699">
      <w:pPr>
        <w:rPr>
          <w:rFonts w:ascii="Arial Narrow" w:hAnsi="Arial Narrow" w:cs="Arial"/>
          <w:i/>
        </w:rPr>
      </w:pPr>
      <w:r w:rsidRPr="0017351B">
        <w:rPr>
          <w:rFonts w:ascii="Arial Narrow" w:hAnsi="Arial Narrow" w:cs="Arial"/>
          <w:i/>
        </w:rPr>
        <w:t>Source: Average taken from a selection of Australian outlets or providers</w:t>
      </w:r>
    </w:p>
    <w:p w14:paraId="201CC5B7" w14:textId="78CACB67" w:rsidR="00FB1FAE" w:rsidRPr="00FB1FAE" w:rsidRDefault="00927299" w:rsidP="00927299">
      <w:pPr>
        <w:spacing w:after="0"/>
        <w:rPr>
          <w:rFonts w:ascii="Arial" w:hAnsi="Arial" w:cs="Arial"/>
        </w:rPr>
      </w:pPr>
      <w:r>
        <w:rPr>
          <w:rFonts w:ascii="Arial" w:hAnsi="Arial" w:cs="Arial"/>
        </w:rPr>
        <w:br w:type="page"/>
      </w:r>
    </w:p>
    <w:p w14:paraId="6F31E4A5" w14:textId="77777777" w:rsidR="00FB1FAE" w:rsidRDefault="00FB1FAE" w:rsidP="00FB1FAE">
      <w:pPr>
        <w:spacing w:before="120"/>
        <w:rPr>
          <w:rFonts w:ascii="Arial" w:hAnsi="Arial" w:cs="Arial"/>
        </w:rPr>
        <w:sectPr w:rsidR="00FB1FAE" w:rsidSect="00DA3218">
          <w:pgSz w:w="11900" w:h="16840"/>
          <w:pgMar w:top="1985" w:right="1134" w:bottom="1701" w:left="1134" w:header="709" w:footer="709" w:gutter="0"/>
          <w:cols w:space="708"/>
          <w:docGrid w:linePitch="360"/>
        </w:sectPr>
      </w:pPr>
    </w:p>
    <w:p w14:paraId="185BDD9D" w14:textId="578629C0" w:rsidR="00FB1FAE" w:rsidRPr="00927299" w:rsidRDefault="00927299" w:rsidP="00927299">
      <w:pPr>
        <w:pStyle w:val="Heading2"/>
        <w:rPr>
          <w:rFonts w:eastAsiaTheme="minorEastAsia"/>
        </w:rPr>
      </w:pPr>
      <w:bookmarkStart w:id="331" w:name="_Toc32936903"/>
      <w:r w:rsidRPr="00927299">
        <w:rPr>
          <w:rFonts w:eastAsiaTheme="minorEastAsia"/>
        </w:rPr>
        <w:lastRenderedPageBreak/>
        <w:t>10.5</w:t>
      </w:r>
      <w:r w:rsidR="00CA3C91">
        <w:rPr>
          <w:rFonts w:eastAsiaTheme="minorEastAsia"/>
        </w:rPr>
        <w:t>a</w:t>
      </w:r>
      <w:r w:rsidRPr="00927299">
        <w:rPr>
          <w:rFonts w:eastAsiaTheme="minorEastAsia"/>
        </w:rPr>
        <w:t xml:space="preserve"> Children’s Services Regulations 2009 – Current Fee Structure</w:t>
      </w:r>
      <w:bookmarkEnd w:id="331"/>
    </w:p>
    <w:p w14:paraId="69D3D546" w14:textId="7D340E0A" w:rsidR="00927299" w:rsidRDefault="00FC6666" w:rsidP="00FB1FAE">
      <w:pPr>
        <w:spacing w:before="120"/>
        <w:rPr>
          <w:rFonts w:ascii="Arial" w:hAnsi="Arial" w:cs="Arial"/>
        </w:rPr>
      </w:pPr>
      <w:r w:rsidRPr="00FC6666">
        <w:rPr>
          <w:noProof/>
          <w:lang w:val="en-AU" w:eastAsia="en-AU"/>
        </w:rPr>
        <w:drawing>
          <wp:inline distT="0" distB="0" distL="0" distR="0" wp14:anchorId="3C616FF8" wp14:editId="2447129A">
            <wp:extent cx="8362157" cy="4476902"/>
            <wp:effectExtent l="0" t="0" r="1270" b="0"/>
            <wp:docPr id="5" name="Picture 5" descr="This is a table showing the Children's Services Regulations current fe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382362" cy="4487719"/>
                    </a:xfrm>
                    <a:prstGeom prst="rect">
                      <a:avLst/>
                    </a:prstGeom>
                    <a:noFill/>
                    <a:ln>
                      <a:noFill/>
                    </a:ln>
                  </pic:spPr>
                </pic:pic>
              </a:graphicData>
            </a:graphic>
          </wp:inline>
        </w:drawing>
      </w:r>
    </w:p>
    <w:p w14:paraId="5BC0B82A" w14:textId="6D86DE0C" w:rsidR="00F51E7E" w:rsidRDefault="00F51E7E" w:rsidP="00FB1FAE">
      <w:pPr>
        <w:spacing w:before="120"/>
        <w:rPr>
          <w:rFonts w:cstheme="minorHAnsi"/>
          <w:sz w:val="20"/>
          <w:szCs w:val="18"/>
        </w:rPr>
      </w:pPr>
      <w:r w:rsidRPr="00F51E7E">
        <w:rPr>
          <w:rFonts w:cstheme="minorHAnsi"/>
          <w:sz w:val="20"/>
          <w:szCs w:val="18"/>
        </w:rPr>
        <w:t>Service level data as at December 2019, indicates that there are no services curre</w:t>
      </w:r>
      <w:r>
        <w:rPr>
          <w:rFonts w:cstheme="minorHAnsi"/>
          <w:sz w:val="20"/>
          <w:szCs w:val="18"/>
        </w:rPr>
        <w:t xml:space="preserve">ntly holding a Short term </w:t>
      </w:r>
      <w:r w:rsidR="00025FF7">
        <w:rPr>
          <w:rFonts w:cstheme="minorHAnsi"/>
          <w:sz w:val="20"/>
          <w:szCs w:val="18"/>
        </w:rPr>
        <w:t xml:space="preserve">licence </w:t>
      </w:r>
      <w:r>
        <w:rPr>
          <w:rFonts w:cstheme="minorHAnsi"/>
          <w:sz w:val="20"/>
          <w:szCs w:val="18"/>
        </w:rPr>
        <w:t>(type</w:t>
      </w:r>
      <w:r w:rsidRPr="00F51E7E">
        <w:rPr>
          <w:rFonts w:cstheme="minorHAnsi"/>
          <w:sz w:val="20"/>
          <w:szCs w:val="18"/>
        </w:rPr>
        <w:t xml:space="preserve"> 1 or 2) and the integrated service licence has been captured in the School Holiday Care licence data, therefore fees related to these licence types are </w:t>
      </w:r>
      <w:r w:rsidRPr="00946E70">
        <w:rPr>
          <w:rFonts w:cstheme="minorHAnsi"/>
          <w:b/>
          <w:sz w:val="20"/>
          <w:szCs w:val="18"/>
        </w:rPr>
        <w:t>not shown</w:t>
      </w:r>
      <w:r w:rsidRPr="00F51E7E">
        <w:rPr>
          <w:rFonts w:cstheme="minorHAnsi"/>
          <w:sz w:val="20"/>
          <w:szCs w:val="18"/>
        </w:rPr>
        <w:t xml:space="preserve"> above.</w:t>
      </w:r>
    </w:p>
    <w:p w14:paraId="6A01520A" w14:textId="2EF10C6B" w:rsidR="00946E70" w:rsidRPr="00946E70" w:rsidRDefault="00946E70" w:rsidP="00946E70">
      <w:pPr>
        <w:pStyle w:val="EYBodytextwithparaspace"/>
        <w:spacing w:before="120" w:after="120"/>
        <w:rPr>
          <w:rFonts w:asciiTheme="minorHAnsi" w:hAnsiTheme="minorHAnsi" w:cstheme="minorHAnsi"/>
        </w:rPr>
      </w:pPr>
      <w:r w:rsidRPr="00946E70">
        <w:rPr>
          <w:rFonts w:asciiTheme="minorHAnsi" w:hAnsiTheme="minorHAnsi" w:cstheme="minorHAnsi"/>
        </w:rPr>
        <w:t xml:space="preserve">The dollar values reflected are based on the </w:t>
      </w:r>
      <w:r w:rsidRPr="00946E70">
        <w:rPr>
          <w:rFonts w:asciiTheme="minorHAnsi" w:hAnsiTheme="minorHAnsi" w:cstheme="minorHAnsi"/>
          <w:b/>
        </w:rPr>
        <w:t>fee unit value of $14.81</w:t>
      </w:r>
      <w:r w:rsidRPr="00946E70">
        <w:rPr>
          <w:rFonts w:asciiTheme="minorHAnsi" w:hAnsiTheme="minorHAnsi" w:cstheme="minorHAnsi"/>
        </w:rPr>
        <w:t xml:space="preserve"> provided for the July 2019 to June 2020 financial year.</w:t>
      </w:r>
    </w:p>
    <w:p w14:paraId="0A546567" w14:textId="0A17DF0D" w:rsidR="006E3A24" w:rsidRPr="00F51E7E" w:rsidRDefault="00F51E7E" w:rsidP="00FB1FAE">
      <w:pPr>
        <w:spacing w:before="120"/>
        <w:rPr>
          <w:rFonts w:ascii="Arial" w:hAnsi="Arial" w:cs="Arial"/>
          <w:sz w:val="20"/>
        </w:rPr>
      </w:pPr>
      <w:r w:rsidRPr="00F51E7E">
        <w:rPr>
          <w:rFonts w:ascii="Arial" w:hAnsi="Arial" w:cs="Arial"/>
          <w:sz w:val="20"/>
        </w:rPr>
        <w:t>Further information about current children’s services</w:t>
      </w:r>
      <w:r w:rsidR="006E3A24" w:rsidRPr="00F51E7E">
        <w:rPr>
          <w:rFonts w:ascii="Arial" w:hAnsi="Arial" w:cs="Arial"/>
          <w:sz w:val="20"/>
        </w:rPr>
        <w:t xml:space="preserve"> fees and penalties can be found at </w:t>
      </w:r>
      <w:hyperlink r:id="rId39" w:anchor="link2" w:history="1">
        <w:r w:rsidR="00946E70" w:rsidRPr="007502C6">
          <w:rPr>
            <w:rStyle w:val="Hyperlink"/>
            <w:rFonts w:ascii="Arial" w:hAnsi="Arial" w:cs="Arial"/>
            <w:sz w:val="20"/>
          </w:rPr>
          <w:t>https://www.education.vic.gov.au/childhood/providers/regulation/Pages/vcs.aspx#link2</w:t>
        </w:r>
      </w:hyperlink>
      <w:r w:rsidR="006E3A24" w:rsidRPr="00F51E7E">
        <w:rPr>
          <w:rFonts w:ascii="Arial" w:hAnsi="Arial" w:cs="Arial"/>
          <w:sz w:val="20"/>
        </w:rPr>
        <w:t xml:space="preserve"> </w:t>
      </w:r>
    </w:p>
    <w:p w14:paraId="4F0BC655" w14:textId="77777777" w:rsidR="00CA3C91" w:rsidRDefault="00CA3C91">
      <w:pPr>
        <w:spacing w:after="0"/>
        <w:rPr>
          <w:rFonts w:ascii="Arial" w:hAnsi="Arial" w:cs="Arial"/>
        </w:rPr>
        <w:sectPr w:rsidR="00CA3C91" w:rsidSect="00927299">
          <w:pgSz w:w="16838" w:h="11906" w:orient="landscape" w:code="9"/>
          <w:pgMar w:top="1134" w:right="1985" w:bottom="1134" w:left="1701" w:header="709" w:footer="709" w:gutter="0"/>
          <w:cols w:space="708"/>
          <w:docGrid w:linePitch="360"/>
        </w:sectPr>
      </w:pPr>
      <w:r>
        <w:rPr>
          <w:rFonts w:ascii="Arial" w:hAnsi="Arial" w:cs="Arial"/>
        </w:rPr>
        <w:br w:type="page"/>
      </w:r>
    </w:p>
    <w:p w14:paraId="5B78DE01" w14:textId="01EAB592" w:rsidR="00CA3C91" w:rsidRPr="00927299" w:rsidRDefault="00CA3C91" w:rsidP="00CA3C91">
      <w:pPr>
        <w:pStyle w:val="Heading2"/>
        <w:rPr>
          <w:rFonts w:eastAsiaTheme="minorEastAsia"/>
        </w:rPr>
      </w:pPr>
      <w:bookmarkStart w:id="332" w:name="_Toc32936904"/>
      <w:r w:rsidRPr="00927299">
        <w:rPr>
          <w:rFonts w:eastAsiaTheme="minorEastAsia"/>
        </w:rPr>
        <w:lastRenderedPageBreak/>
        <w:t>10.5</w:t>
      </w:r>
      <w:r>
        <w:rPr>
          <w:rFonts w:eastAsiaTheme="minorEastAsia"/>
        </w:rPr>
        <w:t>b</w:t>
      </w:r>
      <w:r w:rsidRPr="00927299">
        <w:rPr>
          <w:rFonts w:eastAsiaTheme="minorEastAsia"/>
        </w:rPr>
        <w:t xml:space="preserve"> Children’s Services Regulations </w:t>
      </w:r>
      <w:r>
        <w:rPr>
          <w:rFonts w:eastAsiaTheme="minorEastAsia"/>
        </w:rPr>
        <w:t>2020</w:t>
      </w:r>
      <w:r w:rsidRPr="00927299">
        <w:rPr>
          <w:rFonts w:eastAsiaTheme="minorEastAsia"/>
        </w:rPr>
        <w:t xml:space="preserve"> – </w:t>
      </w:r>
      <w:r w:rsidR="00981236">
        <w:rPr>
          <w:rFonts w:eastAsiaTheme="minorEastAsia"/>
        </w:rPr>
        <w:t>P</w:t>
      </w:r>
      <w:r>
        <w:rPr>
          <w:rFonts w:eastAsiaTheme="minorEastAsia"/>
        </w:rPr>
        <w:t>roposed</w:t>
      </w:r>
      <w:r w:rsidRPr="00927299">
        <w:rPr>
          <w:rFonts w:eastAsiaTheme="minorEastAsia"/>
        </w:rPr>
        <w:t xml:space="preserve"> Fee Structure</w:t>
      </w:r>
      <w:bookmarkEnd w:id="332"/>
    </w:p>
    <w:p w14:paraId="0177E5C5" w14:textId="42E0886F" w:rsidR="00CA3C91" w:rsidRDefault="00CA3C91" w:rsidP="00FB1FAE">
      <w:pPr>
        <w:spacing w:before="120"/>
        <w:rPr>
          <w:rFonts w:ascii="Arial" w:hAnsi="Arial" w:cs="Arial"/>
        </w:rPr>
      </w:pPr>
      <w:r w:rsidRPr="00CA3C91">
        <w:rPr>
          <w:noProof/>
          <w:lang w:val="en-AU" w:eastAsia="en-AU"/>
        </w:rPr>
        <w:drawing>
          <wp:inline distT="0" distB="0" distL="0" distR="0" wp14:anchorId="429CF531" wp14:editId="23909E15">
            <wp:extent cx="6120130" cy="4260204"/>
            <wp:effectExtent l="0" t="0" r="0" b="7620"/>
            <wp:docPr id="1" name="Picture 1" descr="This is a table showing the Children's Services Regulations proposed f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20130" cy="4260204"/>
                    </a:xfrm>
                    <a:prstGeom prst="rect">
                      <a:avLst/>
                    </a:prstGeom>
                    <a:noFill/>
                    <a:ln>
                      <a:noFill/>
                    </a:ln>
                  </pic:spPr>
                </pic:pic>
              </a:graphicData>
            </a:graphic>
          </wp:inline>
        </w:drawing>
      </w:r>
    </w:p>
    <w:p w14:paraId="07285E52" w14:textId="77777777" w:rsidR="00E22934" w:rsidRPr="00946E70" w:rsidRDefault="00E22934" w:rsidP="00E22934">
      <w:pPr>
        <w:pStyle w:val="EYBodytextwithparaspace"/>
        <w:spacing w:before="120" w:after="120"/>
        <w:rPr>
          <w:rFonts w:asciiTheme="minorHAnsi" w:hAnsiTheme="minorHAnsi" w:cstheme="minorHAnsi"/>
        </w:rPr>
      </w:pPr>
      <w:r w:rsidRPr="00946E70">
        <w:rPr>
          <w:rFonts w:asciiTheme="minorHAnsi" w:hAnsiTheme="minorHAnsi" w:cstheme="minorHAnsi"/>
        </w:rPr>
        <w:t xml:space="preserve">The dollar values reflected are based on the </w:t>
      </w:r>
      <w:r w:rsidRPr="00946E70">
        <w:rPr>
          <w:rFonts w:asciiTheme="minorHAnsi" w:hAnsiTheme="minorHAnsi" w:cstheme="minorHAnsi"/>
          <w:b/>
        </w:rPr>
        <w:t>fee unit value of $14.81</w:t>
      </w:r>
      <w:r w:rsidRPr="00946E70">
        <w:rPr>
          <w:rFonts w:asciiTheme="minorHAnsi" w:hAnsiTheme="minorHAnsi" w:cstheme="minorHAnsi"/>
        </w:rPr>
        <w:t xml:space="preserve"> provided for the July 2019 to June 2020 financial year.</w:t>
      </w:r>
    </w:p>
    <w:p w14:paraId="3ADEDC4C" w14:textId="77777777" w:rsidR="00CA3C91" w:rsidRPr="00FB1FAE" w:rsidRDefault="00CA3C91" w:rsidP="00FB1FAE">
      <w:pPr>
        <w:spacing w:before="120"/>
        <w:rPr>
          <w:rFonts w:ascii="Arial" w:hAnsi="Arial" w:cs="Arial"/>
        </w:rPr>
      </w:pPr>
    </w:p>
    <w:sectPr w:rsidR="00CA3C91" w:rsidRPr="00FB1FAE" w:rsidSect="00CA3C91">
      <w:pgSz w:w="11906" w:h="16838" w:code="9"/>
      <w:pgMar w:top="1985"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DF3991" w14:textId="77777777" w:rsidR="008A603E" w:rsidRDefault="008A603E" w:rsidP="003967DD">
      <w:pPr>
        <w:spacing w:after="0"/>
      </w:pPr>
      <w:r>
        <w:separator/>
      </w:r>
    </w:p>
  </w:endnote>
  <w:endnote w:type="continuationSeparator" w:id="0">
    <w:p w14:paraId="373790A9" w14:textId="77777777" w:rsidR="008A603E" w:rsidRDefault="008A603E" w:rsidP="003967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YInterstate Light">
    <w:altName w:val="Franklin Gothic Medium Cond"/>
    <w:charset w:val="00"/>
    <w:family w:val="auto"/>
    <w:pitch w:val="variable"/>
    <w:sig w:usb0="A00002AF" w:usb1="5000206A"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EYInterstate Regular">
    <w:altName w:val="Corbel"/>
    <w:charset w:val="00"/>
    <w:family w:val="auto"/>
    <w:pitch w:val="variable"/>
    <w:sig w:usb0="00000001"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ource Sans Pro Light">
    <w:altName w:val="Source Sans Pro Light"/>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36CB5" w14:textId="77777777" w:rsidR="00CE3509" w:rsidRDefault="00CE3509" w:rsidP="00090AF4">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A12BBCE" w14:textId="77777777" w:rsidR="00CE3509" w:rsidRDefault="00CE3509" w:rsidP="00A31926">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3DEB7" w14:textId="116ECD70" w:rsidR="00CE3509" w:rsidRDefault="00CE3509" w:rsidP="00A31926">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F84D4" w14:textId="2B4E18C8" w:rsidR="00CE3509" w:rsidRDefault="00CE3509" w:rsidP="00DD4A32">
    <w:pPr>
      <w:pStyle w:val="FootnoteText"/>
      <w:ind w:right="3395"/>
      <w:rPr>
        <w:sz w:val="12"/>
        <w:szCs w:val="12"/>
      </w:rPr>
    </w:pPr>
    <w:r w:rsidRPr="001105FA">
      <w:rPr>
        <w:sz w:val="12"/>
        <w:szCs w:val="12"/>
      </w:rPr>
      <w:t xml:space="preserve">© State of Victoria (Department of Education and Training) </w:t>
    </w:r>
    <w:r>
      <w:rPr>
        <w:sz w:val="12"/>
        <w:szCs w:val="12"/>
      </w:rPr>
      <w:t>2020</w:t>
    </w:r>
  </w:p>
  <w:p w14:paraId="39778EA9" w14:textId="77777777" w:rsidR="00CE3509" w:rsidRPr="001105FA" w:rsidRDefault="00CE3509" w:rsidP="00DD4A32">
    <w:pPr>
      <w:pStyle w:val="FootnoteText"/>
      <w:ind w:right="3395"/>
      <w:rPr>
        <w:sz w:val="12"/>
        <w:szCs w:val="12"/>
      </w:rPr>
    </w:pPr>
    <w:r>
      <w:rPr>
        <w:noProof/>
        <w:sz w:val="12"/>
        <w:szCs w:val="12"/>
        <w:lang w:val="en-AU" w:eastAsia="en-AU"/>
      </w:rPr>
      <w:drawing>
        <wp:inline distT="0" distB="0" distL="0" distR="0" wp14:anchorId="531226DA" wp14:editId="7A6964B7">
          <wp:extent cx="485336" cy="173334"/>
          <wp:effectExtent l="0" t="0" r="0" b="5080"/>
          <wp:docPr id="8" name="Picture 8" descr="Creative Commons Attribution 4.0 International licence. You are free to re-use the work under that licence, on the condition that you credit the State of Victoria (Department of Education and Training), indicate if changes were made and comply with the other licence terms." title="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ativeCommonsCopyright.jpg"/>
                  <pic:cNvPicPr/>
                </pic:nvPicPr>
                <pic:blipFill>
                  <a:blip r:embed="rId1">
                    <a:extLst>
                      <a:ext uri="{28A0092B-C50C-407E-A947-70E740481C1C}">
                        <a14:useLocalDpi xmlns:a14="http://schemas.microsoft.com/office/drawing/2010/main" val="0"/>
                      </a:ext>
                    </a:extLst>
                  </a:blip>
                  <a:stretch>
                    <a:fillRect/>
                  </a:stretch>
                </pic:blipFill>
                <pic:spPr>
                  <a:xfrm>
                    <a:off x="0" y="0"/>
                    <a:ext cx="496078" cy="177171"/>
                  </a:xfrm>
                  <a:prstGeom prst="rect">
                    <a:avLst/>
                  </a:prstGeom>
                </pic:spPr>
              </pic:pic>
            </a:graphicData>
          </a:graphic>
        </wp:inline>
      </w:drawing>
    </w:r>
  </w:p>
  <w:p w14:paraId="3AA8B479" w14:textId="4DDBD384" w:rsidR="00CE3509" w:rsidRPr="001105FA" w:rsidRDefault="00CE3509" w:rsidP="00DD4A32">
    <w:pPr>
      <w:pStyle w:val="FootnoteText"/>
      <w:spacing w:before="120"/>
      <w:ind w:right="2544"/>
      <w:rPr>
        <w:sz w:val="12"/>
        <w:szCs w:val="12"/>
      </w:rPr>
    </w:pPr>
    <w:r w:rsidRPr="00AB4FC6">
      <w:rPr>
        <w:sz w:val="12"/>
        <w:szCs w:val="12"/>
      </w:rPr>
      <w:t>Children’s Services Regulations 2020 Regulatory Impact Statement is provided under a Creative Commons Attribution 4.0</w:t>
    </w:r>
    <w:r w:rsidRPr="001105FA">
      <w:rPr>
        <w:sz w:val="12"/>
        <w:szCs w:val="12"/>
      </w:rPr>
      <w:t xml:space="preserve"> International licence. You are free to re-use the work under that licence, on the condition that you credit the State of Victoria (Department of Education and Training), indicate if changes were made and comply</w:t>
    </w:r>
    <w:r>
      <w:rPr>
        <w:sz w:val="12"/>
        <w:szCs w:val="12"/>
      </w:rPr>
      <w:t xml:space="preserve"> with the other licence terms, </w:t>
    </w:r>
    <w:r w:rsidRPr="001105FA">
      <w:rPr>
        <w:sz w:val="12"/>
        <w:szCs w:val="12"/>
      </w:rPr>
      <w:t xml:space="preserve">see: </w:t>
    </w:r>
    <w:hyperlink r:id="rId2" w:history="1">
      <w:r w:rsidRPr="001105FA">
        <w:rPr>
          <w:rStyle w:val="Hyperlink"/>
          <w:sz w:val="12"/>
          <w:szCs w:val="12"/>
        </w:rPr>
        <w:t>Creative Commons Attribution 4.0 International</w:t>
      </w:r>
    </w:hyperlink>
    <w:r w:rsidRPr="001105FA">
      <w:rPr>
        <w:sz w:val="12"/>
        <w:szCs w:val="12"/>
      </w:rPr>
      <w:t xml:space="preserve"> </w:t>
    </w:r>
  </w:p>
  <w:p w14:paraId="75205FF1" w14:textId="77777777" w:rsidR="00CE3509" w:rsidRPr="001105FA" w:rsidRDefault="00CE3509" w:rsidP="00DD4A32">
    <w:pPr>
      <w:pStyle w:val="FootnoteText"/>
      <w:ind w:right="1977"/>
      <w:rPr>
        <w:sz w:val="12"/>
        <w:szCs w:val="12"/>
      </w:rPr>
    </w:pPr>
    <w:r w:rsidRPr="001105FA">
      <w:rPr>
        <w:sz w:val="12"/>
        <w:szCs w:val="12"/>
      </w:rPr>
      <w:t>The licence does not apply to:</w:t>
    </w:r>
  </w:p>
  <w:p w14:paraId="760DA685" w14:textId="77777777" w:rsidR="00CE3509" w:rsidRPr="001105FA" w:rsidRDefault="00CE3509" w:rsidP="00DD4A32">
    <w:pPr>
      <w:pStyle w:val="FootnoteText"/>
      <w:tabs>
        <w:tab w:val="left" w:pos="142"/>
        <w:tab w:val="left" w:pos="1276"/>
      </w:tabs>
      <w:ind w:right="1977"/>
      <w:rPr>
        <w:sz w:val="12"/>
        <w:szCs w:val="12"/>
      </w:rPr>
    </w:pPr>
    <w:r w:rsidRPr="001105FA">
      <w:rPr>
        <w:sz w:val="12"/>
        <w:szCs w:val="12"/>
      </w:rPr>
      <w:t>•</w:t>
    </w:r>
    <w:r w:rsidRPr="001105FA">
      <w:rPr>
        <w:sz w:val="12"/>
        <w:szCs w:val="12"/>
      </w:rPr>
      <w:tab/>
    </w:r>
    <w:proofErr w:type="gramStart"/>
    <w:r w:rsidRPr="001105FA">
      <w:rPr>
        <w:sz w:val="12"/>
        <w:szCs w:val="12"/>
      </w:rPr>
      <w:t>any</w:t>
    </w:r>
    <w:proofErr w:type="gramEnd"/>
    <w:r w:rsidRPr="001105FA">
      <w:rPr>
        <w:sz w:val="12"/>
        <w:szCs w:val="12"/>
      </w:rPr>
      <w:t xml:space="preserve"> images, photographs, trademarks or branding, including the Victorian Government logo and the DET logo; and</w:t>
    </w:r>
  </w:p>
  <w:p w14:paraId="04BA33D5" w14:textId="77777777" w:rsidR="00CE3509" w:rsidRPr="001105FA" w:rsidRDefault="00CE3509" w:rsidP="00DD4A32">
    <w:pPr>
      <w:pStyle w:val="FootnoteText"/>
      <w:tabs>
        <w:tab w:val="left" w:pos="142"/>
      </w:tabs>
      <w:ind w:right="1977"/>
      <w:rPr>
        <w:sz w:val="12"/>
        <w:szCs w:val="12"/>
      </w:rPr>
    </w:pPr>
    <w:r w:rsidRPr="001105FA">
      <w:rPr>
        <w:sz w:val="12"/>
        <w:szCs w:val="12"/>
      </w:rPr>
      <w:t>•</w:t>
    </w:r>
    <w:r w:rsidRPr="001105FA">
      <w:rPr>
        <w:sz w:val="12"/>
        <w:szCs w:val="12"/>
      </w:rPr>
      <w:tab/>
    </w:r>
    <w:proofErr w:type="gramStart"/>
    <w:r w:rsidRPr="001105FA">
      <w:rPr>
        <w:sz w:val="12"/>
        <w:szCs w:val="12"/>
      </w:rPr>
      <w:t>content</w:t>
    </w:r>
    <w:proofErr w:type="gramEnd"/>
    <w:r w:rsidRPr="001105FA">
      <w:rPr>
        <w:sz w:val="12"/>
        <w:szCs w:val="12"/>
      </w:rPr>
      <w:t xml:space="preserve"> supplied by third parties.</w:t>
    </w:r>
  </w:p>
  <w:p w14:paraId="1ED30E75" w14:textId="11C5005C" w:rsidR="00CE3509" w:rsidRDefault="00CE3509" w:rsidP="00DD4A32">
    <w:pPr>
      <w:pStyle w:val="FootnoteText"/>
      <w:ind w:right="1977"/>
      <w:rPr>
        <w:rStyle w:val="Hyperlink"/>
        <w:color w:val="004EA8" w:themeColor="accent1"/>
        <w:sz w:val="12"/>
        <w:szCs w:val="12"/>
      </w:rPr>
    </w:pPr>
    <w:r w:rsidRPr="001105FA">
      <w:rPr>
        <w:sz w:val="12"/>
        <w:szCs w:val="12"/>
      </w:rPr>
      <w:t xml:space="preserve">Copyright queries may be directed to </w:t>
    </w:r>
    <w:hyperlink r:id="rId3" w:history="1">
      <w:r w:rsidRPr="00BE0A22">
        <w:rPr>
          <w:rStyle w:val="Hyperlink"/>
          <w:color w:val="004EA8" w:themeColor="accent1"/>
          <w:sz w:val="12"/>
          <w:szCs w:val="12"/>
        </w:rPr>
        <w:t>copyright@edumail.vic.gov.au</w:t>
      </w:r>
    </w:hyperlink>
  </w:p>
  <w:p w14:paraId="4DAB7328" w14:textId="6492028C" w:rsidR="00CE3509" w:rsidRPr="001B3E08" w:rsidRDefault="00CE3509" w:rsidP="001B3E08">
    <w:pPr>
      <w:pStyle w:val="FootnoteText"/>
      <w:spacing w:before="120"/>
      <w:ind w:right="2544"/>
      <w:rPr>
        <w:sz w:val="12"/>
        <w:szCs w:val="12"/>
      </w:rPr>
    </w:pPr>
    <w:r w:rsidRPr="0005537A">
      <w:rPr>
        <w:sz w:val="12"/>
        <w:szCs w:val="12"/>
      </w:rPr>
      <w:t xml:space="preserve">Please contact the Department of Education and Training on </w:t>
    </w:r>
    <w:hyperlink r:id="rId4" w:history="1">
      <w:r w:rsidRPr="00840B36">
        <w:rPr>
          <w:rStyle w:val="Hyperlink"/>
          <w:rFonts w:ascii="Arial" w:hAnsi="Arial"/>
          <w:sz w:val="12"/>
          <w:szCs w:val="12"/>
        </w:rPr>
        <w:t>cs.law.reform@edumail.vic.gov.au</w:t>
      </w:r>
    </w:hyperlink>
    <w:r>
      <w:rPr>
        <w:sz w:val="12"/>
        <w:szCs w:val="12"/>
      </w:rPr>
      <w:t xml:space="preserve"> </w:t>
    </w:r>
    <w:r w:rsidRPr="0005537A">
      <w:rPr>
        <w:sz w:val="12"/>
        <w:szCs w:val="12"/>
      </w:rPr>
      <w:t xml:space="preserve">if you </w:t>
    </w:r>
    <w:r>
      <w:rPr>
        <w:sz w:val="12"/>
        <w:szCs w:val="12"/>
      </w:rPr>
      <w:t>require an accessible version of this document.</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35C60" w14:textId="7D514443" w:rsidR="00CE3509" w:rsidRPr="00DD4A32" w:rsidRDefault="00CE3509" w:rsidP="00DD4A3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0A503" w14:textId="7E4012B1" w:rsidR="00CE3509" w:rsidRDefault="00CE3509" w:rsidP="00090AF4">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6C3CDE">
      <w:rPr>
        <w:rStyle w:val="PageNumber"/>
        <w:noProof/>
      </w:rPr>
      <w:t>21</w:t>
    </w:r>
    <w:r>
      <w:rPr>
        <w:rStyle w:val="PageNumber"/>
      </w:rPr>
      <w:fldChar w:fldCharType="end"/>
    </w:r>
  </w:p>
  <w:p w14:paraId="3ACF1C1C" w14:textId="2A069DB8" w:rsidR="00CE3509" w:rsidRPr="00E65137" w:rsidRDefault="00CE3509" w:rsidP="00E65137">
    <w:pPr>
      <w:pStyle w:val="FootnoteText"/>
      <w:ind w:right="1977"/>
      <w:rPr>
        <w:color w:val="004EA8" w:themeColor="hyperlink"/>
        <w:sz w:val="12"/>
        <w:szCs w:val="12"/>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38D506" w14:textId="77777777" w:rsidR="008A603E" w:rsidRDefault="008A603E" w:rsidP="003967DD">
      <w:pPr>
        <w:spacing w:after="0"/>
      </w:pPr>
      <w:r>
        <w:separator/>
      </w:r>
    </w:p>
  </w:footnote>
  <w:footnote w:type="continuationSeparator" w:id="0">
    <w:p w14:paraId="79C7B0CC" w14:textId="77777777" w:rsidR="008A603E" w:rsidRDefault="008A603E" w:rsidP="003967DD">
      <w:pPr>
        <w:spacing w:after="0"/>
      </w:pPr>
      <w:r>
        <w:continuationSeparator/>
      </w:r>
    </w:p>
  </w:footnote>
  <w:footnote w:id="1">
    <w:p w14:paraId="0ECA4A43" w14:textId="77777777" w:rsidR="00CE3509" w:rsidRPr="00DE16AC" w:rsidRDefault="00CE3509" w:rsidP="00C01E92">
      <w:pPr>
        <w:pStyle w:val="FootnoteText"/>
        <w:rPr>
          <w:szCs w:val="16"/>
        </w:rPr>
      </w:pPr>
      <w:r w:rsidRPr="00DE16AC">
        <w:rPr>
          <w:rStyle w:val="FootnoteReference"/>
          <w:rFonts w:ascii="Arial Narrow" w:hAnsi="Arial Narrow"/>
          <w:sz w:val="16"/>
          <w:szCs w:val="16"/>
        </w:rPr>
        <w:footnoteRef/>
      </w:r>
      <w:r w:rsidRPr="00DE16AC">
        <w:rPr>
          <w:szCs w:val="16"/>
        </w:rPr>
        <w:t xml:space="preserve"> </w:t>
      </w:r>
      <w:r w:rsidRPr="00DE16AC">
        <w:rPr>
          <w:i/>
          <w:szCs w:val="16"/>
        </w:rPr>
        <w:t>Subordinate Legislation Act 1994</w:t>
      </w:r>
      <w:r w:rsidRPr="00DE16AC">
        <w:rPr>
          <w:szCs w:val="16"/>
        </w:rPr>
        <w:t xml:space="preserve"> (Vic), s 10.</w:t>
      </w:r>
    </w:p>
  </w:footnote>
  <w:footnote w:id="2">
    <w:p w14:paraId="71878C92" w14:textId="77777777" w:rsidR="00CE3509" w:rsidRPr="00A45883" w:rsidRDefault="00CE3509" w:rsidP="00C01E92">
      <w:pPr>
        <w:pStyle w:val="FootnoteText"/>
        <w:rPr>
          <w:szCs w:val="16"/>
        </w:rPr>
      </w:pPr>
      <w:r w:rsidRPr="00A45883">
        <w:rPr>
          <w:rStyle w:val="FootnoteReference"/>
          <w:rFonts w:ascii="Arial Narrow" w:hAnsi="Arial Narrow"/>
          <w:sz w:val="16"/>
          <w:szCs w:val="16"/>
        </w:rPr>
        <w:footnoteRef/>
      </w:r>
      <w:r w:rsidRPr="00A45883">
        <w:rPr>
          <w:szCs w:val="16"/>
        </w:rPr>
        <w:t xml:space="preserve"> Budget Based Funded (</w:t>
      </w:r>
      <w:r w:rsidRPr="00A45883">
        <w:rPr>
          <w:b/>
          <w:szCs w:val="16"/>
        </w:rPr>
        <w:t>BBF</w:t>
      </w:r>
      <w:r w:rsidRPr="00A45883">
        <w:rPr>
          <w:szCs w:val="16"/>
        </w:rPr>
        <w:t>) refers to services that received direct funding under a Commonwealth Government former funding program. These services are generally located in indigenous communities, regional and remote areas where the market would otherwise be unviable. Often these services are the sole providers of early childhood education and care in their community. The BBF program ceased on 30 June 2018, prior to the commencement of the Commonwealth Government’s Community Child Care Funding Restricted (</w:t>
      </w:r>
      <w:r w:rsidRPr="00A45883">
        <w:rPr>
          <w:b/>
          <w:szCs w:val="16"/>
        </w:rPr>
        <w:t>CCCFR</w:t>
      </w:r>
      <w:r w:rsidRPr="00A45883">
        <w:rPr>
          <w:szCs w:val="16"/>
        </w:rPr>
        <w:t>) program. Former BBF services remain out of scope of the NQF. There are around 30 such services operating in Victoria.</w:t>
      </w:r>
    </w:p>
  </w:footnote>
  <w:footnote w:id="3">
    <w:p w14:paraId="7828BD77" w14:textId="77777777" w:rsidR="00CE3509" w:rsidRPr="000107A9" w:rsidRDefault="00CE3509" w:rsidP="00C01E92">
      <w:pPr>
        <w:pStyle w:val="FootnoteText"/>
        <w:rPr>
          <w:rFonts w:asciiTheme="minorHAnsi" w:hAnsiTheme="minorHAnsi" w:cstheme="minorHAnsi"/>
          <w:szCs w:val="16"/>
        </w:rPr>
      </w:pPr>
      <w:r w:rsidRPr="000107A9">
        <w:rPr>
          <w:rStyle w:val="FootnoteReference"/>
          <w:rFonts w:ascii="Arial Narrow" w:hAnsi="Arial Narrow"/>
          <w:color w:val="auto"/>
          <w:sz w:val="16"/>
          <w:szCs w:val="16"/>
        </w:rPr>
        <w:footnoteRef/>
      </w:r>
      <w:r w:rsidRPr="000107A9">
        <w:rPr>
          <w:szCs w:val="16"/>
        </w:rPr>
        <w:t xml:space="preserve"> </w:t>
      </w:r>
      <w:r w:rsidRPr="000107A9">
        <w:rPr>
          <w:rFonts w:asciiTheme="minorHAnsi" w:hAnsiTheme="minorHAnsi" w:cstheme="minorHAnsi"/>
          <w:szCs w:val="16"/>
        </w:rPr>
        <w:t xml:space="preserve">See </w:t>
      </w:r>
      <w:r w:rsidRPr="000107A9">
        <w:rPr>
          <w:rFonts w:asciiTheme="minorHAnsi" w:hAnsiTheme="minorHAnsi" w:cstheme="minorHAnsi"/>
          <w:i/>
          <w:szCs w:val="16"/>
        </w:rPr>
        <w:t>Child Care Services Act 2007</w:t>
      </w:r>
      <w:r w:rsidRPr="000107A9">
        <w:rPr>
          <w:rFonts w:asciiTheme="minorHAnsi" w:hAnsiTheme="minorHAnsi" w:cstheme="minorHAnsi"/>
          <w:szCs w:val="16"/>
        </w:rPr>
        <w:t xml:space="preserve"> (WA); Child Care Services Regulations 2007</w:t>
      </w:r>
      <w:r w:rsidRPr="000107A9">
        <w:rPr>
          <w:rFonts w:asciiTheme="minorHAnsi" w:hAnsiTheme="minorHAnsi" w:cstheme="minorHAnsi"/>
          <w:i/>
          <w:szCs w:val="16"/>
        </w:rPr>
        <w:t xml:space="preserve"> </w:t>
      </w:r>
      <w:r w:rsidRPr="000107A9">
        <w:rPr>
          <w:rFonts w:asciiTheme="minorHAnsi" w:hAnsiTheme="minorHAnsi" w:cstheme="minorHAnsi"/>
          <w:szCs w:val="16"/>
        </w:rPr>
        <w:t xml:space="preserve">(WA) and Child Care Services (Child Care) Regulations 2006 (WA). </w:t>
      </w:r>
    </w:p>
  </w:footnote>
  <w:footnote w:id="4">
    <w:p w14:paraId="4DF964F5" w14:textId="77777777" w:rsidR="00CE3509" w:rsidRPr="000107A9" w:rsidRDefault="00CE3509" w:rsidP="00C01E92">
      <w:pPr>
        <w:pStyle w:val="FootnoteText"/>
        <w:rPr>
          <w:rFonts w:asciiTheme="minorHAnsi" w:hAnsiTheme="minorHAnsi" w:cstheme="minorHAnsi"/>
          <w:szCs w:val="16"/>
        </w:rPr>
      </w:pPr>
      <w:r w:rsidRPr="000107A9">
        <w:rPr>
          <w:rStyle w:val="FootnoteReference"/>
          <w:rFonts w:asciiTheme="minorHAnsi" w:hAnsiTheme="minorHAnsi" w:cstheme="minorHAnsi"/>
          <w:color w:val="auto"/>
          <w:sz w:val="16"/>
          <w:szCs w:val="16"/>
        </w:rPr>
        <w:footnoteRef/>
      </w:r>
      <w:r w:rsidRPr="000107A9">
        <w:rPr>
          <w:rFonts w:asciiTheme="minorHAnsi" w:hAnsiTheme="minorHAnsi" w:cstheme="minorHAnsi"/>
          <w:szCs w:val="16"/>
        </w:rPr>
        <w:t xml:space="preserve"> Statement of Expectations and Response 2019 </w:t>
      </w:r>
      <w:hyperlink r:id="rId1" w:history="1">
        <w:r w:rsidRPr="000107A9">
          <w:rPr>
            <w:rStyle w:val="Hyperlink"/>
            <w:rFonts w:asciiTheme="minorHAnsi" w:hAnsiTheme="minorHAnsi" w:cstheme="minorHAnsi"/>
            <w:sz w:val="12"/>
            <w:szCs w:val="12"/>
          </w:rPr>
          <w:t>https://www.education.vic.gov.au/about/department/legislation/Pages/ecsoe.aspx</w:t>
        </w:r>
      </w:hyperlink>
      <w:r w:rsidRPr="000107A9">
        <w:rPr>
          <w:rFonts w:asciiTheme="minorHAnsi" w:hAnsiTheme="minorHAnsi" w:cstheme="minorHAnsi"/>
          <w:szCs w:val="16"/>
        </w:rPr>
        <w:t xml:space="preserve"> </w:t>
      </w:r>
    </w:p>
  </w:footnote>
  <w:footnote w:id="5">
    <w:p w14:paraId="73A2E60A" w14:textId="77777777" w:rsidR="00CE3509" w:rsidRPr="00A45883" w:rsidRDefault="00CE3509" w:rsidP="00C01E92">
      <w:pPr>
        <w:pStyle w:val="FootnoteText"/>
        <w:rPr>
          <w:szCs w:val="16"/>
        </w:rPr>
      </w:pPr>
      <w:r w:rsidRPr="00D71DD0">
        <w:rPr>
          <w:rStyle w:val="FootnoteReference"/>
          <w:rFonts w:ascii="Arial Narrow" w:hAnsi="Arial Narrow"/>
          <w:color w:val="auto"/>
          <w:sz w:val="16"/>
          <w:szCs w:val="16"/>
        </w:rPr>
        <w:footnoteRef/>
      </w:r>
      <w:r w:rsidRPr="00A45883">
        <w:rPr>
          <w:szCs w:val="16"/>
        </w:rPr>
        <w:t xml:space="preserve"> Australian Law Reform Commission, </w:t>
      </w:r>
      <w:r w:rsidRPr="00A45883">
        <w:rPr>
          <w:i/>
          <w:szCs w:val="16"/>
        </w:rPr>
        <w:t>Child Care for Kids</w:t>
      </w:r>
      <w:r w:rsidRPr="00A45883">
        <w:rPr>
          <w:szCs w:val="16"/>
        </w:rPr>
        <w:t xml:space="preserve"> (1994).</w:t>
      </w:r>
    </w:p>
  </w:footnote>
  <w:footnote w:id="6">
    <w:p w14:paraId="4B600212" w14:textId="77777777" w:rsidR="00CE3509" w:rsidRDefault="00CE3509" w:rsidP="00C01E92">
      <w:pPr>
        <w:pStyle w:val="FootnoteText"/>
      </w:pPr>
      <w:r w:rsidRPr="00D71DD0">
        <w:rPr>
          <w:rStyle w:val="FootnoteReference"/>
          <w:rFonts w:ascii="Arial Narrow" w:hAnsi="Arial Narrow"/>
          <w:color w:val="auto"/>
          <w:sz w:val="16"/>
          <w:szCs w:val="16"/>
        </w:rPr>
        <w:footnoteRef/>
      </w:r>
      <w:r w:rsidRPr="00D71DD0">
        <w:rPr>
          <w:szCs w:val="16"/>
        </w:rPr>
        <w:t xml:space="preserve"> </w:t>
      </w:r>
      <w:r w:rsidRPr="00A45883">
        <w:rPr>
          <w:szCs w:val="16"/>
        </w:rPr>
        <w:t>The relevant application of the Child Safe Standards is to organisations and businesses that provide any services specifically for children; provide any facilities specifically for use by children who are under the entity’s supervision.  Class Two organisations for the purposes of the Child Safe Standards include gym or play facilities for children and professional babysitting services.</w:t>
      </w:r>
    </w:p>
  </w:footnote>
  <w:footnote w:id="7">
    <w:p w14:paraId="3D3C50DE" w14:textId="77777777" w:rsidR="00CE3509" w:rsidRPr="00A45883" w:rsidRDefault="00CE3509" w:rsidP="00C01E92">
      <w:pPr>
        <w:pStyle w:val="FootnoteText"/>
        <w:rPr>
          <w:szCs w:val="16"/>
        </w:rPr>
      </w:pPr>
      <w:r w:rsidRPr="00D71DD0">
        <w:rPr>
          <w:rStyle w:val="FootnoteReference"/>
          <w:rFonts w:ascii="Arial Narrow" w:hAnsi="Arial Narrow"/>
          <w:color w:val="auto"/>
          <w:sz w:val="16"/>
          <w:szCs w:val="16"/>
        </w:rPr>
        <w:footnoteRef/>
      </w:r>
      <w:r w:rsidRPr="00A45883">
        <w:rPr>
          <w:szCs w:val="16"/>
        </w:rPr>
        <w:t xml:space="preserve"> Forster, 2007; Phillips, 1988; McQuail et al; 2003</w:t>
      </w:r>
    </w:p>
  </w:footnote>
  <w:footnote w:id="8">
    <w:p w14:paraId="4DF736CE" w14:textId="77777777" w:rsidR="00CE3509" w:rsidRPr="00D71DD0" w:rsidRDefault="00CE3509" w:rsidP="00CF5254">
      <w:pPr>
        <w:pStyle w:val="FootnoteText"/>
        <w:spacing w:after="0"/>
        <w:rPr>
          <w:szCs w:val="16"/>
        </w:rPr>
      </w:pPr>
      <w:r w:rsidRPr="00D71DD0">
        <w:rPr>
          <w:rStyle w:val="FootnoteReference"/>
          <w:rFonts w:ascii="Arial Narrow" w:hAnsi="Arial Narrow"/>
          <w:color w:val="auto"/>
          <w:sz w:val="16"/>
          <w:szCs w:val="16"/>
        </w:rPr>
        <w:footnoteRef/>
      </w:r>
      <w:r w:rsidRPr="00D71DD0">
        <w:rPr>
          <w:szCs w:val="16"/>
        </w:rPr>
        <w:t xml:space="preserve"> See, e.g., the studies outlined in Council of Australian Governments, </w:t>
      </w:r>
      <w:r w:rsidRPr="00D71DD0">
        <w:rPr>
          <w:i/>
          <w:szCs w:val="16"/>
        </w:rPr>
        <w:t>Investing in the Early Years – A National Early Childhood Development Strategy</w:t>
      </w:r>
      <w:r w:rsidRPr="00D71DD0">
        <w:rPr>
          <w:szCs w:val="16"/>
        </w:rPr>
        <w:t xml:space="preserve"> (July 2009), app. 1 ‘The evidence base’ and Australian Children’s Education &amp; Care Quality Authority, </w:t>
      </w:r>
      <w:r w:rsidRPr="00D71DD0">
        <w:rPr>
          <w:i/>
          <w:szCs w:val="16"/>
        </w:rPr>
        <w:t>National Partnership Annual Performance Report: National Quality Agenda</w:t>
      </w:r>
      <w:r w:rsidRPr="00D71DD0">
        <w:rPr>
          <w:szCs w:val="16"/>
        </w:rPr>
        <w:t xml:space="preserve"> (December 2017).</w:t>
      </w:r>
    </w:p>
  </w:footnote>
  <w:footnote w:id="9">
    <w:p w14:paraId="1FFE54BB" w14:textId="77777777" w:rsidR="00CE3509" w:rsidRPr="00E44087" w:rsidRDefault="00CE3509" w:rsidP="00CF5254">
      <w:pPr>
        <w:pStyle w:val="FootnoteText"/>
        <w:spacing w:after="0"/>
        <w:rPr>
          <w:szCs w:val="16"/>
        </w:rPr>
      </w:pPr>
      <w:r w:rsidRPr="00D71DD0">
        <w:rPr>
          <w:rStyle w:val="FootnoteReference"/>
          <w:rFonts w:ascii="Arial Narrow" w:hAnsi="Arial Narrow"/>
          <w:color w:val="auto"/>
          <w:sz w:val="16"/>
          <w:szCs w:val="16"/>
        </w:rPr>
        <w:footnoteRef/>
      </w:r>
      <w:r w:rsidRPr="00A45883">
        <w:rPr>
          <w:szCs w:val="16"/>
        </w:rPr>
        <w:t xml:space="preserve"> </w:t>
      </w:r>
      <w:hyperlink r:id="rId2" w:history="1">
        <w:r w:rsidRPr="00A45883">
          <w:rPr>
            <w:color w:val="0000FF"/>
            <w:szCs w:val="16"/>
            <w:u w:val="single"/>
          </w:rPr>
          <w:t>https://www.education.vic.gov.au/about/research/Pages/E4kids.aspx</w:t>
        </w:r>
      </w:hyperlink>
      <w:r w:rsidRPr="00E44087">
        <w:rPr>
          <w:szCs w:val="16"/>
        </w:rPr>
        <w:t xml:space="preserve"> </w:t>
      </w:r>
    </w:p>
  </w:footnote>
  <w:footnote w:id="10">
    <w:p w14:paraId="7B053FE1" w14:textId="77777777" w:rsidR="00CE3509" w:rsidRPr="00D71DD0" w:rsidRDefault="00CE3509" w:rsidP="00CF5254">
      <w:pPr>
        <w:pStyle w:val="FootnoteText"/>
        <w:spacing w:after="0"/>
        <w:rPr>
          <w:szCs w:val="16"/>
        </w:rPr>
      </w:pPr>
      <w:r w:rsidRPr="00D71DD0">
        <w:rPr>
          <w:rStyle w:val="FootnoteReference"/>
          <w:rFonts w:ascii="Arial Narrow" w:hAnsi="Arial Narrow"/>
          <w:color w:val="auto"/>
          <w:sz w:val="16"/>
          <w:szCs w:val="16"/>
        </w:rPr>
        <w:footnoteRef/>
      </w:r>
      <w:r w:rsidRPr="00D71DD0">
        <w:rPr>
          <w:szCs w:val="16"/>
        </w:rPr>
        <w:t xml:space="preserve"> Early Childhood Australia, ‘Evidence Brief on Staff to Child Ratios and Educator Qualification Requirements of the </w:t>
      </w:r>
      <w:r w:rsidRPr="00D71DD0">
        <w:rPr>
          <w:i/>
          <w:szCs w:val="16"/>
        </w:rPr>
        <w:t xml:space="preserve">National Quality Framework </w:t>
      </w:r>
      <w:r w:rsidRPr="00D71DD0">
        <w:rPr>
          <w:szCs w:val="16"/>
        </w:rPr>
        <w:t xml:space="preserve">(2013); NICHD Early Childhood Research Network, ‘Characteristics and quality of child care for toddlers and preschoolers’ (2000) 4(3) </w:t>
      </w:r>
      <w:r w:rsidRPr="00D71DD0">
        <w:rPr>
          <w:i/>
          <w:szCs w:val="16"/>
        </w:rPr>
        <w:t>Applied Developmental Science</w:t>
      </w:r>
      <w:r w:rsidRPr="00D71DD0">
        <w:rPr>
          <w:szCs w:val="16"/>
        </w:rPr>
        <w:t xml:space="preserve"> 116.</w:t>
      </w:r>
    </w:p>
  </w:footnote>
  <w:footnote w:id="11">
    <w:p w14:paraId="1370928D" w14:textId="77777777" w:rsidR="00CE3509" w:rsidRPr="00D71DD0" w:rsidRDefault="00CE3509" w:rsidP="00CF5254">
      <w:pPr>
        <w:pStyle w:val="FootnoteText"/>
        <w:spacing w:after="0"/>
        <w:rPr>
          <w:szCs w:val="16"/>
        </w:rPr>
      </w:pPr>
      <w:r w:rsidRPr="00D71DD0">
        <w:rPr>
          <w:rStyle w:val="FootnoteReference"/>
          <w:rFonts w:ascii="Arial Narrow" w:hAnsi="Arial Narrow"/>
          <w:color w:val="auto"/>
          <w:sz w:val="16"/>
          <w:szCs w:val="16"/>
        </w:rPr>
        <w:footnoteRef/>
      </w:r>
      <w:r w:rsidRPr="00D71DD0">
        <w:rPr>
          <w:szCs w:val="16"/>
        </w:rPr>
        <w:t xml:space="preserve"> Early Childhood Australia, ‘Evidence Brief on Staff to Child Ratios and Educator Qualification Requirements of the </w:t>
      </w:r>
      <w:r w:rsidRPr="00D71DD0">
        <w:rPr>
          <w:i/>
          <w:szCs w:val="16"/>
        </w:rPr>
        <w:t xml:space="preserve">National Quality Framework </w:t>
      </w:r>
      <w:r w:rsidRPr="00D71DD0">
        <w:rPr>
          <w:szCs w:val="16"/>
        </w:rPr>
        <w:t xml:space="preserve">(2013); C Howes, ‘Children’s experiences in center-based childcare as a function of teacher background and adult:child ratio’ (1997) 43(3) </w:t>
      </w:r>
      <w:r w:rsidRPr="00D71DD0">
        <w:rPr>
          <w:i/>
          <w:szCs w:val="16"/>
        </w:rPr>
        <w:t xml:space="preserve">Merrill-Palmer Quarterly </w:t>
      </w:r>
      <w:r w:rsidRPr="00D71DD0">
        <w:rPr>
          <w:szCs w:val="16"/>
        </w:rPr>
        <w:t xml:space="preserve">404; D Phillips et al, ‘Within and beyond the classroom door: assessing quality in childcare centres’ (2000) 15(4) </w:t>
      </w:r>
      <w:r w:rsidRPr="00D71DD0">
        <w:rPr>
          <w:i/>
          <w:szCs w:val="16"/>
        </w:rPr>
        <w:t>Early Childhood Research Quarterly</w:t>
      </w:r>
      <w:r w:rsidRPr="00D71DD0">
        <w:rPr>
          <w:szCs w:val="16"/>
        </w:rPr>
        <w:t xml:space="preserve"> 475; D L Vandell and B Wolfe, ‘Child care quality: does it matter and does it need to be improved?’ (2000) Washington, DC: Office of the Assistant Secretary for Planning and Evaluation: US Department of Health and Human Services.</w:t>
      </w:r>
    </w:p>
  </w:footnote>
  <w:footnote w:id="12">
    <w:p w14:paraId="60B2EFC8" w14:textId="77777777" w:rsidR="00CE3509" w:rsidRPr="00D71DD0" w:rsidRDefault="00CE3509" w:rsidP="00CF5254">
      <w:pPr>
        <w:pStyle w:val="FootnoteText"/>
        <w:spacing w:after="0"/>
      </w:pPr>
      <w:r w:rsidRPr="00D71DD0">
        <w:rPr>
          <w:rStyle w:val="FootnoteReference"/>
          <w:rFonts w:ascii="Arial Narrow" w:hAnsi="Arial Narrow"/>
          <w:color w:val="auto"/>
          <w:sz w:val="16"/>
          <w:szCs w:val="16"/>
        </w:rPr>
        <w:footnoteRef/>
      </w:r>
      <w:r w:rsidRPr="00D71DD0">
        <w:rPr>
          <w:szCs w:val="16"/>
        </w:rPr>
        <w:t xml:space="preserve"> Munton, T., Mooney, A., Moss, P., Petrie, P., Clark, A. &amp; Woolner, J. (2000). Research on Ratios, Group Size and Staff Qualifications and Training in the Early Years and Childcare Settings, Thomas Coram Research Unit, University of London, Research Report RR320</w:t>
      </w:r>
    </w:p>
  </w:footnote>
  <w:footnote w:id="13">
    <w:p w14:paraId="4BA5AD36" w14:textId="77777777" w:rsidR="00CE3509" w:rsidRPr="00D71DD0" w:rsidRDefault="00CE3509" w:rsidP="00CF5254">
      <w:pPr>
        <w:pStyle w:val="FootnoteText"/>
        <w:spacing w:after="0"/>
        <w:rPr>
          <w:szCs w:val="16"/>
        </w:rPr>
      </w:pPr>
      <w:r w:rsidRPr="00D71DD0">
        <w:rPr>
          <w:rStyle w:val="FootnoteReference"/>
          <w:rFonts w:ascii="Arial Narrow" w:hAnsi="Arial Narrow"/>
          <w:color w:val="auto"/>
          <w:sz w:val="16"/>
          <w:szCs w:val="16"/>
        </w:rPr>
        <w:footnoteRef/>
      </w:r>
      <w:r w:rsidRPr="00D71DD0">
        <w:rPr>
          <w:szCs w:val="16"/>
        </w:rPr>
        <w:t xml:space="preserve"> American Academy of Paediatrics, 2005; Burchinal et al; 2002; NCEDL, 2000; Sylva et al; 2004. (p. 4)</w:t>
      </w:r>
    </w:p>
  </w:footnote>
  <w:footnote w:id="14">
    <w:p w14:paraId="2DF2DD7D" w14:textId="77777777" w:rsidR="00CE3509" w:rsidRPr="00D71DD0" w:rsidRDefault="00CE3509" w:rsidP="00CF5254">
      <w:pPr>
        <w:pStyle w:val="FootnoteText"/>
        <w:spacing w:after="0"/>
        <w:rPr>
          <w:szCs w:val="16"/>
        </w:rPr>
      </w:pPr>
      <w:r w:rsidRPr="00D71DD0">
        <w:rPr>
          <w:rStyle w:val="FootnoteReference"/>
          <w:rFonts w:ascii="Arial Narrow" w:hAnsi="Arial Narrow"/>
          <w:color w:val="auto"/>
          <w:sz w:val="16"/>
          <w:szCs w:val="16"/>
        </w:rPr>
        <w:footnoteRef/>
      </w:r>
      <w:r w:rsidRPr="00D71DD0">
        <w:rPr>
          <w:szCs w:val="16"/>
        </w:rPr>
        <w:t xml:space="preserve"> NQF Annual Performance Report 2017</w:t>
      </w:r>
    </w:p>
  </w:footnote>
  <w:footnote w:id="15">
    <w:p w14:paraId="5927DB53" w14:textId="77777777" w:rsidR="00CE3509" w:rsidRPr="00D71DD0" w:rsidRDefault="00CE3509" w:rsidP="00CF5254">
      <w:pPr>
        <w:pStyle w:val="FootnoteText"/>
        <w:spacing w:after="0"/>
      </w:pPr>
      <w:r w:rsidRPr="00D71DD0">
        <w:rPr>
          <w:rStyle w:val="FootnoteReference"/>
          <w:rFonts w:ascii="Arial Narrow" w:hAnsi="Arial Narrow"/>
          <w:color w:val="auto"/>
          <w:sz w:val="16"/>
          <w:szCs w:val="16"/>
        </w:rPr>
        <w:footnoteRef/>
      </w:r>
      <w:r w:rsidRPr="00D71DD0">
        <w:rPr>
          <w:szCs w:val="16"/>
        </w:rPr>
        <w:t xml:space="preserve"> Forster, 2007; Phillips, 1988; McQuail et al; 2003</w:t>
      </w:r>
    </w:p>
  </w:footnote>
  <w:footnote w:id="16">
    <w:p w14:paraId="6915F3F7" w14:textId="77777777" w:rsidR="00CE3509" w:rsidRPr="00A45883" w:rsidRDefault="00CE3509" w:rsidP="00C01E92">
      <w:pPr>
        <w:pStyle w:val="FootnoteText"/>
        <w:rPr>
          <w:szCs w:val="16"/>
        </w:rPr>
      </w:pPr>
      <w:r w:rsidRPr="00D71DD0">
        <w:rPr>
          <w:rStyle w:val="FootnoteReference"/>
          <w:rFonts w:ascii="Arial Narrow" w:hAnsi="Arial Narrow"/>
          <w:color w:val="auto"/>
          <w:sz w:val="16"/>
          <w:szCs w:val="16"/>
        </w:rPr>
        <w:footnoteRef/>
      </w:r>
      <w:r w:rsidRPr="00D71DD0">
        <w:rPr>
          <w:szCs w:val="16"/>
        </w:rPr>
        <w:t xml:space="preserve"> </w:t>
      </w:r>
      <w:r w:rsidRPr="00A45883">
        <w:rPr>
          <w:szCs w:val="16"/>
        </w:rPr>
        <w:t>QARD Annual Report 2018, pg. 11</w:t>
      </w:r>
    </w:p>
  </w:footnote>
  <w:footnote w:id="17">
    <w:p w14:paraId="0A3D2B64" w14:textId="77777777" w:rsidR="00CE3509" w:rsidRPr="00A87A06" w:rsidRDefault="00CE3509" w:rsidP="00C01E92">
      <w:pPr>
        <w:pStyle w:val="EYBodytextwithparaspace"/>
        <w:spacing w:after="0"/>
      </w:pPr>
      <w:r w:rsidRPr="00A87A06">
        <w:rPr>
          <w:rStyle w:val="FootnoteReference"/>
          <w:rFonts w:ascii="Arial Narrow" w:hAnsi="Arial Narrow"/>
          <w:color w:val="auto"/>
          <w:sz w:val="16"/>
          <w:szCs w:val="16"/>
        </w:rPr>
        <w:footnoteRef/>
      </w:r>
      <w:r w:rsidRPr="00A87A06">
        <w:rPr>
          <w:rFonts w:ascii="Arial Narrow" w:hAnsi="Arial Narrow"/>
          <w:sz w:val="16"/>
          <w:szCs w:val="16"/>
        </w:rPr>
        <w:t xml:space="preserve"> The 2019 NQF Review is again considering whether BBF services that provide long day care and kindergarten should be brought within scope of the NQF.</w:t>
      </w:r>
    </w:p>
  </w:footnote>
  <w:footnote w:id="18">
    <w:p w14:paraId="67B65AF1" w14:textId="77777777" w:rsidR="00CE3509" w:rsidRPr="00E65AE3" w:rsidRDefault="00CE3509" w:rsidP="00C01E92">
      <w:pPr>
        <w:pStyle w:val="FootnoteText"/>
      </w:pPr>
      <w:r w:rsidRPr="00E65AE3">
        <w:rPr>
          <w:rStyle w:val="FootnoteReference"/>
          <w:color w:val="auto"/>
        </w:rPr>
        <w:footnoteRef/>
      </w:r>
      <w:r w:rsidRPr="00E65AE3">
        <w:t xml:space="preserve"> </w:t>
      </w:r>
      <w:r w:rsidRPr="00E65AE3">
        <w:rPr>
          <w:i/>
        </w:rPr>
        <w:t>Children’s Services Act, 1996</w:t>
      </w:r>
      <w:r w:rsidRPr="00E65AE3">
        <w:t>, s 3(1).</w:t>
      </w:r>
    </w:p>
  </w:footnote>
  <w:footnote w:id="19">
    <w:p w14:paraId="59CBB18E" w14:textId="77777777" w:rsidR="00CE3509" w:rsidRPr="0012662D" w:rsidRDefault="00CE3509" w:rsidP="00C01E92">
      <w:pPr>
        <w:pStyle w:val="FootnoteText"/>
        <w:rPr>
          <w:szCs w:val="16"/>
        </w:rPr>
      </w:pPr>
      <w:r w:rsidRPr="00B03351">
        <w:rPr>
          <w:rStyle w:val="FootnoteReference"/>
          <w:color w:val="auto"/>
        </w:rPr>
        <w:footnoteRef/>
      </w:r>
      <w:r w:rsidRPr="00B03351">
        <w:t xml:space="preserve"> </w:t>
      </w:r>
      <w:r w:rsidRPr="0012662D">
        <w:rPr>
          <w:szCs w:val="16"/>
        </w:rPr>
        <w:t>COAG Consultation RIS, November 2014, p. 11</w:t>
      </w:r>
    </w:p>
  </w:footnote>
  <w:footnote w:id="20">
    <w:p w14:paraId="766784E7" w14:textId="77777777" w:rsidR="00CE3509" w:rsidRPr="00B03351" w:rsidRDefault="00CE3509" w:rsidP="00C01E92">
      <w:pPr>
        <w:pStyle w:val="FootnoteText"/>
        <w:rPr>
          <w:szCs w:val="16"/>
        </w:rPr>
      </w:pPr>
      <w:r w:rsidRPr="00B03351">
        <w:rPr>
          <w:rStyle w:val="FootnoteReference"/>
          <w:rFonts w:ascii="Arial Narrow" w:hAnsi="Arial Narrow"/>
          <w:color w:val="auto"/>
          <w:sz w:val="16"/>
          <w:szCs w:val="16"/>
        </w:rPr>
        <w:footnoteRef/>
      </w:r>
      <w:r w:rsidRPr="00B03351">
        <w:rPr>
          <w:szCs w:val="16"/>
        </w:rPr>
        <w:t xml:space="preserve"> The Act, s 10.</w:t>
      </w:r>
    </w:p>
  </w:footnote>
  <w:footnote w:id="21">
    <w:p w14:paraId="7C627678" w14:textId="77777777" w:rsidR="00CE3509" w:rsidRPr="00B03351" w:rsidRDefault="00CE3509" w:rsidP="00C01E92">
      <w:pPr>
        <w:pStyle w:val="FootnoteText"/>
        <w:rPr>
          <w:szCs w:val="16"/>
        </w:rPr>
      </w:pPr>
      <w:r w:rsidRPr="00B03351">
        <w:rPr>
          <w:rStyle w:val="FootnoteReference"/>
          <w:rFonts w:ascii="Arial Narrow" w:hAnsi="Arial Narrow"/>
          <w:color w:val="auto"/>
          <w:sz w:val="16"/>
          <w:szCs w:val="16"/>
        </w:rPr>
        <w:footnoteRef/>
      </w:r>
      <w:r w:rsidRPr="00B03351">
        <w:rPr>
          <w:szCs w:val="16"/>
        </w:rPr>
        <w:t xml:space="preserve"> The Act, s 42.</w:t>
      </w:r>
    </w:p>
  </w:footnote>
  <w:footnote w:id="22">
    <w:p w14:paraId="6867D0CD" w14:textId="77777777" w:rsidR="00CE3509" w:rsidRPr="00B03351" w:rsidRDefault="00CE3509" w:rsidP="00C01E92">
      <w:pPr>
        <w:pStyle w:val="FootnoteText"/>
        <w:rPr>
          <w:szCs w:val="16"/>
        </w:rPr>
      </w:pPr>
      <w:r w:rsidRPr="00B03351">
        <w:rPr>
          <w:rStyle w:val="FootnoteReference"/>
          <w:rFonts w:ascii="Arial Narrow" w:hAnsi="Arial Narrow"/>
          <w:color w:val="auto"/>
          <w:sz w:val="16"/>
          <w:szCs w:val="16"/>
        </w:rPr>
        <w:footnoteRef/>
      </w:r>
      <w:r w:rsidRPr="00B03351">
        <w:rPr>
          <w:szCs w:val="16"/>
        </w:rPr>
        <w:t xml:space="preserve"> The Act, s 99.</w:t>
      </w:r>
    </w:p>
  </w:footnote>
  <w:footnote w:id="23">
    <w:p w14:paraId="71C2485F" w14:textId="77777777" w:rsidR="00CE3509" w:rsidRPr="00B03351" w:rsidRDefault="00CE3509" w:rsidP="00C01E92">
      <w:pPr>
        <w:pStyle w:val="FootnoteText"/>
      </w:pPr>
      <w:r w:rsidRPr="00B03351">
        <w:rPr>
          <w:rStyle w:val="FootnoteReference"/>
          <w:rFonts w:ascii="Arial Narrow" w:hAnsi="Arial Narrow"/>
          <w:color w:val="auto"/>
          <w:sz w:val="16"/>
          <w:szCs w:val="16"/>
        </w:rPr>
        <w:footnoteRef/>
      </w:r>
      <w:r w:rsidRPr="00B03351">
        <w:rPr>
          <w:szCs w:val="16"/>
        </w:rPr>
        <w:t xml:space="preserve"> The Act, ss 11 and 43.</w:t>
      </w:r>
    </w:p>
  </w:footnote>
  <w:footnote w:id="24">
    <w:p w14:paraId="455F6709" w14:textId="77777777" w:rsidR="00CE3509" w:rsidRPr="00B03351" w:rsidRDefault="00CE3509" w:rsidP="00C01E92">
      <w:pPr>
        <w:pStyle w:val="FootnoteText"/>
        <w:rPr>
          <w:szCs w:val="16"/>
        </w:rPr>
      </w:pPr>
      <w:r w:rsidRPr="00B03351">
        <w:rPr>
          <w:rStyle w:val="FootnoteReference"/>
          <w:rFonts w:ascii="Arial Narrow" w:hAnsi="Arial Narrow"/>
          <w:color w:val="auto"/>
          <w:sz w:val="16"/>
          <w:szCs w:val="16"/>
        </w:rPr>
        <w:footnoteRef/>
      </w:r>
      <w:r w:rsidRPr="00B03351">
        <w:rPr>
          <w:szCs w:val="16"/>
        </w:rPr>
        <w:t xml:space="preserve"> The Act, s 109.</w:t>
      </w:r>
    </w:p>
  </w:footnote>
  <w:footnote w:id="25">
    <w:p w14:paraId="7800AE4A" w14:textId="77777777" w:rsidR="00CE3509" w:rsidRPr="00B03351" w:rsidRDefault="00CE3509" w:rsidP="00C01E92">
      <w:pPr>
        <w:pStyle w:val="FootnoteText"/>
        <w:rPr>
          <w:szCs w:val="16"/>
        </w:rPr>
      </w:pPr>
      <w:r w:rsidRPr="00B03351">
        <w:rPr>
          <w:rStyle w:val="FootnoteReference"/>
          <w:rFonts w:ascii="Arial Narrow" w:hAnsi="Arial Narrow"/>
          <w:color w:val="auto"/>
          <w:sz w:val="16"/>
          <w:szCs w:val="16"/>
        </w:rPr>
        <w:footnoteRef/>
      </w:r>
      <w:r w:rsidRPr="00B03351">
        <w:rPr>
          <w:szCs w:val="16"/>
        </w:rPr>
        <w:t xml:space="preserve"> The Act, s 105.</w:t>
      </w:r>
    </w:p>
  </w:footnote>
  <w:footnote w:id="26">
    <w:p w14:paraId="4D2B4DE9" w14:textId="77777777" w:rsidR="00CE3509" w:rsidRPr="00B03351" w:rsidRDefault="00CE3509" w:rsidP="00C01E92">
      <w:pPr>
        <w:pStyle w:val="FootnoteText"/>
        <w:rPr>
          <w:szCs w:val="16"/>
        </w:rPr>
      </w:pPr>
      <w:r w:rsidRPr="00B03351">
        <w:rPr>
          <w:rStyle w:val="FootnoteReference"/>
          <w:rFonts w:ascii="Arial Narrow" w:hAnsi="Arial Narrow"/>
          <w:color w:val="auto"/>
          <w:sz w:val="16"/>
          <w:szCs w:val="16"/>
        </w:rPr>
        <w:footnoteRef/>
      </w:r>
      <w:r w:rsidRPr="00B03351">
        <w:rPr>
          <w:szCs w:val="16"/>
        </w:rPr>
        <w:t xml:space="preserve"> The Act, s 102. </w:t>
      </w:r>
    </w:p>
  </w:footnote>
  <w:footnote w:id="27">
    <w:p w14:paraId="1158B565" w14:textId="77777777" w:rsidR="00CE3509" w:rsidRPr="00B03351" w:rsidRDefault="00CE3509" w:rsidP="00C01E92">
      <w:pPr>
        <w:pStyle w:val="FootnoteText"/>
        <w:rPr>
          <w:szCs w:val="16"/>
        </w:rPr>
      </w:pPr>
      <w:r w:rsidRPr="00B03351">
        <w:rPr>
          <w:rStyle w:val="FootnoteReference"/>
          <w:rFonts w:ascii="Arial Narrow" w:hAnsi="Arial Narrow"/>
          <w:color w:val="auto"/>
          <w:sz w:val="16"/>
          <w:szCs w:val="16"/>
        </w:rPr>
        <w:footnoteRef/>
      </w:r>
      <w:r w:rsidRPr="00B03351">
        <w:rPr>
          <w:szCs w:val="16"/>
        </w:rPr>
        <w:t xml:space="preserve"> The Act, s 109.</w:t>
      </w:r>
    </w:p>
  </w:footnote>
  <w:footnote w:id="28">
    <w:p w14:paraId="13339DB0" w14:textId="77777777" w:rsidR="00CE3509" w:rsidRPr="00B03351" w:rsidRDefault="00CE3509" w:rsidP="00C01E92">
      <w:pPr>
        <w:pStyle w:val="FootnoteText"/>
        <w:rPr>
          <w:szCs w:val="16"/>
        </w:rPr>
      </w:pPr>
      <w:r w:rsidRPr="00B03351">
        <w:rPr>
          <w:rStyle w:val="FootnoteReference"/>
          <w:rFonts w:ascii="Arial Narrow" w:hAnsi="Arial Narrow"/>
          <w:color w:val="auto"/>
          <w:sz w:val="16"/>
          <w:szCs w:val="16"/>
        </w:rPr>
        <w:footnoteRef/>
      </w:r>
      <w:r w:rsidRPr="00B03351">
        <w:rPr>
          <w:szCs w:val="16"/>
        </w:rPr>
        <w:t xml:space="preserve"> The Act, s 112.</w:t>
      </w:r>
    </w:p>
  </w:footnote>
  <w:footnote w:id="29">
    <w:p w14:paraId="3E35330B" w14:textId="77777777" w:rsidR="00CE3509" w:rsidRPr="00B03351" w:rsidRDefault="00CE3509" w:rsidP="00C01E92">
      <w:pPr>
        <w:pStyle w:val="FootnoteText"/>
        <w:rPr>
          <w:szCs w:val="16"/>
        </w:rPr>
      </w:pPr>
      <w:r w:rsidRPr="00B03351">
        <w:rPr>
          <w:rStyle w:val="FootnoteReference"/>
          <w:rFonts w:ascii="Arial Narrow" w:hAnsi="Arial Narrow"/>
          <w:color w:val="auto"/>
          <w:sz w:val="16"/>
          <w:szCs w:val="16"/>
        </w:rPr>
        <w:footnoteRef/>
      </w:r>
      <w:r w:rsidRPr="00B03351">
        <w:rPr>
          <w:szCs w:val="16"/>
        </w:rPr>
        <w:t xml:space="preserve"> The Act, s 115.</w:t>
      </w:r>
    </w:p>
  </w:footnote>
  <w:footnote w:id="30">
    <w:p w14:paraId="19F3F920" w14:textId="77777777" w:rsidR="00CE3509" w:rsidRPr="00B03351" w:rsidRDefault="00CE3509" w:rsidP="00C01E92">
      <w:pPr>
        <w:pStyle w:val="FootnoteText"/>
        <w:rPr>
          <w:szCs w:val="16"/>
        </w:rPr>
      </w:pPr>
      <w:r w:rsidRPr="00B03351">
        <w:rPr>
          <w:rStyle w:val="FootnoteReference"/>
          <w:rFonts w:ascii="Arial Narrow" w:hAnsi="Arial Narrow"/>
          <w:color w:val="auto"/>
          <w:sz w:val="16"/>
          <w:szCs w:val="16"/>
        </w:rPr>
        <w:footnoteRef/>
      </w:r>
      <w:r w:rsidRPr="00B03351">
        <w:rPr>
          <w:szCs w:val="16"/>
        </w:rPr>
        <w:t xml:space="preserve"> The Act, ss 113 and 114.</w:t>
      </w:r>
    </w:p>
  </w:footnote>
  <w:footnote w:id="31">
    <w:p w14:paraId="3FA90915" w14:textId="77777777" w:rsidR="00CE3509" w:rsidRPr="00B03351" w:rsidRDefault="00CE3509" w:rsidP="00C01E92">
      <w:pPr>
        <w:pStyle w:val="FootnoteText"/>
        <w:rPr>
          <w:szCs w:val="16"/>
        </w:rPr>
      </w:pPr>
      <w:r w:rsidRPr="00B03351">
        <w:rPr>
          <w:rStyle w:val="FootnoteReference"/>
          <w:rFonts w:ascii="Arial Narrow" w:hAnsi="Arial Narrow"/>
          <w:color w:val="auto"/>
          <w:sz w:val="16"/>
          <w:szCs w:val="16"/>
        </w:rPr>
        <w:footnoteRef/>
      </w:r>
      <w:r w:rsidRPr="00B03351">
        <w:rPr>
          <w:szCs w:val="16"/>
        </w:rPr>
        <w:t xml:space="preserve"> The Act, ss 163 and 164. </w:t>
      </w:r>
    </w:p>
  </w:footnote>
  <w:footnote w:id="32">
    <w:p w14:paraId="52CE36E8" w14:textId="77777777" w:rsidR="00CE3509" w:rsidRPr="0022684D" w:rsidRDefault="00CE3509" w:rsidP="00C01E92">
      <w:pPr>
        <w:pStyle w:val="FootnoteText"/>
        <w:rPr>
          <w:szCs w:val="16"/>
        </w:rPr>
      </w:pPr>
      <w:r w:rsidRPr="0022684D">
        <w:rPr>
          <w:rStyle w:val="FootnoteReference"/>
          <w:rFonts w:ascii="Arial Narrow" w:hAnsi="Arial Narrow"/>
          <w:color w:val="auto"/>
          <w:sz w:val="16"/>
          <w:szCs w:val="16"/>
        </w:rPr>
        <w:footnoteRef/>
      </w:r>
      <w:r w:rsidRPr="0022684D">
        <w:rPr>
          <w:szCs w:val="16"/>
        </w:rPr>
        <w:t xml:space="preserve"> The Act, s 115. </w:t>
      </w:r>
    </w:p>
  </w:footnote>
  <w:footnote w:id="33">
    <w:p w14:paraId="4C1D38AC" w14:textId="77777777" w:rsidR="00CE3509" w:rsidRPr="0022684D" w:rsidRDefault="00CE3509" w:rsidP="00C01E92">
      <w:pPr>
        <w:pStyle w:val="FootnoteText"/>
      </w:pPr>
      <w:r w:rsidRPr="0022684D">
        <w:rPr>
          <w:rStyle w:val="FootnoteReference"/>
          <w:rFonts w:ascii="Arial Narrow" w:hAnsi="Arial Narrow"/>
          <w:color w:val="auto"/>
          <w:sz w:val="16"/>
          <w:szCs w:val="16"/>
        </w:rPr>
        <w:footnoteRef/>
      </w:r>
      <w:r w:rsidRPr="0022684D">
        <w:rPr>
          <w:szCs w:val="16"/>
        </w:rPr>
        <w:t xml:space="preserve"> The Regulations, r 28. Note that the Regulations refers to the equivalent provision of the pre-amendments Act.</w:t>
      </w:r>
    </w:p>
  </w:footnote>
  <w:footnote w:id="34">
    <w:p w14:paraId="181408E3" w14:textId="77777777" w:rsidR="00CE3509" w:rsidRPr="0022684D" w:rsidRDefault="00CE3509" w:rsidP="00C01E92">
      <w:pPr>
        <w:pStyle w:val="FootnoteText"/>
        <w:rPr>
          <w:szCs w:val="16"/>
        </w:rPr>
      </w:pPr>
      <w:r w:rsidRPr="0022684D">
        <w:rPr>
          <w:rStyle w:val="FootnoteReference"/>
          <w:rFonts w:ascii="Arial Narrow" w:hAnsi="Arial Narrow"/>
          <w:color w:val="auto"/>
          <w:sz w:val="16"/>
          <w:szCs w:val="16"/>
        </w:rPr>
        <w:footnoteRef/>
      </w:r>
      <w:r w:rsidRPr="0022684D">
        <w:rPr>
          <w:szCs w:val="16"/>
        </w:rPr>
        <w:t xml:space="preserve"> The Act, s 114(2). </w:t>
      </w:r>
    </w:p>
  </w:footnote>
  <w:footnote w:id="35">
    <w:p w14:paraId="53A59D3E" w14:textId="77777777" w:rsidR="00CE3509" w:rsidRPr="00B03351" w:rsidRDefault="00CE3509" w:rsidP="00C01E92">
      <w:pPr>
        <w:pStyle w:val="FootnoteText"/>
        <w:rPr>
          <w:szCs w:val="16"/>
        </w:rPr>
      </w:pPr>
      <w:r w:rsidRPr="00B03351">
        <w:rPr>
          <w:rStyle w:val="FootnoteReference"/>
          <w:color w:val="auto"/>
          <w:sz w:val="16"/>
          <w:szCs w:val="16"/>
        </w:rPr>
        <w:footnoteRef/>
      </w:r>
      <w:r w:rsidRPr="00B03351">
        <w:rPr>
          <w:szCs w:val="16"/>
        </w:rPr>
        <w:t xml:space="preserve"> See the Act, ss 39 and 40.</w:t>
      </w:r>
    </w:p>
  </w:footnote>
  <w:footnote w:id="36">
    <w:p w14:paraId="138E36E2" w14:textId="77777777" w:rsidR="00CE3509" w:rsidRPr="00B55585" w:rsidRDefault="00CE3509" w:rsidP="004047D6">
      <w:pPr>
        <w:spacing w:after="0"/>
        <w:rPr>
          <w:rStyle w:val="Strong"/>
          <w:rFonts w:cstheme="minorHAnsi"/>
          <w:b w:val="0"/>
          <w:sz w:val="11"/>
          <w:szCs w:val="11"/>
        </w:rPr>
      </w:pPr>
      <w:r w:rsidRPr="00B55585">
        <w:rPr>
          <w:rStyle w:val="FootnoteReference"/>
          <w:rFonts w:cstheme="minorHAnsi"/>
          <w:color w:val="auto"/>
          <w:sz w:val="11"/>
          <w:szCs w:val="11"/>
        </w:rPr>
        <w:footnoteRef/>
      </w:r>
      <w:r w:rsidRPr="00B55585">
        <w:rPr>
          <w:rFonts w:cstheme="minorHAnsi"/>
          <w:sz w:val="11"/>
          <w:szCs w:val="11"/>
        </w:rPr>
        <w:t xml:space="preserve"> </w:t>
      </w:r>
      <w:r w:rsidRPr="00B55585">
        <w:rPr>
          <w:rStyle w:val="Strong"/>
          <w:rFonts w:cstheme="minorHAnsi"/>
          <w:b w:val="0"/>
          <w:sz w:val="11"/>
          <w:szCs w:val="11"/>
        </w:rPr>
        <w:t>Educators are considered ‘actively working towards’ a Certificate III level qualification if they are:</w:t>
      </w:r>
    </w:p>
    <w:p w14:paraId="51DC2A08" w14:textId="77777777" w:rsidR="00CE3509" w:rsidRPr="00B55585" w:rsidRDefault="00CE3509" w:rsidP="004F4E5D">
      <w:pPr>
        <w:pStyle w:val="ListParagraph"/>
        <w:numPr>
          <w:ilvl w:val="0"/>
          <w:numId w:val="30"/>
        </w:numPr>
        <w:autoSpaceDE w:val="0"/>
        <w:autoSpaceDN w:val="0"/>
        <w:adjustRightInd w:val="0"/>
        <w:spacing w:after="0"/>
        <w:rPr>
          <w:rStyle w:val="Strong"/>
          <w:rFonts w:cstheme="minorHAnsi"/>
          <w:b w:val="0"/>
          <w:sz w:val="11"/>
          <w:szCs w:val="11"/>
        </w:rPr>
      </w:pPr>
      <w:r w:rsidRPr="00B55585">
        <w:rPr>
          <w:rStyle w:val="Strong"/>
          <w:rFonts w:cstheme="minorHAnsi"/>
          <w:b w:val="0"/>
          <w:sz w:val="11"/>
          <w:szCs w:val="11"/>
        </w:rPr>
        <w:t xml:space="preserve">Enrolled in the course and have started study, </w:t>
      </w:r>
    </w:p>
    <w:p w14:paraId="06455C03" w14:textId="77777777" w:rsidR="00CE3509" w:rsidRPr="00B55585" w:rsidRDefault="00CE3509" w:rsidP="004F4E5D">
      <w:pPr>
        <w:pStyle w:val="ListParagraph"/>
        <w:numPr>
          <w:ilvl w:val="0"/>
          <w:numId w:val="30"/>
        </w:numPr>
        <w:autoSpaceDE w:val="0"/>
        <w:autoSpaceDN w:val="0"/>
        <w:adjustRightInd w:val="0"/>
        <w:spacing w:after="0"/>
        <w:rPr>
          <w:rStyle w:val="Strong"/>
          <w:rFonts w:cstheme="minorHAnsi"/>
          <w:b w:val="0"/>
          <w:sz w:val="11"/>
          <w:szCs w:val="11"/>
        </w:rPr>
      </w:pPr>
      <w:r w:rsidRPr="00B55585">
        <w:rPr>
          <w:rStyle w:val="Strong"/>
          <w:rFonts w:cstheme="minorHAnsi"/>
          <w:b w:val="0"/>
          <w:sz w:val="11"/>
          <w:szCs w:val="11"/>
        </w:rPr>
        <w:t>Making satisfactory progress towards completion, AND</w:t>
      </w:r>
    </w:p>
    <w:p w14:paraId="2DE7902B" w14:textId="77777777" w:rsidR="00CE3509" w:rsidRPr="00B55585" w:rsidRDefault="00CE3509" w:rsidP="004F4E5D">
      <w:pPr>
        <w:pStyle w:val="ListParagraph"/>
        <w:numPr>
          <w:ilvl w:val="0"/>
          <w:numId w:val="30"/>
        </w:numPr>
        <w:autoSpaceDE w:val="0"/>
        <w:autoSpaceDN w:val="0"/>
        <w:adjustRightInd w:val="0"/>
        <w:spacing w:after="0"/>
        <w:rPr>
          <w:rStyle w:val="Strong"/>
          <w:rFonts w:cstheme="minorHAnsi"/>
          <w:b w:val="0"/>
          <w:sz w:val="11"/>
          <w:szCs w:val="11"/>
        </w:rPr>
      </w:pPr>
      <w:r w:rsidRPr="00B55585">
        <w:rPr>
          <w:rStyle w:val="Strong"/>
          <w:rFonts w:cstheme="minorHAnsi"/>
          <w:b w:val="0"/>
          <w:sz w:val="11"/>
          <w:szCs w:val="11"/>
        </w:rPr>
        <w:t>Meeting requirements to maintain enrolment.</w:t>
      </w:r>
    </w:p>
    <w:p w14:paraId="27929A7D" w14:textId="77777777" w:rsidR="00CE3509" w:rsidRPr="00B55585" w:rsidRDefault="00CE3509" w:rsidP="004047D6">
      <w:pPr>
        <w:spacing w:after="0"/>
        <w:rPr>
          <w:rStyle w:val="Strong"/>
          <w:rFonts w:cstheme="minorHAnsi"/>
          <w:b w:val="0"/>
          <w:sz w:val="11"/>
          <w:szCs w:val="11"/>
        </w:rPr>
      </w:pPr>
      <w:r w:rsidRPr="00B55585">
        <w:rPr>
          <w:rStyle w:val="Strong"/>
          <w:rFonts w:cstheme="minorHAnsi"/>
          <w:b w:val="0"/>
          <w:sz w:val="11"/>
          <w:szCs w:val="11"/>
        </w:rPr>
        <w:t>Educators are considered ‘actively working towards’ a Diploma level qualification if they:</w:t>
      </w:r>
    </w:p>
    <w:p w14:paraId="3E3D7138" w14:textId="77777777" w:rsidR="00CE3509" w:rsidRPr="00B55585" w:rsidRDefault="00CE3509" w:rsidP="004F4E5D">
      <w:pPr>
        <w:pStyle w:val="ListParagraph"/>
        <w:numPr>
          <w:ilvl w:val="0"/>
          <w:numId w:val="30"/>
        </w:numPr>
        <w:autoSpaceDE w:val="0"/>
        <w:autoSpaceDN w:val="0"/>
        <w:adjustRightInd w:val="0"/>
        <w:spacing w:after="0"/>
        <w:rPr>
          <w:rStyle w:val="Strong"/>
          <w:rFonts w:cstheme="minorHAnsi"/>
          <w:b w:val="0"/>
          <w:sz w:val="11"/>
          <w:szCs w:val="11"/>
        </w:rPr>
      </w:pPr>
      <w:r w:rsidRPr="00B55585">
        <w:rPr>
          <w:rStyle w:val="Strong"/>
          <w:rFonts w:cstheme="minorHAnsi"/>
          <w:b w:val="0"/>
          <w:sz w:val="11"/>
          <w:szCs w:val="11"/>
        </w:rPr>
        <w:t>Meet all of the AWT requirements for a Cert III above, AND</w:t>
      </w:r>
    </w:p>
    <w:p w14:paraId="562D59F1" w14:textId="77777777" w:rsidR="00CE3509" w:rsidRPr="00B55585" w:rsidRDefault="00CE3509" w:rsidP="004F4E5D">
      <w:pPr>
        <w:pStyle w:val="ListParagraph"/>
        <w:numPr>
          <w:ilvl w:val="0"/>
          <w:numId w:val="30"/>
        </w:numPr>
        <w:autoSpaceDE w:val="0"/>
        <w:autoSpaceDN w:val="0"/>
        <w:adjustRightInd w:val="0"/>
        <w:spacing w:after="0"/>
        <w:rPr>
          <w:rStyle w:val="Strong"/>
          <w:rFonts w:cstheme="minorHAnsi"/>
          <w:b w:val="0"/>
          <w:sz w:val="11"/>
          <w:szCs w:val="11"/>
        </w:rPr>
      </w:pPr>
      <w:r w:rsidRPr="00B55585">
        <w:rPr>
          <w:rStyle w:val="Strong"/>
          <w:rFonts w:cstheme="minorHAnsi"/>
          <w:b w:val="0"/>
          <w:sz w:val="11"/>
          <w:szCs w:val="11"/>
        </w:rPr>
        <w:t>Hold an approved Certificate III level qualification, OR</w:t>
      </w:r>
    </w:p>
    <w:p w14:paraId="24E06245" w14:textId="77777777" w:rsidR="00CE3509" w:rsidRPr="00B55585" w:rsidRDefault="00CE3509" w:rsidP="004F4E5D">
      <w:pPr>
        <w:pStyle w:val="ListParagraph"/>
        <w:numPr>
          <w:ilvl w:val="0"/>
          <w:numId w:val="30"/>
        </w:numPr>
        <w:autoSpaceDE w:val="0"/>
        <w:autoSpaceDN w:val="0"/>
        <w:adjustRightInd w:val="0"/>
        <w:spacing w:after="0"/>
        <w:rPr>
          <w:rStyle w:val="Strong"/>
          <w:rFonts w:cstheme="minorHAnsi"/>
          <w:b w:val="0"/>
          <w:sz w:val="11"/>
          <w:szCs w:val="11"/>
        </w:rPr>
      </w:pPr>
      <w:r w:rsidRPr="00B55585">
        <w:rPr>
          <w:rStyle w:val="Strong"/>
          <w:rFonts w:cstheme="minorHAnsi"/>
          <w:b w:val="0"/>
          <w:sz w:val="11"/>
          <w:szCs w:val="11"/>
        </w:rPr>
        <w:t>Have completed the approved Cert III units, OR</w:t>
      </w:r>
    </w:p>
    <w:p w14:paraId="4F26C43C" w14:textId="77777777" w:rsidR="00CE3509" w:rsidRPr="00B55585" w:rsidRDefault="00CE3509" w:rsidP="004F4E5D">
      <w:pPr>
        <w:pStyle w:val="ListParagraph"/>
        <w:numPr>
          <w:ilvl w:val="0"/>
          <w:numId w:val="30"/>
        </w:numPr>
        <w:autoSpaceDE w:val="0"/>
        <w:autoSpaceDN w:val="0"/>
        <w:adjustRightInd w:val="0"/>
        <w:spacing w:after="0"/>
        <w:rPr>
          <w:rStyle w:val="Strong"/>
          <w:rFonts w:cstheme="minorHAnsi"/>
          <w:b w:val="0"/>
          <w:sz w:val="11"/>
          <w:szCs w:val="11"/>
        </w:rPr>
      </w:pPr>
      <w:r w:rsidRPr="00B55585">
        <w:rPr>
          <w:rStyle w:val="Strong"/>
          <w:rFonts w:cstheme="minorHAnsi"/>
          <w:b w:val="0"/>
          <w:sz w:val="11"/>
          <w:szCs w:val="11"/>
        </w:rPr>
        <w:t>Have completed 30% of the units in an approved ECT qualification.</w:t>
      </w:r>
    </w:p>
  </w:footnote>
  <w:footnote w:id="37">
    <w:p w14:paraId="1D432377" w14:textId="77777777" w:rsidR="00CE3509" w:rsidRPr="00475999" w:rsidRDefault="00CE3509" w:rsidP="00C01E92">
      <w:pPr>
        <w:pStyle w:val="FootnoteText"/>
      </w:pPr>
      <w:r w:rsidRPr="00475999">
        <w:rPr>
          <w:rStyle w:val="FootnoteReference"/>
          <w:rFonts w:ascii="Arial Narrow" w:hAnsi="Arial Narrow"/>
          <w:color w:val="auto"/>
          <w:sz w:val="16"/>
          <w:szCs w:val="16"/>
        </w:rPr>
        <w:footnoteRef/>
      </w:r>
      <w:r w:rsidRPr="00475999">
        <w:rPr>
          <w:szCs w:val="16"/>
        </w:rPr>
        <w:t xml:space="preserve"> The Regulations, r 78.</w:t>
      </w:r>
    </w:p>
  </w:footnote>
  <w:footnote w:id="38">
    <w:p w14:paraId="6BCA8B27" w14:textId="77777777" w:rsidR="00CE3509" w:rsidRPr="00310912" w:rsidRDefault="00CE3509" w:rsidP="00C01E92">
      <w:pPr>
        <w:pStyle w:val="FootnoteText"/>
        <w:rPr>
          <w:szCs w:val="16"/>
        </w:rPr>
      </w:pPr>
      <w:r w:rsidRPr="00310912">
        <w:rPr>
          <w:rStyle w:val="FootnoteReference"/>
          <w:rFonts w:ascii="Arial Narrow" w:hAnsi="Arial Narrow"/>
          <w:sz w:val="16"/>
          <w:szCs w:val="16"/>
        </w:rPr>
        <w:footnoteRef/>
      </w:r>
      <w:r w:rsidRPr="00310912">
        <w:rPr>
          <w:szCs w:val="16"/>
        </w:rPr>
        <w:t xml:space="preserve"> While the proposed Regulations prescribe the fee to be paid with an application for the extension of a temporary waiver, they do not prescribe any information to be included in such applications. </w:t>
      </w:r>
    </w:p>
  </w:footnote>
  <w:footnote w:id="39">
    <w:p w14:paraId="54494C48" w14:textId="77777777" w:rsidR="00CE3509" w:rsidRPr="00B92DEB" w:rsidRDefault="00CE3509" w:rsidP="00C01E92">
      <w:pPr>
        <w:pStyle w:val="FootnoteText"/>
      </w:pPr>
      <w:r w:rsidRPr="00B92DEB">
        <w:rPr>
          <w:rStyle w:val="FootnoteReference"/>
          <w:rFonts w:ascii="Arial Narrow" w:hAnsi="Arial Narrow"/>
          <w:color w:val="auto"/>
        </w:rPr>
        <w:footnoteRef/>
      </w:r>
      <w:r w:rsidRPr="00B92DEB">
        <w:t xml:space="preserve"> See Deloitte Access Economics, ‘Measuring the administrative burden of the NQF’ in ACECQA, Report on the National Quality Framework and Regulatory Burden (2013), 13. </w:t>
      </w:r>
    </w:p>
  </w:footnote>
  <w:footnote w:id="40">
    <w:p w14:paraId="1B003C67" w14:textId="77777777" w:rsidR="00CE3509" w:rsidRPr="00B92DEB" w:rsidRDefault="00CE3509" w:rsidP="00C01E92">
      <w:pPr>
        <w:pStyle w:val="FootnoteText"/>
      </w:pPr>
      <w:r w:rsidRPr="00B92DEB">
        <w:rPr>
          <w:rStyle w:val="FootnoteReference"/>
          <w:rFonts w:ascii="Arial Narrow" w:hAnsi="Arial Narrow"/>
          <w:color w:val="auto"/>
        </w:rPr>
        <w:footnoteRef/>
      </w:r>
      <w:r w:rsidRPr="00B92DEB">
        <w:t xml:space="preserve"> This assumption is based on departmental data. </w:t>
      </w:r>
    </w:p>
  </w:footnote>
  <w:footnote w:id="41">
    <w:p w14:paraId="7319F183" w14:textId="77777777" w:rsidR="00CE3509" w:rsidRDefault="00CE3509" w:rsidP="00C01E92">
      <w:pPr>
        <w:pStyle w:val="FootnoteText"/>
      </w:pPr>
      <w:r w:rsidRPr="006D5023">
        <w:rPr>
          <w:rStyle w:val="FootnoteReference"/>
          <w:color w:val="auto"/>
        </w:rPr>
        <w:footnoteRef/>
      </w:r>
      <w:r w:rsidRPr="006D5023">
        <w:t xml:space="preserve"> QARD </w:t>
      </w:r>
      <w:r>
        <w:t>Annual Report 2018; Appendix Table 1, p 48</w:t>
      </w:r>
    </w:p>
  </w:footnote>
  <w:footnote w:id="42">
    <w:p w14:paraId="45533456" w14:textId="77777777" w:rsidR="00CE3509" w:rsidRPr="00BA5E0C" w:rsidRDefault="00CE3509" w:rsidP="00C01E92">
      <w:pPr>
        <w:pStyle w:val="FootnoteText"/>
      </w:pPr>
      <w:r w:rsidRPr="00BA5E0C">
        <w:rPr>
          <w:rStyle w:val="FootnoteReference"/>
          <w:color w:val="auto"/>
        </w:rPr>
        <w:footnoteRef/>
      </w:r>
      <w:r w:rsidRPr="00BA5E0C">
        <w:t xml:space="preserve"> The Act, s 50.</w:t>
      </w:r>
    </w:p>
  </w:footnote>
  <w:footnote w:id="43">
    <w:p w14:paraId="240BA9ED" w14:textId="77777777" w:rsidR="00CE3509" w:rsidRDefault="00CE3509" w:rsidP="00C01E92">
      <w:pPr>
        <w:pStyle w:val="FootnoteText"/>
      </w:pPr>
      <w:r w:rsidRPr="00746091">
        <w:rPr>
          <w:rStyle w:val="FootnoteReference"/>
          <w:color w:val="auto"/>
        </w:rPr>
        <w:footnoteRef/>
      </w:r>
      <w:r w:rsidRPr="00746091">
        <w:t xml:space="preserve"> If there were </w:t>
      </w:r>
      <w:r>
        <w:t xml:space="preserve">any Short-term type 1 or Short-term type 2 providers currently operating, their staff to child ratios would also be increased under the Alignment option. </w:t>
      </w:r>
    </w:p>
  </w:footnote>
  <w:footnote w:id="44">
    <w:p w14:paraId="6E82A50A" w14:textId="77777777" w:rsidR="00CE3509" w:rsidRPr="00746091" w:rsidRDefault="00CE3509" w:rsidP="00C01E92">
      <w:pPr>
        <w:pStyle w:val="FootnoteText"/>
        <w:rPr>
          <w:szCs w:val="16"/>
        </w:rPr>
      </w:pPr>
      <w:r w:rsidRPr="00746091">
        <w:rPr>
          <w:rStyle w:val="FootnoteReference"/>
          <w:rFonts w:ascii="Arial Narrow" w:hAnsi="Arial Narrow"/>
          <w:color w:val="auto"/>
          <w:sz w:val="16"/>
          <w:szCs w:val="16"/>
        </w:rPr>
        <w:footnoteRef/>
      </w:r>
      <w:r w:rsidRPr="00746091">
        <w:rPr>
          <w:szCs w:val="16"/>
        </w:rPr>
        <w:t xml:space="preserve"> ‘Actively Working Towards’. </w:t>
      </w:r>
    </w:p>
  </w:footnote>
  <w:footnote w:id="45">
    <w:p w14:paraId="25025676" w14:textId="77777777" w:rsidR="00CE3509" w:rsidRPr="00746091" w:rsidRDefault="00CE3509" w:rsidP="00C01E92">
      <w:pPr>
        <w:pStyle w:val="FootnoteText"/>
        <w:rPr>
          <w:szCs w:val="16"/>
        </w:rPr>
      </w:pPr>
      <w:r w:rsidRPr="00746091">
        <w:rPr>
          <w:rStyle w:val="FootnoteReference"/>
          <w:rFonts w:ascii="Arial Narrow" w:hAnsi="Arial Narrow"/>
          <w:color w:val="auto"/>
          <w:sz w:val="16"/>
          <w:szCs w:val="16"/>
        </w:rPr>
        <w:footnoteRef/>
      </w:r>
      <w:r w:rsidRPr="00746091">
        <w:rPr>
          <w:szCs w:val="16"/>
        </w:rPr>
        <w:t xml:space="preserve"> At least 50% of required educators must hold, or be AWT, at least an approved Diploma level education and care qualification (NR r126(1)(a))</w:t>
      </w:r>
    </w:p>
  </w:footnote>
  <w:footnote w:id="46">
    <w:p w14:paraId="65BBC102" w14:textId="77777777" w:rsidR="00CE3509" w:rsidRDefault="00CE3509" w:rsidP="00C01E92">
      <w:pPr>
        <w:pStyle w:val="FootnoteText"/>
      </w:pPr>
      <w:r w:rsidRPr="00746091">
        <w:rPr>
          <w:rStyle w:val="FootnoteReference"/>
          <w:rFonts w:ascii="Arial Narrow" w:hAnsi="Arial Narrow"/>
          <w:color w:val="auto"/>
          <w:sz w:val="16"/>
          <w:szCs w:val="16"/>
        </w:rPr>
        <w:footnoteRef/>
      </w:r>
      <w:r w:rsidRPr="00746091">
        <w:rPr>
          <w:szCs w:val="16"/>
        </w:rPr>
        <w:t xml:space="preserve"> All other required </w:t>
      </w:r>
      <w:r w:rsidRPr="000849F8">
        <w:rPr>
          <w:szCs w:val="16"/>
        </w:rPr>
        <w:t>educators must hold, or be AWT, at least an approved Certificate III level education and care qualification (NR r126(1)(b) and r356(2))</w:t>
      </w:r>
    </w:p>
  </w:footnote>
  <w:footnote w:id="47">
    <w:p w14:paraId="6EE86941" w14:textId="77777777" w:rsidR="00CE3509" w:rsidRPr="000849F8" w:rsidRDefault="00CE3509" w:rsidP="00C01E92">
      <w:pPr>
        <w:pStyle w:val="FootnoteText"/>
        <w:rPr>
          <w:szCs w:val="16"/>
        </w:rPr>
      </w:pPr>
      <w:r w:rsidRPr="00E15A96">
        <w:rPr>
          <w:rStyle w:val="FootnoteReference"/>
          <w:rFonts w:ascii="Arial Narrow" w:hAnsi="Arial Narrow"/>
          <w:color w:val="auto"/>
          <w:sz w:val="16"/>
          <w:szCs w:val="16"/>
        </w:rPr>
        <w:footnoteRef/>
      </w:r>
      <w:r w:rsidRPr="00E15A96">
        <w:rPr>
          <w:szCs w:val="16"/>
        </w:rPr>
        <w:t xml:space="preserve"> Ref</w:t>
      </w:r>
      <w:r w:rsidRPr="000849F8">
        <w:rPr>
          <w:szCs w:val="16"/>
        </w:rPr>
        <w:t>er to current CS Regulations r60</w:t>
      </w:r>
    </w:p>
  </w:footnote>
  <w:footnote w:id="48">
    <w:p w14:paraId="651AC24B" w14:textId="77777777" w:rsidR="00CE3509" w:rsidRDefault="00CE3509" w:rsidP="00C01E92">
      <w:pPr>
        <w:pStyle w:val="FootnoteText"/>
      </w:pPr>
      <w:r w:rsidRPr="00981E8E">
        <w:rPr>
          <w:rStyle w:val="FootnoteReference"/>
          <w:rFonts w:ascii="Arial Narrow" w:hAnsi="Arial Narrow"/>
          <w:color w:val="auto"/>
          <w:sz w:val="16"/>
          <w:szCs w:val="16"/>
        </w:rPr>
        <w:footnoteRef/>
      </w:r>
      <w:r w:rsidRPr="00981E8E">
        <w:rPr>
          <w:szCs w:val="16"/>
        </w:rPr>
        <w:t xml:space="preserve"> </w:t>
      </w:r>
      <w:r w:rsidRPr="000849F8">
        <w:rPr>
          <w:szCs w:val="16"/>
        </w:rPr>
        <w:t>Proposed regulations require an Early Childhood Teacher (ECT) Degree qualification if the service provides more than 30 hours of education and care per week to a child</w:t>
      </w:r>
    </w:p>
  </w:footnote>
  <w:footnote w:id="49">
    <w:p w14:paraId="4E9CB5CD" w14:textId="77777777" w:rsidR="00CE3509" w:rsidRPr="00D677D5" w:rsidRDefault="00CE3509" w:rsidP="00C01E92">
      <w:pPr>
        <w:pStyle w:val="FootnoteText"/>
      </w:pPr>
      <w:r w:rsidRPr="00D677D5">
        <w:rPr>
          <w:rStyle w:val="FootnoteReference"/>
          <w:color w:val="auto"/>
        </w:rPr>
        <w:footnoteRef/>
      </w:r>
      <w:r w:rsidRPr="00D677D5">
        <w:t xml:space="preserve"> </w:t>
      </w:r>
      <w:r w:rsidRPr="00D677D5">
        <w:rPr>
          <w:i/>
        </w:rPr>
        <w:t>Tobacco Act 1987</w:t>
      </w:r>
      <w:r w:rsidRPr="00D677D5">
        <w:t xml:space="preserve"> (Vic).</w:t>
      </w:r>
    </w:p>
  </w:footnote>
  <w:footnote w:id="50">
    <w:p w14:paraId="6CF74B4B" w14:textId="77777777" w:rsidR="00CE3509" w:rsidRPr="009B7AF9" w:rsidRDefault="00CE3509" w:rsidP="00C01E92">
      <w:pPr>
        <w:pStyle w:val="FootnoteText"/>
        <w:rPr>
          <w:szCs w:val="16"/>
        </w:rPr>
      </w:pPr>
      <w:r w:rsidRPr="009B7AF9">
        <w:rPr>
          <w:rStyle w:val="FootnoteReference"/>
          <w:rFonts w:ascii="Arial Narrow" w:hAnsi="Arial Narrow"/>
          <w:color w:val="auto"/>
          <w:sz w:val="16"/>
          <w:szCs w:val="16"/>
        </w:rPr>
        <w:footnoteRef/>
      </w:r>
      <w:r w:rsidRPr="009B7AF9">
        <w:rPr>
          <w:szCs w:val="16"/>
        </w:rPr>
        <w:t xml:space="preserve"> According to St John’s Ambulance service, &lt;https://www.sja.ca/English/Safety-Tips-and-Resources/Pages/Workplace%20Safety/Products/First_Aid_Kits.aspx&gt;.</w:t>
      </w:r>
    </w:p>
  </w:footnote>
  <w:footnote w:id="51">
    <w:p w14:paraId="66106392" w14:textId="77777777" w:rsidR="00CE3509" w:rsidRPr="00F16DD2" w:rsidRDefault="00CE3509" w:rsidP="00C01E92">
      <w:pPr>
        <w:pStyle w:val="FootnoteText"/>
        <w:rPr>
          <w:szCs w:val="16"/>
        </w:rPr>
      </w:pPr>
      <w:r w:rsidRPr="00F16DD2">
        <w:rPr>
          <w:rStyle w:val="FootnoteReference"/>
          <w:rFonts w:ascii="Arial Narrow" w:hAnsi="Arial Narrow"/>
          <w:color w:val="auto"/>
          <w:sz w:val="16"/>
          <w:szCs w:val="16"/>
        </w:rPr>
        <w:footnoteRef/>
      </w:r>
      <w:r w:rsidRPr="00F16DD2">
        <w:rPr>
          <w:szCs w:val="16"/>
        </w:rPr>
        <w:t xml:space="preserve"> Costs based on an average of publicly available sources.</w:t>
      </w:r>
    </w:p>
  </w:footnote>
  <w:footnote w:id="52">
    <w:p w14:paraId="1DC8C476" w14:textId="77777777" w:rsidR="00CE3509" w:rsidRPr="00474E1C" w:rsidRDefault="00CE3509" w:rsidP="00C01E92">
      <w:pPr>
        <w:pStyle w:val="FootnoteText"/>
        <w:rPr>
          <w:szCs w:val="16"/>
        </w:rPr>
      </w:pPr>
      <w:r w:rsidRPr="00474E1C">
        <w:rPr>
          <w:rStyle w:val="FootnoteReference"/>
          <w:rFonts w:ascii="Arial Narrow" w:hAnsi="Arial Narrow"/>
          <w:color w:val="auto"/>
          <w:sz w:val="16"/>
          <w:szCs w:val="16"/>
        </w:rPr>
        <w:footnoteRef/>
      </w:r>
      <w:r w:rsidRPr="00474E1C">
        <w:rPr>
          <w:szCs w:val="16"/>
        </w:rPr>
        <w:t xml:space="preserve"> Building Code of Australia, Table F2.3, Class 9b. </w:t>
      </w:r>
    </w:p>
  </w:footnote>
  <w:footnote w:id="53">
    <w:p w14:paraId="3A25B657" w14:textId="77777777" w:rsidR="00CE3509" w:rsidRDefault="00CE3509" w:rsidP="00C01E92">
      <w:pPr>
        <w:pStyle w:val="FootnoteText"/>
      </w:pPr>
      <w:r w:rsidRPr="00474E1C">
        <w:rPr>
          <w:rStyle w:val="FootnoteReference"/>
          <w:color w:val="auto"/>
        </w:rPr>
        <w:footnoteRef/>
      </w:r>
      <w:r w:rsidRPr="00474E1C">
        <w:t xml:space="preserve"> The requirement would also </w:t>
      </w:r>
      <w:r>
        <w:t xml:space="preserve">extend to Short-term type 1 services, but there are no providers currently operating under this type of licence. </w:t>
      </w:r>
    </w:p>
  </w:footnote>
  <w:footnote w:id="54">
    <w:p w14:paraId="53D0E86B" w14:textId="77777777" w:rsidR="00CE3509" w:rsidRDefault="00CE3509" w:rsidP="00C01E92">
      <w:pPr>
        <w:pStyle w:val="FootnoteText"/>
      </w:pPr>
      <w:r w:rsidRPr="00474E1C">
        <w:rPr>
          <w:rStyle w:val="FootnoteReference"/>
          <w:color w:val="auto"/>
        </w:rPr>
        <w:footnoteRef/>
      </w:r>
      <w:r w:rsidRPr="00474E1C">
        <w:t xml:space="preserve"> Note that th</w:t>
      </w:r>
      <w:r>
        <w:t>e NQF Regulatory Burden report assumed a Director-level (degree qualified) employee would prepare the policies. Currently, only services holding a Standard licence require a Degree-level early childhood teacher be employed. As Standard services only comprise 8% of the sector, a Diploma-level employee has been used for the calculations instead. Services employing a Degree-level individual to undertake these tasks, may incur higher costs.</w:t>
      </w:r>
    </w:p>
  </w:footnote>
  <w:footnote w:id="55">
    <w:p w14:paraId="7167CF9E" w14:textId="77777777" w:rsidR="00CE3509" w:rsidRDefault="00CE3509" w:rsidP="00F46104">
      <w:pPr>
        <w:pStyle w:val="FootnoteText"/>
      </w:pPr>
      <w:r w:rsidRPr="00601C44">
        <w:rPr>
          <w:rStyle w:val="FootnoteReference"/>
        </w:rPr>
        <w:footnoteRef/>
      </w:r>
      <w:r w:rsidRPr="00601C44">
        <w:t xml:space="preserve"> </w:t>
      </w:r>
      <w:r>
        <w:t xml:space="preserve">Cost Recovery Guidelines (incorporating the information formerly published in the </w:t>
      </w:r>
      <w:r w:rsidRPr="00B6695A">
        <w:rPr>
          <w:i/>
        </w:rPr>
        <w:t>Guidelines for Setting Fees and User-Charges Imposed by Departments and Central Government Agencies</w:t>
      </w:r>
      <w:r>
        <w:t>), DTF January 2013, p7</w:t>
      </w:r>
    </w:p>
  </w:footnote>
  <w:footnote w:id="56">
    <w:p w14:paraId="3694DE94" w14:textId="77777777" w:rsidR="00CE3509" w:rsidRPr="00FA1FC1" w:rsidRDefault="00CE3509" w:rsidP="00F46104">
      <w:pPr>
        <w:pStyle w:val="FootnoteText"/>
      </w:pPr>
      <w:r w:rsidRPr="004812AF">
        <w:rPr>
          <w:rStyle w:val="FootnoteReference"/>
        </w:rPr>
        <w:footnoteRef/>
      </w:r>
      <w:r w:rsidRPr="004812AF">
        <w:t xml:space="preserve"> Australian Children’s Education and Care Authority, </w:t>
      </w:r>
      <w:r w:rsidRPr="004812AF">
        <w:rPr>
          <w:i/>
        </w:rPr>
        <w:t>Guide to the National Quality Framework: Chapter Two – Applications and Approvals</w:t>
      </w:r>
      <w:r w:rsidRPr="004812AF">
        <w:t xml:space="preserve">, p. 58 </w:t>
      </w:r>
      <w:hyperlink r:id="rId3" w:history="1">
        <w:r w:rsidRPr="004812AF">
          <w:t>https://www.acecqa.gov.au/sites/default/files/2018-10/Guide-to-the-NQF-2-Applications-Approvals.pdf</w:t>
        </w:r>
      </w:hyperlink>
      <w:r>
        <w:t xml:space="preserve"> </w:t>
      </w:r>
    </w:p>
  </w:footnote>
  <w:footnote w:id="57">
    <w:p w14:paraId="082BA91D" w14:textId="77777777" w:rsidR="00CE3509" w:rsidRPr="007863CB" w:rsidRDefault="00CE3509" w:rsidP="00F46104">
      <w:pPr>
        <w:pStyle w:val="FootnoteText"/>
        <w:rPr>
          <w:rFonts w:asciiTheme="minorHAnsi" w:hAnsiTheme="minorHAnsi" w:cstheme="minorHAnsi"/>
          <w:sz w:val="12"/>
          <w:szCs w:val="12"/>
        </w:rPr>
      </w:pPr>
      <w:r w:rsidRPr="0099713C">
        <w:rPr>
          <w:rStyle w:val="FootnoteReference"/>
          <w:rFonts w:asciiTheme="minorHAnsi" w:hAnsiTheme="minorHAnsi" w:cstheme="minorHAnsi"/>
          <w:color w:val="auto"/>
          <w:sz w:val="12"/>
          <w:szCs w:val="12"/>
        </w:rPr>
        <w:footnoteRef/>
      </w:r>
      <w:r w:rsidRPr="0099713C">
        <w:rPr>
          <w:rFonts w:asciiTheme="minorHAnsi" w:hAnsiTheme="minorHAnsi" w:cstheme="minorHAnsi"/>
          <w:sz w:val="12"/>
          <w:szCs w:val="12"/>
        </w:rPr>
        <w:t xml:space="preserve"> </w:t>
      </w:r>
      <w:hyperlink r:id="rId4" w:history="1">
        <w:r w:rsidRPr="007863CB">
          <w:rPr>
            <w:rStyle w:val="Hyperlink"/>
            <w:rFonts w:asciiTheme="minorHAnsi" w:hAnsiTheme="minorHAnsi" w:cstheme="minorHAnsi"/>
            <w:sz w:val="12"/>
            <w:szCs w:val="12"/>
          </w:rPr>
          <w:t>https://www.workingwithchildren.vic.gov.au/individuals/applicants/how-to-apply</w:t>
        </w:r>
      </w:hyperlink>
      <w:r w:rsidRPr="007863CB">
        <w:rPr>
          <w:rFonts w:asciiTheme="minorHAnsi" w:hAnsiTheme="minorHAnsi" w:cstheme="minorHAnsi"/>
          <w:sz w:val="12"/>
          <w:szCs w:val="12"/>
        </w:rPr>
        <w:t xml:space="preserve">; </w:t>
      </w:r>
      <w:hyperlink r:id="rId5" w:history="1">
        <w:r w:rsidRPr="007863CB">
          <w:rPr>
            <w:rStyle w:val="Hyperlink"/>
            <w:rFonts w:asciiTheme="minorHAnsi" w:hAnsiTheme="minorHAnsi" w:cstheme="minorHAnsi"/>
            <w:sz w:val="12"/>
            <w:szCs w:val="12"/>
          </w:rPr>
          <w:t>https://www.workingwithchildren.vic.gov.au/individuals/current-cardholders/renew-my-card</w:t>
        </w:r>
      </w:hyperlink>
      <w:r w:rsidRPr="007863CB">
        <w:rPr>
          <w:rFonts w:asciiTheme="minorHAnsi" w:hAnsiTheme="minorHAnsi" w:cstheme="minorHAnsi"/>
          <w:sz w:val="12"/>
          <w:szCs w:val="12"/>
        </w:rPr>
        <w:t>; accessed 27/12/19</w:t>
      </w:r>
    </w:p>
  </w:footnote>
  <w:footnote w:id="58">
    <w:p w14:paraId="0E036CBE" w14:textId="77777777" w:rsidR="00CE3509" w:rsidRPr="007863CB" w:rsidRDefault="00CE3509" w:rsidP="00F46104">
      <w:pPr>
        <w:pStyle w:val="FootnoteText"/>
        <w:rPr>
          <w:rFonts w:asciiTheme="minorHAnsi" w:hAnsiTheme="minorHAnsi" w:cstheme="minorHAnsi"/>
          <w:sz w:val="12"/>
          <w:szCs w:val="12"/>
        </w:rPr>
      </w:pPr>
      <w:r w:rsidRPr="0099713C">
        <w:rPr>
          <w:rStyle w:val="FootnoteReference"/>
          <w:rFonts w:asciiTheme="minorHAnsi" w:hAnsiTheme="minorHAnsi" w:cstheme="minorHAnsi"/>
          <w:color w:val="auto"/>
          <w:sz w:val="12"/>
          <w:szCs w:val="12"/>
        </w:rPr>
        <w:footnoteRef/>
      </w:r>
      <w:r w:rsidRPr="0099713C">
        <w:rPr>
          <w:rFonts w:asciiTheme="minorHAnsi" w:hAnsiTheme="minorHAnsi" w:cstheme="minorHAnsi"/>
          <w:sz w:val="12"/>
          <w:szCs w:val="12"/>
        </w:rPr>
        <w:t xml:space="preserve"> </w:t>
      </w:r>
      <w:hyperlink r:id="rId6" w:history="1">
        <w:r w:rsidRPr="007863CB">
          <w:rPr>
            <w:rStyle w:val="Hyperlink"/>
            <w:rFonts w:asciiTheme="minorHAnsi" w:hAnsiTheme="minorHAnsi" w:cstheme="minorHAnsi"/>
            <w:sz w:val="12"/>
            <w:szCs w:val="12"/>
          </w:rPr>
          <w:t>https://www.police.vic.gov.au/national-police-records-checks</w:t>
        </w:r>
      </w:hyperlink>
      <w:r w:rsidRPr="007863CB">
        <w:rPr>
          <w:rFonts w:asciiTheme="minorHAnsi" w:hAnsiTheme="minorHAnsi" w:cstheme="minorHAnsi"/>
          <w:sz w:val="12"/>
          <w:szCs w:val="12"/>
        </w:rPr>
        <w:t>; accessed 27/12/19</w:t>
      </w:r>
    </w:p>
  </w:footnote>
  <w:footnote w:id="59">
    <w:p w14:paraId="612FB1E6" w14:textId="77777777" w:rsidR="00CE3509" w:rsidRPr="00C3375F" w:rsidRDefault="00CE3509" w:rsidP="00C01E92">
      <w:pPr>
        <w:pStyle w:val="FootnoteText"/>
        <w:rPr>
          <w:sz w:val="12"/>
          <w:szCs w:val="12"/>
        </w:rPr>
      </w:pPr>
      <w:r w:rsidRPr="00C3375F">
        <w:rPr>
          <w:rStyle w:val="FootnoteReference"/>
          <w:color w:val="auto"/>
          <w:sz w:val="12"/>
          <w:szCs w:val="12"/>
        </w:rPr>
        <w:footnoteRef/>
      </w:r>
      <w:r w:rsidRPr="00C3375F">
        <w:rPr>
          <w:sz w:val="12"/>
          <w:szCs w:val="12"/>
        </w:rPr>
        <w:t xml:space="preserve"> Statement of Expectations and Response 2019 </w:t>
      </w:r>
      <w:hyperlink r:id="rId7" w:history="1">
        <w:r w:rsidRPr="00C3375F">
          <w:rPr>
            <w:rStyle w:val="Hyperlink"/>
            <w:sz w:val="12"/>
            <w:szCs w:val="12"/>
          </w:rPr>
          <w:t>https://www.education.vic.gov.au/about/department/legislation/Pages/ecsoe.aspx</w:t>
        </w:r>
      </w:hyperlink>
      <w:r w:rsidRPr="00C3375F">
        <w:rPr>
          <w:sz w:val="12"/>
          <w:szCs w:val="12"/>
        </w:rPr>
        <w:t xml:space="preserve"> </w:t>
      </w:r>
    </w:p>
  </w:footnote>
  <w:footnote w:id="60">
    <w:p w14:paraId="4E5E8050" w14:textId="77777777" w:rsidR="00CE3509" w:rsidRPr="004B5CF7" w:rsidRDefault="00CE3509" w:rsidP="002358A1">
      <w:pPr>
        <w:pStyle w:val="FootnoteText"/>
        <w:rPr>
          <w:sz w:val="12"/>
          <w:szCs w:val="12"/>
          <w:lang w:val="en-AU"/>
        </w:rPr>
      </w:pPr>
      <w:r w:rsidRPr="00D76D99">
        <w:rPr>
          <w:rStyle w:val="FootnoteReference"/>
          <w:color w:val="auto"/>
        </w:rPr>
        <w:footnoteRef/>
      </w:r>
      <w:r w:rsidRPr="00D76D99">
        <w:t xml:space="preserve"> </w:t>
      </w:r>
      <w:r w:rsidRPr="004B5CF7">
        <w:rPr>
          <w:sz w:val="12"/>
          <w:szCs w:val="12"/>
          <w:lang w:val="en-AU"/>
        </w:rPr>
        <w:t>QARD Teams comprise of: Service Administration and Support Unit (SASU); Business System and Review Unit (BSRU); Consistent Practice and Support Unit (CPSU); Monitoring and Compliance Unit (MCU); Operations Branch; Investigations Unit.</w:t>
      </w:r>
    </w:p>
  </w:footnote>
  <w:footnote w:id="61">
    <w:p w14:paraId="7DC8AF19" w14:textId="77777777" w:rsidR="00CE3509" w:rsidRPr="00816A6E" w:rsidRDefault="00CE3509" w:rsidP="00C01E92">
      <w:pPr>
        <w:pStyle w:val="FootnoteText"/>
      </w:pPr>
      <w:r w:rsidRPr="00816A6E">
        <w:rPr>
          <w:rStyle w:val="FootnoteReference"/>
          <w:color w:val="auto"/>
        </w:rPr>
        <w:footnoteRef/>
      </w:r>
      <w:r w:rsidRPr="00816A6E">
        <w:t xml:space="preserve">Australian Institute of Family Studies, </w:t>
      </w:r>
      <w:r w:rsidRPr="00816A6E">
        <w:rPr>
          <w:i/>
        </w:rPr>
        <w:t xml:space="preserve">A Critical Review of the Early Childhood Literature </w:t>
      </w:r>
      <w:r w:rsidRPr="00816A6E">
        <w:t>(October 2016), 1.</w:t>
      </w:r>
    </w:p>
  </w:footnote>
  <w:footnote w:id="62">
    <w:p w14:paraId="16F25D87" w14:textId="77777777" w:rsidR="00CE3509" w:rsidRDefault="00CE3509" w:rsidP="00C01E92">
      <w:pPr>
        <w:pStyle w:val="FootnoteText"/>
      </w:pPr>
      <w:r w:rsidRPr="00816A6E">
        <w:rPr>
          <w:rStyle w:val="FootnoteReference"/>
          <w:color w:val="auto"/>
        </w:rPr>
        <w:footnoteRef/>
      </w:r>
      <w:r w:rsidRPr="00816A6E">
        <w:t xml:space="preserve"> See ACECQA</w:t>
      </w:r>
      <w:r>
        <w:t xml:space="preserve">, </w:t>
      </w:r>
      <w:r>
        <w:rPr>
          <w:i/>
        </w:rPr>
        <w:t>National Partnership Annual Performance Report: National Quality Agenda</w:t>
      </w:r>
      <w:r>
        <w:t xml:space="preserve"> (December 2017) ch 7.</w:t>
      </w:r>
    </w:p>
  </w:footnote>
  <w:footnote w:id="63">
    <w:p w14:paraId="6AFAB8DD" w14:textId="77777777" w:rsidR="00CE3509" w:rsidRPr="00816A6E" w:rsidRDefault="00CE3509" w:rsidP="00C01E92">
      <w:pPr>
        <w:pStyle w:val="FootnoteText"/>
      </w:pPr>
      <w:r w:rsidRPr="00816A6E">
        <w:rPr>
          <w:rStyle w:val="FootnoteReference"/>
          <w:color w:val="auto"/>
        </w:rPr>
        <w:footnoteRef/>
      </w:r>
      <w:r w:rsidRPr="00816A6E">
        <w:t xml:space="preserve"> OECD </w:t>
      </w:r>
      <w:r w:rsidRPr="00816A6E">
        <w:rPr>
          <w:i/>
        </w:rPr>
        <w:t>Starting Strong V: Transitions from Early Childhood Education and Care to Primary Education</w:t>
      </w:r>
      <w:r w:rsidRPr="00816A6E">
        <w:t xml:space="preserve"> (2017) cited in ACECQA, </w:t>
      </w:r>
      <w:r w:rsidRPr="00816A6E">
        <w:rPr>
          <w:i/>
        </w:rPr>
        <w:t>National Partnership Annual Performance Report: National Quality Agenda</w:t>
      </w:r>
      <w:r w:rsidRPr="00816A6E">
        <w:t xml:space="preserve"> (December 2017), 80. </w:t>
      </w:r>
    </w:p>
  </w:footnote>
  <w:footnote w:id="64">
    <w:p w14:paraId="2F92F8A9" w14:textId="77777777" w:rsidR="00CE3509" w:rsidRDefault="00CE3509" w:rsidP="00C01E92">
      <w:pPr>
        <w:pStyle w:val="FootnoteText"/>
      </w:pPr>
      <w:r w:rsidRPr="00816A6E">
        <w:rPr>
          <w:rStyle w:val="FootnoteReference"/>
          <w:color w:val="auto"/>
        </w:rPr>
        <w:footnoteRef/>
      </w:r>
      <w:r w:rsidRPr="00816A6E">
        <w:t xml:space="preserve"> OECD</w:t>
      </w:r>
      <w:r>
        <w:t xml:space="preserve">, </w:t>
      </w:r>
      <w:r>
        <w:rPr>
          <w:i/>
        </w:rPr>
        <w:t xml:space="preserve">Engaging Young Children: Lessons from Research about Quality in Early Childhood Education and Care </w:t>
      </w:r>
      <w:r>
        <w:t>(2017), 22.</w:t>
      </w:r>
    </w:p>
  </w:footnote>
  <w:footnote w:id="65">
    <w:p w14:paraId="345A4755" w14:textId="77777777" w:rsidR="00CE3509" w:rsidRPr="00816A6E" w:rsidRDefault="00CE3509" w:rsidP="00C01E92">
      <w:pPr>
        <w:pStyle w:val="FootnoteText"/>
      </w:pPr>
      <w:r w:rsidRPr="00816A6E">
        <w:rPr>
          <w:rStyle w:val="FootnoteReference"/>
          <w:color w:val="auto"/>
        </w:rPr>
        <w:footnoteRef/>
      </w:r>
      <w:r w:rsidRPr="00816A6E">
        <w:t xml:space="preserve"> See the Act, ss 37 (provider approvals) and 83 (service approvals). </w:t>
      </w:r>
    </w:p>
  </w:footnote>
  <w:footnote w:id="66">
    <w:p w14:paraId="066F5CDA" w14:textId="77777777" w:rsidR="00CE3509" w:rsidRDefault="00CE3509" w:rsidP="00C01E92">
      <w:pPr>
        <w:pStyle w:val="FootnoteText"/>
      </w:pPr>
      <w:r w:rsidRPr="00816A6E">
        <w:rPr>
          <w:rStyle w:val="FootnoteReference"/>
          <w:color w:val="auto"/>
        </w:rPr>
        <w:footnoteRef/>
      </w:r>
      <w:r w:rsidRPr="00816A6E">
        <w:t xml:space="preserve"> See the Act, ss 37(3) and 83(</w:t>
      </w:r>
      <w:r>
        <w:t xml:space="preserve">4). </w:t>
      </w:r>
    </w:p>
  </w:footnote>
  <w:footnote w:id="67">
    <w:p w14:paraId="7949C9EB" w14:textId="77777777" w:rsidR="00CE3509" w:rsidRDefault="00CE3509" w:rsidP="00C01E92">
      <w:pPr>
        <w:pStyle w:val="FootnoteText"/>
      </w:pPr>
      <w:r w:rsidRPr="00A87CDF">
        <w:rPr>
          <w:rStyle w:val="FootnoteReference"/>
          <w:color w:val="auto"/>
        </w:rPr>
        <w:footnoteRef/>
      </w:r>
      <w:r w:rsidRPr="00A87CDF">
        <w:t xml:space="preserve"> The Act</w:t>
      </w:r>
      <w:r>
        <w:t xml:space="preserve">, s 50. </w:t>
      </w:r>
    </w:p>
  </w:footnote>
  <w:footnote w:id="68">
    <w:p w14:paraId="10C81D2C" w14:textId="77777777" w:rsidR="00CE3509" w:rsidRDefault="00CE3509" w:rsidP="005820AF">
      <w:pPr>
        <w:pStyle w:val="FootnoteText"/>
      </w:pPr>
      <w:r>
        <w:rPr>
          <w:rStyle w:val="FootnoteReference"/>
        </w:rPr>
        <w:footnoteRef/>
      </w:r>
      <w:r>
        <w:t xml:space="preserve"> </w:t>
      </w:r>
      <w:hyperlink r:id="rId8" w:history="1">
        <w:r w:rsidRPr="00255E38">
          <w:rPr>
            <w:color w:val="0000FF"/>
            <w:szCs w:val="16"/>
            <w:u w:val="single"/>
          </w:rPr>
          <w:t>https://www.aph.gov.au/About_Parliament/Parliamentary_Departments/Parliamentary_Library/pubs/rp/rp1516/Quick_Guides/Data</w:t>
        </w:r>
      </w:hyperlink>
      <w:r>
        <w:rPr>
          <w:szCs w:val="16"/>
        </w:rPr>
        <w:t xml:space="preserve"> </w:t>
      </w:r>
    </w:p>
  </w:footnote>
  <w:footnote w:id="69">
    <w:p w14:paraId="6813DDF9" w14:textId="77777777" w:rsidR="00CE3509" w:rsidRPr="00D31768" w:rsidRDefault="00CE3509" w:rsidP="005820AF">
      <w:pPr>
        <w:pStyle w:val="FootnoteText"/>
        <w:rPr>
          <w:szCs w:val="16"/>
        </w:rPr>
      </w:pPr>
      <w:r>
        <w:rPr>
          <w:rStyle w:val="FootnoteReference"/>
        </w:rPr>
        <w:footnoteRef/>
      </w:r>
      <w:r>
        <w:t xml:space="preserve"> </w:t>
      </w:r>
      <w:r w:rsidRPr="00D31768">
        <w:rPr>
          <w:szCs w:val="16"/>
        </w:rPr>
        <w:t xml:space="preserve">Victorian Government, ‘Free TAFE for lots of jobs’ (website) </w:t>
      </w:r>
      <w:hyperlink r:id="rId9" w:history="1">
        <w:r w:rsidRPr="00D31768">
          <w:rPr>
            <w:rStyle w:val="Hyperlink"/>
            <w:sz w:val="16"/>
            <w:szCs w:val="16"/>
          </w:rPr>
          <w:t>https://www.vic.gov.au/free-tafe</w:t>
        </w:r>
      </w:hyperlink>
      <w:r w:rsidRPr="00D31768">
        <w:rPr>
          <w:szCs w:val="16"/>
        </w:rPr>
        <w:t xml:space="preserve"> accessed 30 September 2019.</w:t>
      </w:r>
    </w:p>
  </w:footnote>
  <w:footnote w:id="70">
    <w:p w14:paraId="55BD6EEE" w14:textId="77777777" w:rsidR="00CE3509" w:rsidRPr="001E5722" w:rsidRDefault="00CE3509" w:rsidP="00C01E92">
      <w:pPr>
        <w:pStyle w:val="EYBodytextwithparaspace"/>
        <w:rPr>
          <w:rFonts w:asciiTheme="minorHAnsi" w:hAnsiTheme="minorHAnsi" w:cstheme="minorHAnsi"/>
          <w:sz w:val="12"/>
          <w:szCs w:val="12"/>
        </w:rPr>
      </w:pPr>
      <w:r w:rsidRPr="001E5722">
        <w:rPr>
          <w:rStyle w:val="FootnoteReference"/>
          <w:rFonts w:asciiTheme="minorHAnsi" w:hAnsiTheme="minorHAnsi" w:cstheme="minorHAnsi"/>
          <w:color w:val="auto"/>
          <w:sz w:val="12"/>
          <w:szCs w:val="12"/>
        </w:rPr>
        <w:footnoteRef/>
      </w:r>
      <w:r w:rsidRPr="001E5722">
        <w:rPr>
          <w:rFonts w:asciiTheme="minorHAnsi" w:hAnsiTheme="minorHAnsi" w:cstheme="minorHAnsi"/>
          <w:sz w:val="12"/>
          <w:szCs w:val="12"/>
        </w:rPr>
        <w:t xml:space="preserve"> A web-based system to assist state and territory regulatory authorities and ACECQA to manage the approval, monitoring and quality assessment of children’s education and care services. The system also enables services, providers and educators to submit application and notification forms online to regulatory authorities and ACECQA.</w:t>
      </w:r>
    </w:p>
  </w:footnote>
  <w:footnote w:id="71">
    <w:p w14:paraId="5F558F6E" w14:textId="77777777" w:rsidR="00CE3509" w:rsidRPr="006A56A8" w:rsidRDefault="00CE3509" w:rsidP="00C01E92">
      <w:pPr>
        <w:pStyle w:val="FootnoteText"/>
        <w:rPr>
          <w:sz w:val="12"/>
          <w:szCs w:val="12"/>
        </w:rPr>
      </w:pPr>
      <w:r w:rsidRPr="006A56A8">
        <w:rPr>
          <w:rStyle w:val="FootnoteReference"/>
          <w:color w:val="auto"/>
          <w:sz w:val="12"/>
          <w:szCs w:val="12"/>
        </w:rPr>
        <w:footnoteRef/>
      </w:r>
      <w:r w:rsidRPr="006A56A8">
        <w:rPr>
          <w:sz w:val="12"/>
          <w:szCs w:val="12"/>
        </w:rPr>
        <w:t xml:space="preserve"> </w:t>
      </w:r>
      <w:hyperlink r:id="rId10" w:history="1">
        <w:r w:rsidRPr="006A56A8">
          <w:rPr>
            <w:rStyle w:val="Hyperlink"/>
            <w:sz w:val="12"/>
            <w:szCs w:val="12"/>
          </w:rPr>
          <w:t>https://www.education.vic.gov.au/Documents/childhood/providers/regulation/limitedhrsserv.pdf</w:t>
        </w:r>
      </w:hyperlink>
      <w:r w:rsidRPr="006A56A8">
        <w:rPr>
          <w:sz w:val="12"/>
          <w:szCs w:val="1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25D12" w14:textId="700A89F2" w:rsidR="00CE3509" w:rsidRDefault="00CE3509" w:rsidP="00A63D55">
    <w:pPr>
      <w:pStyle w:val="Header"/>
      <w:tabs>
        <w:tab w:val="clear" w:pos="4513"/>
        <w:tab w:val="clear" w:pos="9026"/>
        <w:tab w:val="left" w:pos="1425"/>
      </w:tabs>
    </w:pPr>
    <w:r>
      <w:rPr>
        <w:noProof/>
        <w:lang w:val="en-AU" w:eastAsia="en-AU"/>
      </w:rPr>
      <w:drawing>
        <wp:anchor distT="0" distB="0" distL="114300" distR="114300" simplePos="0" relativeHeight="251661312" behindDoc="1" locked="0" layoutInCell="1" allowOverlap="1" wp14:anchorId="75DE74C0" wp14:editId="3553C2D7">
          <wp:simplePos x="0" y="0"/>
          <wp:positionH relativeFrom="page">
            <wp:align>left</wp:align>
          </wp:positionH>
          <wp:positionV relativeFrom="page">
            <wp:align>top</wp:align>
          </wp:positionV>
          <wp:extent cx="7560000" cy="10692000"/>
          <wp:effectExtent l="0" t="0" r="9525" b="1905"/>
          <wp:wrapNone/>
          <wp:docPr id="13" name="Picture 13" descr="Blue and teal coloured triangles with the logo in the top left corner" title="Cover page with corporate coloured design elements and the Department of Education and Trai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T Corporate covers_2.jpg"/>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D1EB6" w14:textId="3EC586CD" w:rsidR="00CE3509" w:rsidRDefault="00CE3509" w:rsidP="003E0DF9">
    <w:pPr>
      <w:pStyle w:val="Header"/>
      <w:tabs>
        <w:tab w:val="clear" w:pos="4513"/>
        <w:tab w:val="clear" w:pos="9026"/>
        <w:tab w:val="left" w:pos="1425"/>
        <w:tab w:val="left" w:pos="3573"/>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2766"/>
    <w:multiLevelType w:val="hybridMultilevel"/>
    <w:tmpl w:val="5C3ABB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E4092A"/>
    <w:multiLevelType w:val="hybridMultilevel"/>
    <w:tmpl w:val="EE42F0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004756"/>
    <w:multiLevelType w:val="hybridMultilevel"/>
    <w:tmpl w:val="017085A6"/>
    <w:lvl w:ilvl="0" w:tplc="0BB68D2A">
      <w:start w:val="56"/>
      <w:numFmt w:val="bullet"/>
      <w:lvlText w:val="-"/>
      <w:lvlJc w:val="left"/>
      <w:pPr>
        <w:ind w:left="360" w:hanging="360"/>
      </w:pPr>
      <w:rPr>
        <w:rFonts w:ascii="EYInterstate Light" w:eastAsia="Times New Roman" w:hAnsi="EYInterstate Light" w:cs="Times New Roman" w:hint="default"/>
        <w:vertAlign w:val="baseline"/>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4E33348"/>
    <w:multiLevelType w:val="hybridMultilevel"/>
    <w:tmpl w:val="3440E1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5553D8E"/>
    <w:multiLevelType w:val="hybridMultilevel"/>
    <w:tmpl w:val="7960E640"/>
    <w:lvl w:ilvl="0" w:tplc="0BB68D2A">
      <w:start w:val="56"/>
      <w:numFmt w:val="bullet"/>
      <w:lvlText w:val="-"/>
      <w:lvlJc w:val="left"/>
      <w:pPr>
        <w:ind w:left="360" w:hanging="360"/>
      </w:pPr>
      <w:rPr>
        <w:rFonts w:ascii="EYInterstate Light" w:eastAsia="Times New Roman" w:hAnsi="EYInterstate Light" w:cs="Times New Roman" w:hint="default"/>
        <w:vertAlign w:val="baseline"/>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5C514A8"/>
    <w:multiLevelType w:val="multilevel"/>
    <w:tmpl w:val="3894CDB6"/>
    <w:lvl w:ilvl="0">
      <w:start w:val="1"/>
      <w:numFmt w:val="decimal"/>
      <w:lvlRestart w:val="0"/>
      <w:lvlText w:val="%1."/>
      <w:lvlJc w:val="left"/>
      <w:pPr>
        <w:ind w:left="851" w:hanging="851"/>
      </w:pPr>
      <w:rPr>
        <w:rFonts w:ascii="Arial" w:hAnsi="Arial" w:cs="Arial" w:hint="default"/>
        <w:b/>
        <w:i w:val="0"/>
        <w:color w:val="747480"/>
        <w:sz w:val="24"/>
        <w:szCs w:val="24"/>
      </w:rPr>
    </w:lvl>
    <w:lvl w:ilvl="1">
      <w:start w:val="1"/>
      <w:numFmt w:val="decimal"/>
      <w:pStyle w:val="EYHeading2"/>
      <w:lvlText w:val="%1.%2"/>
      <w:lvlJc w:val="left"/>
      <w:pPr>
        <w:tabs>
          <w:tab w:val="num" w:pos="0"/>
        </w:tabs>
        <w:ind w:left="851" w:hanging="851"/>
      </w:pPr>
      <w:rPr>
        <w:rFonts w:ascii="Arial" w:hAnsi="Arial" w:cs="Arial" w:hint="default"/>
        <w:b/>
        <w:i w:val="0"/>
        <w:color w:val="000000"/>
        <w:sz w:val="20"/>
        <w:szCs w:val="20"/>
      </w:rPr>
    </w:lvl>
    <w:lvl w:ilvl="2">
      <w:start w:val="1"/>
      <w:numFmt w:val="decimal"/>
      <w:pStyle w:val="EYHeading3"/>
      <w:lvlText w:val="%1.%2.%3"/>
      <w:lvlJc w:val="left"/>
      <w:pPr>
        <w:tabs>
          <w:tab w:val="num" w:pos="426"/>
        </w:tabs>
        <w:ind w:left="1277" w:hanging="851"/>
      </w:pPr>
      <w:rPr>
        <w:rFonts w:ascii="Arial" w:hAnsi="Arial" w:cs="Arial" w:hint="default"/>
        <w:b/>
        <w:i w:val="0"/>
        <w:color w:val="000000"/>
        <w:sz w:val="20"/>
        <w:szCs w:val="20"/>
      </w:rPr>
    </w:lvl>
    <w:lvl w:ilvl="3">
      <w:start w:val="1"/>
      <w:numFmt w:val="decimal"/>
      <w:pStyle w:val="EYHeading4"/>
      <w:lvlText w:val="%1.%2.%3.%4"/>
      <w:lvlJc w:val="left"/>
      <w:pPr>
        <w:tabs>
          <w:tab w:val="num" w:pos="0"/>
        </w:tabs>
        <w:ind w:left="851" w:hanging="851"/>
      </w:pPr>
      <w:rPr>
        <w:rFonts w:ascii="Arial" w:hAnsi="Arial" w:cs="Arial" w:hint="default"/>
        <w:b/>
        <w:i w:val="0"/>
        <w:color w:val="000000"/>
        <w:sz w:val="20"/>
        <w:szCs w:val="20"/>
      </w:rPr>
    </w:lvl>
    <w:lvl w:ilvl="4">
      <w:start w:val="1"/>
      <w:numFmt w:val="none"/>
      <w:lvlText w:val=""/>
      <w:lvlJc w:val="left"/>
      <w:pPr>
        <w:tabs>
          <w:tab w:val="num" w:pos="0"/>
        </w:tabs>
        <w:ind w:left="851" w:hanging="851"/>
      </w:pPr>
      <w:rPr>
        <w:rFonts w:hint="default"/>
      </w:rPr>
    </w:lvl>
    <w:lvl w:ilvl="5">
      <w:start w:val="1"/>
      <w:numFmt w:val="none"/>
      <w:lvlText w:val=""/>
      <w:lvlJc w:val="left"/>
      <w:pPr>
        <w:tabs>
          <w:tab w:val="num" w:pos="0"/>
        </w:tabs>
        <w:ind w:left="851" w:hanging="851"/>
      </w:pPr>
      <w:rPr>
        <w:rFonts w:hint="default"/>
      </w:rPr>
    </w:lvl>
    <w:lvl w:ilvl="6">
      <w:start w:val="1"/>
      <w:numFmt w:val="none"/>
      <w:lvlText w:val=""/>
      <w:lvlJc w:val="left"/>
      <w:pPr>
        <w:tabs>
          <w:tab w:val="num" w:pos="0"/>
        </w:tabs>
        <w:ind w:left="851" w:hanging="851"/>
      </w:pPr>
      <w:rPr>
        <w:rFonts w:hint="default"/>
      </w:rPr>
    </w:lvl>
    <w:lvl w:ilvl="7">
      <w:start w:val="1"/>
      <w:numFmt w:val="none"/>
      <w:lvlText w:val=""/>
      <w:lvlJc w:val="left"/>
      <w:pPr>
        <w:tabs>
          <w:tab w:val="num" w:pos="0"/>
        </w:tabs>
        <w:ind w:left="851" w:hanging="851"/>
      </w:pPr>
      <w:rPr>
        <w:rFonts w:hint="default"/>
      </w:rPr>
    </w:lvl>
    <w:lvl w:ilvl="8">
      <w:start w:val="1"/>
      <w:numFmt w:val="none"/>
      <w:lvlText w:val=""/>
      <w:lvlJc w:val="left"/>
      <w:pPr>
        <w:tabs>
          <w:tab w:val="num" w:pos="0"/>
        </w:tabs>
        <w:ind w:left="851" w:hanging="851"/>
      </w:pPr>
      <w:rPr>
        <w:rFonts w:hint="default"/>
      </w:rPr>
    </w:lvl>
  </w:abstractNum>
  <w:abstractNum w:abstractNumId="6" w15:restartNumberingAfterBreak="0">
    <w:nsid w:val="071978AB"/>
    <w:multiLevelType w:val="hybridMultilevel"/>
    <w:tmpl w:val="1FC05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7B965DF"/>
    <w:multiLevelType w:val="multilevel"/>
    <w:tmpl w:val="F1E69D7E"/>
    <w:lvl w:ilvl="0">
      <w:start w:val="6"/>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8A675B1"/>
    <w:multiLevelType w:val="hybridMultilevel"/>
    <w:tmpl w:val="730E6C90"/>
    <w:lvl w:ilvl="0" w:tplc="3AC2AD82">
      <w:start w:val="1"/>
      <w:numFmt w:val="decimal"/>
      <w:pStyle w:val="EY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8E858AE"/>
    <w:multiLevelType w:val="hybridMultilevel"/>
    <w:tmpl w:val="B35C424E"/>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10" w15:restartNumberingAfterBreak="0">
    <w:nsid w:val="09095E41"/>
    <w:multiLevelType w:val="hybridMultilevel"/>
    <w:tmpl w:val="0030AE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09262C05"/>
    <w:multiLevelType w:val="hybridMultilevel"/>
    <w:tmpl w:val="13FAD5D6"/>
    <w:lvl w:ilvl="0" w:tplc="0C090001">
      <w:start w:val="1"/>
      <w:numFmt w:val="bullet"/>
      <w:lvlText w:val=""/>
      <w:lvlJc w:val="left"/>
      <w:pPr>
        <w:ind w:left="720" w:hanging="360"/>
      </w:pPr>
      <w:rPr>
        <w:rFonts w:ascii="Symbol" w:hAnsi="Symbol" w:hint="default"/>
        <w:vertAlign w:val="baseline"/>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0C7814EB"/>
    <w:multiLevelType w:val="multilevel"/>
    <w:tmpl w:val="909639F8"/>
    <w:numStyleLink w:val="EYBulletList"/>
  </w:abstractNum>
  <w:abstractNum w:abstractNumId="13" w15:restartNumberingAfterBreak="0">
    <w:nsid w:val="0F3C16CE"/>
    <w:multiLevelType w:val="hybridMultilevel"/>
    <w:tmpl w:val="0C20888C"/>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14" w15:restartNumberingAfterBreak="0">
    <w:nsid w:val="0F5C5C67"/>
    <w:multiLevelType w:val="hybridMultilevel"/>
    <w:tmpl w:val="3DF06F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F6E17A5"/>
    <w:multiLevelType w:val="hybridMultilevel"/>
    <w:tmpl w:val="77F21C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10287A83"/>
    <w:multiLevelType w:val="hybridMultilevel"/>
    <w:tmpl w:val="AE1270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0391C45"/>
    <w:multiLevelType w:val="hybridMultilevel"/>
    <w:tmpl w:val="7C8466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14C4D6F"/>
    <w:multiLevelType w:val="hybridMultilevel"/>
    <w:tmpl w:val="AEF209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1912BAC"/>
    <w:multiLevelType w:val="hybridMultilevel"/>
    <w:tmpl w:val="12CC71E0"/>
    <w:lvl w:ilvl="0" w:tplc="14429ED2">
      <w:start w:val="1"/>
      <w:numFmt w:val="decimal"/>
      <w:pStyle w:val="Heading1"/>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14192DDE"/>
    <w:multiLevelType w:val="hybridMultilevel"/>
    <w:tmpl w:val="B630C9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16C248F2"/>
    <w:multiLevelType w:val="hybridMultilevel"/>
    <w:tmpl w:val="56661DF6"/>
    <w:lvl w:ilvl="0" w:tplc="0BB68D2A">
      <w:start w:val="56"/>
      <w:numFmt w:val="bullet"/>
      <w:lvlText w:val="-"/>
      <w:lvlJc w:val="left"/>
      <w:pPr>
        <w:ind w:left="360" w:hanging="360"/>
      </w:pPr>
      <w:rPr>
        <w:rFonts w:ascii="EYInterstate Light" w:eastAsia="Times New Roman" w:hAnsi="EYInterstate Light"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17DF73F5"/>
    <w:multiLevelType w:val="multilevel"/>
    <w:tmpl w:val="AE8EF0FA"/>
    <w:lvl w:ilvl="0">
      <w:start w:val="6"/>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94103F6"/>
    <w:multiLevelType w:val="hybridMultilevel"/>
    <w:tmpl w:val="307A39F6"/>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24" w15:restartNumberingAfterBreak="0">
    <w:nsid w:val="1C3E386E"/>
    <w:multiLevelType w:val="hybridMultilevel"/>
    <w:tmpl w:val="01EE56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1C43653B"/>
    <w:multiLevelType w:val="multilevel"/>
    <w:tmpl w:val="019AEB66"/>
    <w:styleLink w:val="EYPlainBulletList"/>
    <w:lvl w:ilvl="0">
      <w:start w:val="1"/>
      <w:numFmt w:val="bullet"/>
      <w:pStyle w:val="EYBulletnoparaspace"/>
      <w:lvlText w:val="►"/>
      <w:lvlJc w:val="left"/>
      <w:pPr>
        <w:ind w:left="850" w:hanging="425"/>
      </w:pPr>
      <w:rPr>
        <w:rFonts w:ascii="Arial" w:hAnsi="Arial" w:hint="default"/>
        <w:sz w:val="16"/>
      </w:rPr>
    </w:lvl>
    <w:lvl w:ilvl="1">
      <w:start w:val="1"/>
      <w:numFmt w:val="bullet"/>
      <w:lvlText w:val="►"/>
      <w:lvlJc w:val="left"/>
      <w:pPr>
        <w:ind w:left="1275" w:hanging="425"/>
      </w:pPr>
      <w:rPr>
        <w:rFonts w:ascii="Arial" w:hAnsi="Arial" w:hint="default"/>
        <w:sz w:val="16"/>
      </w:rPr>
    </w:lvl>
    <w:lvl w:ilvl="2">
      <w:numFmt w:val="bullet"/>
      <w:lvlText w:val="•"/>
      <w:lvlJc w:val="left"/>
      <w:pPr>
        <w:ind w:left="1700" w:hanging="425"/>
      </w:pPr>
      <w:rPr>
        <w:rFonts w:ascii="EYInterstate Light" w:eastAsia="Times New Roman" w:hAnsi="EYInterstate Light" w:cs="Times New Roman" w:hint="default"/>
        <w:sz w:val="16"/>
      </w:rPr>
    </w:lvl>
    <w:lvl w:ilvl="3">
      <w:start w:val="1"/>
      <w:numFmt w:val="bullet"/>
      <w:lvlText w:val="►"/>
      <w:lvlJc w:val="left"/>
      <w:pPr>
        <w:ind w:left="2125" w:hanging="425"/>
      </w:pPr>
      <w:rPr>
        <w:rFonts w:ascii="Arial" w:hAnsi="Arial" w:hint="default"/>
        <w:sz w:val="16"/>
      </w:rPr>
    </w:lvl>
    <w:lvl w:ilvl="4">
      <w:start w:val="1"/>
      <w:numFmt w:val="bullet"/>
      <w:lvlText w:val="►"/>
      <w:lvlJc w:val="left"/>
      <w:pPr>
        <w:ind w:left="2550" w:hanging="425"/>
      </w:pPr>
      <w:rPr>
        <w:rFonts w:ascii="Arial" w:hAnsi="Arial" w:hint="default"/>
        <w:sz w:val="16"/>
      </w:rPr>
    </w:lvl>
    <w:lvl w:ilvl="5">
      <w:start w:val="1"/>
      <w:numFmt w:val="bullet"/>
      <w:lvlText w:val="►"/>
      <w:lvlJc w:val="left"/>
      <w:pPr>
        <w:ind w:left="2975" w:hanging="425"/>
      </w:pPr>
      <w:rPr>
        <w:rFonts w:ascii="Arial" w:hAnsi="Arial" w:hint="default"/>
        <w:sz w:val="16"/>
      </w:rPr>
    </w:lvl>
    <w:lvl w:ilvl="6">
      <w:start w:val="1"/>
      <w:numFmt w:val="bullet"/>
      <w:lvlText w:val="►"/>
      <w:lvlJc w:val="left"/>
      <w:pPr>
        <w:ind w:left="3400" w:hanging="425"/>
      </w:pPr>
      <w:rPr>
        <w:rFonts w:ascii="Arial" w:hAnsi="Arial" w:hint="default"/>
        <w:sz w:val="16"/>
      </w:rPr>
    </w:lvl>
    <w:lvl w:ilvl="7">
      <w:start w:val="1"/>
      <w:numFmt w:val="bullet"/>
      <w:lvlText w:val="►"/>
      <w:lvlJc w:val="left"/>
      <w:pPr>
        <w:ind w:left="3825" w:hanging="425"/>
      </w:pPr>
      <w:rPr>
        <w:rFonts w:ascii="Arial" w:hAnsi="Arial" w:hint="default"/>
        <w:sz w:val="16"/>
      </w:rPr>
    </w:lvl>
    <w:lvl w:ilvl="8">
      <w:start w:val="1"/>
      <w:numFmt w:val="bullet"/>
      <w:lvlText w:val="►"/>
      <w:lvlJc w:val="left"/>
      <w:pPr>
        <w:ind w:left="4250" w:hanging="425"/>
      </w:pPr>
      <w:rPr>
        <w:rFonts w:ascii="Arial" w:hAnsi="Arial" w:hint="default"/>
        <w:sz w:val="16"/>
      </w:rPr>
    </w:lvl>
  </w:abstractNum>
  <w:abstractNum w:abstractNumId="26" w15:restartNumberingAfterBreak="0">
    <w:nsid w:val="1C731723"/>
    <w:multiLevelType w:val="multilevel"/>
    <w:tmpl w:val="C1F8CDA4"/>
    <w:lvl w:ilvl="0">
      <w:start w:val="6"/>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1E84678E"/>
    <w:multiLevelType w:val="hybridMultilevel"/>
    <w:tmpl w:val="F69A1E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1FBF0DA9"/>
    <w:multiLevelType w:val="hybridMultilevel"/>
    <w:tmpl w:val="65B2CB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1FC877F7"/>
    <w:multiLevelType w:val="hybridMultilevel"/>
    <w:tmpl w:val="539E3FB0"/>
    <w:lvl w:ilvl="0" w:tplc="0C090001">
      <w:start w:val="1"/>
      <w:numFmt w:val="bullet"/>
      <w:lvlText w:val=""/>
      <w:lvlJc w:val="left"/>
      <w:pPr>
        <w:ind w:left="785" w:hanging="360"/>
      </w:pPr>
      <w:rPr>
        <w:rFonts w:ascii="Symbol" w:hAnsi="Symbol" w:hint="default"/>
      </w:rPr>
    </w:lvl>
    <w:lvl w:ilvl="1" w:tplc="0C090003">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30" w15:restartNumberingAfterBreak="0">
    <w:nsid w:val="20261A35"/>
    <w:multiLevelType w:val="hybridMultilevel"/>
    <w:tmpl w:val="4C2831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209D663F"/>
    <w:multiLevelType w:val="hybridMultilevel"/>
    <w:tmpl w:val="8E700A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215576BA"/>
    <w:multiLevelType w:val="hybridMultilevel"/>
    <w:tmpl w:val="3C8C3E14"/>
    <w:lvl w:ilvl="0" w:tplc="0BB68D2A">
      <w:start w:val="56"/>
      <w:numFmt w:val="bullet"/>
      <w:lvlText w:val="-"/>
      <w:lvlJc w:val="left"/>
      <w:pPr>
        <w:ind w:left="720" w:hanging="360"/>
      </w:pPr>
      <w:rPr>
        <w:rFonts w:ascii="EYInterstate Light" w:eastAsia="Times New Roman" w:hAnsi="EYInterstate Light" w:cs="Times New Roman" w:hint="default"/>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2190420F"/>
    <w:multiLevelType w:val="hybridMultilevel"/>
    <w:tmpl w:val="0FDCAA4C"/>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34" w15:restartNumberingAfterBreak="0">
    <w:nsid w:val="22111809"/>
    <w:multiLevelType w:val="hybridMultilevel"/>
    <w:tmpl w:val="8370F7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22CD4AF4"/>
    <w:multiLevelType w:val="hybridMultilevel"/>
    <w:tmpl w:val="678CE654"/>
    <w:lvl w:ilvl="0" w:tplc="0C090015">
      <w:start w:val="1"/>
      <w:numFmt w:val="upp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24C420CF"/>
    <w:multiLevelType w:val="hybridMultilevel"/>
    <w:tmpl w:val="D01422F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296C59D3"/>
    <w:multiLevelType w:val="hybridMultilevel"/>
    <w:tmpl w:val="559C9EDC"/>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38" w15:restartNumberingAfterBreak="0">
    <w:nsid w:val="29A67B3F"/>
    <w:multiLevelType w:val="hybridMultilevel"/>
    <w:tmpl w:val="D34EF7A0"/>
    <w:lvl w:ilvl="0" w:tplc="A7505A5E">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2BA35373"/>
    <w:multiLevelType w:val="hybridMultilevel"/>
    <w:tmpl w:val="467A483A"/>
    <w:lvl w:ilvl="0" w:tplc="1F323846">
      <w:start w:val="1"/>
      <w:numFmt w:val="decimal"/>
      <w:pStyle w:val="Number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2C016895"/>
    <w:multiLevelType w:val="hybridMultilevel"/>
    <w:tmpl w:val="B1467DD4"/>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41" w15:restartNumberingAfterBreak="0">
    <w:nsid w:val="2CAF7FCD"/>
    <w:multiLevelType w:val="hybridMultilevel"/>
    <w:tmpl w:val="728E18B6"/>
    <w:lvl w:ilvl="0" w:tplc="0BB68D2A">
      <w:start w:val="56"/>
      <w:numFmt w:val="bullet"/>
      <w:lvlText w:val="-"/>
      <w:lvlJc w:val="left"/>
      <w:pPr>
        <w:ind w:left="360" w:hanging="360"/>
      </w:pPr>
      <w:rPr>
        <w:rFonts w:ascii="EYInterstate Light" w:eastAsia="Times New Roman" w:hAnsi="EYInterstate Light" w:cs="Times New Roman" w:hint="default"/>
        <w:vertAlign w:val="baseline"/>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2" w15:restartNumberingAfterBreak="0">
    <w:nsid w:val="31A65774"/>
    <w:multiLevelType w:val="hybridMultilevel"/>
    <w:tmpl w:val="7F6E2A6C"/>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43" w15:restartNumberingAfterBreak="0">
    <w:nsid w:val="32F802BD"/>
    <w:multiLevelType w:val="hybridMultilevel"/>
    <w:tmpl w:val="6DFCE5B6"/>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44" w15:restartNumberingAfterBreak="0">
    <w:nsid w:val="3317374B"/>
    <w:multiLevelType w:val="hybridMultilevel"/>
    <w:tmpl w:val="0F0E1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33883270"/>
    <w:multiLevelType w:val="hybridMultilevel"/>
    <w:tmpl w:val="555AB1BA"/>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46" w15:restartNumberingAfterBreak="0">
    <w:nsid w:val="33FD3459"/>
    <w:multiLevelType w:val="hybridMultilevel"/>
    <w:tmpl w:val="D7964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35192D87"/>
    <w:multiLevelType w:val="hybridMultilevel"/>
    <w:tmpl w:val="9BAEEFF6"/>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48" w15:restartNumberingAfterBreak="0">
    <w:nsid w:val="356B7CD3"/>
    <w:multiLevelType w:val="hybridMultilevel"/>
    <w:tmpl w:val="B01E02C6"/>
    <w:lvl w:ilvl="0" w:tplc="093A77C8">
      <w:start w:val="1"/>
      <w:numFmt w:val="bullet"/>
      <w:pStyle w:val="Bullet2"/>
      <w:lvlText w:val="o"/>
      <w:lvlJc w:val="left"/>
      <w:pPr>
        <w:ind w:left="644"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591480F"/>
    <w:multiLevelType w:val="hybridMultilevel"/>
    <w:tmpl w:val="55F89364"/>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50" w15:restartNumberingAfterBreak="0">
    <w:nsid w:val="38000C91"/>
    <w:multiLevelType w:val="hybridMultilevel"/>
    <w:tmpl w:val="BADAAC64"/>
    <w:lvl w:ilvl="0" w:tplc="FAF06464">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384566C4"/>
    <w:multiLevelType w:val="hybridMultilevel"/>
    <w:tmpl w:val="9418C8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3B6604C9"/>
    <w:multiLevelType w:val="hybridMultilevel"/>
    <w:tmpl w:val="87D8EF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3D411D76"/>
    <w:multiLevelType w:val="hybridMultilevel"/>
    <w:tmpl w:val="D534ADE8"/>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54" w15:restartNumberingAfterBreak="0">
    <w:nsid w:val="3F584627"/>
    <w:multiLevelType w:val="multilevel"/>
    <w:tmpl w:val="EFF66440"/>
    <w:lvl w:ilvl="0">
      <w:start w:val="6"/>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41FA5C6B"/>
    <w:multiLevelType w:val="hybridMultilevel"/>
    <w:tmpl w:val="393640C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6" w15:restartNumberingAfterBreak="0">
    <w:nsid w:val="42C42536"/>
    <w:multiLevelType w:val="hybridMultilevel"/>
    <w:tmpl w:val="A4500A0E"/>
    <w:lvl w:ilvl="0" w:tplc="0BB68D2A">
      <w:start w:val="56"/>
      <w:numFmt w:val="bullet"/>
      <w:lvlText w:val="-"/>
      <w:lvlJc w:val="left"/>
      <w:pPr>
        <w:ind w:left="360" w:hanging="360"/>
      </w:pPr>
      <w:rPr>
        <w:rFonts w:ascii="EYInterstate Light" w:eastAsia="Times New Roman" w:hAnsi="EYInterstate Light" w:cs="Times New Roman" w:hint="default"/>
        <w:vertAlign w:val="baseline"/>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7" w15:restartNumberingAfterBreak="0">
    <w:nsid w:val="43D86C8F"/>
    <w:multiLevelType w:val="hybridMultilevel"/>
    <w:tmpl w:val="01824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44330DEF"/>
    <w:multiLevelType w:val="hybridMultilevel"/>
    <w:tmpl w:val="E30834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447E4E06"/>
    <w:multiLevelType w:val="multilevel"/>
    <w:tmpl w:val="909639F8"/>
    <w:styleLink w:val="EYBulletList"/>
    <w:lvl w:ilvl="0">
      <w:start w:val="1"/>
      <w:numFmt w:val="bullet"/>
      <w:pStyle w:val="EYBulletedText1"/>
      <w:lvlText w:val="►"/>
      <w:lvlJc w:val="left"/>
      <w:pPr>
        <w:ind w:left="425" w:hanging="425"/>
      </w:pPr>
      <w:rPr>
        <w:rFonts w:ascii="Arial" w:hAnsi="Arial" w:hint="default"/>
        <w:color w:val="auto"/>
        <w:sz w:val="16"/>
        <w:szCs w:val="20"/>
      </w:rPr>
    </w:lvl>
    <w:lvl w:ilvl="1">
      <w:start w:val="1"/>
      <w:numFmt w:val="bullet"/>
      <w:pStyle w:val="EYBulletedText2"/>
      <w:lvlText w:val="►"/>
      <w:lvlJc w:val="left"/>
      <w:pPr>
        <w:ind w:left="850" w:hanging="425"/>
      </w:pPr>
      <w:rPr>
        <w:rFonts w:ascii="Arial" w:hAnsi="Arial" w:hint="default"/>
        <w:sz w:val="16"/>
      </w:rPr>
    </w:lvl>
    <w:lvl w:ilvl="2">
      <w:start w:val="1"/>
      <w:numFmt w:val="bullet"/>
      <w:pStyle w:val="EYBulletedText3"/>
      <w:lvlText w:val="►"/>
      <w:lvlJc w:val="left"/>
      <w:pPr>
        <w:ind w:left="1275" w:hanging="425"/>
      </w:pPr>
      <w:rPr>
        <w:rFonts w:ascii="Arial" w:hAnsi="Arial" w:hint="default"/>
        <w:sz w:val="16"/>
      </w:rPr>
    </w:lvl>
    <w:lvl w:ilvl="3">
      <w:start w:val="1"/>
      <w:numFmt w:val="bullet"/>
      <w:lvlText w:val="►"/>
      <w:lvlJc w:val="left"/>
      <w:pPr>
        <w:ind w:left="1700" w:hanging="425"/>
      </w:pPr>
      <w:rPr>
        <w:rFonts w:ascii="Arial" w:hAnsi="Arial" w:hint="default"/>
        <w:sz w:val="16"/>
      </w:rPr>
    </w:lvl>
    <w:lvl w:ilvl="4">
      <w:start w:val="1"/>
      <w:numFmt w:val="bullet"/>
      <w:lvlText w:val="►"/>
      <w:lvlJc w:val="left"/>
      <w:pPr>
        <w:ind w:left="2125" w:hanging="425"/>
      </w:pPr>
      <w:rPr>
        <w:rFonts w:ascii="Arial" w:hAnsi="Arial" w:hint="default"/>
        <w:sz w:val="16"/>
      </w:rPr>
    </w:lvl>
    <w:lvl w:ilvl="5">
      <w:start w:val="1"/>
      <w:numFmt w:val="bullet"/>
      <w:lvlText w:val="►"/>
      <w:lvlJc w:val="left"/>
      <w:pPr>
        <w:ind w:left="2550" w:hanging="425"/>
      </w:pPr>
      <w:rPr>
        <w:rFonts w:ascii="Arial" w:hAnsi="Arial" w:hint="default"/>
        <w:sz w:val="16"/>
      </w:rPr>
    </w:lvl>
    <w:lvl w:ilvl="6">
      <w:start w:val="1"/>
      <w:numFmt w:val="bullet"/>
      <w:lvlText w:val="►"/>
      <w:lvlJc w:val="left"/>
      <w:pPr>
        <w:ind w:left="2975" w:hanging="425"/>
      </w:pPr>
      <w:rPr>
        <w:rFonts w:ascii="Arial" w:hAnsi="Arial" w:hint="default"/>
        <w:sz w:val="16"/>
      </w:rPr>
    </w:lvl>
    <w:lvl w:ilvl="7">
      <w:start w:val="1"/>
      <w:numFmt w:val="bullet"/>
      <w:lvlText w:val="►"/>
      <w:lvlJc w:val="left"/>
      <w:pPr>
        <w:ind w:left="3400" w:hanging="425"/>
      </w:pPr>
      <w:rPr>
        <w:rFonts w:ascii="Arial" w:hAnsi="Arial" w:hint="default"/>
        <w:sz w:val="16"/>
      </w:rPr>
    </w:lvl>
    <w:lvl w:ilvl="8">
      <w:start w:val="1"/>
      <w:numFmt w:val="bullet"/>
      <w:lvlText w:val="►"/>
      <w:lvlJc w:val="left"/>
      <w:pPr>
        <w:ind w:left="3825" w:hanging="425"/>
      </w:pPr>
      <w:rPr>
        <w:rFonts w:ascii="Arial" w:hAnsi="Arial" w:hint="default"/>
        <w:sz w:val="16"/>
      </w:rPr>
    </w:lvl>
  </w:abstractNum>
  <w:abstractNum w:abstractNumId="60" w15:restartNumberingAfterBreak="0">
    <w:nsid w:val="44F706D0"/>
    <w:multiLevelType w:val="hybridMultilevel"/>
    <w:tmpl w:val="88C45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482921B4"/>
    <w:multiLevelType w:val="hybridMultilevel"/>
    <w:tmpl w:val="496ABE8A"/>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62" w15:restartNumberingAfterBreak="0">
    <w:nsid w:val="49BF5764"/>
    <w:multiLevelType w:val="hybridMultilevel"/>
    <w:tmpl w:val="E3C0C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49DB0E47"/>
    <w:multiLevelType w:val="hybridMultilevel"/>
    <w:tmpl w:val="D9FADDB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15:restartNumberingAfterBreak="0">
    <w:nsid w:val="4B0E0FD3"/>
    <w:multiLevelType w:val="hybridMultilevel"/>
    <w:tmpl w:val="A2784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4B705544"/>
    <w:multiLevelType w:val="hybridMultilevel"/>
    <w:tmpl w:val="C540C334"/>
    <w:lvl w:ilvl="0" w:tplc="0BB68D2A">
      <w:start w:val="56"/>
      <w:numFmt w:val="bullet"/>
      <w:lvlText w:val="-"/>
      <w:lvlJc w:val="left"/>
      <w:pPr>
        <w:ind w:left="360" w:hanging="360"/>
      </w:pPr>
      <w:rPr>
        <w:rFonts w:ascii="EYInterstate Light" w:eastAsia="Times New Roman" w:hAnsi="EYInterstate Light"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6" w15:restartNumberingAfterBreak="0">
    <w:nsid w:val="4C18701D"/>
    <w:multiLevelType w:val="multilevel"/>
    <w:tmpl w:val="F1669212"/>
    <w:styleLink w:val="EYAlphaNumList"/>
    <w:lvl w:ilvl="0">
      <w:start w:val="1"/>
      <w:numFmt w:val="decimal"/>
      <w:pStyle w:val="EY1Number"/>
      <w:lvlText w:val="%1."/>
      <w:lvlJc w:val="left"/>
      <w:pPr>
        <w:ind w:left="425" w:hanging="425"/>
      </w:pPr>
      <w:rPr>
        <w:rFonts w:hint="default"/>
      </w:rPr>
    </w:lvl>
    <w:lvl w:ilvl="1">
      <w:start w:val="1"/>
      <w:numFmt w:val="lowerLetter"/>
      <w:pStyle w:val="EY2Letter"/>
      <w:lvlText w:val="%2."/>
      <w:lvlJc w:val="left"/>
      <w:pPr>
        <w:ind w:left="851" w:hanging="426"/>
      </w:pPr>
      <w:rPr>
        <w:rFonts w:hint="default"/>
      </w:rPr>
    </w:lvl>
    <w:lvl w:ilvl="2">
      <w:start w:val="1"/>
      <w:numFmt w:val="lowerRoman"/>
      <w:pStyle w:val="EY3Roman"/>
      <w:lvlText w:val="%3."/>
      <w:lvlJc w:val="left"/>
      <w:pPr>
        <w:ind w:left="1276" w:hanging="425"/>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7" w15:restartNumberingAfterBreak="0">
    <w:nsid w:val="4CB619BD"/>
    <w:multiLevelType w:val="hybridMultilevel"/>
    <w:tmpl w:val="3070A5AC"/>
    <w:lvl w:ilvl="0" w:tplc="1E68E876">
      <w:start w:val="1"/>
      <w:numFmt w:val="lowerLetter"/>
      <w:pStyle w:val="Alphabetlist"/>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68" w15:restartNumberingAfterBreak="0">
    <w:nsid w:val="4D3E1638"/>
    <w:multiLevelType w:val="hybridMultilevel"/>
    <w:tmpl w:val="FE2CACDE"/>
    <w:lvl w:ilvl="0" w:tplc="0BB68D2A">
      <w:start w:val="56"/>
      <w:numFmt w:val="bullet"/>
      <w:lvlText w:val="-"/>
      <w:lvlJc w:val="left"/>
      <w:pPr>
        <w:ind w:left="360" w:hanging="360"/>
      </w:pPr>
      <w:rPr>
        <w:rFonts w:ascii="EYInterstate Light" w:eastAsia="Times New Roman" w:hAnsi="EYInterstate Light"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9" w15:restartNumberingAfterBreak="0">
    <w:nsid w:val="4E7A5D17"/>
    <w:multiLevelType w:val="hybridMultilevel"/>
    <w:tmpl w:val="1406801C"/>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70" w15:restartNumberingAfterBreak="0">
    <w:nsid w:val="50EB0F34"/>
    <w:multiLevelType w:val="hybridMultilevel"/>
    <w:tmpl w:val="BE647D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15:restartNumberingAfterBreak="0">
    <w:nsid w:val="525A0225"/>
    <w:multiLevelType w:val="multilevel"/>
    <w:tmpl w:val="F1446B06"/>
    <w:lvl w:ilvl="0">
      <w:start w:val="1"/>
      <w:numFmt w:val="decimal"/>
      <w:lvlText w:val="%1."/>
      <w:lvlJc w:val="left"/>
      <w:pPr>
        <w:ind w:left="1080" w:hanging="72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2" w15:restartNumberingAfterBreak="0">
    <w:nsid w:val="5475524A"/>
    <w:multiLevelType w:val="hybridMultilevel"/>
    <w:tmpl w:val="3176E6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15:restartNumberingAfterBreak="0">
    <w:nsid w:val="55672088"/>
    <w:multiLevelType w:val="hybridMultilevel"/>
    <w:tmpl w:val="8EFA7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4" w15:restartNumberingAfterBreak="0">
    <w:nsid w:val="55DB68FC"/>
    <w:multiLevelType w:val="hybridMultilevel"/>
    <w:tmpl w:val="22126432"/>
    <w:lvl w:ilvl="0" w:tplc="480ED586">
      <w:start w:val="1"/>
      <w:numFmt w:val="bullet"/>
      <w:pStyle w:val="ListBullet"/>
      <w:lvlText w:val=""/>
      <w:lvlJc w:val="left"/>
      <w:pPr>
        <w:ind w:left="360" w:hanging="360"/>
      </w:pPr>
      <w:rPr>
        <w:rFonts w:ascii="Symbol" w:hAnsi="Symbol" w:hint="default"/>
        <w:color w:val="626464"/>
        <w:sz w:val="18"/>
      </w:rPr>
    </w:lvl>
    <w:lvl w:ilvl="1" w:tplc="13D088DA">
      <w:start w:val="1"/>
      <w:numFmt w:val="bullet"/>
      <w:lvlText w:val=""/>
      <w:lvlJc w:val="left"/>
      <w:pPr>
        <w:tabs>
          <w:tab w:val="num" w:pos="1080"/>
        </w:tabs>
        <w:ind w:left="1080" w:hanging="360"/>
      </w:pPr>
      <w:rPr>
        <w:rFonts w:ascii="Symbol" w:hAnsi="Symbol" w:hint="default"/>
        <w:sz w:val="19"/>
      </w:rPr>
    </w:lvl>
    <w:lvl w:ilvl="2" w:tplc="00050409">
      <w:start w:val="1"/>
      <w:numFmt w:val="bullet"/>
      <w:lvlText w:val=""/>
      <w:lvlJc w:val="left"/>
      <w:pPr>
        <w:tabs>
          <w:tab w:val="num" w:pos="1800"/>
        </w:tabs>
        <w:ind w:left="1800" w:hanging="360"/>
      </w:pPr>
      <w:rPr>
        <w:rFonts w:ascii="Wingdings" w:hAnsi="Wingdings" w:hint="default"/>
      </w:rPr>
    </w:lvl>
    <w:lvl w:ilvl="3" w:tplc="00010409">
      <w:start w:val="1"/>
      <w:numFmt w:val="bullet"/>
      <w:lvlText w:val=""/>
      <w:lvlJc w:val="left"/>
      <w:pPr>
        <w:tabs>
          <w:tab w:val="num" w:pos="2520"/>
        </w:tabs>
        <w:ind w:left="2520" w:hanging="360"/>
      </w:pPr>
      <w:rPr>
        <w:rFonts w:ascii="Symbol" w:hAnsi="Symbol" w:hint="default"/>
      </w:rPr>
    </w:lvl>
    <w:lvl w:ilvl="4" w:tplc="00030409">
      <w:start w:val="1"/>
      <w:numFmt w:val="bullet"/>
      <w:lvlText w:val="o"/>
      <w:lvlJc w:val="left"/>
      <w:pPr>
        <w:tabs>
          <w:tab w:val="num" w:pos="3240"/>
        </w:tabs>
        <w:ind w:left="3240" w:hanging="360"/>
      </w:pPr>
      <w:rPr>
        <w:rFonts w:ascii="Courier New" w:hAnsi="Courier New" w:cs="Times New Roman" w:hint="default"/>
      </w:rPr>
    </w:lvl>
    <w:lvl w:ilvl="5" w:tplc="00050409">
      <w:start w:val="1"/>
      <w:numFmt w:val="bullet"/>
      <w:lvlText w:val=""/>
      <w:lvlJc w:val="left"/>
      <w:pPr>
        <w:tabs>
          <w:tab w:val="num" w:pos="3960"/>
        </w:tabs>
        <w:ind w:left="3960" w:hanging="360"/>
      </w:pPr>
      <w:rPr>
        <w:rFonts w:ascii="Wingdings" w:hAnsi="Wingdings" w:hint="default"/>
      </w:rPr>
    </w:lvl>
    <w:lvl w:ilvl="6" w:tplc="00010409">
      <w:start w:val="1"/>
      <w:numFmt w:val="bullet"/>
      <w:lvlText w:val=""/>
      <w:lvlJc w:val="left"/>
      <w:pPr>
        <w:tabs>
          <w:tab w:val="num" w:pos="4680"/>
        </w:tabs>
        <w:ind w:left="4680" w:hanging="360"/>
      </w:pPr>
      <w:rPr>
        <w:rFonts w:ascii="Symbol" w:hAnsi="Symbol" w:hint="default"/>
      </w:rPr>
    </w:lvl>
    <w:lvl w:ilvl="7" w:tplc="00030409">
      <w:start w:val="1"/>
      <w:numFmt w:val="bullet"/>
      <w:lvlText w:val="o"/>
      <w:lvlJc w:val="left"/>
      <w:pPr>
        <w:tabs>
          <w:tab w:val="num" w:pos="5400"/>
        </w:tabs>
        <w:ind w:left="5400" w:hanging="360"/>
      </w:pPr>
      <w:rPr>
        <w:rFonts w:ascii="Courier New" w:hAnsi="Courier New" w:cs="Times New Roman" w:hint="default"/>
      </w:rPr>
    </w:lvl>
    <w:lvl w:ilvl="8" w:tplc="00050409">
      <w:start w:val="1"/>
      <w:numFmt w:val="bullet"/>
      <w:lvlText w:val=""/>
      <w:lvlJc w:val="left"/>
      <w:pPr>
        <w:tabs>
          <w:tab w:val="num" w:pos="6120"/>
        </w:tabs>
        <w:ind w:left="6120" w:hanging="360"/>
      </w:pPr>
      <w:rPr>
        <w:rFonts w:ascii="Wingdings" w:hAnsi="Wingdings" w:hint="default"/>
      </w:rPr>
    </w:lvl>
  </w:abstractNum>
  <w:abstractNum w:abstractNumId="75" w15:restartNumberingAfterBreak="0">
    <w:nsid w:val="56890A04"/>
    <w:multiLevelType w:val="hybridMultilevel"/>
    <w:tmpl w:val="FAB0B630"/>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76" w15:restartNumberingAfterBreak="0">
    <w:nsid w:val="585749F3"/>
    <w:multiLevelType w:val="hybridMultilevel"/>
    <w:tmpl w:val="4468CC70"/>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77" w15:restartNumberingAfterBreak="0">
    <w:nsid w:val="5B3A0076"/>
    <w:multiLevelType w:val="hybridMultilevel"/>
    <w:tmpl w:val="B1F6CB8C"/>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78" w15:restartNumberingAfterBreak="0">
    <w:nsid w:val="5CDC3640"/>
    <w:multiLevelType w:val="hybridMultilevel"/>
    <w:tmpl w:val="F43ADB7A"/>
    <w:lvl w:ilvl="0" w:tplc="0C090003">
      <w:start w:val="1"/>
      <w:numFmt w:val="bullet"/>
      <w:lvlText w:val="o"/>
      <w:lvlJc w:val="left"/>
      <w:pPr>
        <w:ind w:left="1440" w:hanging="360"/>
      </w:pPr>
      <w:rPr>
        <w:rFonts w:ascii="Courier New" w:hAnsi="Courier New" w:cs="Courier New"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9" w15:restartNumberingAfterBreak="0">
    <w:nsid w:val="5CE1712F"/>
    <w:multiLevelType w:val="hybridMultilevel"/>
    <w:tmpl w:val="E6C0F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15:restartNumberingAfterBreak="0">
    <w:nsid w:val="5D974092"/>
    <w:multiLevelType w:val="hybridMultilevel"/>
    <w:tmpl w:val="B46ACE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1" w15:restartNumberingAfterBreak="0">
    <w:nsid w:val="5E512176"/>
    <w:multiLevelType w:val="hybridMultilevel"/>
    <w:tmpl w:val="FD8219C2"/>
    <w:lvl w:ilvl="0" w:tplc="0BB68D2A">
      <w:start w:val="56"/>
      <w:numFmt w:val="bullet"/>
      <w:lvlText w:val="-"/>
      <w:lvlJc w:val="left"/>
      <w:pPr>
        <w:ind w:left="360" w:hanging="360"/>
      </w:pPr>
      <w:rPr>
        <w:rFonts w:ascii="EYInterstate Light" w:eastAsia="Times New Roman" w:hAnsi="EYInterstate Light" w:cs="Times New Roman" w:hint="default"/>
        <w:vertAlign w:val="baseline"/>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2" w15:restartNumberingAfterBreak="0">
    <w:nsid w:val="635B620D"/>
    <w:multiLevelType w:val="hybridMultilevel"/>
    <w:tmpl w:val="A7AC153C"/>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83" w15:restartNumberingAfterBreak="0">
    <w:nsid w:val="640C5D09"/>
    <w:multiLevelType w:val="multilevel"/>
    <w:tmpl w:val="EF7AB2DE"/>
    <w:lvl w:ilvl="0">
      <w:start w:val="1"/>
      <w:numFmt w:val="upperLetter"/>
      <w:pStyle w:val="EYAppendix"/>
      <w:lvlText w:val="Appendix %1"/>
      <w:lvlJc w:val="left"/>
      <w:pPr>
        <w:tabs>
          <w:tab w:val="num" w:pos="2268"/>
        </w:tabs>
        <w:ind w:left="2268" w:hanging="2268"/>
      </w:pPr>
      <w:rPr>
        <w:rFonts w:hint="default"/>
        <w:color w:val="747480"/>
      </w:rPr>
    </w:lvl>
    <w:lvl w:ilvl="1">
      <w:start w:val="1"/>
      <w:numFmt w:val="none"/>
      <w:lvlText w:val=""/>
      <w:lvlJc w:val="left"/>
      <w:pPr>
        <w:tabs>
          <w:tab w:val="num" w:pos="-31680"/>
        </w:tabs>
        <w:ind w:left="-32767" w:firstLine="32767"/>
      </w:pPr>
      <w:rPr>
        <w:rFonts w:hint="default"/>
        <w:b w:val="0"/>
        <w:i w:val="0"/>
        <w:color w:val="auto"/>
        <w:sz w:val="28"/>
        <w:szCs w:val="32"/>
      </w:rPr>
    </w:lvl>
    <w:lvl w:ilvl="2">
      <w:start w:val="1"/>
      <w:numFmt w:val="none"/>
      <w:lvlText w:val=""/>
      <w:lvlJc w:val="left"/>
      <w:pPr>
        <w:tabs>
          <w:tab w:val="num" w:pos="-31680"/>
        </w:tabs>
        <w:ind w:left="-32767" w:firstLine="32767"/>
      </w:pPr>
      <w:rPr>
        <w:rFonts w:hint="default"/>
        <w:b/>
        <w:color w:val="auto"/>
        <w:sz w:val="24"/>
        <w:szCs w:val="32"/>
      </w:rPr>
    </w:lvl>
    <w:lvl w:ilvl="3">
      <w:start w:val="1"/>
      <w:numFmt w:val="decimal"/>
      <w:lvlText w:val="%4%1"/>
      <w:lvlJc w:val="left"/>
      <w:pPr>
        <w:tabs>
          <w:tab w:val="num" w:pos="-31680"/>
        </w:tabs>
        <w:ind w:left="-32767" w:firstLine="32767"/>
      </w:pPr>
      <w:rPr>
        <w:rFonts w:hint="default"/>
        <w:b/>
        <w:color w:val="auto"/>
        <w:sz w:val="20"/>
        <w:szCs w:val="32"/>
      </w:rPr>
    </w:lvl>
    <w:lvl w:ilvl="4">
      <w:start w:val="1"/>
      <w:numFmt w:val="none"/>
      <w:lvlRestart w:val="0"/>
      <w:lvlText w:val=""/>
      <w:lvlJc w:val="left"/>
      <w:pPr>
        <w:tabs>
          <w:tab w:val="num" w:pos="0"/>
        </w:tabs>
        <w:ind w:left="0" w:firstLine="0"/>
      </w:pPr>
      <w:rPr>
        <w:rFonts w:hint="default"/>
        <w:b/>
        <w:i w:val="0"/>
        <w:color w:val="7F7E82"/>
        <w:sz w:val="40"/>
        <w:szCs w:val="20"/>
      </w:rPr>
    </w:lvl>
    <w:lvl w:ilvl="5">
      <w:start w:val="1"/>
      <w:numFmt w:val="none"/>
      <w:lvlRestart w:val="0"/>
      <w:lvlText w:val=""/>
      <w:lvlJc w:val="left"/>
      <w:pPr>
        <w:tabs>
          <w:tab w:val="num" w:pos="0"/>
        </w:tabs>
        <w:ind w:left="0" w:firstLine="0"/>
      </w:pPr>
      <w:rPr>
        <w:rFonts w:hint="default"/>
        <w:b/>
        <w:color w:val="4367C5"/>
        <w:sz w:val="32"/>
        <w:szCs w:val="32"/>
      </w:rPr>
    </w:lvl>
    <w:lvl w:ilvl="6">
      <w:start w:val="1"/>
      <w:numFmt w:val="none"/>
      <w:lvlRestart w:val="0"/>
      <w:lvlText w:val=""/>
      <w:lvlJc w:val="left"/>
      <w:pPr>
        <w:tabs>
          <w:tab w:val="num" w:pos="0"/>
        </w:tabs>
        <w:ind w:left="0" w:firstLine="0"/>
      </w:pPr>
      <w:rPr>
        <w:rFonts w:hint="default"/>
        <w:color w:val="4367C5"/>
        <w:sz w:val="32"/>
        <w:szCs w:val="32"/>
      </w:rPr>
    </w:lvl>
    <w:lvl w:ilvl="7">
      <w:start w:val="1"/>
      <w:numFmt w:val="none"/>
      <w:lvlRestart w:val="0"/>
      <w:lvlText w:val=""/>
      <w:lvlJc w:val="left"/>
      <w:pPr>
        <w:tabs>
          <w:tab w:val="num" w:pos="0"/>
        </w:tabs>
        <w:ind w:left="0" w:firstLine="0"/>
      </w:pPr>
      <w:rPr>
        <w:rFonts w:hint="default"/>
        <w:color w:val="4367C5"/>
      </w:rPr>
    </w:lvl>
    <w:lvl w:ilvl="8">
      <w:numFmt w:val="none"/>
      <w:lvlRestart w:val="0"/>
      <w:lvlText w:val=""/>
      <w:lvlJc w:val="left"/>
      <w:pPr>
        <w:tabs>
          <w:tab w:val="num" w:pos="0"/>
        </w:tabs>
        <w:ind w:left="0" w:firstLine="0"/>
      </w:pPr>
      <w:rPr>
        <w:rFonts w:hint="default"/>
        <w:color w:val="4367C5"/>
      </w:rPr>
    </w:lvl>
  </w:abstractNum>
  <w:abstractNum w:abstractNumId="84" w15:restartNumberingAfterBreak="0">
    <w:nsid w:val="64B36AF8"/>
    <w:multiLevelType w:val="hybridMultilevel"/>
    <w:tmpl w:val="D1A8A6B2"/>
    <w:lvl w:ilvl="0" w:tplc="9A0C54C0">
      <w:start w:val="1"/>
      <w:numFmt w:val="bullet"/>
      <w:pStyle w:val="Bulle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64F14662"/>
    <w:multiLevelType w:val="hybridMultilevel"/>
    <w:tmpl w:val="DE389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6" w15:restartNumberingAfterBreak="0">
    <w:nsid w:val="66A04228"/>
    <w:multiLevelType w:val="hybridMultilevel"/>
    <w:tmpl w:val="5636D37E"/>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87" w15:restartNumberingAfterBreak="0">
    <w:nsid w:val="6A161C65"/>
    <w:multiLevelType w:val="hybridMultilevel"/>
    <w:tmpl w:val="22FEAE88"/>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88" w15:restartNumberingAfterBreak="0">
    <w:nsid w:val="6BAD2667"/>
    <w:multiLevelType w:val="hybridMultilevel"/>
    <w:tmpl w:val="AABEA7AE"/>
    <w:lvl w:ilvl="0" w:tplc="47285F70">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9" w15:restartNumberingAfterBreak="0">
    <w:nsid w:val="6C0F4250"/>
    <w:multiLevelType w:val="hybridMultilevel"/>
    <w:tmpl w:val="4CC22C86"/>
    <w:lvl w:ilvl="0" w:tplc="0BB68D2A">
      <w:start w:val="56"/>
      <w:numFmt w:val="bullet"/>
      <w:lvlText w:val="-"/>
      <w:lvlJc w:val="left"/>
      <w:pPr>
        <w:ind w:left="360" w:hanging="360"/>
      </w:pPr>
      <w:rPr>
        <w:rFonts w:ascii="EYInterstate Light" w:eastAsia="Times New Roman" w:hAnsi="EYInterstate Light" w:cs="Times New Roman" w:hint="default"/>
        <w:vertAlign w:val="baseline"/>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0" w15:restartNumberingAfterBreak="0">
    <w:nsid w:val="6C3D318F"/>
    <w:multiLevelType w:val="hybridMultilevel"/>
    <w:tmpl w:val="9E021A22"/>
    <w:lvl w:ilvl="0" w:tplc="0BB68D2A">
      <w:start w:val="56"/>
      <w:numFmt w:val="bullet"/>
      <w:lvlText w:val="-"/>
      <w:lvlJc w:val="left"/>
      <w:pPr>
        <w:ind w:left="360" w:hanging="360"/>
      </w:pPr>
      <w:rPr>
        <w:rFonts w:ascii="EYInterstate Light" w:eastAsia="Times New Roman" w:hAnsi="EYInterstate Light"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1" w15:restartNumberingAfterBreak="0">
    <w:nsid w:val="6C8211F9"/>
    <w:multiLevelType w:val="hybridMultilevel"/>
    <w:tmpl w:val="A3045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2" w15:restartNumberingAfterBreak="0">
    <w:nsid w:val="6FD640A0"/>
    <w:multiLevelType w:val="hybridMultilevel"/>
    <w:tmpl w:val="E3FCBB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3" w15:restartNumberingAfterBreak="0">
    <w:nsid w:val="704C56F7"/>
    <w:multiLevelType w:val="hybridMultilevel"/>
    <w:tmpl w:val="F0C2D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4" w15:restartNumberingAfterBreak="0">
    <w:nsid w:val="718F56BB"/>
    <w:multiLevelType w:val="hybridMultilevel"/>
    <w:tmpl w:val="3788BB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5" w15:restartNumberingAfterBreak="0">
    <w:nsid w:val="73A37718"/>
    <w:multiLevelType w:val="multilevel"/>
    <w:tmpl w:val="51E060CA"/>
    <w:lvl w:ilvl="0">
      <w:start w:val="1"/>
      <w:numFmt w:val="bullet"/>
      <w:pStyle w:val="EYTablebullet1"/>
      <w:lvlText w:val="►"/>
      <w:lvlJc w:val="left"/>
      <w:pPr>
        <w:tabs>
          <w:tab w:val="num" w:pos="568"/>
        </w:tabs>
        <w:ind w:left="568" w:hanging="284"/>
      </w:pPr>
      <w:rPr>
        <w:rFonts w:ascii="Arial" w:hAnsi="Arial" w:cs="Times New Roman" w:hint="default"/>
        <w:b w:val="0"/>
        <w:bCs/>
        <w:i w:val="0"/>
        <w:color w:val="auto"/>
        <w:sz w:val="12"/>
        <w:szCs w:val="24"/>
      </w:rPr>
    </w:lvl>
    <w:lvl w:ilvl="1">
      <w:start w:val="1"/>
      <w:numFmt w:val="bullet"/>
      <w:pStyle w:val="EYTablebullet2"/>
      <w:lvlText w:val="►"/>
      <w:lvlJc w:val="left"/>
      <w:pPr>
        <w:tabs>
          <w:tab w:val="num" w:pos="851"/>
        </w:tabs>
        <w:ind w:left="851" w:hanging="283"/>
      </w:pPr>
      <w:rPr>
        <w:rFonts w:ascii="Arial" w:hAnsi="Arial" w:cs="Times New Roman" w:hint="default"/>
        <w:b w:val="0"/>
        <w:i w:val="0"/>
        <w:color w:val="auto"/>
        <w:sz w:val="12"/>
        <w:szCs w:val="24"/>
      </w:rPr>
    </w:lvl>
    <w:lvl w:ilvl="2">
      <w:start w:val="1"/>
      <w:numFmt w:val="none"/>
      <w:lvlText w:val=""/>
      <w:lvlJc w:val="left"/>
      <w:pPr>
        <w:tabs>
          <w:tab w:val="num" w:pos="284"/>
        </w:tabs>
        <w:ind w:left="284" w:firstLine="0"/>
      </w:pPr>
      <w:rPr>
        <w:rFonts w:hint="default"/>
        <w:color w:val="002261"/>
      </w:rPr>
    </w:lvl>
    <w:lvl w:ilvl="3">
      <w:start w:val="1"/>
      <w:numFmt w:val="none"/>
      <w:lvlText w:val=""/>
      <w:lvlJc w:val="left"/>
      <w:pPr>
        <w:tabs>
          <w:tab w:val="num" w:pos="284"/>
        </w:tabs>
        <w:ind w:left="284" w:firstLine="0"/>
      </w:pPr>
      <w:rPr>
        <w:rFonts w:hint="default"/>
      </w:rPr>
    </w:lvl>
    <w:lvl w:ilvl="4">
      <w:start w:val="1"/>
      <w:numFmt w:val="none"/>
      <w:lvlText w:val=""/>
      <w:lvlJc w:val="left"/>
      <w:pPr>
        <w:tabs>
          <w:tab w:val="num" w:pos="3524"/>
        </w:tabs>
        <w:ind w:left="2516" w:hanging="792"/>
      </w:pPr>
      <w:rPr>
        <w:rFonts w:hint="default"/>
      </w:rPr>
    </w:lvl>
    <w:lvl w:ilvl="5">
      <w:start w:val="1"/>
      <w:numFmt w:val="none"/>
      <w:lvlText w:val=""/>
      <w:lvlJc w:val="left"/>
      <w:pPr>
        <w:tabs>
          <w:tab w:val="num" w:pos="4244"/>
        </w:tabs>
        <w:ind w:left="3020" w:hanging="936"/>
      </w:pPr>
      <w:rPr>
        <w:rFonts w:hint="default"/>
      </w:rPr>
    </w:lvl>
    <w:lvl w:ilvl="6">
      <w:start w:val="1"/>
      <w:numFmt w:val="none"/>
      <w:lvlText w:val=""/>
      <w:lvlJc w:val="left"/>
      <w:pPr>
        <w:tabs>
          <w:tab w:val="num" w:pos="4964"/>
        </w:tabs>
        <w:ind w:left="3524" w:hanging="1080"/>
      </w:pPr>
      <w:rPr>
        <w:rFonts w:hint="default"/>
      </w:rPr>
    </w:lvl>
    <w:lvl w:ilvl="7">
      <w:start w:val="1"/>
      <w:numFmt w:val="none"/>
      <w:lvlText w:val=""/>
      <w:lvlJc w:val="left"/>
      <w:pPr>
        <w:tabs>
          <w:tab w:val="num" w:pos="5684"/>
        </w:tabs>
        <w:ind w:left="4028" w:hanging="1224"/>
      </w:pPr>
      <w:rPr>
        <w:rFonts w:hint="default"/>
      </w:rPr>
    </w:lvl>
    <w:lvl w:ilvl="8">
      <w:start w:val="1"/>
      <w:numFmt w:val="none"/>
      <w:lvlText w:val=""/>
      <w:lvlJc w:val="left"/>
      <w:pPr>
        <w:tabs>
          <w:tab w:val="num" w:pos="6044"/>
        </w:tabs>
        <w:ind w:left="4604" w:hanging="1440"/>
      </w:pPr>
      <w:rPr>
        <w:rFonts w:hint="default"/>
      </w:rPr>
    </w:lvl>
  </w:abstractNum>
  <w:abstractNum w:abstractNumId="96" w15:restartNumberingAfterBreak="0">
    <w:nsid w:val="767A6B4A"/>
    <w:multiLevelType w:val="hybridMultilevel"/>
    <w:tmpl w:val="7756B6E6"/>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97" w15:restartNumberingAfterBreak="0">
    <w:nsid w:val="76F97072"/>
    <w:multiLevelType w:val="hybridMultilevel"/>
    <w:tmpl w:val="3A2879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8" w15:restartNumberingAfterBreak="0">
    <w:nsid w:val="779730BE"/>
    <w:multiLevelType w:val="multilevel"/>
    <w:tmpl w:val="12209E72"/>
    <w:styleLink w:val="StyleNumbered"/>
    <w:lvl w:ilvl="0">
      <w:start w:val="1"/>
      <w:numFmt w:val="lowerRoman"/>
      <w:lvlText w:val="%1)"/>
      <w:lvlJc w:val="left"/>
      <w:pPr>
        <w:tabs>
          <w:tab w:val="num" w:pos="360"/>
        </w:tabs>
        <w:ind w:left="360" w:hanging="360"/>
      </w:pPr>
      <w:rPr>
        <w:rFonts w:ascii="EYInterstate Light" w:hAnsi="EYInterstate Light" w:hint="default"/>
        <w:sz w:val="24"/>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99" w15:restartNumberingAfterBreak="0">
    <w:nsid w:val="78897D5F"/>
    <w:multiLevelType w:val="hybridMultilevel"/>
    <w:tmpl w:val="E61E9D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0" w15:restartNumberingAfterBreak="0">
    <w:nsid w:val="7A415A0B"/>
    <w:multiLevelType w:val="hybridMultilevel"/>
    <w:tmpl w:val="ACCA356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1" w15:restartNumberingAfterBreak="0">
    <w:nsid w:val="7BE1364F"/>
    <w:multiLevelType w:val="multilevel"/>
    <w:tmpl w:val="019AEB66"/>
    <w:numStyleLink w:val="EYPlainBulletList"/>
  </w:abstractNum>
  <w:abstractNum w:abstractNumId="102" w15:restartNumberingAfterBreak="0">
    <w:nsid w:val="7C384138"/>
    <w:multiLevelType w:val="hybridMultilevel"/>
    <w:tmpl w:val="8856C1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3" w15:restartNumberingAfterBreak="0">
    <w:nsid w:val="7C4C3C96"/>
    <w:multiLevelType w:val="hybridMultilevel"/>
    <w:tmpl w:val="206E60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4" w15:restartNumberingAfterBreak="0">
    <w:nsid w:val="7E723E96"/>
    <w:multiLevelType w:val="hybridMultilevel"/>
    <w:tmpl w:val="8F701D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5" w15:restartNumberingAfterBreak="0">
    <w:nsid w:val="7ED87DAF"/>
    <w:multiLevelType w:val="hybridMultilevel"/>
    <w:tmpl w:val="D43453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6" w15:restartNumberingAfterBreak="0">
    <w:nsid w:val="7F035A49"/>
    <w:multiLevelType w:val="hybridMultilevel"/>
    <w:tmpl w:val="DAFC72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7" w15:restartNumberingAfterBreak="0">
    <w:nsid w:val="7F326793"/>
    <w:multiLevelType w:val="hybridMultilevel"/>
    <w:tmpl w:val="6D445332"/>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108" w15:restartNumberingAfterBreak="0">
    <w:nsid w:val="7F5D543C"/>
    <w:multiLevelType w:val="hybridMultilevel"/>
    <w:tmpl w:val="EDE64B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8"/>
  </w:num>
  <w:num w:numId="2">
    <w:abstractNumId w:val="84"/>
  </w:num>
  <w:num w:numId="3">
    <w:abstractNumId w:val="39"/>
  </w:num>
  <w:num w:numId="4">
    <w:abstractNumId w:val="67"/>
  </w:num>
  <w:num w:numId="5">
    <w:abstractNumId w:val="46"/>
  </w:num>
  <w:num w:numId="6">
    <w:abstractNumId w:val="34"/>
  </w:num>
  <w:num w:numId="7">
    <w:abstractNumId w:val="55"/>
  </w:num>
  <w:num w:numId="8">
    <w:abstractNumId w:val="8"/>
  </w:num>
  <w:num w:numId="9">
    <w:abstractNumId w:val="5"/>
  </w:num>
  <w:num w:numId="10">
    <w:abstractNumId w:val="25"/>
  </w:num>
  <w:num w:numId="11">
    <w:abstractNumId w:val="101"/>
  </w:num>
  <w:num w:numId="12">
    <w:abstractNumId w:val="71"/>
  </w:num>
  <w:num w:numId="13">
    <w:abstractNumId w:val="83"/>
  </w:num>
  <w:num w:numId="14">
    <w:abstractNumId w:val="95"/>
  </w:num>
  <w:num w:numId="15">
    <w:abstractNumId w:val="66"/>
  </w:num>
  <w:num w:numId="16">
    <w:abstractNumId w:val="59"/>
  </w:num>
  <w:num w:numId="17">
    <w:abstractNumId w:val="98"/>
  </w:num>
  <w:num w:numId="18">
    <w:abstractNumId w:val="74"/>
  </w:num>
  <w:num w:numId="19">
    <w:abstractNumId w:val="30"/>
  </w:num>
  <w:num w:numId="20">
    <w:abstractNumId w:val="94"/>
  </w:num>
  <w:num w:numId="21">
    <w:abstractNumId w:val="11"/>
  </w:num>
  <w:num w:numId="22">
    <w:abstractNumId w:val="70"/>
  </w:num>
  <w:num w:numId="23">
    <w:abstractNumId w:val="17"/>
  </w:num>
  <w:num w:numId="24">
    <w:abstractNumId w:val="91"/>
  </w:num>
  <w:num w:numId="25">
    <w:abstractNumId w:val="1"/>
  </w:num>
  <w:num w:numId="26">
    <w:abstractNumId w:val="57"/>
  </w:num>
  <w:num w:numId="27">
    <w:abstractNumId w:val="60"/>
  </w:num>
  <w:num w:numId="28">
    <w:abstractNumId w:val="15"/>
  </w:num>
  <w:num w:numId="29">
    <w:abstractNumId w:val="36"/>
  </w:num>
  <w:num w:numId="30">
    <w:abstractNumId w:val="100"/>
  </w:num>
  <w:num w:numId="31">
    <w:abstractNumId w:val="102"/>
  </w:num>
  <w:num w:numId="32">
    <w:abstractNumId w:val="93"/>
  </w:num>
  <w:num w:numId="33">
    <w:abstractNumId w:val="62"/>
  </w:num>
  <w:num w:numId="34">
    <w:abstractNumId w:val="16"/>
  </w:num>
  <w:num w:numId="35">
    <w:abstractNumId w:val="18"/>
  </w:num>
  <w:num w:numId="36">
    <w:abstractNumId w:val="73"/>
  </w:num>
  <w:num w:numId="37">
    <w:abstractNumId w:val="28"/>
  </w:num>
  <w:num w:numId="38">
    <w:abstractNumId w:val="10"/>
  </w:num>
  <w:num w:numId="39">
    <w:abstractNumId w:val="99"/>
  </w:num>
  <w:num w:numId="40">
    <w:abstractNumId w:val="44"/>
  </w:num>
  <w:num w:numId="41">
    <w:abstractNumId w:val="80"/>
  </w:num>
  <w:num w:numId="42">
    <w:abstractNumId w:val="0"/>
  </w:num>
  <w:num w:numId="43">
    <w:abstractNumId w:val="31"/>
  </w:num>
  <w:num w:numId="44">
    <w:abstractNumId w:val="24"/>
  </w:num>
  <w:num w:numId="45">
    <w:abstractNumId w:val="52"/>
  </w:num>
  <w:num w:numId="46">
    <w:abstractNumId w:val="14"/>
  </w:num>
  <w:num w:numId="47">
    <w:abstractNumId w:val="85"/>
  </w:num>
  <w:num w:numId="48">
    <w:abstractNumId w:val="6"/>
  </w:num>
  <w:num w:numId="49">
    <w:abstractNumId w:val="19"/>
  </w:num>
  <w:num w:numId="50">
    <w:abstractNumId w:val="106"/>
  </w:num>
  <w:num w:numId="51">
    <w:abstractNumId w:val="105"/>
  </w:num>
  <w:num w:numId="52">
    <w:abstractNumId w:val="21"/>
  </w:num>
  <w:num w:numId="53">
    <w:abstractNumId w:val="65"/>
  </w:num>
  <w:num w:numId="54">
    <w:abstractNumId w:val="90"/>
  </w:num>
  <w:num w:numId="55">
    <w:abstractNumId w:val="68"/>
  </w:num>
  <w:num w:numId="56">
    <w:abstractNumId w:val="72"/>
  </w:num>
  <w:num w:numId="57">
    <w:abstractNumId w:val="9"/>
  </w:num>
  <w:num w:numId="58">
    <w:abstractNumId w:val="53"/>
  </w:num>
  <w:num w:numId="59">
    <w:abstractNumId w:val="75"/>
  </w:num>
  <w:num w:numId="60">
    <w:abstractNumId w:val="96"/>
  </w:num>
  <w:num w:numId="61">
    <w:abstractNumId w:val="77"/>
  </w:num>
  <w:num w:numId="62">
    <w:abstractNumId w:val="29"/>
  </w:num>
  <w:num w:numId="63">
    <w:abstractNumId w:val="12"/>
  </w:num>
  <w:num w:numId="64">
    <w:abstractNumId w:val="49"/>
  </w:num>
  <w:num w:numId="65">
    <w:abstractNumId w:val="23"/>
  </w:num>
  <w:num w:numId="66">
    <w:abstractNumId w:val="86"/>
  </w:num>
  <w:num w:numId="67">
    <w:abstractNumId w:val="76"/>
  </w:num>
  <w:num w:numId="68">
    <w:abstractNumId w:val="42"/>
  </w:num>
  <w:num w:numId="69">
    <w:abstractNumId w:val="33"/>
  </w:num>
  <w:num w:numId="70">
    <w:abstractNumId w:val="82"/>
  </w:num>
  <w:num w:numId="71">
    <w:abstractNumId w:val="43"/>
  </w:num>
  <w:num w:numId="72">
    <w:abstractNumId w:val="107"/>
  </w:num>
  <w:num w:numId="73">
    <w:abstractNumId w:val="47"/>
  </w:num>
  <w:num w:numId="74">
    <w:abstractNumId w:val="40"/>
  </w:num>
  <w:num w:numId="75">
    <w:abstractNumId w:val="37"/>
  </w:num>
  <w:num w:numId="76">
    <w:abstractNumId w:val="69"/>
  </w:num>
  <w:num w:numId="77">
    <w:abstractNumId w:val="13"/>
  </w:num>
  <w:num w:numId="78">
    <w:abstractNumId w:val="87"/>
  </w:num>
  <w:num w:numId="79">
    <w:abstractNumId w:val="108"/>
  </w:num>
  <w:num w:numId="80">
    <w:abstractNumId w:val="26"/>
  </w:num>
  <w:num w:numId="81">
    <w:abstractNumId w:val="22"/>
  </w:num>
  <w:num w:numId="82">
    <w:abstractNumId w:val="7"/>
  </w:num>
  <w:num w:numId="83">
    <w:abstractNumId w:val="54"/>
  </w:num>
  <w:num w:numId="84">
    <w:abstractNumId w:val="4"/>
  </w:num>
  <w:num w:numId="85">
    <w:abstractNumId w:val="89"/>
  </w:num>
  <w:num w:numId="86">
    <w:abstractNumId w:val="41"/>
  </w:num>
  <w:num w:numId="87">
    <w:abstractNumId w:val="2"/>
  </w:num>
  <w:num w:numId="88">
    <w:abstractNumId w:val="81"/>
  </w:num>
  <w:num w:numId="89">
    <w:abstractNumId w:val="56"/>
  </w:num>
  <w:num w:numId="90">
    <w:abstractNumId w:val="32"/>
  </w:num>
  <w:num w:numId="91">
    <w:abstractNumId w:val="38"/>
  </w:num>
  <w:num w:numId="92">
    <w:abstractNumId w:val="78"/>
  </w:num>
  <w:num w:numId="93">
    <w:abstractNumId w:val="104"/>
  </w:num>
  <w:num w:numId="94">
    <w:abstractNumId w:val="64"/>
  </w:num>
  <w:num w:numId="95">
    <w:abstractNumId w:val="3"/>
  </w:num>
  <w:num w:numId="96">
    <w:abstractNumId w:val="20"/>
  </w:num>
  <w:num w:numId="97">
    <w:abstractNumId w:val="45"/>
  </w:num>
  <w:num w:numId="98">
    <w:abstractNumId w:val="27"/>
  </w:num>
  <w:num w:numId="99">
    <w:abstractNumId w:val="88"/>
  </w:num>
  <w:num w:numId="100">
    <w:abstractNumId w:val="61"/>
  </w:num>
  <w:num w:numId="101">
    <w:abstractNumId w:val="79"/>
  </w:num>
  <w:num w:numId="102">
    <w:abstractNumId w:val="103"/>
  </w:num>
  <w:num w:numId="103">
    <w:abstractNumId w:val="58"/>
  </w:num>
  <w:num w:numId="104">
    <w:abstractNumId w:val="92"/>
  </w:num>
  <w:num w:numId="105">
    <w:abstractNumId w:val="35"/>
  </w:num>
  <w:num w:numId="106">
    <w:abstractNumId w:val="50"/>
  </w:num>
  <w:num w:numId="107">
    <w:abstractNumId w:val="63"/>
  </w:num>
  <w:num w:numId="108">
    <w:abstractNumId w:val="97"/>
  </w:num>
  <w:num w:numId="109">
    <w:abstractNumId w:val="5"/>
  </w:num>
  <w:num w:numId="110">
    <w:abstractNumId w:val="5"/>
  </w:num>
  <w:num w:numId="111">
    <w:abstractNumId w:val="51"/>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7DD"/>
    <w:rsid w:val="00000852"/>
    <w:rsid w:val="00004245"/>
    <w:rsid w:val="000107A9"/>
    <w:rsid w:val="00013339"/>
    <w:rsid w:val="000136A4"/>
    <w:rsid w:val="00013840"/>
    <w:rsid w:val="0001719C"/>
    <w:rsid w:val="00025FF7"/>
    <w:rsid w:val="000303BF"/>
    <w:rsid w:val="00040B1D"/>
    <w:rsid w:val="000421CD"/>
    <w:rsid w:val="0004396D"/>
    <w:rsid w:val="0005069D"/>
    <w:rsid w:val="00050FDA"/>
    <w:rsid w:val="0005537A"/>
    <w:rsid w:val="00065195"/>
    <w:rsid w:val="00071545"/>
    <w:rsid w:val="0007555D"/>
    <w:rsid w:val="00082BC5"/>
    <w:rsid w:val="00083585"/>
    <w:rsid w:val="000854CA"/>
    <w:rsid w:val="00086081"/>
    <w:rsid w:val="00087D30"/>
    <w:rsid w:val="00090AF4"/>
    <w:rsid w:val="00094D42"/>
    <w:rsid w:val="000A1627"/>
    <w:rsid w:val="000A47D4"/>
    <w:rsid w:val="000A76C1"/>
    <w:rsid w:val="000B5F2C"/>
    <w:rsid w:val="000C0004"/>
    <w:rsid w:val="000C16DE"/>
    <w:rsid w:val="000D4DDF"/>
    <w:rsid w:val="000E07CF"/>
    <w:rsid w:val="000E52B6"/>
    <w:rsid w:val="000F2018"/>
    <w:rsid w:val="000F3E5B"/>
    <w:rsid w:val="0011713E"/>
    <w:rsid w:val="00122369"/>
    <w:rsid w:val="00124D09"/>
    <w:rsid w:val="00135EF5"/>
    <w:rsid w:val="00141F23"/>
    <w:rsid w:val="001431C5"/>
    <w:rsid w:val="00144F68"/>
    <w:rsid w:val="00150FB1"/>
    <w:rsid w:val="00156931"/>
    <w:rsid w:val="001573FD"/>
    <w:rsid w:val="00180AC2"/>
    <w:rsid w:val="00195EBB"/>
    <w:rsid w:val="001A7375"/>
    <w:rsid w:val="001B3E08"/>
    <w:rsid w:val="001B7964"/>
    <w:rsid w:val="001C06F3"/>
    <w:rsid w:val="001C0CEC"/>
    <w:rsid w:val="001C5C86"/>
    <w:rsid w:val="001D0060"/>
    <w:rsid w:val="001D4BE4"/>
    <w:rsid w:val="001E0F6D"/>
    <w:rsid w:val="001E21A1"/>
    <w:rsid w:val="001E5722"/>
    <w:rsid w:val="001F6CBC"/>
    <w:rsid w:val="00206AFA"/>
    <w:rsid w:val="002113C8"/>
    <w:rsid w:val="0021530C"/>
    <w:rsid w:val="00215708"/>
    <w:rsid w:val="00215B6D"/>
    <w:rsid w:val="0022684D"/>
    <w:rsid w:val="002358A1"/>
    <w:rsid w:val="00237579"/>
    <w:rsid w:val="0024313D"/>
    <w:rsid w:val="00246D3D"/>
    <w:rsid w:val="00247217"/>
    <w:rsid w:val="0025297F"/>
    <w:rsid w:val="00253C1F"/>
    <w:rsid w:val="002551CD"/>
    <w:rsid w:val="0027081C"/>
    <w:rsid w:val="002806C5"/>
    <w:rsid w:val="00281AFF"/>
    <w:rsid w:val="00285452"/>
    <w:rsid w:val="002920E5"/>
    <w:rsid w:val="002957C1"/>
    <w:rsid w:val="002A1A9C"/>
    <w:rsid w:val="002A3ED0"/>
    <w:rsid w:val="002A4A96"/>
    <w:rsid w:val="002B49E4"/>
    <w:rsid w:val="002C13A7"/>
    <w:rsid w:val="002C1F3A"/>
    <w:rsid w:val="002C4CCE"/>
    <w:rsid w:val="002D240A"/>
    <w:rsid w:val="002D268C"/>
    <w:rsid w:val="002D5904"/>
    <w:rsid w:val="002E2A25"/>
    <w:rsid w:val="002E360E"/>
    <w:rsid w:val="002E3BED"/>
    <w:rsid w:val="002E3D70"/>
    <w:rsid w:val="002E4C0A"/>
    <w:rsid w:val="002E5A49"/>
    <w:rsid w:val="00300CCD"/>
    <w:rsid w:val="0030222F"/>
    <w:rsid w:val="00310C03"/>
    <w:rsid w:val="00312720"/>
    <w:rsid w:val="00313D27"/>
    <w:rsid w:val="00315FEE"/>
    <w:rsid w:val="00336EBF"/>
    <w:rsid w:val="00340B5F"/>
    <w:rsid w:val="003666B5"/>
    <w:rsid w:val="00376BA7"/>
    <w:rsid w:val="00384D4A"/>
    <w:rsid w:val="003967DD"/>
    <w:rsid w:val="003A1B12"/>
    <w:rsid w:val="003A2EBF"/>
    <w:rsid w:val="003A4214"/>
    <w:rsid w:val="003A5119"/>
    <w:rsid w:val="003B1892"/>
    <w:rsid w:val="003D0B64"/>
    <w:rsid w:val="003D1EB8"/>
    <w:rsid w:val="003D3C43"/>
    <w:rsid w:val="003D6239"/>
    <w:rsid w:val="003E0DF9"/>
    <w:rsid w:val="004047D6"/>
    <w:rsid w:val="00404BFE"/>
    <w:rsid w:val="00406CBF"/>
    <w:rsid w:val="00410B86"/>
    <w:rsid w:val="004144EB"/>
    <w:rsid w:val="0042192C"/>
    <w:rsid w:val="00430A5F"/>
    <w:rsid w:val="00440F5A"/>
    <w:rsid w:val="00443872"/>
    <w:rsid w:val="004453BD"/>
    <w:rsid w:val="00460DFD"/>
    <w:rsid w:val="00466D95"/>
    <w:rsid w:val="004719CC"/>
    <w:rsid w:val="00474E1C"/>
    <w:rsid w:val="00475999"/>
    <w:rsid w:val="00477829"/>
    <w:rsid w:val="004850C1"/>
    <w:rsid w:val="00486F1A"/>
    <w:rsid w:val="0049086D"/>
    <w:rsid w:val="00492634"/>
    <w:rsid w:val="00493211"/>
    <w:rsid w:val="004A30D6"/>
    <w:rsid w:val="004B4743"/>
    <w:rsid w:val="004B5680"/>
    <w:rsid w:val="004C0654"/>
    <w:rsid w:val="004C30C0"/>
    <w:rsid w:val="004C49D7"/>
    <w:rsid w:val="004E3FCD"/>
    <w:rsid w:val="004E487F"/>
    <w:rsid w:val="004F28F6"/>
    <w:rsid w:val="004F4E5D"/>
    <w:rsid w:val="00511CB8"/>
    <w:rsid w:val="00514C50"/>
    <w:rsid w:val="00522296"/>
    <w:rsid w:val="005240F3"/>
    <w:rsid w:val="005351C1"/>
    <w:rsid w:val="00537722"/>
    <w:rsid w:val="005377B7"/>
    <w:rsid w:val="005432F7"/>
    <w:rsid w:val="00544054"/>
    <w:rsid w:val="00546AC9"/>
    <w:rsid w:val="005510A8"/>
    <w:rsid w:val="005715B0"/>
    <w:rsid w:val="005769B7"/>
    <w:rsid w:val="005820AF"/>
    <w:rsid w:val="00584366"/>
    <w:rsid w:val="005A1ED2"/>
    <w:rsid w:val="005A6B33"/>
    <w:rsid w:val="005B00C5"/>
    <w:rsid w:val="005B346D"/>
    <w:rsid w:val="005C0C88"/>
    <w:rsid w:val="005C5CE7"/>
    <w:rsid w:val="005D569D"/>
    <w:rsid w:val="005E57BF"/>
    <w:rsid w:val="005E6607"/>
    <w:rsid w:val="005E7273"/>
    <w:rsid w:val="005F0E5C"/>
    <w:rsid w:val="005F3926"/>
    <w:rsid w:val="00601C44"/>
    <w:rsid w:val="00604D8C"/>
    <w:rsid w:val="00607FD3"/>
    <w:rsid w:val="00611DD6"/>
    <w:rsid w:val="006136BA"/>
    <w:rsid w:val="00624A55"/>
    <w:rsid w:val="006314DE"/>
    <w:rsid w:val="00632774"/>
    <w:rsid w:val="00637216"/>
    <w:rsid w:val="006502A1"/>
    <w:rsid w:val="00673993"/>
    <w:rsid w:val="00676EF7"/>
    <w:rsid w:val="006801DD"/>
    <w:rsid w:val="006843E3"/>
    <w:rsid w:val="00685BF4"/>
    <w:rsid w:val="00691A5E"/>
    <w:rsid w:val="006A25AC"/>
    <w:rsid w:val="006A415A"/>
    <w:rsid w:val="006A4612"/>
    <w:rsid w:val="006A56A8"/>
    <w:rsid w:val="006A6478"/>
    <w:rsid w:val="006A7F02"/>
    <w:rsid w:val="006B749E"/>
    <w:rsid w:val="006C177D"/>
    <w:rsid w:val="006C3CDE"/>
    <w:rsid w:val="006C4D5D"/>
    <w:rsid w:val="006C6752"/>
    <w:rsid w:val="006D34E8"/>
    <w:rsid w:val="006D5023"/>
    <w:rsid w:val="006D7F32"/>
    <w:rsid w:val="006E3A24"/>
    <w:rsid w:val="006F5D67"/>
    <w:rsid w:val="00702400"/>
    <w:rsid w:val="00706DF9"/>
    <w:rsid w:val="00736FB0"/>
    <w:rsid w:val="00741EEA"/>
    <w:rsid w:val="00744E46"/>
    <w:rsid w:val="00746091"/>
    <w:rsid w:val="0075287C"/>
    <w:rsid w:val="007653C2"/>
    <w:rsid w:val="00765EE2"/>
    <w:rsid w:val="007804D1"/>
    <w:rsid w:val="0078318D"/>
    <w:rsid w:val="007863CB"/>
    <w:rsid w:val="007B556E"/>
    <w:rsid w:val="007C09AF"/>
    <w:rsid w:val="007C4093"/>
    <w:rsid w:val="007D3E38"/>
    <w:rsid w:val="007D73FC"/>
    <w:rsid w:val="007E5A34"/>
    <w:rsid w:val="008067FE"/>
    <w:rsid w:val="00812A04"/>
    <w:rsid w:val="00816A6E"/>
    <w:rsid w:val="0081726F"/>
    <w:rsid w:val="00821EA7"/>
    <w:rsid w:val="00822B0B"/>
    <w:rsid w:val="00823A54"/>
    <w:rsid w:val="00823B07"/>
    <w:rsid w:val="00823BAC"/>
    <w:rsid w:val="008272CE"/>
    <w:rsid w:val="00833A7D"/>
    <w:rsid w:val="00846710"/>
    <w:rsid w:val="008531BA"/>
    <w:rsid w:val="00876E9B"/>
    <w:rsid w:val="008A27D1"/>
    <w:rsid w:val="008A603E"/>
    <w:rsid w:val="008B04D1"/>
    <w:rsid w:val="008B18CD"/>
    <w:rsid w:val="008B3077"/>
    <w:rsid w:val="008C126A"/>
    <w:rsid w:val="008E1067"/>
    <w:rsid w:val="008F1D96"/>
    <w:rsid w:val="008F3558"/>
    <w:rsid w:val="00905E98"/>
    <w:rsid w:val="00906B98"/>
    <w:rsid w:val="00920FFC"/>
    <w:rsid w:val="009231C0"/>
    <w:rsid w:val="00926537"/>
    <w:rsid w:val="00927299"/>
    <w:rsid w:val="00937695"/>
    <w:rsid w:val="00940A7A"/>
    <w:rsid w:val="00946E70"/>
    <w:rsid w:val="0095390E"/>
    <w:rsid w:val="009619D6"/>
    <w:rsid w:val="0096780A"/>
    <w:rsid w:val="00971B3F"/>
    <w:rsid w:val="00980662"/>
    <w:rsid w:val="00981236"/>
    <w:rsid w:val="00981E8E"/>
    <w:rsid w:val="00986E12"/>
    <w:rsid w:val="009877CE"/>
    <w:rsid w:val="00987A0C"/>
    <w:rsid w:val="0099136F"/>
    <w:rsid w:val="00991C2A"/>
    <w:rsid w:val="00991D8D"/>
    <w:rsid w:val="0099713C"/>
    <w:rsid w:val="009B3A1F"/>
    <w:rsid w:val="009B7AF9"/>
    <w:rsid w:val="009C6F72"/>
    <w:rsid w:val="009D1E09"/>
    <w:rsid w:val="009E1A97"/>
    <w:rsid w:val="009F1D6B"/>
    <w:rsid w:val="009F2454"/>
    <w:rsid w:val="00A0049E"/>
    <w:rsid w:val="00A02814"/>
    <w:rsid w:val="00A02E1A"/>
    <w:rsid w:val="00A02E87"/>
    <w:rsid w:val="00A175E4"/>
    <w:rsid w:val="00A20B35"/>
    <w:rsid w:val="00A264BC"/>
    <w:rsid w:val="00A30B4D"/>
    <w:rsid w:val="00A31926"/>
    <w:rsid w:val="00A32991"/>
    <w:rsid w:val="00A3329E"/>
    <w:rsid w:val="00A41349"/>
    <w:rsid w:val="00A6328A"/>
    <w:rsid w:val="00A63D55"/>
    <w:rsid w:val="00A6457C"/>
    <w:rsid w:val="00A66D78"/>
    <w:rsid w:val="00A710FC"/>
    <w:rsid w:val="00A733CD"/>
    <w:rsid w:val="00A7508F"/>
    <w:rsid w:val="00A76A14"/>
    <w:rsid w:val="00A82662"/>
    <w:rsid w:val="00A87A06"/>
    <w:rsid w:val="00A87CDF"/>
    <w:rsid w:val="00A91772"/>
    <w:rsid w:val="00A943CC"/>
    <w:rsid w:val="00AA0949"/>
    <w:rsid w:val="00AA2559"/>
    <w:rsid w:val="00AA5F9B"/>
    <w:rsid w:val="00AA6603"/>
    <w:rsid w:val="00AB25E1"/>
    <w:rsid w:val="00AB4FC6"/>
    <w:rsid w:val="00AC1E28"/>
    <w:rsid w:val="00AC73EC"/>
    <w:rsid w:val="00AE43BC"/>
    <w:rsid w:val="00AF17D0"/>
    <w:rsid w:val="00B03351"/>
    <w:rsid w:val="00B1683A"/>
    <w:rsid w:val="00B211E6"/>
    <w:rsid w:val="00B243F8"/>
    <w:rsid w:val="00B254CE"/>
    <w:rsid w:val="00B35678"/>
    <w:rsid w:val="00B454E9"/>
    <w:rsid w:val="00B50BC1"/>
    <w:rsid w:val="00B53B83"/>
    <w:rsid w:val="00B55585"/>
    <w:rsid w:val="00B70E8A"/>
    <w:rsid w:val="00B71093"/>
    <w:rsid w:val="00B7503C"/>
    <w:rsid w:val="00B7609D"/>
    <w:rsid w:val="00B87335"/>
    <w:rsid w:val="00B92DEB"/>
    <w:rsid w:val="00B95467"/>
    <w:rsid w:val="00B96511"/>
    <w:rsid w:val="00BA5E0C"/>
    <w:rsid w:val="00BB7C65"/>
    <w:rsid w:val="00BC4184"/>
    <w:rsid w:val="00BC4796"/>
    <w:rsid w:val="00BD28D4"/>
    <w:rsid w:val="00BE3A2B"/>
    <w:rsid w:val="00BF7699"/>
    <w:rsid w:val="00C01E92"/>
    <w:rsid w:val="00C17FB9"/>
    <w:rsid w:val="00C2475B"/>
    <w:rsid w:val="00C3375F"/>
    <w:rsid w:val="00C42C49"/>
    <w:rsid w:val="00C44242"/>
    <w:rsid w:val="00C53A7D"/>
    <w:rsid w:val="00C53A83"/>
    <w:rsid w:val="00C66909"/>
    <w:rsid w:val="00C66DE2"/>
    <w:rsid w:val="00C71E95"/>
    <w:rsid w:val="00C769E7"/>
    <w:rsid w:val="00C7722E"/>
    <w:rsid w:val="00C939A5"/>
    <w:rsid w:val="00CA39F8"/>
    <w:rsid w:val="00CA3C91"/>
    <w:rsid w:val="00CA51E7"/>
    <w:rsid w:val="00CB02A3"/>
    <w:rsid w:val="00CB4E4D"/>
    <w:rsid w:val="00CE3509"/>
    <w:rsid w:val="00CF5254"/>
    <w:rsid w:val="00D013E1"/>
    <w:rsid w:val="00D17C6D"/>
    <w:rsid w:val="00D23581"/>
    <w:rsid w:val="00D238FF"/>
    <w:rsid w:val="00D55F3A"/>
    <w:rsid w:val="00D651D3"/>
    <w:rsid w:val="00D677D5"/>
    <w:rsid w:val="00D71DD0"/>
    <w:rsid w:val="00D76D99"/>
    <w:rsid w:val="00D803C3"/>
    <w:rsid w:val="00D82D23"/>
    <w:rsid w:val="00D83853"/>
    <w:rsid w:val="00D86736"/>
    <w:rsid w:val="00DA0FAD"/>
    <w:rsid w:val="00DA3218"/>
    <w:rsid w:val="00DB133C"/>
    <w:rsid w:val="00DB1D85"/>
    <w:rsid w:val="00DB2778"/>
    <w:rsid w:val="00DB4C0F"/>
    <w:rsid w:val="00DC1E4D"/>
    <w:rsid w:val="00DD00DE"/>
    <w:rsid w:val="00DD369C"/>
    <w:rsid w:val="00DD4A32"/>
    <w:rsid w:val="00E15A96"/>
    <w:rsid w:val="00E21BDC"/>
    <w:rsid w:val="00E22934"/>
    <w:rsid w:val="00E3254B"/>
    <w:rsid w:val="00E36DF7"/>
    <w:rsid w:val="00E4782D"/>
    <w:rsid w:val="00E47842"/>
    <w:rsid w:val="00E51B39"/>
    <w:rsid w:val="00E548CB"/>
    <w:rsid w:val="00E65137"/>
    <w:rsid w:val="00E65AE3"/>
    <w:rsid w:val="00E77224"/>
    <w:rsid w:val="00E81795"/>
    <w:rsid w:val="00E85F87"/>
    <w:rsid w:val="00E96E7C"/>
    <w:rsid w:val="00EB06D8"/>
    <w:rsid w:val="00EB4514"/>
    <w:rsid w:val="00EC0724"/>
    <w:rsid w:val="00EC34E2"/>
    <w:rsid w:val="00EC3B28"/>
    <w:rsid w:val="00ED1E44"/>
    <w:rsid w:val="00ED36E2"/>
    <w:rsid w:val="00EE2198"/>
    <w:rsid w:val="00EE2C85"/>
    <w:rsid w:val="00EE3E5C"/>
    <w:rsid w:val="00EE5827"/>
    <w:rsid w:val="00EF3138"/>
    <w:rsid w:val="00EF636E"/>
    <w:rsid w:val="00EF6CE1"/>
    <w:rsid w:val="00F05A17"/>
    <w:rsid w:val="00F06F32"/>
    <w:rsid w:val="00F16DD2"/>
    <w:rsid w:val="00F1786B"/>
    <w:rsid w:val="00F25564"/>
    <w:rsid w:val="00F35E9B"/>
    <w:rsid w:val="00F3682F"/>
    <w:rsid w:val="00F406E9"/>
    <w:rsid w:val="00F46104"/>
    <w:rsid w:val="00F47732"/>
    <w:rsid w:val="00F50A01"/>
    <w:rsid w:val="00F51E7E"/>
    <w:rsid w:val="00F63576"/>
    <w:rsid w:val="00F72A94"/>
    <w:rsid w:val="00F7569F"/>
    <w:rsid w:val="00F7751B"/>
    <w:rsid w:val="00F94642"/>
    <w:rsid w:val="00FA0706"/>
    <w:rsid w:val="00FB1FAE"/>
    <w:rsid w:val="00FC6666"/>
    <w:rsid w:val="00FC6C3C"/>
    <w:rsid w:val="00FD1C6D"/>
    <w:rsid w:val="00FE43F9"/>
    <w:rsid w:val="00FF2F62"/>
    <w:rsid w:val="00FF3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355FF"/>
  <w14:defaultImageDpi w14:val="32767"/>
  <w15:chartTrackingRefBased/>
  <w15:docId w15:val="{4DC22C7E-4579-4F43-A5CE-8C1C7EEA2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FD3"/>
    <w:pPr>
      <w:spacing w:after="120"/>
    </w:pPr>
    <w:rPr>
      <w:sz w:val="22"/>
    </w:rPr>
  </w:style>
  <w:style w:type="paragraph" w:styleId="Heading1">
    <w:name w:val="heading 1"/>
    <w:basedOn w:val="Normal"/>
    <w:next w:val="Normal"/>
    <w:link w:val="Heading1Char"/>
    <w:autoRedefine/>
    <w:qFormat/>
    <w:rsid w:val="003E0DF9"/>
    <w:pPr>
      <w:keepNext/>
      <w:keepLines/>
      <w:pageBreakBefore/>
      <w:numPr>
        <w:numId w:val="49"/>
      </w:numPr>
      <w:spacing w:before="240"/>
      <w:outlineLvl w:val="0"/>
    </w:pPr>
    <w:rPr>
      <w:rFonts w:asciiTheme="majorHAnsi" w:eastAsiaTheme="majorEastAsia" w:hAnsiTheme="majorHAnsi" w:cstheme="majorBidi"/>
      <w:b/>
      <w:caps/>
      <w:color w:val="004EA8" w:themeColor="accent1"/>
      <w:sz w:val="44"/>
      <w:szCs w:val="32"/>
    </w:rPr>
  </w:style>
  <w:style w:type="paragraph" w:styleId="Heading2">
    <w:name w:val="heading 2"/>
    <w:basedOn w:val="Normal"/>
    <w:next w:val="Normal"/>
    <w:link w:val="Heading2Char"/>
    <w:autoRedefine/>
    <w:unhideWhenUsed/>
    <w:qFormat/>
    <w:rsid w:val="00A87A06"/>
    <w:pPr>
      <w:keepNext/>
      <w:keepLines/>
      <w:spacing w:before="160"/>
      <w:outlineLvl w:val="1"/>
    </w:pPr>
    <w:rPr>
      <w:rFonts w:asciiTheme="majorHAnsi" w:eastAsiaTheme="majorEastAsia" w:hAnsiTheme="majorHAnsi" w:cstheme="majorBidi"/>
      <w:b/>
      <w:caps/>
      <w:color w:val="004EA8" w:themeColor="accent1"/>
      <w:sz w:val="26"/>
      <w:szCs w:val="26"/>
    </w:rPr>
  </w:style>
  <w:style w:type="paragraph" w:styleId="Heading3">
    <w:name w:val="heading 3"/>
    <w:basedOn w:val="Normal"/>
    <w:next w:val="Normal"/>
    <w:link w:val="Heading3Char"/>
    <w:autoRedefine/>
    <w:unhideWhenUsed/>
    <w:qFormat/>
    <w:rsid w:val="00FE43F9"/>
    <w:pPr>
      <w:keepNext/>
      <w:keepLines/>
      <w:spacing w:before="120"/>
      <w:outlineLvl w:val="2"/>
    </w:pPr>
    <w:rPr>
      <w:rFonts w:asciiTheme="majorHAnsi" w:eastAsiaTheme="majorEastAsia" w:hAnsiTheme="majorHAnsi" w:cstheme="majorBidi"/>
      <w:b/>
      <w:color w:val="000000" w:themeColor="text1"/>
      <w:sz w:val="24"/>
    </w:rPr>
  </w:style>
  <w:style w:type="paragraph" w:styleId="Heading4">
    <w:name w:val="heading 4"/>
    <w:basedOn w:val="Normal"/>
    <w:next w:val="EYBodytextwithparaspace"/>
    <w:link w:val="Heading4Char"/>
    <w:rsid w:val="00C01E92"/>
    <w:pPr>
      <w:autoSpaceDE w:val="0"/>
      <w:autoSpaceDN w:val="0"/>
      <w:adjustRightInd w:val="0"/>
      <w:outlineLvl w:val="3"/>
    </w:pPr>
    <w:rPr>
      <w:rFonts w:ascii="EYInterstate Light" w:eastAsia="Times New Roman" w:hAnsi="EYInterstate Light" w:cs="Times New Roman"/>
      <w:color w:val="000000"/>
      <w:sz w:val="24"/>
      <w:szCs w:val="20"/>
      <w:lang w:val="en-AU"/>
    </w:rPr>
  </w:style>
  <w:style w:type="paragraph" w:styleId="Heading5">
    <w:name w:val="heading 5"/>
    <w:basedOn w:val="Normal"/>
    <w:next w:val="EYBodytextwithparaspace"/>
    <w:link w:val="Heading5Char"/>
    <w:rsid w:val="00C01E92"/>
    <w:pPr>
      <w:autoSpaceDE w:val="0"/>
      <w:autoSpaceDN w:val="0"/>
      <w:adjustRightInd w:val="0"/>
      <w:outlineLvl w:val="4"/>
    </w:pPr>
    <w:rPr>
      <w:rFonts w:ascii="EYInterstate Light" w:eastAsia="Times New Roman" w:hAnsi="EYInterstate Light" w:cs="Times New Roman"/>
      <w:b/>
      <w:szCs w:val="20"/>
      <w:lang w:val="en-AU"/>
    </w:rPr>
  </w:style>
  <w:style w:type="paragraph" w:styleId="Heading6">
    <w:name w:val="heading 6"/>
    <w:basedOn w:val="Normal"/>
    <w:next w:val="EYBodytextwithparaspace"/>
    <w:link w:val="Heading6Char"/>
    <w:rsid w:val="00C01E92"/>
    <w:pPr>
      <w:autoSpaceDE w:val="0"/>
      <w:autoSpaceDN w:val="0"/>
      <w:adjustRightInd w:val="0"/>
      <w:spacing w:after="0"/>
      <w:outlineLvl w:val="5"/>
    </w:pPr>
    <w:rPr>
      <w:rFonts w:ascii="EYInterstate Light" w:eastAsia="Times New Roman" w:hAnsi="EYInterstate Light" w:cs="Times New Roman"/>
      <w:szCs w:val="20"/>
      <w:lang w:val="en-AU"/>
    </w:rPr>
  </w:style>
  <w:style w:type="paragraph" w:styleId="Heading7">
    <w:name w:val="heading 7"/>
    <w:basedOn w:val="Normal"/>
    <w:next w:val="EYBodytextwithparaspace"/>
    <w:link w:val="Heading7Char"/>
    <w:rsid w:val="00C01E92"/>
    <w:pPr>
      <w:autoSpaceDE w:val="0"/>
      <w:autoSpaceDN w:val="0"/>
      <w:adjustRightInd w:val="0"/>
      <w:outlineLvl w:val="6"/>
    </w:pPr>
    <w:rPr>
      <w:rFonts w:ascii="EYInterstate Light" w:eastAsia="Times New Roman" w:hAnsi="EYInterstate Light" w:cs="Times New Roman"/>
      <w:b/>
      <w:sz w:val="20"/>
      <w:szCs w:val="20"/>
      <w:lang w:val="en-AU"/>
    </w:rPr>
  </w:style>
  <w:style w:type="paragraph" w:styleId="Heading8">
    <w:name w:val="heading 8"/>
    <w:basedOn w:val="Normal"/>
    <w:next w:val="EYBodytextwithparaspace"/>
    <w:link w:val="Heading8Char"/>
    <w:rsid w:val="00C01E92"/>
    <w:pPr>
      <w:autoSpaceDE w:val="0"/>
      <w:autoSpaceDN w:val="0"/>
      <w:adjustRightInd w:val="0"/>
      <w:outlineLvl w:val="7"/>
    </w:pPr>
    <w:rPr>
      <w:rFonts w:ascii="EYInterstate Light" w:eastAsia="Times New Roman" w:hAnsi="EYInterstate Light" w:cs="Times New Roman"/>
      <w:sz w:val="20"/>
      <w:szCs w:val="20"/>
      <w:lang w:val="en-AU"/>
    </w:rPr>
  </w:style>
  <w:style w:type="paragraph" w:styleId="Heading9">
    <w:name w:val="heading 9"/>
    <w:basedOn w:val="Normal"/>
    <w:next w:val="EYBodytextwithparaspace"/>
    <w:link w:val="Heading9Char"/>
    <w:rsid w:val="00C01E92"/>
    <w:pPr>
      <w:autoSpaceDE w:val="0"/>
      <w:autoSpaceDN w:val="0"/>
      <w:adjustRightInd w:val="0"/>
      <w:spacing w:after="0"/>
      <w:outlineLvl w:val="8"/>
    </w:pPr>
    <w:rPr>
      <w:rFonts w:ascii="EYInterstate Light" w:eastAsia="Times New Roman" w:hAnsi="EYInterstate Light" w:cs="Times New Roman"/>
      <w:i/>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67DD"/>
    <w:pPr>
      <w:tabs>
        <w:tab w:val="center" w:pos="4513"/>
        <w:tab w:val="right" w:pos="9026"/>
      </w:tabs>
    </w:pPr>
  </w:style>
  <w:style w:type="character" w:customStyle="1" w:styleId="HeaderChar">
    <w:name w:val="Header Char"/>
    <w:basedOn w:val="DefaultParagraphFont"/>
    <w:link w:val="Header"/>
    <w:uiPriority w:val="99"/>
    <w:rsid w:val="003967DD"/>
  </w:style>
  <w:style w:type="paragraph" w:styleId="Footer">
    <w:name w:val="footer"/>
    <w:aliases w:val="EY Footer"/>
    <w:basedOn w:val="Normal"/>
    <w:link w:val="FooterChar"/>
    <w:uiPriority w:val="99"/>
    <w:unhideWhenUsed/>
    <w:rsid w:val="003967DD"/>
    <w:pPr>
      <w:tabs>
        <w:tab w:val="center" w:pos="4513"/>
        <w:tab w:val="right" w:pos="9026"/>
      </w:tabs>
    </w:pPr>
  </w:style>
  <w:style w:type="character" w:customStyle="1" w:styleId="FooterChar">
    <w:name w:val="Footer Char"/>
    <w:aliases w:val="EY Footer Char"/>
    <w:basedOn w:val="DefaultParagraphFont"/>
    <w:link w:val="Footer"/>
    <w:uiPriority w:val="99"/>
    <w:rsid w:val="003967DD"/>
  </w:style>
  <w:style w:type="character" w:customStyle="1" w:styleId="Heading1Char">
    <w:name w:val="Heading 1 Char"/>
    <w:basedOn w:val="DefaultParagraphFont"/>
    <w:link w:val="Heading1"/>
    <w:rsid w:val="003E0DF9"/>
    <w:rPr>
      <w:rFonts w:asciiTheme="majorHAnsi" w:eastAsiaTheme="majorEastAsia" w:hAnsiTheme="majorHAnsi" w:cstheme="majorBidi"/>
      <w:b/>
      <w:caps/>
      <w:color w:val="004EA8" w:themeColor="accent1"/>
      <w:sz w:val="44"/>
      <w:szCs w:val="32"/>
    </w:rPr>
  </w:style>
  <w:style w:type="paragraph" w:customStyle="1" w:styleId="Intro">
    <w:name w:val="Intro"/>
    <w:basedOn w:val="Normal"/>
    <w:qFormat/>
    <w:rsid w:val="00624A55"/>
    <w:pPr>
      <w:pBdr>
        <w:top w:val="single" w:sz="4" w:space="1" w:color="004EA8" w:themeColor="accent1"/>
      </w:pBdr>
    </w:pPr>
    <w:rPr>
      <w:color w:val="004EA8" w:themeColor="accent1"/>
      <w:lang w:val="en-AU"/>
    </w:rPr>
  </w:style>
  <w:style w:type="character" w:customStyle="1" w:styleId="Heading2Char">
    <w:name w:val="Heading 2 Char"/>
    <w:basedOn w:val="DefaultParagraphFont"/>
    <w:link w:val="Heading2"/>
    <w:rsid w:val="00A87A06"/>
    <w:rPr>
      <w:rFonts w:asciiTheme="majorHAnsi" w:eastAsiaTheme="majorEastAsia" w:hAnsiTheme="majorHAnsi" w:cstheme="majorBidi"/>
      <w:b/>
      <w:caps/>
      <w:color w:val="004EA8" w:themeColor="accent1"/>
      <w:sz w:val="26"/>
      <w:szCs w:val="26"/>
    </w:rPr>
  </w:style>
  <w:style w:type="character" w:customStyle="1" w:styleId="Heading3Char">
    <w:name w:val="Heading 3 Char"/>
    <w:basedOn w:val="DefaultParagraphFont"/>
    <w:link w:val="Heading3"/>
    <w:rsid w:val="00FE43F9"/>
    <w:rPr>
      <w:rFonts w:asciiTheme="majorHAnsi" w:eastAsiaTheme="majorEastAsia" w:hAnsiTheme="majorHAnsi" w:cstheme="majorBidi"/>
      <w:b/>
      <w:color w:val="000000" w:themeColor="text1"/>
    </w:rPr>
  </w:style>
  <w:style w:type="paragraph" w:styleId="Quote">
    <w:name w:val="Quote"/>
    <w:basedOn w:val="Normal"/>
    <w:next w:val="Normal"/>
    <w:link w:val="QuoteChar"/>
    <w:uiPriority w:val="29"/>
    <w:qFormat/>
    <w:rsid w:val="002E3BED"/>
    <w:pPr>
      <w:spacing w:before="120"/>
      <w:ind w:left="284" w:right="284"/>
    </w:pPr>
    <w:rPr>
      <w:i/>
      <w:iCs/>
      <w:color w:val="53565A" w:themeColor="text2"/>
    </w:rPr>
  </w:style>
  <w:style w:type="character" w:customStyle="1" w:styleId="QuoteChar">
    <w:name w:val="Quote Char"/>
    <w:basedOn w:val="DefaultParagraphFont"/>
    <w:link w:val="Quote"/>
    <w:uiPriority w:val="29"/>
    <w:rsid w:val="002E3BED"/>
    <w:rPr>
      <w:i/>
      <w:iCs/>
      <w:color w:val="53565A" w:themeColor="text2"/>
    </w:rPr>
  </w:style>
  <w:style w:type="paragraph" w:customStyle="1" w:styleId="Bullet1">
    <w:name w:val="Bullet 1"/>
    <w:basedOn w:val="Normal"/>
    <w:next w:val="Normal"/>
    <w:qFormat/>
    <w:rsid w:val="002E3BED"/>
    <w:pPr>
      <w:numPr>
        <w:numId w:val="2"/>
      </w:numPr>
      <w:ind w:left="284" w:hanging="284"/>
    </w:pPr>
    <w:rPr>
      <w:lang w:val="en-AU"/>
    </w:rPr>
  </w:style>
  <w:style w:type="paragraph" w:customStyle="1" w:styleId="Bullet2">
    <w:name w:val="Bullet 2"/>
    <w:basedOn w:val="Bullet1"/>
    <w:qFormat/>
    <w:rsid w:val="002E3BED"/>
    <w:pPr>
      <w:numPr>
        <w:numId w:val="1"/>
      </w:numPr>
    </w:pPr>
  </w:style>
  <w:style w:type="paragraph" w:customStyle="1" w:styleId="Numberlist">
    <w:name w:val="Number list"/>
    <w:basedOn w:val="Normal"/>
    <w:next w:val="Normal"/>
    <w:qFormat/>
    <w:rsid w:val="002E3BED"/>
    <w:pPr>
      <w:numPr>
        <w:numId w:val="3"/>
      </w:numPr>
      <w:ind w:left="284" w:hanging="284"/>
    </w:pPr>
    <w:rPr>
      <w:lang w:val="en-AU"/>
    </w:rPr>
  </w:style>
  <w:style w:type="table" w:styleId="TableGrid">
    <w:name w:val="Table Grid"/>
    <w:basedOn w:val="TableNormal"/>
    <w:uiPriority w:val="39"/>
    <w:rsid w:val="00A0049E"/>
    <w:pPr>
      <w:spacing w:before="60" w:after="60"/>
    </w:pPr>
    <w:rPr>
      <w:rFonts w:ascii="Arial Narrow" w:hAnsi="Arial Narrow"/>
      <w:sz w:val="20"/>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Mar>
        <w:top w:w="57" w:type="dxa"/>
        <w:bottom w:w="57" w:type="dxa"/>
      </w:tcMar>
    </w:tcPr>
    <w:tblStylePr w:type="firstRow">
      <w:rPr>
        <w:b/>
        <w:color w:val="FFFFFF" w:themeColor="background1"/>
      </w:rPr>
      <w:tblPr/>
      <w:tcPr>
        <w:tcBorders>
          <w:insideH w:val="single" w:sz="4" w:space="0" w:color="FFFFFF" w:themeColor="background1"/>
          <w:insideV w:val="single" w:sz="4" w:space="0" w:color="FFFFFF" w:themeColor="background1"/>
        </w:tcBorders>
        <w:shd w:val="clear" w:color="auto" w:fill="004EA8" w:themeFill="accent1"/>
      </w:tcPr>
    </w:tblStylePr>
    <w:tblStylePr w:type="firstCol">
      <w:rPr>
        <w:color w:val="004EA8" w:themeColor="accent1"/>
      </w:rPr>
    </w:tblStylePr>
  </w:style>
  <w:style w:type="paragraph" w:customStyle="1" w:styleId="TableHead">
    <w:name w:val="Table Head"/>
    <w:basedOn w:val="Normal"/>
    <w:qFormat/>
    <w:rsid w:val="00122369"/>
    <w:rPr>
      <w:b/>
      <w:color w:val="FFFFFF" w:themeColor="background1"/>
      <w:lang w:val="en-AU"/>
    </w:rPr>
  </w:style>
  <w:style w:type="paragraph" w:customStyle="1" w:styleId="Tablebody">
    <w:name w:val="Table body"/>
    <w:basedOn w:val="Normal"/>
    <w:qFormat/>
    <w:rsid w:val="00A31926"/>
    <w:pPr>
      <w:spacing w:before="60" w:after="60"/>
    </w:pPr>
    <w:rPr>
      <w:lang w:val="en-AU"/>
    </w:rPr>
  </w:style>
  <w:style w:type="character" w:styleId="PageNumber">
    <w:name w:val="page number"/>
    <w:basedOn w:val="DefaultParagraphFont"/>
    <w:uiPriority w:val="99"/>
    <w:semiHidden/>
    <w:unhideWhenUsed/>
    <w:rsid w:val="00A31926"/>
  </w:style>
  <w:style w:type="paragraph" w:styleId="TOC3">
    <w:name w:val="toc 3"/>
    <w:basedOn w:val="Normal"/>
    <w:next w:val="Normal"/>
    <w:autoRedefine/>
    <w:uiPriority w:val="39"/>
    <w:unhideWhenUsed/>
    <w:rsid w:val="00607FD3"/>
    <w:pPr>
      <w:spacing w:line="240" w:lineRule="atLeast"/>
      <w:ind w:left="360"/>
    </w:pPr>
    <w:rPr>
      <w:rFonts w:ascii="Arial" w:eastAsiaTheme="minorEastAsia" w:hAnsi="Arial" w:cs="Arial"/>
      <w:szCs w:val="18"/>
      <w:lang w:val="en-US"/>
    </w:rPr>
  </w:style>
  <w:style w:type="paragraph" w:styleId="TOC1">
    <w:name w:val="toc 1"/>
    <w:basedOn w:val="Normal"/>
    <w:next w:val="Normal"/>
    <w:autoRedefine/>
    <w:uiPriority w:val="39"/>
    <w:unhideWhenUsed/>
    <w:rsid w:val="00607FD3"/>
    <w:pPr>
      <w:tabs>
        <w:tab w:val="right" w:leader="dot" w:pos="9639"/>
      </w:tabs>
      <w:spacing w:after="100" w:line="240" w:lineRule="atLeast"/>
    </w:pPr>
    <w:rPr>
      <w:rFonts w:ascii="Arial" w:eastAsiaTheme="minorEastAsia" w:hAnsi="Arial" w:cs="Arial"/>
      <w:b/>
      <w:color w:val="004EA8" w:themeColor="accent1"/>
      <w:szCs w:val="18"/>
      <w:lang w:val="en-US"/>
    </w:rPr>
  </w:style>
  <w:style w:type="paragraph" w:styleId="TOC2">
    <w:name w:val="toc 2"/>
    <w:basedOn w:val="Normal"/>
    <w:next w:val="Normal"/>
    <w:autoRedefine/>
    <w:uiPriority w:val="39"/>
    <w:unhideWhenUsed/>
    <w:rsid w:val="00607FD3"/>
    <w:pPr>
      <w:spacing w:after="100" w:line="240" w:lineRule="atLeast"/>
      <w:ind w:left="180"/>
    </w:pPr>
    <w:rPr>
      <w:rFonts w:ascii="Arial" w:eastAsiaTheme="minorEastAsia" w:hAnsi="Arial" w:cs="Arial"/>
      <w:color w:val="004EA8" w:themeColor="accent1"/>
      <w:szCs w:val="18"/>
      <w:lang w:val="en-US"/>
    </w:rPr>
  </w:style>
  <w:style w:type="paragraph" w:customStyle="1" w:styleId="Figuretitle">
    <w:name w:val="Figure title"/>
    <w:basedOn w:val="Normal"/>
    <w:qFormat/>
    <w:rsid w:val="00141F23"/>
    <w:rPr>
      <w:b/>
      <w:color w:val="004EA8" w:themeColor="accent1"/>
      <w:sz w:val="18"/>
      <w:szCs w:val="18"/>
      <w:lang w:val="en-AU"/>
    </w:rPr>
  </w:style>
  <w:style w:type="paragraph" w:styleId="FootnoteText">
    <w:name w:val="footnote text"/>
    <w:aliases w:val="fn,FT,ft,SD Footnote Text,Footnote Text AG"/>
    <w:basedOn w:val="Normal"/>
    <w:link w:val="FootnoteTextChar"/>
    <w:uiPriority w:val="99"/>
    <w:unhideWhenUsed/>
    <w:qFormat/>
    <w:rsid w:val="00B211E6"/>
    <w:pPr>
      <w:spacing w:after="40"/>
    </w:pPr>
    <w:rPr>
      <w:rFonts w:ascii="Arial" w:eastAsiaTheme="minorEastAsia" w:hAnsi="Arial" w:cs="Arial"/>
      <w:sz w:val="11"/>
      <w:szCs w:val="11"/>
      <w:lang w:val="en-US"/>
    </w:rPr>
  </w:style>
  <w:style w:type="character" w:customStyle="1" w:styleId="FootnoteTextChar">
    <w:name w:val="Footnote Text Char"/>
    <w:aliases w:val="fn Char,FT Char,ft Char,SD Footnote Text Char,Footnote Text AG Char"/>
    <w:basedOn w:val="DefaultParagraphFont"/>
    <w:link w:val="FootnoteText"/>
    <w:uiPriority w:val="99"/>
    <w:rsid w:val="00B211E6"/>
    <w:rPr>
      <w:rFonts w:ascii="Arial" w:eastAsiaTheme="minorEastAsia" w:hAnsi="Arial" w:cs="Arial"/>
      <w:sz w:val="11"/>
      <w:szCs w:val="11"/>
      <w:lang w:val="en-US"/>
    </w:rPr>
  </w:style>
  <w:style w:type="character" w:styleId="FootnoteReference">
    <w:name w:val="footnote reference"/>
    <w:aliases w:val="fr"/>
    <w:basedOn w:val="DefaultParagraphFont"/>
    <w:uiPriority w:val="99"/>
    <w:unhideWhenUsed/>
    <w:rsid w:val="00B211E6"/>
    <w:rPr>
      <w:color w:val="AF272F"/>
      <w:sz w:val="13"/>
      <w:szCs w:val="13"/>
      <w:vertAlign w:val="superscript"/>
    </w:rPr>
  </w:style>
  <w:style w:type="paragraph" w:customStyle="1" w:styleId="Covertitle">
    <w:name w:val="Cover title"/>
    <w:basedOn w:val="Normal"/>
    <w:qFormat/>
    <w:rsid w:val="0011713E"/>
    <w:pPr>
      <w:spacing w:after="180"/>
    </w:pPr>
    <w:rPr>
      <w:b/>
      <w:color w:val="FFFFFF" w:themeColor="background1"/>
      <w:sz w:val="44"/>
      <w:lang w:val="en-AU"/>
    </w:rPr>
  </w:style>
  <w:style w:type="paragraph" w:customStyle="1" w:styleId="Coversubtitle">
    <w:name w:val="Cover subtitle"/>
    <w:basedOn w:val="Covertitle"/>
    <w:qFormat/>
    <w:rsid w:val="0011713E"/>
    <w:rPr>
      <w:b w:val="0"/>
      <w:sz w:val="36"/>
    </w:rPr>
  </w:style>
  <w:style w:type="paragraph" w:customStyle="1" w:styleId="Alphabetlist">
    <w:name w:val="Alphabet list"/>
    <w:basedOn w:val="Normal"/>
    <w:qFormat/>
    <w:rsid w:val="00D013E1"/>
    <w:pPr>
      <w:numPr>
        <w:numId w:val="4"/>
      </w:numPr>
      <w:ind w:left="568" w:hanging="284"/>
    </w:pPr>
    <w:rPr>
      <w:lang w:val="en-AU"/>
    </w:rPr>
  </w:style>
  <w:style w:type="character" w:styleId="Hyperlink">
    <w:name w:val="Hyperlink"/>
    <w:basedOn w:val="DefaultParagraphFont"/>
    <w:uiPriority w:val="99"/>
    <w:unhideWhenUsed/>
    <w:qFormat/>
    <w:rsid w:val="00611DD6"/>
    <w:rPr>
      <w:rFonts w:ascii="Arial Narrow" w:hAnsi="Arial Narrow"/>
      <w:color w:val="004EA8" w:themeColor="hyperlink"/>
      <w:sz w:val="22"/>
      <w:u w:val="single"/>
    </w:rPr>
  </w:style>
  <w:style w:type="character" w:styleId="Strong">
    <w:name w:val="Strong"/>
    <w:basedOn w:val="DefaultParagraphFont"/>
    <w:uiPriority w:val="22"/>
    <w:qFormat/>
    <w:rsid w:val="00FF2F62"/>
    <w:rPr>
      <w:b/>
      <w:bCs/>
    </w:rPr>
  </w:style>
  <w:style w:type="character" w:customStyle="1" w:styleId="apple-converted-space">
    <w:name w:val="apple-converted-space"/>
    <w:basedOn w:val="DefaultParagraphFont"/>
    <w:rsid w:val="00FF2F62"/>
  </w:style>
  <w:style w:type="paragraph" w:styleId="ListParagraph">
    <w:name w:val="List Paragraph"/>
    <w:aliases w:val="List Paragraph1,List Paragraph11,Recommendation,Bullet point,L,DDM Gen Text,List Paragraph - bullets,NFP GP Bulleted List,bullet point list,Bullet points,Content descriptions,Bullet Point,Dot Points,Dot point 1.5 line spacing,列"/>
    <w:basedOn w:val="Normal"/>
    <w:link w:val="ListParagraphChar"/>
    <w:uiPriority w:val="34"/>
    <w:qFormat/>
    <w:rsid w:val="006D34E8"/>
    <w:pPr>
      <w:ind w:left="720"/>
      <w:contextualSpacing/>
    </w:pPr>
  </w:style>
  <w:style w:type="paragraph" w:customStyle="1" w:styleId="EYBodytextwithparaspace">
    <w:name w:val="EY Body text (with para space)"/>
    <w:basedOn w:val="Normal"/>
    <w:qFormat/>
    <w:rsid w:val="006D34E8"/>
    <w:pPr>
      <w:autoSpaceDE w:val="0"/>
      <w:autoSpaceDN w:val="0"/>
      <w:adjustRightInd w:val="0"/>
      <w:spacing w:after="240"/>
    </w:pPr>
    <w:rPr>
      <w:rFonts w:ascii="EYInterstate Light" w:eastAsia="Times New Roman" w:hAnsi="EYInterstate Light" w:cs="Times New Roman"/>
      <w:sz w:val="20"/>
      <w:szCs w:val="20"/>
      <w:lang w:val="en-AU"/>
    </w:rPr>
  </w:style>
  <w:style w:type="paragraph" w:customStyle="1" w:styleId="EYHeading1">
    <w:name w:val="EY Heading 1"/>
    <w:basedOn w:val="Normal"/>
    <w:next w:val="EYBodytextwithparaspace"/>
    <w:autoRedefine/>
    <w:qFormat/>
    <w:rsid w:val="00C01E92"/>
    <w:pPr>
      <w:pageBreakBefore/>
      <w:numPr>
        <w:numId w:val="8"/>
      </w:numPr>
      <w:spacing w:before="120"/>
      <w:outlineLvl w:val="0"/>
    </w:pPr>
    <w:rPr>
      <w:rFonts w:ascii="Arial" w:eastAsia="Times New Roman" w:hAnsi="Arial" w:cs="Times New Roman"/>
      <w:b/>
      <w:color w:val="747480"/>
      <w:sz w:val="24"/>
      <w:lang w:val="en-AU"/>
    </w:rPr>
  </w:style>
  <w:style w:type="paragraph" w:customStyle="1" w:styleId="EYHeading4">
    <w:name w:val="EY Heading 4"/>
    <w:basedOn w:val="Normal"/>
    <w:next w:val="EYBodytextwithparaspace"/>
    <w:qFormat/>
    <w:rsid w:val="00C01E92"/>
    <w:pPr>
      <w:keepNext/>
      <w:numPr>
        <w:ilvl w:val="3"/>
        <w:numId w:val="9"/>
      </w:numPr>
      <w:autoSpaceDE w:val="0"/>
      <w:autoSpaceDN w:val="0"/>
      <w:adjustRightInd w:val="0"/>
      <w:outlineLvl w:val="3"/>
    </w:pPr>
    <w:rPr>
      <w:rFonts w:ascii="EYInterstate Light" w:eastAsia="Times New Roman" w:hAnsi="EYInterstate Light" w:cs="Times New Roman"/>
      <w:b/>
      <w:lang w:val="en-AU"/>
    </w:rPr>
  </w:style>
  <w:style w:type="paragraph" w:customStyle="1" w:styleId="EYBulletnoparaspace">
    <w:name w:val="EY Bullet (no para space)"/>
    <w:basedOn w:val="Normal"/>
    <w:qFormat/>
    <w:rsid w:val="00C01E92"/>
    <w:pPr>
      <w:numPr>
        <w:numId w:val="11"/>
      </w:numPr>
      <w:spacing w:after="240"/>
      <w:contextualSpacing/>
    </w:pPr>
    <w:rPr>
      <w:rFonts w:ascii="EYInterstate Light" w:eastAsia="Times New Roman" w:hAnsi="EYInterstate Light" w:cs="Times New Roman"/>
      <w:sz w:val="20"/>
      <w:lang w:val="en-AU"/>
    </w:rPr>
  </w:style>
  <w:style w:type="numbering" w:customStyle="1" w:styleId="EYPlainBulletList">
    <w:name w:val="EYPlainBulletList"/>
    <w:uiPriority w:val="99"/>
    <w:rsid w:val="00C01E92"/>
    <w:pPr>
      <w:numPr>
        <w:numId w:val="10"/>
      </w:numPr>
    </w:pPr>
  </w:style>
  <w:style w:type="paragraph" w:customStyle="1" w:styleId="EYHeading2">
    <w:name w:val="EY Heading 2"/>
    <w:next w:val="EYBodytextwithparaspace"/>
    <w:autoRedefine/>
    <w:qFormat/>
    <w:rsid w:val="00C01E92"/>
    <w:pPr>
      <w:keepNext/>
      <w:numPr>
        <w:ilvl w:val="1"/>
        <w:numId w:val="9"/>
      </w:numPr>
      <w:spacing w:before="120" w:after="120"/>
      <w:outlineLvl w:val="1"/>
    </w:pPr>
    <w:rPr>
      <w:rFonts w:ascii="Arial" w:eastAsia="Times New Roman" w:hAnsi="Arial" w:cs="Times New Roman"/>
      <w:b/>
      <w:sz w:val="22"/>
      <w:lang w:val="en-AU"/>
    </w:rPr>
  </w:style>
  <w:style w:type="paragraph" w:customStyle="1" w:styleId="EYHeading3">
    <w:name w:val="EY Heading 3"/>
    <w:basedOn w:val="Normal"/>
    <w:next w:val="EYBodytextwithparaspace"/>
    <w:qFormat/>
    <w:rsid w:val="00C01E92"/>
    <w:pPr>
      <w:keepNext/>
      <w:numPr>
        <w:ilvl w:val="2"/>
        <w:numId w:val="9"/>
      </w:numPr>
      <w:autoSpaceDE w:val="0"/>
      <w:autoSpaceDN w:val="0"/>
      <w:adjustRightInd w:val="0"/>
      <w:spacing w:before="120"/>
      <w:outlineLvl w:val="2"/>
    </w:pPr>
    <w:rPr>
      <w:rFonts w:ascii="EYInterstate Light" w:eastAsia="Times New Roman" w:hAnsi="EYInterstate Light" w:cs="Times New Roman"/>
      <w:b/>
      <w:sz w:val="26"/>
      <w:lang w:val="en-AU"/>
    </w:rPr>
  </w:style>
  <w:style w:type="character" w:customStyle="1" w:styleId="Heading4Char">
    <w:name w:val="Heading 4 Char"/>
    <w:basedOn w:val="DefaultParagraphFont"/>
    <w:link w:val="Heading4"/>
    <w:rsid w:val="00C01E92"/>
    <w:rPr>
      <w:rFonts w:ascii="EYInterstate Light" w:eastAsia="Times New Roman" w:hAnsi="EYInterstate Light" w:cs="Times New Roman"/>
      <w:color w:val="000000"/>
      <w:szCs w:val="20"/>
      <w:lang w:val="en-AU"/>
    </w:rPr>
  </w:style>
  <w:style w:type="character" w:customStyle="1" w:styleId="Heading5Char">
    <w:name w:val="Heading 5 Char"/>
    <w:basedOn w:val="DefaultParagraphFont"/>
    <w:link w:val="Heading5"/>
    <w:rsid w:val="00C01E92"/>
    <w:rPr>
      <w:rFonts w:ascii="EYInterstate Light" w:eastAsia="Times New Roman" w:hAnsi="EYInterstate Light" w:cs="Times New Roman"/>
      <w:b/>
      <w:sz w:val="22"/>
      <w:szCs w:val="20"/>
      <w:lang w:val="en-AU"/>
    </w:rPr>
  </w:style>
  <w:style w:type="character" w:customStyle="1" w:styleId="Heading6Char">
    <w:name w:val="Heading 6 Char"/>
    <w:basedOn w:val="DefaultParagraphFont"/>
    <w:link w:val="Heading6"/>
    <w:rsid w:val="00C01E92"/>
    <w:rPr>
      <w:rFonts w:ascii="EYInterstate Light" w:eastAsia="Times New Roman" w:hAnsi="EYInterstate Light" w:cs="Times New Roman"/>
      <w:sz w:val="22"/>
      <w:szCs w:val="20"/>
      <w:lang w:val="en-AU"/>
    </w:rPr>
  </w:style>
  <w:style w:type="character" w:customStyle="1" w:styleId="Heading7Char">
    <w:name w:val="Heading 7 Char"/>
    <w:basedOn w:val="DefaultParagraphFont"/>
    <w:link w:val="Heading7"/>
    <w:rsid w:val="00C01E92"/>
    <w:rPr>
      <w:rFonts w:ascii="EYInterstate Light" w:eastAsia="Times New Roman" w:hAnsi="EYInterstate Light" w:cs="Times New Roman"/>
      <w:b/>
      <w:sz w:val="20"/>
      <w:szCs w:val="20"/>
      <w:lang w:val="en-AU"/>
    </w:rPr>
  </w:style>
  <w:style w:type="character" w:customStyle="1" w:styleId="Heading8Char">
    <w:name w:val="Heading 8 Char"/>
    <w:basedOn w:val="DefaultParagraphFont"/>
    <w:link w:val="Heading8"/>
    <w:rsid w:val="00C01E92"/>
    <w:rPr>
      <w:rFonts w:ascii="EYInterstate Light" w:eastAsia="Times New Roman" w:hAnsi="EYInterstate Light" w:cs="Times New Roman"/>
      <w:sz w:val="20"/>
      <w:szCs w:val="20"/>
      <w:lang w:val="en-AU"/>
    </w:rPr>
  </w:style>
  <w:style w:type="character" w:customStyle="1" w:styleId="Heading9Char">
    <w:name w:val="Heading 9 Char"/>
    <w:basedOn w:val="DefaultParagraphFont"/>
    <w:link w:val="Heading9"/>
    <w:rsid w:val="00C01E92"/>
    <w:rPr>
      <w:rFonts w:ascii="EYInterstate Light" w:eastAsia="Times New Roman" w:hAnsi="EYInterstate Light" w:cs="Times New Roman"/>
      <w:i/>
      <w:sz w:val="20"/>
      <w:szCs w:val="20"/>
      <w:lang w:val="en-AU"/>
    </w:rPr>
  </w:style>
  <w:style w:type="paragraph" w:customStyle="1" w:styleId="EYBodytextwithoutparaspace">
    <w:name w:val="EY Body text (without para space)"/>
    <w:basedOn w:val="EYNormal"/>
    <w:qFormat/>
    <w:rsid w:val="00C01E92"/>
  </w:style>
  <w:style w:type="paragraph" w:customStyle="1" w:styleId="EYAppendix">
    <w:name w:val="EY Appendix"/>
    <w:basedOn w:val="EYNormal"/>
    <w:next w:val="EYBodytextwithparaspace"/>
    <w:qFormat/>
    <w:rsid w:val="00C01E92"/>
    <w:pPr>
      <w:numPr>
        <w:numId w:val="13"/>
      </w:numPr>
      <w:autoSpaceDE/>
      <w:autoSpaceDN/>
      <w:adjustRightInd/>
      <w:spacing w:after="360"/>
      <w:outlineLvl w:val="0"/>
    </w:pPr>
    <w:rPr>
      <w:b/>
      <w:color w:val="747480"/>
      <w:sz w:val="32"/>
      <w:szCs w:val="24"/>
    </w:rPr>
  </w:style>
  <w:style w:type="paragraph" w:customStyle="1" w:styleId="EYContents">
    <w:name w:val="EY Contents"/>
    <w:basedOn w:val="EYNormal"/>
    <w:next w:val="EYBodytextwithparaspace"/>
    <w:rsid w:val="00C01E92"/>
    <w:pPr>
      <w:keepNext/>
      <w:spacing w:after="240"/>
    </w:pPr>
    <w:rPr>
      <w:rFonts w:ascii="EYInterstate Regular" w:hAnsi="EYInterstate Regular"/>
      <w:color w:val="747480"/>
      <w:sz w:val="28"/>
      <w:szCs w:val="24"/>
    </w:rPr>
  </w:style>
  <w:style w:type="paragraph" w:customStyle="1" w:styleId="EYCoverTitle">
    <w:name w:val="EY Cover Title"/>
    <w:basedOn w:val="Normal"/>
    <w:rsid w:val="00C01E92"/>
    <w:pPr>
      <w:tabs>
        <w:tab w:val="right" w:pos="6750"/>
      </w:tabs>
      <w:autoSpaceDE w:val="0"/>
      <w:autoSpaceDN w:val="0"/>
      <w:adjustRightInd w:val="0"/>
      <w:spacing w:line="560" w:lineRule="atLeast"/>
    </w:pPr>
    <w:rPr>
      <w:rFonts w:ascii="EYInterstate Light" w:eastAsia="Times New Roman" w:hAnsi="EYInterstate Light" w:cs="Times New Roman"/>
      <w:color w:val="2E2E38"/>
      <w:sz w:val="48"/>
      <w:szCs w:val="48"/>
      <w:lang w:val="en-AU"/>
    </w:rPr>
  </w:style>
  <w:style w:type="paragraph" w:customStyle="1" w:styleId="EYIndent1">
    <w:name w:val="EY Indent 1"/>
    <w:basedOn w:val="EYNormal"/>
    <w:qFormat/>
    <w:rsid w:val="00C01E92"/>
    <w:pPr>
      <w:autoSpaceDE/>
      <w:autoSpaceDN/>
      <w:adjustRightInd/>
      <w:spacing w:after="240"/>
      <w:ind w:left="425"/>
    </w:pPr>
    <w:rPr>
      <w:kern w:val="12"/>
      <w:szCs w:val="24"/>
      <w:lang w:eastAsia="en-AU"/>
    </w:rPr>
  </w:style>
  <w:style w:type="paragraph" w:customStyle="1" w:styleId="EYSource">
    <w:name w:val="EY Source"/>
    <w:basedOn w:val="EYNormal"/>
    <w:next w:val="EYBodytextwithparaspace"/>
    <w:qFormat/>
    <w:rsid w:val="00C01E92"/>
    <w:pPr>
      <w:autoSpaceDE/>
      <w:autoSpaceDN/>
      <w:adjustRightInd/>
      <w:spacing w:before="60" w:after="60"/>
    </w:pPr>
    <w:rPr>
      <w:i/>
      <w:sz w:val="16"/>
      <w:szCs w:val="24"/>
    </w:rPr>
  </w:style>
  <w:style w:type="paragraph" w:customStyle="1" w:styleId="EYTableText">
    <w:name w:val="EY Table Text"/>
    <w:basedOn w:val="EYTableNormal"/>
    <w:qFormat/>
    <w:rsid w:val="00C01E92"/>
    <w:pPr>
      <w:spacing w:before="60" w:after="60"/>
    </w:pPr>
  </w:style>
  <w:style w:type="paragraph" w:customStyle="1" w:styleId="EYTableHeading">
    <w:name w:val="EY Table Heading"/>
    <w:basedOn w:val="EYTableNormal"/>
    <w:qFormat/>
    <w:rsid w:val="00C01E92"/>
    <w:pPr>
      <w:spacing w:before="60" w:after="60"/>
    </w:pPr>
    <w:rPr>
      <w:b/>
      <w:color w:val="747480"/>
    </w:rPr>
  </w:style>
  <w:style w:type="paragraph" w:customStyle="1" w:styleId="EYTabletextbold">
    <w:name w:val="EY Table text bold"/>
    <w:basedOn w:val="EYTableNormal"/>
    <w:next w:val="EYTableText"/>
    <w:rsid w:val="00C01E92"/>
    <w:pPr>
      <w:spacing w:before="60" w:after="60"/>
    </w:pPr>
    <w:rPr>
      <w:b/>
    </w:rPr>
  </w:style>
  <w:style w:type="paragraph" w:customStyle="1" w:styleId="EYTableHeadingWhite">
    <w:name w:val="EY Table Heading (White)"/>
    <w:basedOn w:val="EYTableNormal"/>
    <w:qFormat/>
    <w:rsid w:val="00C01E92"/>
    <w:pPr>
      <w:spacing w:before="60" w:after="60"/>
    </w:pPr>
    <w:rPr>
      <w:b/>
      <w:bCs/>
      <w:color w:val="FFFFFF"/>
    </w:rPr>
  </w:style>
  <w:style w:type="paragraph" w:customStyle="1" w:styleId="EYCoverDate">
    <w:name w:val="EY Cover Date"/>
    <w:basedOn w:val="EYNormal"/>
    <w:rsid w:val="00C01E92"/>
    <w:pPr>
      <w:autoSpaceDE/>
      <w:autoSpaceDN/>
      <w:adjustRightInd/>
      <w:spacing w:line="320" w:lineRule="atLeast"/>
    </w:pPr>
    <w:rPr>
      <w:b/>
      <w:color w:val="2E2E38"/>
      <w:sz w:val="24"/>
      <w:szCs w:val="24"/>
    </w:rPr>
  </w:style>
  <w:style w:type="paragraph" w:customStyle="1" w:styleId="EYCoverSubTitle">
    <w:name w:val="EY Cover SubTitle"/>
    <w:basedOn w:val="EYNormal"/>
    <w:rsid w:val="00C01E92"/>
    <w:pPr>
      <w:spacing w:after="120" w:line="360" w:lineRule="atLeast"/>
    </w:pPr>
    <w:rPr>
      <w:rFonts w:ascii="EYInterstate Regular" w:hAnsi="EYInterstate Regular"/>
      <w:color w:val="2E2E38"/>
      <w:sz w:val="28"/>
      <w:szCs w:val="24"/>
    </w:rPr>
  </w:style>
  <w:style w:type="character" w:customStyle="1" w:styleId="FootnoteTextChar1">
    <w:name w:val="Footnote Text Char1"/>
    <w:basedOn w:val="DefaultParagraphFont"/>
    <w:uiPriority w:val="99"/>
    <w:semiHidden/>
    <w:rsid w:val="00C01E92"/>
    <w:rPr>
      <w:lang w:val="en-AU"/>
    </w:rPr>
  </w:style>
  <w:style w:type="paragraph" w:customStyle="1" w:styleId="EYBulletedText1">
    <w:name w:val="EY Bulleted Text 1"/>
    <w:basedOn w:val="EYNormal"/>
    <w:qFormat/>
    <w:rsid w:val="00C01E92"/>
    <w:pPr>
      <w:numPr>
        <w:numId w:val="63"/>
      </w:numPr>
      <w:autoSpaceDE/>
      <w:autoSpaceDN/>
      <w:adjustRightInd/>
      <w:spacing w:after="240"/>
    </w:pPr>
    <w:rPr>
      <w:szCs w:val="24"/>
    </w:rPr>
  </w:style>
  <w:style w:type="paragraph" w:customStyle="1" w:styleId="EYBulletedText2">
    <w:name w:val="EY Bulleted Text 2"/>
    <w:basedOn w:val="EYNormal"/>
    <w:qFormat/>
    <w:rsid w:val="00C01E92"/>
    <w:pPr>
      <w:numPr>
        <w:ilvl w:val="1"/>
        <w:numId w:val="63"/>
      </w:numPr>
      <w:suppressAutoHyphens/>
      <w:autoSpaceDE/>
      <w:autoSpaceDN/>
      <w:adjustRightInd/>
      <w:spacing w:after="240"/>
    </w:pPr>
    <w:rPr>
      <w:kern w:val="12"/>
      <w:szCs w:val="24"/>
    </w:rPr>
  </w:style>
  <w:style w:type="paragraph" w:customStyle="1" w:styleId="EYBulletedText3">
    <w:name w:val="EY Bulleted Text 3"/>
    <w:basedOn w:val="EYNormal"/>
    <w:qFormat/>
    <w:rsid w:val="00C01E92"/>
    <w:pPr>
      <w:numPr>
        <w:ilvl w:val="2"/>
        <w:numId w:val="63"/>
      </w:numPr>
      <w:spacing w:after="240"/>
    </w:pPr>
    <w:rPr>
      <w:szCs w:val="24"/>
    </w:rPr>
  </w:style>
  <w:style w:type="paragraph" w:customStyle="1" w:styleId="EYLeader">
    <w:name w:val="EY Leader"/>
    <w:basedOn w:val="EYNormal"/>
    <w:next w:val="EYBodytextwithparaspace"/>
    <w:qFormat/>
    <w:rsid w:val="00C01E92"/>
    <w:pPr>
      <w:spacing w:after="280" w:line="280" w:lineRule="atLeast"/>
    </w:pPr>
    <w:rPr>
      <w:color w:val="747480"/>
      <w:sz w:val="24"/>
    </w:rPr>
  </w:style>
  <w:style w:type="paragraph" w:customStyle="1" w:styleId="EY1Number">
    <w:name w:val="EY1 ( Number)"/>
    <w:basedOn w:val="EYNormal"/>
    <w:qFormat/>
    <w:rsid w:val="00C01E92"/>
    <w:pPr>
      <w:numPr>
        <w:numId w:val="15"/>
      </w:numPr>
      <w:autoSpaceDE/>
      <w:autoSpaceDN/>
      <w:adjustRightInd/>
      <w:spacing w:after="240"/>
    </w:pPr>
    <w:rPr>
      <w:kern w:val="12"/>
      <w:szCs w:val="24"/>
      <w:lang w:eastAsia="en-AU"/>
    </w:rPr>
  </w:style>
  <w:style w:type="paragraph" w:customStyle="1" w:styleId="EY2Letter">
    <w:name w:val="EY2 ( Letter)"/>
    <w:basedOn w:val="EY1Number"/>
    <w:qFormat/>
    <w:rsid w:val="00C01E92"/>
    <w:pPr>
      <w:numPr>
        <w:ilvl w:val="1"/>
      </w:numPr>
    </w:pPr>
  </w:style>
  <w:style w:type="paragraph" w:customStyle="1" w:styleId="EY3Roman">
    <w:name w:val="EY3 (Roman)"/>
    <w:basedOn w:val="EY1Number"/>
    <w:qFormat/>
    <w:rsid w:val="00C01E92"/>
    <w:pPr>
      <w:numPr>
        <w:ilvl w:val="2"/>
      </w:numPr>
    </w:pPr>
  </w:style>
  <w:style w:type="numbering" w:customStyle="1" w:styleId="EYBulletList">
    <w:name w:val="EYBulletList"/>
    <w:uiPriority w:val="99"/>
    <w:rsid w:val="00C01E92"/>
    <w:pPr>
      <w:numPr>
        <w:numId w:val="16"/>
      </w:numPr>
    </w:pPr>
  </w:style>
  <w:style w:type="numbering" w:customStyle="1" w:styleId="EYAlphaNumList">
    <w:name w:val="EYAlphaNumList"/>
    <w:uiPriority w:val="99"/>
    <w:rsid w:val="00C01E92"/>
    <w:pPr>
      <w:numPr>
        <w:numId w:val="15"/>
      </w:numPr>
    </w:pPr>
  </w:style>
  <w:style w:type="paragraph" w:customStyle="1" w:styleId="EYNormal">
    <w:name w:val="EY Normal"/>
    <w:basedOn w:val="Normal"/>
    <w:rsid w:val="00C01E92"/>
    <w:pPr>
      <w:autoSpaceDE w:val="0"/>
      <w:autoSpaceDN w:val="0"/>
      <w:adjustRightInd w:val="0"/>
      <w:spacing w:after="0"/>
    </w:pPr>
    <w:rPr>
      <w:rFonts w:ascii="EYInterstate Light" w:eastAsia="Times New Roman" w:hAnsi="EYInterstate Light" w:cs="Times New Roman"/>
      <w:sz w:val="20"/>
      <w:szCs w:val="20"/>
      <w:lang w:val="en-AU"/>
    </w:rPr>
  </w:style>
  <w:style w:type="paragraph" w:customStyle="1" w:styleId="EYAppendixHeading2">
    <w:name w:val="EY Appendix Heading 2"/>
    <w:basedOn w:val="EYNormal"/>
    <w:next w:val="EYBodytextwithparaspace"/>
    <w:qFormat/>
    <w:rsid w:val="00C01E92"/>
    <w:pPr>
      <w:keepNext/>
      <w:autoSpaceDE/>
      <w:autoSpaceDN/>
      <w:adjustRightInd/>
      <w:spacing w:after="120"/>
    </w:pPr>
    <w:rPr>
      <w:b/>
      <w:sz w:val="28"/>
      <w:szCs w:val="24"/>
    </w:rPr>
  </w:style>
  <w:style w:type="paragraph" w:customStyle="1" w:styleId="EYAppendixHeading3">
    <w:name w:val="EY Appendix Heading 3"/>
    <w:basedOn w:val="EYNormal"/>
    <w:next w:val="EYBodytextwithparaspace"/>
    <w:qFormat/>
    <w:rsid w:val="00C01E92"/>
    <w:pPr>
      <w:keepNext/>
      <w:autoSpaceDE/>
      <w:autoSpaceDN/>
      <w:adjustRightInd/>
      <w:spacing w:after="120"/>
    </w:pPr>
    <w:rPr>
      <w:b/>
      <w:sz w:val="26"/>
      <w:szCs w:val="24"/>
    </w:rPr>
  </w:style>
  <w:style w:type="paragraph" w:customStyle="1" w:styleId="EYBusinessaddress">
    <w:name w:val="EY Business address"/>
    <w:basedOn w:val="Normal"/>
    <w:rsid w:val="00C01E92"/>
    <w:pPr>
      <w:autoSpaceDE w:val="0"/>
      <w:autoSpaceDN w:val="0"/>
      <w:adjustRightInd w:val="0"/>
      <w:spacing w:after="0" w:line="170" w:lineRule="atLeast"/>
    </w:pPr>
    <w:rPr>
      <w:rFonts w:ascii="EYInterstate Light" w:eastAsia="Times New Roman" w:hAnsi="EYInterstate Light" w:cs="Times New Roman"/>
      <w:color w:val="666666"/>
      <w:sz w:val="15"/>
      <w:lang w:val="en-AU"/>
    </w:rPr>
  </w:style>
  <w:style w:type="paragraph" w:customStyle="1" w:styleId="EYBusinessaddressbold">
    <w:name w:val="EY Business address (bold)"/>
    <w:basedOn w:val="EYBusinessaddress"/>
    <w:next w:val="EYBusinessaddress"/>
    <w:rsid w:val="00C01E92"/>
    <w:rPr>
      <w:b/>
    </w:rPr>
  </w:style>
  <w:style w:type="paragraph" w:customStyle="1" w:styleId="EYIndent2">
    <w:name w:val="EY Indent 2"/>
    <w:basedOn w:val="EYIndent1"/>
    <w:qFormat/>
    <w:rsid w:val="00C01E92"/>
    <w:pPr>
      <w:ind w:left="851"/>
    </w:pPr>
  </w:style>
  <w:style w:type="paragraph" w:customStyle="1" w:styleId="EYIndent3">
    <w:name w:val="EY Indent 3"/>
    <w:basedOn w:val="EYIndent1"/>
    <w:qFormat/>
    <w:rsid w:val="00C01E92"/>
    <w:pPr>
      <w:ind w:left="1276"/>
    </w:pPr>
  </w:style>
  <w:style w:type="paragraph" w:customStyle="1" w:styleId="EYSubheading">
    <w:name w:val="EY Subheading"/>
    <w:basedOn w:val="EYNormal"/>
    <w:next w:val="EYBodytextwithparaspace"/>
    <w:qFormat/>
    <w:rsid w:val="00C01E92"/>
    <w:pPr>
      <w:keepNext/>
      <w:autoSpaceDE/>
      <w:autoSpaceDN/>
      <w:adjustRightInd/>
      <w:spacing w:after="120"/>
    </w:pPr>
    <w:rPr>
      <w:b/>
      <w:kern w:val="12"/>
      <w:szCs w:val="24"/>
      <w:lang w:eastAsia="en-AU"/>
    </w:rPr>
  </w:style>
  <w:style w:type="paragraph" w:customStyle="1" w:styleId="EYTableNormal">
    <w:name w:val="EY Table Normal"/>
    <w:basedOn w:val="Normal"/>
    <w:rsid w:val="00C01E92"/>
    <w:pPr>
      <w:spacing w:after="0"/>
    </w:pPr>
    <w:rPr>
      <w:rFonts w:ascii="EYInterstate Light" w:eastAsia="Times New Roman" w:hAnsi="EYInterstate Light" w:cs="Times New Roman"/>
      <w:sz w:val="16"/>
      <w:lang w:val="en-AU"/>
    </w:rPr>
  </w:style>
  <w:style w:type="paragraph" w:customStyle="1" w:styleId="EYTablebullet1">
    <w:name w:val="EY Table bullet 1"/>
    <w:basedOn w:val="EYTableNormal"/>
    <w:qFormat/>
    <w:rsid w:val="00C01E92"/>
    <w:pPr>
      <w:numPr>
        <w:numId w:val="14"/>
      </w:numPr>
      <w:spacing w:before="60" w:after="60"/>
    </w:pPr>
    <w:rPr>
      <w:lang w:eastAsia="en-AU"/>
    </w:rPr>
  </w:style>
  <w:style w:type="paragraph" w:customStyle="1" w:styleId="EYTablebullet2">
    <w:name w:val="EY Table bullet 2"/>
    <w:basedOn w:val="EYTableNormal"/>
    <w:qFormat/>
    <w:rsid w:val="00C01E92"/>
    <w:pPr>
      <w:numPr>
        <w:ilvl w:val="1"/>
        <w:numId w:val="14"/>
      </w:numPr>
      <w:spacing w:before="60" w:after="60"/>
    </w:pPr>
  </w:style>
  <w:style w:type="paragraph" w:styleId="TOC4">
    <w:name w:val="toc 4"/>
    <w:basedOn w:val="Normal"/>
    <w:next w:val="Normal"/>
    <w:uiPriority w:val="39"/>
    <w:rsid w:val="00C01E92"/>
    <w:pPr>
      <w:tabs>
        <w:tab w:val="left" w:pos="1680"/>
        <w:tab w:val="right" w:leader="dot" w:pos="13892"/>
      </w:tabs>
      <w:snapToGrid w:val="0"/>
      <w:spacing w:before="60" w:after="0"/>
      <w:ind w:left="601"/>
    </w:pPr>
    <w:rPr>
      <w:rFonts w:ascii="EYInterstate Light" w:eastAsia="Times New Roman" w:hAnsi="EYInterstate Light" w:cs="Arial"/>
      <w:noProof/>
      <w:sz w:val="20"/>
      <w:lang w:val="en-AU" w:eastAsia="en-GB"/>
    </w:rPr>
  </w:style>
  <w:style w:type="paragraph" w:styleId="BalloonText">
    <w:name w:val="Balloon Text"/>
    <w:basedOn w:val="Normal"/>
    <w:link w:val="BalloonTextChar"/>
    <w:uiPriority w:val="99"/>
    <w:semiHidden/>
    <w:rsid w:val="00C01E92"/>
    <w:pPr>
      <w:autoSpaceDE w:val="0"/>
      <w:autoSpaceDN w:val="0"/>
      <w:adjustRightInd w:val="0"/>
      <w:spacing w:after="0"/>
    </w:pPr>
    <w:rPr>
      <w:rFonts w:ascii="Tahoma" w:eastAsia="Times New Roman" w:hAnsi="Tahoma" w:cs="Tahoma"/>
      <w:sz w:val="16"/>
      <w:szCs w:val="16"/>
      <w:lang w:val="en-AU"/>
    </w:rPr>
  </w:style>
  <w:style w:type="character" w:customStyle="1" w:styleId="BalloonTextChar">
    <w:name w:val="Balloon Text Char"/>
    <w:basedOn w:val="DefaultParagraphFont"/>
    <w:link w:val="BalloonText"/>
    <w:uiPriority w:val="99"/>
    <w:semiHidden/>
    <w:rsid w:val="00C01E92"/>
    <w:rPr>
      <w:rFonts w:ascii="Tahoma" w:eastAsia="Times New Roman" w:hAnsi="Tahoma" w:cs="Tahoma"/>
      <w:sz w:val="16"/>
      <w:szCs w:val="16"/>
      <w:lang w:val="en-AU"/>
    </w:rPr>
  </w:style>
  <w:style w:type="character" w:styleId="EndnoteReference">
    <w:name w:val="endnote reference"/>
    <w:basedOn w:val="DefaultParagraphFont"/>
    <w:semiHidden/>
    <w:rsid w:val="00C01E92"/>
    <w:rPr>
      <w:vertAlign w:val="superscript"/>
    </w:rPr>
  </w:style>
  <w:style w:type="paragraph" w:styleId="EndnoteText">
    <w:name w:val="endnote text"/>
    <w:basedOn w:val="Normal"/>
    <w:link w:val="EndnoteTextChar"/>
    <w:semiHidden/>
    <w:rsid w:val="00C01E92"/>
    <w:pPr>
      <w:autoSpaceDE w:val="0"/>
      <w:autoSpaceDN w:val="0"/>
      <w:adjustRightInd w:val="0"/>
      <w:spacing w:after="0"/>
    </w:pPr>
    <w:rPr>
      <w:rFonts w:ascii="EYInterstate Light" w:eastAsia="Times New Roman" w:hAnsi="EYInterstate Light" w:cs="Times New Roman"/>
      <w:sz w:val="20"/>
      <w:szCs w:val="20"/>
      <w:lang w:val="en-AU"/>
    </w:rPr>
  </w:style>
  <w:style w:type="character" w:customStyle="1" w:styleId="EndnoteTextChar">
    <w:name w:val="Endnote Text Char"/>
    <w:basedOn w:val="DefaultParagraphFont"/>
    <w:link w:val="EndnoteText"/>
    <w:semiHidden/>
    <w:rsid w:val="00C01E92"/>
    <w:rPr>
      <w:rFonts w:ascii="EYInterstate Light" w:eastAsia="Times New Roman" w:hAnsi="EYInterstate Light" w:cs="Times New Roman"/>
      <w:sz w:val="20"/>
      <w:szCs w:val="20"/>
      <w:lang w:val="en-AU"/>
    </w:rPr>
  </w:style>
  <w:style w:type="numbering" w:customStyle="1" w:styleId="StyleNumbered">
    <w:name w:val="Style Numbered"/>
    <w:basedOn w:val="NoList"/>
    <w:rsid w:val="00C01E92"/>
    <w:pPr>
      <w:numPr>
        <w:numId w:val="17"/>
      </w:numPr>
    </w:pPr>
  </w:style>
  <w:style w:type="paragraph" w:styleId="Caption">
    <w:name w:val="caption"/>
    <w:basedOn w:val="Normal"/>
    <w:next w:val="Normal"/>
    <w:autoRedefine/>
    <w:uiPriority w:val="35"/>
    <w:unhideWhenUsed/>
    <w:qFormat/>
    <w:rsid w:val="00F7569F"/>
    <w:pPr>
      <w:keepNext/>
      <w:autoSpaceDE w:val="0"/>
      <w:autoSpaceDN w:val="0"/>
      <w:adjustRightInd w:val="0"/>
      <w:spacing w:before="120"/>
    </w:pPr>
    <w:rPr>
      <w:rFonts w:ascii="Arial Narrow" w:eastAsia="Times New Roman" w:hAnsi="Arial Narrow" w:cs="Times New Roman"/>
      <w:bCs/>
      <w:color w:val="000000" w:themeColor="text1"/>
      <w:szCs w:val="18"/>
      <w:lang w:val="en-AU"/>
    </w:rPr>
  </w:style>
  <w:style w:type="paragraph" w:styleId="NormalWeb">
    <w:name w:val="Normal (Web)"/>
    <w:basedOn w:val="Normal"/>
    <w:uiPriority w:val="99"/>
    <w:unhideWhenUsed/>
    <w:rsid w:val="00C01E92"/>
    <w:pPr>
      <w:spacing w:before="100" w:beforeAutospacing="1" w:after="100" w:afterAutospacing="1"/>
    </w:pPr>
    <w:rPr>
      <w:rFonts w:ascii="Times New Roman" w:eastAsia="Times New Roman" w:hAnsi="Times New Roman" w:cs="Times New Roman"/>
      <w:sz w:val="24"/>
      <w:lang w:val="en-AU" w:eastAsia="en-AU"/>
    </w:rPr>
  </w:style>
  <w:style w:type="character" w:styleId="CommentReference">
    <w:name w:val="annotation reference"/>
    <w:basedOn w:val="DefaultParagraphFont"/>
    <w:semiHidden/>
    <w:unhideWhenUsed/>
    <w:rsid w:val="00C01E92"/>
    <w:rPr>
      <w:sz w:val="16"/>
      <w:szCs w:val="16"/>
    </w:rPr>
  </w:style>
  <w:style w:type="paragraph" w:styleId="CommentText">
    <w:name w:val="annotation text"/>
    <w:basedOn w:val="Normal"/>
    <w:link w:val="CommentTextChar"/>
    <w:unhideWhenUsed/>
    <w:rsid w:val="00C01E92"/>
    <w:pPr>
      <w:autoSpaceDE w:val="0"/>
      <w:autoSpaceDN w:val="0"/>
      <w:adjustRightInd w:val="0"/>
      <w:spacing w:after="0"/>
    </w:pPr>
    <w:rPr>
      <w:rFonts w:ascii="EYInterstate Light" w:eastAsia="Times New Roman" w:hAnsi="EYInterstate Light" w:cs="Times New Roman"/>
      <w:sz w:val="20"/>
      <w:szCs w:val="20"/>
      <w:lang w:val="en-AU"/>
    </w:rPr>
  </w:style>
  <w:style w:type="character" w:customStyle="1" w:styleId="CommentTextChar">
    <w:name w:val="Comment Text Char"/>
    <w:basedOn w:val="DefaultParagraphFont"/>
    <w:link w:val="CommentText"/>
    <w:rsid w:val="00C01E92"/>
    <w:rPr>
      <w:rFonts w:ascii="EYInterstate Light" w:eastAsia="Times New Roman" w:hAnsi="EYInterstate Light"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C01E92"/>
    <w:rPr>
      <w:b/>
      <w:bCs/>
    </w:rPr>
  </w:style>
  <w:style w:type="character" w:customStyle="1" w:styleId="CommentSubjectChar">
    <w:name w:val="Comment Subject Char"/>
    <w:basedOn w:val="CommentTextChar"/>
    <w:link w:val="CommentSubject"/>
    <w:uiPriority w:val="99"/>
    <w:semiHidden/>
    <w:rsid w:val="00C01E92"/>
    <w:rPr>
      <w:rFonts w:ascii="EYInterstate Light" w:eastAsia="Times New Roman" w:hAnsi="EYInterstate Light" w:cs="Times New Roman"/>
      <w:b/>
      <w:bCs/>
      <w:sz w:val="20"/>
      <w:szCs w:val="20"/>
      <w:lang w:val="en-AU"/>
    </w:rPr>
  </w:style>
  <w:style w:type="table" w:styleId="TableGridLight">
    <w:name w:val="Grid Table Light"/>
    <w:basedOn w:val="TableNormal"/>
    <w:uiPriority w:val="40"/>
    <w:rsid w:val="00C01E92"/>
    <w:rPr>
      <w:rFonts w:ascii="EYInterstate Light" w:eastAsia="Times New Roman" w:hAnsi="EYInterstate Light" w:cs="Times New Roman"/>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99"/>
    <w:unhideWhenUsed/>
    <w:rsid w:val="00C01E92"/>
    <w:pPr>
      <w:numPr>
        <w:numId w:val="18"/>
      </w:numPr>
      <w:spacing w:after="60"/>
    </w:pPr>
    <w:rPr>
      <w:rFonts w:ascii="Arial" w:eastAsia="Times New Roman" w:hAnsi="Arial" w:cs="Times New Roman"/>
      <w:color w:val="53565A"/>
      <w:sz w:val="18"/>
      <w:szCs w:val="20"/>
      <w:lang w:val="en-AU"/>
    </w:rPr>
  </w:style>
  <w:style w:type="table" w:styleId="PlainTable4">
    <w:name w:val="Plain Table 4"/>
    <w:basedOn w:val="TableNormal"/>
    <w:uiPriority w:val="44"/>
    <w:rsid w:val="00C01E92"/>
    <w:rPr>
      <w:rFonts w:ascii="EYInterstate Light" w:eastAsia="Times New Roman" w:hAnsi="EYInterstate Light" w:cs="Times New Roman"/>
      <w:sz w:val="20"/>
      <w:szCs w:val="20"/>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C01E92"/>
    <w:rPr>
      <w:color w:val="605E5C"/>
      <w:shd w:val="clear" w:color="auto" w:fill="E1DFDD"/>
    </w:rPr>
  </w:style>
  <w:style w:type="paragraph" w:styleId="TableofFigures">
    <w:name w:val="table of figures"/>
    <w:basedOn w:val="Normal"/>
    <w:next w:val="Normal"/>
    <w:autoRedefine/>
    <w:uiPriority w:val="99"/>
    <w:unhideWhenUsed/>
    <w:rsid w:val="00611DD6"/>
    <w:pPr>
      <w:autoSpaceDE w:val="0"/>
      <w:autoSpaceDN w:val="0"/>
      <w:adjustRightInd w:val="0"/>
      <w:spacing w:after="0"/>
    </w:pPr>
    <w:rPr>
      <w:rFonts w:ascii="Arial" w:eastAsia="Times New Roman" w:hAnsi="Arial" w:cs="Times New Roman"/>
      <w:sz w:val="20"/>
      <w:szCs w:val="20"/>
      <w:lang w:val="en-AU"/>
    </w:rPr>
  </w:style>
  <w:style w:type="character" w:customStyle="1" w:styleId="ListParagraphChar">
    <w:name w:val="List Paragraph Char"/>
    <w:aliases w:val="List Paragraph1 Char,List Paragraph11 Char,Recommendation Char,Bullet point Char,L Char,DDM Gen Text Char,List Paragraph - bullets Char,NFP GP Bulleted List Char,bullet point list Char,Bullet points Char,Content descriptions Char"/>
    <w:basedOn w:val="DefaultParagraphFont"/>
    <w:link w:val="ListParagraph"/>
    <w:uiPriority w:val="34"/>
    <w:locked/>
    <w:rsid w:val="00C01E92"/>
    <w:rPr>
      <w:sz w:val="22"/>
    </w:rPr>
  </w:style>
  <w:style w:type="paragraph" w:styleId="Revision">
    <w:name w:val="Revision"/>
    <w:hidden/>
    <w:uiPriority w:val="99"/>
    <w:semiHidden/>
    <w:rsid w:val="00C01E92"/>
    <w:rPr>
      <w:rFonts w:ascii="EYInterstate Light" w:eastAsia="Times New Roman" w:hAnsi="EYInterstate Light" w:cs="Times New Roman"/>
      <w:sz w:val="20"/>
      <w:szCs w:val="20"/>
      <w:lang w:val="en-AU"/>
    </w:rPr>
  </w:style>
  <w:style w:type="table" w:customStyle="1" w:styleId="TableGrid1">
    <w:name w:val="Table Grid1"/>
    <w:basedOn w:val="TableNormal"/>
    <w:next w:val="TableGrid"/>
    <w:uiPriority w:val="39"/>
    <w:rsid w:val="00C01E92"/>
    <w:rPr>
      <w:rFonts w:ascii="EYInterstate Light" w:eastAsia="Times New Roman" w:hAnsi="EYInterstate Light"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01E92"/>
    <w:rPr>
      <w:rFonts w:ascii="EYInterstate Light" w:eastAsia="Times New Roman" w:hAnsi="EYInterstate Light"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C01E92"/>
    <w:rPr>
      <w:rFonts w:ascii="EYInterstate Light" w:eastAsia="Times New Roman" w:hAnsi="EYInterstate Light"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01E92"/>
    <w:rPr>
      <w:rFonts w:ascii="EYInterstate Light" w:eastAsia="Times New Roman" w:hAnsi="EYInterstate Light"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C01E92"/>
    <w:rPr>
      <w:rFonts w:ascii="EYInterstate Light" w:eastAsia="Times New Roman" w:hAnsi="EYInterstate Light"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C01E92"/>
    <w:rPr>
      <w:rFonts w:ascii="EYInterstate Light" w:eastAsia="Times New Roman" w:hAnsi="EYInterstate Light"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C01E92"/>
    <w:rPr>
      <w:rFonts w:ascii="EYInterstate Light" w:eastAsia="Times New Roman" w:hAnsi="EYInterstate Light"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C01E92"/>
    <w:rPr>
      <w:rFonts w:ascii="EYInterstate Light" w:eastAsia="Times New Roman" w:hAnsi="EYInterstate Light"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C01E92"/>
    <w:rPr>
      <w:rFonts w:ascii="EYInterstate Light" w:eastAsia="Times New Roman" w:hAnsi="EYInterstate Light"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C01E92"/>
    <w:rPr>
      <w:rFonts w:ascii="EYInterstate Light" w:eastAsia="Times New Roman" w:hAnsi="EYInterstate Light"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C01E92"/>
    <w:rPr>
      <w:rFonts w:ascii="EYInterstate Light" w:eastAsia="Times New Roman" w:hAnsi="EYInterstate Light"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C01E92"/>
    <w:rPr>
      <w:rFonts w:ascii="EYInterstate Light" w:eastAsia="Times New Roman" w:hAnsi="EYInterstate Light"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C01E92"/>
    <w:rPr>
      <w:rFonts w:ascii="EYInterstate Light" w:eastAsia="Times New Roman" w:hAnsi="EYInterstate Light"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C01E92"/>
    <w:rPr>
      <w:rFonts w:ascii="EYInterstate Light" w:eastAsia="Times New Roman" w:hAnsi="EYInterstate Light"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C01E92"/>
    <w:rPr>
      <w:rFonts w:ascii="EYInterstate Light" w:eastAsia="Times New Roman" w:hAnsi="EYInterstate Light"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C01E92"/>
    <w:rPr>
      <w:rFonts w:ascii="EYInterstate Light" w:eastAsia="Times New Roman" w:hAnsi="EYInterstate Light"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C01E92"/>
    <w:rPr>
      <w:rFonts w:ascii="EYInterstate Light" w:eastAsia="Times New Roman" w:hAnsi="EYInterstate Light"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C01E92"/>
    <w:rPr>
      <w:rFonts w:ascii="EYInterstate Light" w:eastAsia="Times New Roman" w:hAnsi="EYInterstate Light"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C01E92"/>
    <w:rPr>
      <w:rFonts w:ascii="EYInterstate Light" w:eastAsia="Times New Roman" w:hAnsi="EYInterstate Light"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raftHeading1">
    <w:name w:val="Draft Heading 1"/>
    <w:basedOn w:val="Normal"/>
    <w:next w:val="Normal"/>
    <w:rsid w:val="00C01E92"/>
    <w:pPr>
      <w:overflowPunct w:val="0"/>
      <w:autoSpaceDE w:val="0"/>
      <w:autoSpaceDN w:val="0"/>
      <w:adjustRightInd w:val="0"/>
      <w:spacing w:before="120" w:after="0"/>
      <w:textAlignment w:val="baseline"/>
      <w:outlineLvl w:val="2"/>
    </w:pPr>
    <w:rPr>
      <w:rFonts w:ascii="Times New Roman" w:eastAsia="Times New Roman" w:hAnsi="Times New Roman" w:cs="Times New Roman"/>
      <w:b/>
      <w:sz w:val="24"/>
      <w:lang w:val="en-AU"/>
    </w:rPr>
  </w:style>
  <w:style w:type="table" w:styleId="GridTable4">
    <w:name w:val="Grid Table 4"/>
    <w:basedOn w:val="TableNormal"/>
    <w:uiPriority w:val="49"/>
    <w:rsid w:val="00C01E92"/>
    <w:rPr>
      <w:rFonts w:ascii="EYInterstate Light" w:eastAsia="Times New Roman" w:hAnsi="EYInterstate Light" w:cs="Times New Roman"/>
      <w:sz w:val="20"/>
      <w:szCs w:val="20"/>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C01E92"/>
    <w:rPr>
      <w:rFonts w:ascii="EYInterstate Light" w:eastAsia="Times New Roman" w:hAnsi="EYInterstate Light" w:cs="Times New Roman"/>
      <w:sz w:val="20"/>
      <w:szCs w:val="20"/>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Emphasis">
    <w:name w:val="Emphasis"/>
    <w:basedOn w:val="DefaultParagraphFont"/>
    <w:uiPriority w:val="20"/>
    <w:qFormat/>
    <w:rsid w:val="00C01E92"/>
    <w:rPr>
      <w:i/>
      <w:iCs/>
    </w:rPr>
  </w:style>
  <w:style w:type="table" w:customStyle="1" w:styleId="GridTable5Dark-Accent21">
    <w:name w:val="Grid Table 5 Dark - Accent 21"/>
    <w:basedOn w:val="TableNormal"/>
    <w:uiPriority w:val="50"/>
    <w:rsid w:val="00C01E92"/>
    <w:rPr>
      <w:sz w:val="22"/>
      <w:szCs w:val="22"/>
      <w:lang w:val="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C5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7189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7189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7189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7189D" w:themeFill="accent2"/>
      </w:tcPr>
    </w:tblStylePr>
    <w:tblStylePr w:type="band1Vert">
      <w:tblPr/>
      <w:tcPr>
        <w:shd w:val="clear" w:color="auto" w:fill="DD8CED" w:themeFill="accent2" w:themeFillTint="66"/>
      </w:tcPr>
    </w:tblStylePr>
    <w:tblStylePr w:type="band1Horz">
      <w:tblPr/>
      <w:tcPr>
        <w:shd w:val="clear" w:color="auto" w:fill="DD8CED" w:themeFill="accent2" w:themeFillTint="66"/>
      </w:tcPr>
    </w:tblStylePr>
  </w:style>
  <w:style w:type="table" w:styleId="GridTable5Dark-Accent2">
    <w:name w:val="Grid Table 5 Dark Accent 2"/>
    <w:basedOn w:val="TableNormal"/>
    <w:uiPriority w:val="50"/>
    <w:rsid w:val="00C01E92"/>
    <w:rPr>
      <w:sz w:val="22"/>
      <w:szCs w:val="22"/>
      <w:lang w:val="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C5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7189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7189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7189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7189D" w:themeFill="accent2"/>
      </w:tcPr>
    </w:tblStylePr>
    <w:tblStylePr w:type="band1Vert">
      <w:tblPr/>
      <w:tcPr>
        <w:shd w:val="clear" w:color="auto" w:fill="DD8CED" w:themeFill="accent2" w:themeFillTint="66"/>
      </w:tcPr>
    </w:tblStylePr>
    <w:tblStylePr w:type="band1Horz">
      <w:tblPr/>
      <w:tcPr>
        <w:shd w:val="clear" w:color="auto" w:fill="DD8CED" w:themeFill="accent2" w:themeFillTint="66"/>
      </w:tcPr>
    </w:tblStylePr>
  </w:style>
  <w:style w:type="table" w:customStyle="1" w:styleId="TableGrid20">
    <w:name w:val="Table Grid20"/>
    <w:basedOn w:val="TableNormal"/>
    <w:next w:val="TableGrid"/>
    <w:uiPriority w:val="39"/>
    <w:rsid w:val="00C01E92"/>
    <w:rPr>
      <w:rFonts w:ascii="Calibri" w:eastAsia="Calibri" w:hAnsi="Calibri" w:cs="Times New Roman"/>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BF7699"/>
    <w:rPr>
      <w:sz w:val="22"/>
      <w:szCs w:val="22"/>
      <w:lang w:val="en-AU"/>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5">
    <w:name w:val="List Table 3 Accent 5"/>
    <w:basedOn w:val="TableNormal"/>
    <w:uiPriority w:val="48"/>
    <w:rsid w:val="00BF7699"/>
    <w:tblPr>
      <w:tblStyleRowBandSize w:val="1"/>
      <w:tblStyleColBandSize w:val="1"/>
      <w:tblBorders>
        <w:top w:val="single" w:sz="4" w:space="0" w:color="AF272F" w:themeColor="accent5"/>
        <w:left w:val="single" w:sz="4" w:space="0" w:color="AF272F" w:themeColor="accent5"/>
        <w:bottom w:val="single" w:sz="4" w:space="0" w:color="AF272F" w:themeColor="accent5"/>
        <w:right w:val="single" w:sz="4" w:space="0" w:color="AF272F" w:themeColor="accent5"/>
      </w:tblBorders>
    </w:tblPr>
    <w:tblStylePr w:type="firstRow">
      <w:rPr>
        <w:b/>
        <w:bCs/>
        <w:color w:val="FFFFFF" w:themeColor="background1"/>
      </w:rPr>
      <w:tblPr/>
      <w:tcPr>
        <w:shd w:val="clear" w:color="auto" w:fill="AF272F" w:themeFill="accent5"/>
      </w:tcPr>
    </w:tblStylePr>
    <w:tblStylePr w:type="lastRow">
      <w:rPr>
        <w:b/>
        <w:bCs/>
      </w:rPr>
      <w:tblPr/>
      <w:tcPr>
        <w:tcBorders>
          <w:top w:val="double" w:sz="4" w:space="0" w:color="AF272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F272F" w:themeColor="accent5"/>
          <w:right w:val="single" w:sz="4" w:space="0" w:color="AF272F" w:themeColor="accent5"/>
        </w:tcBorders>
      </w:tcPr>
    </w:tblStylePr>
    <w:tblStylePr w:type="band1Horz">
      <w:tblPr/>
      <w:tcPr>
        <w:tcBorders>
          <w:top w:val="single" w:sz="4" w:space="0" w:color="AF272F" w:themeColor="accent5"/>
          <w:bottom w:val="single" w:sz="4" w:space="0" w:color="AF272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F272F" w:themeColor="accent5"/>
          <w:left w:val="nil"/>
        </w:tcBorders>
      </w:tcPr>
    </w:tblStylePr>
    <w:tblStylePr w:type="swCell">
      <w:tblPr/>
      <w:tcPr>
        <w:tcBorders>
          <w:top w:val="double" w:sz="4" w:space="0" w:color="AF272F" w:themeColor="accent5"/>
          <w:right w:val="nil"/>
        </w:tcBorders>
      </w:tcPr>
    </w:tblStylePr>
  </w:style>
  <w:style w:type="table" w:styleId="ListTable3-Accent3">
    <w:name w:val="List Table 3 Accent 3"/>
    <w:basedOn w:val="TableNormal"/>
    <w:uiPriority w:val="48"/>
    <w:rsid w:val="00BF7699"/>
    <w:rPr>
      <w:rFonts w:ascii="EYInterstate Light" w:eastAsia="Times New Roman" w:hAnsi="EYInterstate Light" w:cs="Times New Roman"/>
      <w:sz w:val="20"/>
      <w:szCs w:val="20"/>
      <w:lang w:val="en-US"/>
    </w:rPr>
    <w:tblPr>
      <w:tblStyleRowBandSize w:val="1"/>
      <w:tblStyleColBandSize w:val="1"/>
      <w:tblBorders>
        <w:top w:val="single" w:sz="4" w:space="0" w:color="00B7BD" w:themeColor="accent3"/>
        <w:left w:val="single" w:sz="4" w:space="0" w:color="00B7BD" w:themeColor="accent3"/>
        <w:bottom w:val="single" w:sz="4" w:space="0" w:color="00B7BD" w:themeColor="accent3"/>
        <w:right w:val="single" w:sz="4" w:space="0" w:color="00B7BD" w:themeColor="accent3"/>
      </w:tblBorders>
    </w:tblPr>
    <w:tblStylePr w:type="firstRow">
      <w:rPr>
        <w:b/>
        <w:bCs/>
        <w:color w:val="FFFFFF" w:themeColor="background1"/>
      </w:rPr>
      <w:tblPr/>
      <w:tcPr>
        <w:shd w:val="clear" w:color="auto" w:fill="00B7BD" w:themeFill="accent3"/>
      </w:tcPr>
    </w:tblStylePr>
    <w:tblStylePr w:type="lastRow">
      <w:rPr>
        <w:b/>
        <w:bCs/>
      </w:rPr>
      <w:tblPr/>
      <w:tcPr>
        <w:tcBorders>
          <w:top w:val="double" w:sz="4" w:space="0" w:color="00B7B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7BD" w:themeColor="accent3"/>
          <w:right w:val="single" w:sz="4" w:space="0" w:color="00B7BD" w:themeColor="accent3"/>
        </w:tcBorders>
      </w:tcPr>
    </w:tblStylePr>
    <w:tblStylePr w:type="band1Horz">
      <w:tblPr/>
      <w:tcPr>
        <w:tcBorders>
          <w:top w:val="single" w:sz="4" w:space="0" w:color="00B7BD" w:themeColor="accent3"/>
          <w:bottom w:val="single" w:sz="4" w:space="0" w:color="00B7B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7BD" w:themeColor="accent3"/>
          <w:left w:val="nil"/>
        </w:tcBorders>
      </w:tcPr>
    </w:tblStylePr>
    <w:tblStylePr w:type="swCell">
      <w:tblPr/>
      <w:tcPr>
        <w:tcBorders>
          <w:top w:val="double" w:sz="4" w:space="0" w:color="00B7BD" w:themeColor="accent3"/>
          <w:right w:val="nil"/>
        </w:tcBorders>
      </w:tcPr>
    </w:tblStylePr>
  </w:style>
  <w:style w:type="table" w:styleId="ListTable3-Accent1">
    <w:name w:val="List Table 3 Accent 1"/>
    <w:basedOn w:val="TableNormal"/>
    <w:uiPriority w:val="48"/>
    <w:rsid w:val="00BF7699"/>
    <w:tblPr>
      <w:tblStyleRowBandSize w:val="1"/>
      <w:tblStyleColBandSize w:val="1"/>
      <w:tblBorders>
        <w:top w:val="single" w:sz="4" w:space="0" w:color="004EA8" w:themeColor="accent1"/>
        <w:left w:val="single" w:sz="4" w:space="0" w:color="004EA8" w:themeColor="accent1"/>
        <w:bottom w:val="single" w:sz="4" w:space="0" w:color="004EA8" w:themeColor="accent1"/>
        <w:right w:val="single" w:sz="4" w:space="0" w:color="004EA8" w:themeColor="accent1"/>
      </w:tblBorders>
    </w:tblPr>
    <w:tblStylePr w:type="firstRow">
      <w:rPr>
        <w:b/>
        <w:bCs/>
        <w:color w:val="FFFFFF" w:themeColor="background1"/>
      </w:rPr>
      <w:tblPr/>
      <w:tcPr>
        <w:shd w:val="clear" w:color="auto" w:fill="004EA8" w:themeFill="accent1"/>
      </w:tcPr>
    </w:tblStylePr>
    <w:tblStylePr w:type="lastRow">
      <w:rPr>
        <w:b/>
        <w:bCs/>
      </w:rPr>
      <w:tblPr/>
      <w:tcPr>
        <w:tcBorders>
          <w:top w:val="double" w:sz="4" w:space="0" w:color="004EA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4EA8" w:themeColor="accent1"/>
          <w:right w:val="single" w:sz="4" w:space="0" w:color="004EA8" w:themeColor="accent1"/>
        </w:tcBorders>
      </w:tcPr>
    </w:tblStylePr>
    <w:tblStylePr w:type="band1Horz">
      <w:tblPr/>
      <w:tcPr>
        <w:tcBorders>
          <w:top w:val="single" w:sz="4" w:space="0" w:color="004EA8" w:themeColor="accent1"/>
          <w:bottom w:val="single" w:sz="4" w:space="0" w:color="004EA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4EA8" w:themeColor="accent1"/>
          <w:left w:val="nil"/>
        </w:tcBorders>
      </w:tcPr>
    </w:tblStylePr>
    <w:tblStylePr w:type="swCell">
      <w:tblPr/>
      <w:tcPr>
        <w:tcBorders>
          <w:top w:val="double" w:sz="4" w:space="0" w:color="004EA8" w:themeColor="accent1"/>
          <w:right w:val="nil"/>
        </w:tcBorders>
      </w:tcPr>
    </w:tblStylePr>
  </w:style>
  <w:style w:type="character" w:styleId="FollowedHyperlink">
    <w:name w:val="FollowedHyperlink"/>
    <w:basedOn w:val="DefaultParagraphFont"/>
    <w:uiPriority w:val="99"/>
    <w:semiHidden/>
    <w:unhideWhenUsed/>
    <w:rsid w:val="00946E70"/>
    <w:rPr>
      <w:color w:val="87189D" w:themeColor="followedHyperlink"/>
      <w:u w:val="single"/>
    </w:rPr>
  </w:style>
  <w:style w:type="character" w:customStyle="1" w:styleId="UnresolvedMention2">
    <w:name w:val="Unresolved Mention2"/>
    <w:basedOn w:val="DefaultParagraphFont"/>
    <w:uiPriority w:val="99"/>
    <w:semiHidden/>
    <w:unhideWhenUsed/>
    <w:rsid w:val="00055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05707">
      <w:bodyDiv w:val="1"/>
      <w:marLeft w:val="0"/>
      <w:marRight w:val="0"/>
      <w:marTop w:val="0"/>
      <w:marBottom w:val="0"/>
      <w:divBdr>
        <w:top w:val="none" w:sz="0" w:space="0" w:color="auto"/>
        <w:left w:val="none" w:sz="0" w:space="0" w:color="auto"/>
        <w:bottom w:val="none" w:sz="0" w:space="0" w:color="auto"/>
        <w:right w:val="none" w:sz="0" w:space="0" w:color="auto"/>
      </w:divBdr>
    </w:div>
    <w:div w:id="215238237">
      <w:bodyDiv w:val="1"/>
      <w:marLeft w:val="0"/>
      <w:marRight w:val="0"/>
      <w:marTop w:val="0"/>
      <w:marBottom w:val="0"/>
      <w:divBdr>
        <w:top w:val="none" w:sz="0" w:space="0" w:color="auto"/>
        <w:left w:val="none" w:sz="0" w:space="0" w:color="auto"/>
        <w:bottom w:val="none" w:sz="0" w:space="0" w:color="auto"/>
        <w:right w:val="none" w:sz="0" w:space="0" w:color="auto"/>
      </w:divBdr>
    </w:div>
    <w:div w:id="372078919">
      <w:bodyDiv w:val="1"/>
      <w:marLeft w:val="0"/>
      <w:marRight w:val="0"/>
      <w:marTop w:val="0"/>
      <w:marBottom w:val="0"/>
      <w:divBdr>
        <w:top w:val="none" w:sz="0" w:space="0" w:color="auto"/>
        <w:left w:val="none" w:sz="0" w:space="0" w:color="auto"/>
        <w:bottom w:val="none" w:sz="0" w:space="0" w:color="auto"/>
        <w:right w:val="none" w:sz="0" w:space="0" w:color="auto"/>
      </w:divBdr>
    </w:div>
    <w:div w:id="429278271">
      <w:bodyDiv w:val="1"/>
      <w:marLeft w:val="0"/>
      <w:marRight w:val="0"/>
      <w:marTop w:val="0"/>
      <w:marBottom w:val="0"/>
      <w:divBdr>
        <w:top w:val="none" w:sz="0" w:space="0" w:color="auto"/>
        <w:left w:val="none" w:sz="0" w:space="0" w:color="auto"/>
        <w:bottom w:val="none" w:sz="0" w:space="0" w:color="auto"/>
        <w:right w:val="none" w:sz="0" w:space="0" w:color="auto"/>
      </w:divBdr>
    </w:div>
    <w:div w:id="429669926">
      <w:bodyDiv w:val="1"/>
      <w:marLeft w:val="0"/>
      <w:marRight w:val="0"/>
      <w:marTop w:val="0"/>
      <w:marBottom w:val="0"/>
      <w:divBdr>
        <w:top w:val="none" w:sz="0" w:space="0" w:color="auto"/>
        <w:left w:val="none" w:sz="0" w:space="0" w:color="auto"/>
        <w:bottom w:val="none" w:sz="0" w:space="0" w:color="auto"/>
        <w:right w:val="none" w:sz="0" w:space="0" w:color="auto"/>
      </w:divBdr>
    </w:div>
    <w:div w:id="555165262">
      <w:bodyDiv w:val="1"/>
      <w:marLeft w:val="0"/>
      <w:marRight w:val="0"/>
      <w:marTop w:val="0"/>
      <w:marBottom w:val="0"/>
      <w:divBdr>
        <w:top w:val="none" w:sz="0" w:space="0" w:color="auto"/>
        <w:left w:val="none" w:sz="0" w:space="0" w:color="auto"/>
        <w:bottom w:val="none" w:sz="0" w:space="0" w:color="auto"/>
        <w:right w:val="none" w:sz="0" w:space="0" w:color="auto"/>
      </w:divBdr>
    </w:div>
    <w:div w:id="575668605">
      <w:bodyDiv w:val="1"/>
      <w:marLeft w:val="0"/>
      <w:marRight w:val="0"/>
      <w:marTop w:val="0"/>
      <w:marBottom w:val="0"/>
      <w:divBdr>
        <w:top w:val="none" w:sz="0" w:space="0" w:color="auto"/>
        <w:left w:val="none" w:sz="0" w:space="0" w:color="auto"/>
        <w:bottom w:val="none" w:sz="0" w:space="0" w:color="auto"/>
        <w:right w:val="none" w:sz="0" w:space="0" w:color="auto"/>
      </w:divBdr>
    </w:div>
    <w:div w:id="666715736">
      <w:bodyDiv w:val="1"/>
      <w:marLeft w:val="0"/>
      <w:marRight w:val="0"/>
      <w:marTop w:val="0"/>
      <w:marBottom w:val="0"/>
      <w:divBdr>
        <w:top w:val="none" w:sz="0" w:space="0" w:color="auto"/>
        <w:left w:val="none" w:sz="0" w:space="0" w:color="auto"/>
        <w:bottom w:val="none" w:sz="0" w:space="0" w:color="auto"/>
        <w:right w:val="none" w:sz="0" w:space="0" w:color="auto"/>
      </w:divBdr>
    </w:div>
    <w:div w:id="717163617">
      <w:bodyDiv w:val="1"/>
      <w:marLeft w:val="0"/>
      <w:marRight w:val="0"/>
      <w:marTop w:val="0"/>
      <w:marBottom w:val="0"/>
      <w:divBdr>
        <w:top w:val="none" w:sz="0" w:space="0" w:color="auto"/>
        <w:left w:val="none" w:sz="0" w:space="0" w:color="auto"/>
        <w:bottom w:val="none" w:sz="0" w:space="0" w:color="auto"/>
        <w:right w:val="none" w:sz="0" w:space="0" w:color="auto"/>
      </w:divBdr>
    </w:div>
    <w:div w:id="875850445">
      <w:bodyDiv w:val="1"/>
      <w:marLeft w:val="0"/>
      <w:marRight w:val="0"/>
      <w:marTop w:val="0"/>
      <w:marBottom w:val="0"/>
      <w:divBdr>
        <w:top w:val="none" w:sz="0" w:space="0" w:color="auto"/>
        <w:left w:val="none" w:sz="0" w:space="0" w:color="auto"/>
        <w:bottom w:val="none" w:sz="0" w:space="0" w:color="auto"/>
        <w:right w:val="none" w:sz="0" w:space="0" w:color="auto"/>
      </w:divBdr>
    </w:div>
    <w:div w:id="913274388">
      <w:bodyDiv w:val="1"/>
      <w:marLeft w:val="0"/>
      <w:marRight w:val="0"/>
      <w:marTop w:val="0"/>
      <w:marBottom w:val="0"/>
      <w:divBdr>
        <w:top w:val="none" w:sz="0" w:space="0" w:color="auto"/>
        <w:left w:val="none" w:sz="0" w:space="0" w:color="auto"/>
        <w:bottom w:val="none" w:sz="0" w:space="0" w:color="auto"/>
        <w:right w:val="none" w:sz="0" w:space="0" w:color="auto"/>
      </w:divBdr>
    </w:div>
    <w:div w:id="1082290544">
      <w:bodyDiv w:val="1"/>
      <w:marLeft w:val="0"/>
      <w:marRight w:val="0"/>
      <w:marTop w:val="0"/>
      <w:marBottom w:val="0"/>
      <w:divBdr>
        <w:top w:val="none" w:sz="0" w:space="0" w:color="auto"/>
        <w:left w:val="none" w:sz="0" w:space="0" w:color="auto"/>
        <w:bottom w:val="none" w:sz="0" w:space="0" w:color="auto"/>
        <w:right w:val="none" w:sz="0" w:space="0" w:color="auto"/>
      </w:divBdr>
    </w:div>
    <w:div w:id="1189685602">
      <w:bodyDiv w:val="1"/>
      <w:marLeft w:val="0"/>
      <w:marRight w:val="0"/>
      <w:marTop w:val="0"/>
      <w:marBottom w:val="0"/>
      <w:divBdr>
        <w:top w:val="none" w:sz="0" w:space="0" w:color="auto"/>
        <w:left w:val="none" w:sz="0" w:space="0" w:color="auto"/>
        <w:bottom w:val="none" w:sz="0" w:space="0" w:color="auto"/>
        <w:right w:val="none" w:sz="0" w:space="0" w:color="auto"/>
      </w:divBdr>
    </w:div>
    <w:div w:id="1335184824">
      <w:bodyDiv w:val="1"/>
      <w:marLeft w:val="0"/>
      <w:marRight w:val="0"/>
      <w:marTop w:val="0"/>
      <w:marBottom w:val="0"/>
      <w:divBdr>
        <w:top w:val="none" w:sz="0" w:space="0" w:color="auto"/>
        <w:left w:val="none" w:sz="0" w:space="0" w:color="auto"/>
        <w:bottom w:val="none" w:sz="0" w:space="0" w:color="auto"/>
        <w:right w:val="none" w:sz="0" w:space="0" w:color="auto"/>
      </w:divBdr>
    </w:div>
    <w:div w:id="1531381819">
      <w:bodyDiv w:val="1"/>
      <w:marLeft w:val="0"/>
      <w:marRight w:val="0"/>
      <w:marTop w:val="0"/>
      <w:marBottom w:val="0"/>
      <w:divBdr>
        <w:top w:val="none" w:sz="0" w:space="0" w:color="auto"/>
        <w:left w:val="none" w:sz="0" w:space="0" w:color="auto"/>
        <w:bottom w:val="none" w:sz="0" w:space="0" w:color="auto"/>
        <w:right w:val="none" w:sz="0" w:space="0" w:color="auto"/>
      </w:divBdr>
    </w:div>
    <w:div w:id="1570385793">
      <w:bodyDiv w:val="1"/>
      <w:marLeft w:val="0"/>
      <w:marRight w:val="0"/>
      <w:marTop w:val="0"/>
      <w:marBottom w:val="0"/>
      <w:divBdr>
        <w:top w:val="none" w:sz="0" w:space="0" w:color="auto"/>
        <w:left w:val="none" w:sz="0" w:space="0" w:color="auto"/>
        <w:bottom w:val="none" w:sz="0" w:space="0" w:color="auto"/>
        <w:right w:val="none" w:sz="0" w:space="0" w:color="auto"/>
      </w:divBdr>
    </w:div>
    <w:div w:id="1660769983">
      <w:bodyDiv w:val="1"/>
      <w:marLeft w:val="0"/>
      <w:marRight w:val="0"/>
      <w:marTop w:val="0"/>
      <w:marBottom w:val="0"/>
      <w:divBdr>
        <w:top w:val="none" w:sz="0" w:space="0" w:color="auto"/>
        <w:left w:val="none" w:sz="0" w:space="0" w:color="auto"/>
        <w:bottom w:val="none" w:sz="0" w:space="0" w:color="auto"/>
        <w:right w:val="none" w:sz="0" w:space="0" w:color="auto"/>
      </w:divBdr>
    </w:div>
    <w:div w:id="1988707416">
      <w:bodyDiv w:val="1"/>
      <w:marLeft w:val="0"/>
      <w:marRight w:val="0"/>
      <w:marTop w:val="0"/>
      <w:marBottom w:val="0"/>
      <w:divBdr>
        <w:top w:val="none" w:sz="0" w:space="0" w:color="auto"/>
        <w:left w:val="none" w:sz="0" w:space="0" w:color="auto"/>
        <w:bottom w:val="none" w:sz="0" w:space="0" w:color="auto"/>
        <w:right w:val="none" w:sz="0" w:space="0" w:color="auto"/>
      </w:divBdr>
    </w:div>
    <w:div w:id="2083673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mailto:cs.law.reform@edumail.vic.gov.au" TargetMode="External"/><Relationship Id="rId26" Type="http://schemas.microsoft.com/office/2007/relationships/diagramDrawing" Target="diagrams/drawing1.xml"/><Relationship Id="rId39" Type="http://schemas.openxmlformats.org/officeDocument/2006/relationships/hyperlink" Target="https://www.education.vic.gov.au/childhood/providers/regulation/Pages/vcs.aspx" TargetMode="External"/><Relationship Id="rId3" Type="http://schemas.openxmlformats.org/officeDocument/2006/relationships/customXml" Target="../customXml/item3.xml"/><Relationship Id="rId21" Type="http://schemas.openxmlformats.org/officeDocument/2006/relationships/hyperlink" Target="mailto:cs.law.reform@edumail.vic.gov.au" TargetMode="External"/><Relationship Id="rId34" Type="http://schemas.openxmlformats.org/officeDocument/2006/relationships/footer" Target="footer5.xm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engage.vic.gov.au/childrens-services-regulations-2020" TargetMode="External"/><Relationship Id="rId25" Type="http://schemas.openxmlformats.org/officeDocument/2006/relationships/diagramColors" Target="diagrams/colors1.xml"/><Relationship Id="rId33" Type="http://schemas.openxmlformats.org/officeDocument/2006/relationships/hyperlink" Target="mailto:u" TargetMode="External"/><Relationship Id="rId38"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http://www.engage.vic.gov.au/childrens-services-regulations-2020" TargetMode="External"/><Relationship Id="rId29" Type="http://schemas.openxmlformats.org/officeDocument/2006/relationships/chart" Target="charts/chart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diagramQuickStyle" Target="diagrams/quickStyle1.xml"/><Relationship Id="rId32" Type="http://schemas.openxmlformats.org/officeDocument/2006/relationships/hyperlink" Target="https://engage.vic.gov.au/childrens-services-regulations-2020" TargetMode="External"/><Relationship Id="rId37" Type="http://schemas.openxmlformats.org/officeDocument/2006/relationships/hyperlink" Target="https://www.education.vic.gov.au/childhood/providers/regulation/Pages/csareform.aspx" TargetMode="External"/><Relationship Id="rId40" Type="http://schemas.openxmlformats.org/officeDocument/2006/relationships/image" Target="media/image5.emf"/><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diagramLayout" Target="diagrams/layout1.xml"/><Relationship Id="rId28" Type="http://schemas.openxmlformats.org/officeDocument/2006/relationships/chart" Target="charts/chart1.xml"/><Relationship Id="rId36" Type="http://schemas.openxmlformats.org/officeDocument/2006/relationships/hyperlink" Target="http://www.legislation.vic.gov.au/Domino/Web_Notes/LDMS/PubStatbook.nsf/f932b66241ecf1b7ca256e92000e23be/908E61D640905C79CA2584AA000DC0B5/$FILE/19-037aa%20authorised.pdf" TargetMode="External"/><Relationship Id="rId10" Type="http://schemas.openxmlformats.org/officeDocument/2006/relationships/endnotes" Target="endnotes.xml"/><Relationship Id="rId19" Type="http://schemas.openxmlformats.org/officeDocument/2006/relationships/hyperlink" Target="http://www.engage.vic.gov.au/childrens-services-regulations-2020" TargetMode="External"/><Relationship Id="rId31" Type="http://schemas.openxmlformats.org/officeDocument/2006/relationships/hyperlink" Target="https://engage.vic.gov.au/childrens-services-regulations-20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diagramData" Target="diagrams/data1.xml"/><Relationship Id="rId27" Type="http://schemas.openxmlformats.org/officeDocument/2006/relationships/hyperlink" Target="https://engage.vic.gov.au/childrens-services-regulations-2020" TargetMode="External"/><Relationship Id="rId30" Type="http://schemas.openxmlformats.org/officeDocument/2006/relationships/image" Target="media/image3.png"/><Relationship Id="rId35" Type="http://schemas.openxmlformats.org/officeDocument/2006/relationships/hyperlink" Target="https://engage.vic.gov.au/childrens-services-regulations-2020"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mailto:copyright@edumail.vic.gov.au" TargetMode="External"/><Relationship Id="rId2" Type="http://schemas.openxmlformats.org/officeDocument/2006/relationships/hyperlink" Target="https://creativecommons.org/licenses/by/4.0/" TargetMode="External"/><Relationship Id="rId1" Type="http://schemas.openxmlformats.org/officeDocument/2006/relationships/image" Target="media/image2.jpg"/><Relationship Id="rId4" Type="http://schemas.openxmlformats.org/officeDocument/2006/relationships/hyperlink" Target="mailto:cs.law.reform@edumail.vic.gov.au"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aph.gov.au/About_Parliament/Parliamentary_Departments/Parliamentary_Library/pubs/rp/rp1516/Quick_Guides/Data" TargetMode="External"/><Relationship Id="rId3" Type="http://schemas.openxmlformats.org/officeDocument/2006/relationships/hyperlink" Target="https://www.acecqa.gov.au/sites/default/files/2018-10/Guide-to-the-NQF-2-Applications-Approvals.pdf" TargetMode="External"/><Relationship Id="rId7" Type="http://schemas.openxmlformats.org/officeDocument/2006/relationships/hyperlink" Target="https://www.education.vic.gov.au/about/department/legislation/Pages/ecsoe.aspx" TargetMode="External"/><Relationship Id="rId2" Type="http://schemas.openxmlformats.org/officeDocument/2006/relationships/hyperlink" Target="https://www.education.vic.gov.au/about/research/Pages/E4kids.aspx" TargetMode="External"/><Relationship Id="rId1" Type="http://schemas.openxmlformats.org/officeDocument/2006/relationships/hyperlink" Target="https://www.education.vic.gov.au/about/department/legislation/Pages/ecsoe.aspx" TargetMode="External"/><Relationship Id="rId6" Type="http://schemas.openxmlformats.org/officeDocument/2006/relationships/hyperlink" Target="https://www.police.vic.gov.au/national-police-records-checks" TargetMode="External"/><Relationship Id="rId5" Type="http://schemas.openxmlformats.org/officeDocument/2006/relationships/hyperlink" Target="https://www.workingwithchildren.vic.gov.au/individuals/current-cardholders/renew-my-card" TargetMode="External"/><Relationship Id="rId10" Type="http://schemas.openxmlformats.org/officeDocument/2006/relationships/hyperlink" Target="https://www.education.vic.gov.au/Documents/childhood/providers/regulation/limitedhrsserv.pdf" TargetMode="External"/><Relationship Id="rId4" Type="http://schemas.openxmlformats.org/officeDocument/2006/relationships/hyperlink" Target="https://www.workingwithchildren.vic.gov.au/individuals/applicants/how-to-apply" TargetMode="External"/><Relationship Id="rId9" Type="http://schemas.openxmlformats.org/officeDocument/2006/relationships/hyperlink" Target="https://www.vic.gov.au/free-taf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manualLayout>
          <c:layoutTarget val="inner"/>
          <c:xMode val="edge"/>
          <c:yMode val="edge"/>
          <c:x val="8.507098109086729E-2"/>
          <c:y val="4.3650793650793648E-2"/>
          <c:w val="0.41028852232886948"/>
          <c:h val="0.86429258842644674"/>
        </c:manualLayout>
      </c:layout>
      <c:barChart>
        <c:barDir val="col"/>
        <c:grouping val="percentStacked"/>
        <c:varyColors val="0"/>
        <c:ser>
          <c:idx val="0"/>
          <c:order val="0"/>
          <c:tx>
            <c:strRef>
              <c:f>Sheet1!$C$1</c:f>
              <c:strCache>
                <c:ptCount val="1"/>
                <c:pt idx="0">
                  <c:v>Kindergarten 0.62%</c:v>
                </c:pt>
              </c:strCache>
            </c:strRef>
          </c:tx>
          <c:spPr>
            <a:solidFill>
              <a:schemeClr val="accent1">
                <a:tint val="48000"/>
              </a:schemeClr>
            </a:solidFill>
            <a:ln>
              <a:noFill/>
            </a:ln>
            <a:effectLst/>
          </c:spPr>
          <c:invertIfNegative val="0"/>
          <c:cat>
            <c:strRef>
              <c:f>Sheet1!$A$2</c:f>
              <c:strCache>
                <c:ptCount val="1"/>
                <c:pt idx="0">
                  <c:v>Type of care</c:v>
                </c:pt>
              </c:strCache>
            </c:strRef>
          </c:cat>
          <c:val>
            <c:numRef>
              <c:f>Sheet1!$C$2</c:f>
              <c:numCache>
                <c:formatCode>General</c:formatCode>
                <c:ptCount val="1"/>
                <c:pt idx="0">
                  <c:v>2</c:v>
                </c:pt>
              </c:numCache>
            </c:numRef>
          </c:val>
          <c:extLst>
            <c:ext xmlns:c16="http://schemas.microsoft.com/office/drawing/2014/chart" uri="{C3380CC4-5D6E-409C-BE32-E72D297353CC}">
              <c16:uniqueId val="{00000000-B44B-413C-BC16-240CBE3D9491}"/>
            </c:ext>
          </c:extLst>
        </c:ser>
        <c:ser>
          <c:idx val="1"/>
          <c:order val="1"/>
          <c:tx>
            <c:strRef>
              <c:f>Sheet1!$D$1</c:f>
              <c:strCache>
                <c:ptCount val="1"/>
                <c:pt idx="0">
                  <c:v>3 year old program 2.80%</c:v>
                </c:pt>
              </c:strCache>
            </c:strRef>
          </c:tx>
          <c:spPr>
            <a:solidFill>
              <a:schemeClr val="accent1">
                <a:tint val="65000"/>
              </a:schemeClr>
            </a:solidFill>
            <a:ln>
              <a:noFill/>
            </a:ln>
            <a:effectLst/>
          </c:spPr>
          <c:invertIfNegative val="0"/>
          <c:cat>
            <c:strRef>
              <c:f>Sheet1!$A$2</c:f>
              <c:strCache>
                <c:ptCount val="1"/>
                <c:pt idx="0">
                  <c:v>Type of care</c:v>
                </c:pt>
              </c:strCache>
            </c:strRef>
          </c:cat>
          <c:val>
            <c:numRef>
              <c:f>Sheet1!$D$2</c:f>
              <c:numCache>
                <c:formatCode>General</c:formatCode>
                <c:ptCount val="1"/>
                <c:pt idx="0">
                  <c:v>9</c:v>
                </c:pt>
              </c:numCache>
            </c:numRef>
          </c:val>
          <c:extLst>
            <c:ext xmlns:c16="http://schemas.microsoft.com/office/drawing/2014/chart" uri="{C3380CC4-5D6E-409C-BE32-E72D297353CC}">
              <c16:uniqueId val="{00000001-B44B-413C-BC16-240CBE3D9491}"/>
            </c:ext>
          </c:extLst>
        </c:ser>
        <c:ser>
          <c:idx val="2"/>
          <c:order val="2"/>
          <c:tx>
            <c:strRef>
              <c:f>Sheet1!$E$1</c:f>
              <c:strCache>
                <c:ptCount val="1"/>
                <c:pt idx="0">
                  <c:v>Early childhood intervention 1.24%</c:v>
                </c:pt>
              </c:strCache>
            </c:strRef>
          </c:tx>
          <c:spPr>
            <a:solidFill>
              <a:schemeClr val="accent1">
                <a:tint val="83000"/>
              </a:schemeClr>
            </a:solidFill>
            <a:ln>
              <a:noFill/>
            </a:ln>
            <a:effectLst/>
          </c:spPr>
          <c:invertIfNegative val="0"/>
          <c:cat>
            <c:strRef>
              <c:f>Sheet1!$A$2</c:f>
              <c:strCache>
                <c:ptCount val="1"/>
                <c:pt idx="0">
                  <c:v>Type of care</c:v>
                </c:pt>
              </c:strCache>
            </c:strRef>
          </c:cat>
          <c:val>
            <c:numRef>
              <c:f>Sheet1!$E$2</c:f>
              <c:numCache>
                <c:formatCode>General</c:formatCode>
                <c:ptCount val="1"/>
                <c:pt idx="0">
                  <c:v>4</c:v>
                </c:pt>
              </c:numCache>
            </c:numRef>
          </c:val>
          <c:extLst>
            <c:ext xmlns:c16="http://schemas.microsoft.com/office/drawing/2014/chart" uri="{C3380CC4-5D6E-409C-BE32-E72D297353CC}">
              <c16:uniqueId val="{00000002-B44B-413C-BC16-240CBE3D9491}"/>
            </c:ext>
          </c:extLst>
        </c:ser>
        <c:ser>
          <c:idx val="3"/>
          <c:order val="3"/>
          <c:tx>
            <c:strRef>
              <c:f>Sheet1!$F$1</c:f>
              <c:strCache>
                <c:ptCount val="1"/>
                <c:pt idx="0">
                  <c:v>Long day care 5.90%</c:v>
                </c:pt>
              </c:strCache>
            </c:strRef>
          </c:tx>
          <c:spPr>
            <a:solidFill>
              <a:schemeClr val="accent1"/>
            </a:solidFill>
            <a:ln>
              <a:noFill/>
            </a:ln>
            <a:effectLst/>
          </c:spPr>
          <c:invertIfNegative val="0"/>
          <c:cat>
            <c:strRef>
              <c:f>Sheet1!$A$2</c:f>
              <c:strCache>
                <c:ptCount val="1"/>
                <c:pt idx="0">
                  <c:v>Type of care</c:v>
                </c:pt>
              </c:strCache>
            </c:strRef>
          </c:cat>
          <c:val>
            <c:numRef>
              <c:f>Sheet1!$F$2</c:f>
              <c:numCache>
                <c:formatCode>General</c:formatCode>
                <c:ptCount val="1"/>
                <c:pt idx="0">
                  <c:v>18</c:v>
                </c:pt>
              </c:numCache>
            </c:numRef>
          </c:val>
          <c:extLst>
            <c:ext xmlns:c16="http://schemas.microsoft.com/office/drawing/2014/chart" uri="{C3380CC4-5D6E-409C-BE32-E72D297353CC}">
              <c16:uniqueId val="{00000003-B44B-413C-BC16-240CBE3D9491}"/>
            </c:ext>
          </c:extLst>
        </c:ser>
        <c:ser>
          <c:idx val="4"/>
          <c:order val="4"/>
          <c:tx>
            <c:strRef>
              <c:f>Sheet1!$B$1</c:f>
              <c:strCache>
                <c:ptCount val="1"/>
                <c:pt idx="0">
                  <c:v>Occasional care 88.51%</c:v>
                </c:pt>
              </c:strCache>
            </c:strRef>
          </c:tx>
          <c:spPr>
            <a:solidFill>
              <a:schemeClr val="accent1">
                <a:shade val="82000"/>
              </a:schemeClr>
            </a:solidFill>
            <a:ln>
              <a:noFill/>
            </a:ln>
            <a:effectLst/>
          </c:spPr>
          <c:invertIfNegative val="0"/>
          <c:dPt>
            <c:idx val="0"/>
            <c:invertIfNegative val="0"/>
            <c:bubble3D val="0"/>
            <c:spPr>
              <a:solidFill>
                <a:schemeClr val="accent1">
                  <a:shade val="82000"/>
                </a:schemeClr>
              </a:solidFill>
              <a:ln>
                <a:noFill/>
              </a:ln>
              <a:effectLst/>
            </c:spPr>
            <c:extLst>
              <c:ext xmlns:c16="http://schemas.microsoft.com/office/drawing/2014/chart" uri="{C3380CC4-5D6E-409C-BE32-E72D297353CC}">
                <c16:uniqueId val="{00000005-B44B-413C-BC16-240CBE3D9491}"/>
              </c:ext>
            </c:extLst>
          </c:dPt>
          <c:cat>
            <c:strRef>
              <c:f>Sheet1!$A$2</c:f>
              <c:strCache>
                <c:ptCount val="1"/>
                <c:pt idx="0">
                  <c:v>Type of care</c:v>
                </c:pt>
              </c:strCache>
            </c:strRef>
          </c:cat>
          <c:val>
            <c:numRef>
              <c:f>Sheet1!$B$2</c:f>
              <c:numCache>
                <c:formatCode>General</c:formatCode>
                <c:ptCount val="1"/>
                <c:pt idx="0">
                  <c:v>286</c:v>
                </c:pt>
              </c:numCache>
            </c:numRef>
          </c:val>
          <c:extLst>
            <c:ext xmlns:c16="http://schemas.microsoft.com/office/drawing/2014/chart" uri="{C3380CC4-5D6E-409C-BE32-E72D297353CC}">
              <c16:uniqueId val="{00000006-B44B-413C-BC16-240CBE3D9491}"/>
            </c:ext>
          </c:extLst>
        </c:ser>
        <c:ser>
          <c:idx val="5"/>
          <c:order val="5"/>
          <c:tx>
            <c:strRef>
              <c:f>Sheet1!$G$1</c:f>
              <c:strCache>
                <c:ptCount val="1"/>
                <c:pt idx="0">
                  <c:v>Outside school hours care 0.93%</c:v>
                </c:pt>
              </c:strCache>
            </c:strRef>
          </c:tx>
          <c:spPr>
            <a:solidFill>
              <a:schemeClr val="accent1">
                <a:shade val="65000"/>
              </a:schemeClr>
            </a:solidFill>
            <a:ln>
              <a:noFill/>
            </a:ln>
            <a:effectLst/>
          </c:spPr>
          <c:invertIfNegative val="0"/>
          <c:cat>
            <c:strRef>
              <c:f>Sheet1!$A$2</c:f>
              <c:strCache>
                <c:ptCount val="1"/>
                <c:pt idx="0">
                  <c:v>Type of care</c:v>
                </c:pt>
              </c:strCache>
            </c:strRef>
          </c:cat>
          <c:val>
            <c:numRef>
              <c:f>Sheet1!$G$2</c:f>
              <c:numCache>
                <c:formatCode>General</c:formatCode>
                <c:ptCount val="1"/>
                <c:pt idx="0">
                  <c:v>3</c:v>
                </c:pt>
              </c:numCache>
            </c:numRef>
          </c:val>
          <c:extLst>
            <c:ext xmlns:c16="http://schemas.microsoft.com/office/drawing/2014/chart" uri="{C3380CC4-5D6E-409C-BE32-E72D297353CC}">
              <c16:uniqueId val="{00000007-B44B-413C-BC16-240CBE3D9491}"/>
            </c:ext>
          </c:extLst>
        </c:ser>
        <c:ser>
          <c:idx val="6"/>
          <c:order val="6"/>
          <c:tx>
            <c:strRef>
              <c:f>Sheet1!$H$1</c:f>
              <c:strCache>
                <c:ptCount val="1"/>
              </c:strCache>
            </c:strRef>
          </c:tx>
          <c:spPr>
            <a:solidFill>
              <a:schemeClr val="accent1">
                <a:shade val="47000"/>
              </a:schemeClr>
            </a:solidFill>
            <a:ln>
              <a:noFill/>
            </a:ln>
            <a:effectLst/>
          </c:spPr>
          <c:invertIfNegative val="0"/>
          <c:cat>
            <c:strRef>
              <c:f>Sheet1!$A$2</c:f>
              <c:strCache>
                <c:ptCount val="1"/>
                <c:pt idx="0">
                  <c:v>Type of care</c:v>
                </c:pt>
              </c:strCache>
            </c:strRef>
          </c:cat>
          <c:val>
            <c:numRef>
              <c:f>Sheet1!$H$2</c:f>
              <c:numCache>
                <c:formatCode>General</c:formatCode>
                <c:ptCount val="1"/>
              </c:numCache>
            </c:numRef>
          </c:val>
          <c:extLst>
            <c:ext xmlns:c16="http://schemas.microsoft.com/office/drawing/2014/chart" uri="{C3380CC4-5D6E-409C-BE32-E72D297353CC}">
              <c16:uniqueId val="{00000008-B44B-413C-BC16-240CBE3D9491}"/>
            </c:ext>
          </c:extLst>
        </c:ser>
        <c:dLbls>
          <c:showLegendKey val="0"/>
          <c:showVal val="0"/>
          <c:showCatName val="0"/>
          <c:showSerName val="0"/>
          <c:showPercent val="0"/>
          <c:showBubbleSize val="0"/>
        </c:dLbls>
        <c:gapWidth val="150"/>
        <c:overlap val="100"/>
        <c:axId val="786702576"/>
        <c:axId val="786706512"/>
      </c:barChart>
      <c:catAx>
        <c:axId val="786702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706512"/>
        <c:crosses val="autoZero"/>
        <c:auto val="1"/>
        <c:lblAlgn val="ctr"/>
        <c:lblOffset val="100"/>
        <c:noMultiLvlLbl val="0"/>
      </c:catAx>
      <c:valAx>
        <c:axId val="7867065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702576"/>
        <c:crosses val="autoZero"/>
        <c:crossBetween val="between"/>
      </c:valAx>
      <c:spPr>
        <a:noFill/>
        <a:ln>
          <a:noFill/>
        </a:ln>
        <a:effectLst/>
      </c:spPr>
    </c:plotArea>
    <c:legend>
      <c:legendPos val="r"/>
      <c:legendEntry>
        <c:idx val="0"/>
        <c:delete val="1"/>
      </c:legendEntry>
      <c:layout>
        <c:manualLayout>
          <c:xMode val="edge"/>
          <c:yMode val="edge"/>
          <c:x val="0.55132057397934742"/>
          <c:y val="0.21908897521732715"/>
          <c:w val="0.42734041508883924"/>
          <c:h val="0.6081479233920774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stacked"/>
        <c:varyColors val="0"/>
        <c:ser>
          <c:idx val="0"/>
          <c:order val="0"/>
          <c:tx>
            <c:strRef>
              <c:f>Sheet1!$B$1</c:f>
              <c:strCache>
                <c:ptCount val="1"/>
                <c:pt idx="0">
                  <c:v>% of services</c:v>
                </c:pt>
              </c:strCache>
            </c:strRef>
          </c:tx>
          <c:spPr>
            <a:solidFill>
              <a:schemeClr val="accent1"/>
            </a:solidFill>
            <a:ln w="19050">
              <a:solidFill>
                <a:schemeClr val="lt1"/>
              </a:solidFill>
            </a:ln>
            <a:effectLst/>
          </c:spPr>
          <c:invertIfNegative val="0"/>
          <c:dPt>
            <c:idx val="0"/>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1-1796-4EED-AF78-2A3D9C4026D4}"/>
              </c:ext>
            </c:extLst>
          </c:dPt>
          <c:dPt>
            <c:idx val="1"/>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3-1796-4EED-AF78-2A3D9C4026D4}"/>
              </c:ext>
            </c:extLst>
          </c:dPt>
          <c:dPt>
            <c:idx val="2"/>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5-1796-4EED-AF78-2A3D9C4026D4}"/>
              </c:ext>
            </c:extLst>
          </c:dPt>
          <c:dPt>
            <c:idx val="3"/>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7-1796-4EED-AF78-2A3D9C4026D4}"/>
              </c:ext>
            </c:extLst>
          </c:dPt>
          <c:dPt>
            <c:idx val="4"/>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9-1796-4EED-AF78-2A3D9C4026D4}"/>
              </c:ext>
            </c:extLst>
          </c:dPt>
          <c:dPt>
            <c:idx val="5"/>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B-1796-4EED-AF78-2A3D9C4026D4}"/>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6="http://schemas.microsoft.com/office/drawing/2014/chart" uri="{C3380CC4-5D6E-409C-BE32-E72D297353CC}">
                  <c16:uniqueId val="{00000001-1796-4EED-AF78-2A3D9C4026D4}"/>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6="http://schemas.microsoft.com/office/drawing/2014/chart" uri="{C3380CC4-5D6E-409C-BE32-E72D297353CC}">
                  <c16:uniqueId val="{00000003-1796-4EED-AF78-2A3D9C4026D4}"/>
                </c:ext>
              </c:extLst>
            </c:dLbl>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6="http://schemas.microsoft.com/office/drawing/2014/chart" uri="{C3380CC4-5D6E-409C-BE32-E72D297353CC}">
                  <c16:uniqueId val="{00000005-1796-4EED-AF78-2A3D9C4026D4}"/>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6="http://schemas.microsoft.com/office/drawing/2014/chart" uri="{C3380CC4-5D6E-409C-BE32-E72D297353CC}">
                  <c16:uniqueId val="{00000007-1796-4EED-AF78-2A3D9C4026D4}"/>
                </c:ext>
              </c:extLst>
            </c:dLbl>
            <c:dLbl>
              <c:idx val="5"/>
              <c:layout>
                <c:manualLayout>
                  <c:x val="4.6296296296296294E-3"/>
                  <c:y val="-4.5415260592425948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1796-4EED-AF78-2A3D9C4026D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Private not-for-profit community managed</c:v>
                </c:pt>
                <c:pt idx="1">
                  <c:v>State/Local government</c:v>
                </c:pt>
                <c:pt idx="2">
                  <c:v>Private for profit</c:v>
                </c:pt>
                <c:pt idx="3">
                  <c:v>Private not-for-profit other</c:v>
                </c:pt>
              </c:strCache>
            </c:strRef>
          </c:cat>
          <c:val>
            <c:numRef>
              <c:f>Sheet1!$B$2:$B$5</c:f>
              <c:numCache>
                <c:formatCode>0%</c:formatCode>
                <c:ptCount val="4"/>
                <c:pt idx="0">
                  <c:v>0.47</c:v>
                </c:pt>
                <c:pt idx="1">
                  <c:v>0.17</c:v>
                </c:pt>
                <c:pt idx="2">
                  <c:v>0.27</c:v>
                </c:pt>
                <c:pt idx="3">
                  <c:v>0.09</c:v>
                </c:pt>
              </c:numCache>
            </c:numRef>
          </c:val>
          <c:extLst>
            <c:ext xmlns:c16="http://schemas.microsoft.com/office/drawing/2014/chart" uri="{C3380CC4-5D6E-409C-BE32-E72D297353CC}">
              <c16:uniqueId val="{0000000C-1796-4EED-AF78-2A3D9C4026D4}"/>
            </c:ext>
          </c:extLst>
        </c:ser>
        <c:dLbls>
          <c:dLblPos val="inEnd"/>
          <c:showLegendKey val="0"/>
          <c:showVal val="1"/>
          <c:showCatName val="0"/>
          <c:showSerName val="0"/>
          <c:showPercent val="0"/>
          <c:showBubbleSize val="0"/>
        </c:dLbls>
        <c:gapWidth val="100"/>
        <c:overlap val="100"/>
        <c:axId val="771387888"/>
        <c:axId val="771379360"/>
      </c:barChart>
      <c:catAx>
        <c:axId val="771387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1379360"/>
        <c:crosses val="autoZero"/>
        <c:auto val="1"/>
        <c:lblAlgn val="ctr"/>
        <c:lblOffset val="100"/>
        <c:noMultiLvlLbl val="0"/>
      </c:catAx>
      <c:valAx>
        <c:axId val="7713793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138788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colors2.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057EA7-40F7-FD49-96BC-DF51CBF8EDEC}" type="doc">
      <dgm:prSet loTypeId="urn:microsoft.com/office/officeart/2005/8/layout/hChevron3" loCatId="process" qsTypeId="urn:microsoft.com/office/officeart/2005/8/quickstyle/simple1" qsCatId="simple" csTypeId="urn:microsoft.com/office/officeart/2005/8/colors/accent1_5" csCatId="accent1" phldr="1"/>
      <dgm:spPr/>
    </dgm:pt>
    <dgm:pt modelId="{6B56F6D4-55B5-6F40-BF7D-91FC823F33C2}">
      <dgm:prSet phldrT="[Text]"/>
      <dgm:spPr/>
      <dgm:t>
        <a:bodyPr/>
        <a:lstStyle/>
        <a:p>
          <a:r>
            <a:rPr lang="en-GB"/>
            <a:t>Preliminary consultation to inform development of proposed Regulations</a:t>
          </a:r>
        </a:p>
      </dgm:t>
    </dgm:pt>
    <dgm:pt modelId="{E972807C-C642-CA41-8DF7-142C3AFE66A7}" type="parTrans" cxnId="{027C3EE7-2229-E74E-BA4D-1A1437D8CE86}">
      <dgm:prSet/>
      <dgm:spPr/>
      <dgm:t>
        <a:bodyPr/>
        <a:lstStyle/>
        <a:p>
          <a:endParaRPr lang="en-GB">
            <a:solidFill>
              <a:sysClr val="windowText" lastClr="000000"/>
            </a:solidFill>
          </a:endParaRPr>
        </a:p>
      </dgm:t>
    </dgm:pt>
    <dgm:pt modelId="{4E309C99-ECE5-C24D-841A-4C2E1E24A317}" type="sibTrans" cxnId="{027C3EE7-2229-E74E-BA4D-1A1437D8CE86}">
      <dgm:prSet/>
      <dgm:spPr/>
      <dgm:t>
        <a:bodyPr/>
        <a:lstStyle/>
        <a:p>
          <a:endParaRPr lang="en-GB">
            <a:solidFill>
              <a:sysClr val="windowText" lastClr="000000"/>
            </a:solidFill>
          </a:endParaRPr>
        </a:p>
      </dgm:t>
    </dgm:pt>
    <dgm:pt modelId="{1A1F4D7A-9768-5C4B-899A-3B5F38EDF0BB}">
      <dgm:prSet phldrT="[Text]"/>
      <dgm:spPr/>
      <dgm:t>
        <a:bodyPr/>
        <a:lstStyle/>
        <a:p>
          <a:r>
            <a:rPr lang="en-GB"/>
            <a:t>Public consultation on the proposed Regulations</a:t>
          </a:r>
        </a:p>
      </dgm:t>
    </dgm:pt>
    <dgm:pt modelId="{575AF02B-A403-594E-B7B5-55D9D5C60560}" type="parTrans" cxnId="{5DF3B0FD-F53F-DC4D-AC05-E634ED4D20FB}">
      <dgm:prSet/>
      <dgm:spPr/>
      <dgm:t>
        <a:bodyPr/>
        <a:lstStyle/>
        <a:p>
          <a:endParaRPr lang="en-GB">
            <a:solidFill>
              <a:sysClr val="windowText" lastClr="000000"/>
            </a:solidFill>
          </a:endParaRPr>
        </a:p>
      </dgm:t>
    </dgm:pt>
    <dgm:pt modelId="{43FE2DBE-55CB-4940-88AA-7BB91C83A31A}" type="sibTrans" cxnId="{5DF3B0FD-F53F-DC4D-AC05-E634ED4D20FB}">
      <dgm:prSet/>
      <dgm:spPr/>
      <dgm:t>
        <a:bodyPr/>
        <a:lstStyle/>
        <a:p>
          <a:endParaRPr lang="en-GB">
            <a:solidFill>
              <a:sysClr val="windowText" lastClr="000000"/>
            </a:solidFill>
          </a:endParaRPr>
        </a:p>
      </dgm:t>
    </dgm:pt>
    <dgm:pt modelId="{59A65A82-8736-4A45-B419-5172645A5A28}">
      <dgm:prSet phldrT="[Text]"/>
      <dgm:spPr/>
      <dgm:t>
        <a:bodyPr/>
        <a:lstStyle/>
        <a:p>
          <a:r>
            <a:rPr lang="en-GB"/>
            <a:t>Consideration of all submissions on the proposed Regulations</a:t>
          </a:r>
        </a:p>
      </dgm:t>
    </dgm:pt>
    <dgm:pt modelId="{B40B0403-E87A-2440-8107-F15EC006BE22}" type="parTrans" cxnId="{81CF34DE-A1D9-204C-AB49-CC3A7D216F53}">
      <dgm:prSet/>
      <dgm:spPr/>
      <dgm:t>
        <a:bodyPr/>
        <a:lstStyle/>
        <a:p>
          <a:endParaRPr lang="en-GB">
            <a:solidFill>
              <a:sysClr val="windowText" lastClr="000000"/>
            </a:solidFill>
          </a:endParaRPr>
        </a:p>
      </dgm:t>
    </dgm:pt>
    <dgm:pt modelId="{9A698333-92FC-8748-99B1-1EE3E3951F3E}" type="sibTrans" cxnId="{81CF34DE-A1D9-204C-AB49-CC3A7D216F53}">
      <dgm:prSet/>
      <dgm:spPr/>
      <dgm:t>
        <a:bodyPr/>
        <a:lstStyle/>
        <a:p>
          <a:endParaRPr lang="en-GB">
            <a:solidFill>
              <a:sysClr val="windowText" lastClr="000000"/>
            </a:solidFill>
          </a:endParaRPr>
        </a:p>
      </dgm:t>
    </dgm:pt>
    <dgm:pt modelId="{3320799F-66C8-BB47-A33E-43345F820402}">
      <dgm:prSet/>
      <dgm:spPr/>
      <dgm:t>
        <a:bodyPr/>
        <a:lstStyle/>
        <a:p>
          <a:r>
            <a:rPr lang="en-GB"/>
            <a:t>Final decision on whether to make Regulations as proposed</a:t>
          </a:r>
        </a:p>
      </dgm:t>
    </dgm:pt>
    <dgm:pt modelId="{0641FBE3-C804-7F43-8FC2-5008E416B6F7}" type="parTrans" cxnId="{37242202-AA9E-044E-A41F-42A27A3A1957}">
      <dgm:prSet/>
      <dgm:spPr/>
      <dgm:t>
        <a:bodyPr/>
        <a:lstStyle/>
        <a:p>
          <a:endParaRPr lang="en-GB">
            <a:solidFill>
              <a:sysClr val="windowText" lastClr="000000"/>
            </a:solidFill>
          </a:endParaRPr>
        </a:p>
      </dgm:t>
    </dgm:pt>
    <dgm:pt modelId="{DC9C3BA3-E1F3-114D-BD4A-60891C3AF7A7}" type="sibTrans" cxnId="{37242202-AA9E-044E-A41F-42A27A3A1957}">
      <dgm:prSet/>
      <dgm:spPr/>
      <dgm:t>
        <a:bodyPr/>
        <a:lstStyle/>
        <a:p>
          <a:endParaRPr lang="en-GB">
            <a:solidFill>
              <a:sysClr val="windowText" lastClr="000000"/>
            </a:solidFill>
          </a:endParaRPr>
        </a:p>
      </dgm:t>
    </dgm:pt>
    <dgm:pt modelId="{5EFBFC0F-E07F-2C47-BE80-175B5D8E5581}" type="pres">
      <dgm:prSet presAssocID="{1B057EA7-40F7-FD49-96BC-DF51CBF8EDEC}" presName="Name0" presStyleCnt="0">
        <dgm:presLayoutVars>
          <dgm:dir/>
          <dgm:resizeHandles val="exact"/>
        </dgm:presLayoutVars>
      </dgm:prSet>
      <dgm:spPr/>
    </dgm:pt>
    <dgm:pt modelId="{7F63B049-6A6A-2D41-8ADD-6639709548A1}" type="pres">
      <dgm:prSet presAssocID="{6B56F6D4-55B5-6F40-BF7D-91FC823F33C2}" presName="parTxOnly" presStyleLbl="node1" presStyleIdx="0" presStyleCnt="4">
        <dgm:presLayoutVars>
          <dgm:bulletEnabled val="1"/>
        </dgm:presLayoutVars>
      </dgm:prSet>
      <dgm:spPr/>
      <dgm:t>
        <a:bodyPr/>
        <a:lstStyle/>
        <a:p>
          <a:endParaRPr lang="en-US"/>
        </a:p>
      </dgm:t>
    </dgm:pt>
    <dgm:pt modelId="{C7C86710-9271-FA49-B000-E96DFF2D2841}" type="pres">
      <dgm:prSet presAssocID="{4E309C99-ECE5-C24D-841A-4C2E1E24A317}" presName="parSpace" presStyleCnt="0"/>
      <dgm:spPr/>
    </dgm:pt>
    <dgm:pt modelId="{65EF7172-2022-5F4E-850F-53121AFB0794}" type="pres">
      <dgm:prSet presAssocID="{1A1F4D7A-9768-5C4B-899A-3B5F38EDF0BB}" presName="parTxOnly" presStyleLbl="node1" presStyleIdx="1" presStyleCnt="4">
        <dgm:presLayoutVars>
          <dgm:bulletEnabled val="1"/>
        </dgm:presLayoutVars>
      </dgm:prSet>
      <dgm:spPr/>
      <dgm:t>
        <a:bodyPr/>
        <a:lstStyle/>
        <a:p>
          <a:endParaRPr lang="en-US"/>
        </a:p>
      </dgm:t>
    </dgm:pt>
    <dgm:pt modelId="{7B5B853D-9BA0-F94C-B86A-958F2F6564E1}" type="pres">
      <dgm:prSet presAssocID="{43FE2DBE-55CB-4940-88AA-7BB91C83A31A}" presName="parSpace" presStyleCnt="0"/>
      <dgm:spPr/>
    </dgm:pt>
    <dgm:pt modelId="{AE7F32BC-2FDC-BC4B-A383-A922A97F967D}" type="pres">
      <dgm:prSet presAssocID="{59A65A82-8736-4A45-B419-5172645A5A28}" presName="parTxOnly" presStyleLbl="node1" presStyleIdx="2" presStyleCnt="4">
        <dgm:presLayoutVars>
          <dgm:bulletEnabled val="1"/>
        </dgm:presLayoutVars>
      </dgm:prSet>
      <dgm:spPr/>
      <dgm:t>
        <a:bodyPr/>
        <a:lstStyle/>
        <a:p>
          <a:endParaRPr lang="en-US"/>
        </a:p>
      </dgm:t>
    </dgm:pt>
    <dgm:pt modelId="{B1759A7A-99C0-5F46-BDCF-8F08E62E5695}" type="pres">
      <dgm:prSet presAssocID="{9A698333-92FC-8748-99B1-1EE3E3951F3E}" presName="parSpace" presStyleCnt="0"/>
      <dgm:spPr/>
    </dgm:pt>
    <dgm:pt modelId="{77743359-8A7B-DB44-948B-2A4AD4385BC1}" type="pres">
      <dgm:prSet presAssocID="{3320799F-66C8-BB47-A33E-43345F820402}" presName="parTxOnly" presStyleLbl="node1" presStyleIdx="3" presStyleCnt="4">
        <dgm:presLayoutVars>
          <dgm:bulletEnabled val="1"/>
        </dgm:presLayoutVars>
      </dgm:prSet>
      <dgm:spPr/>
      <dgm:t>
        <a:bodyPr/>
        <a:lstStyle/>
        <a:p>
          <a:endParaRPr lang="en-US"/>
        </a:p>
      </dgm:t>
    </dgm:pt>
  </dgm:ptLst>
  <dgm:cxnLst>
    <dgm:cxn modelId="{5DF3B0FD-F53F-DC4D-AC05-E634ED4D20FB}" srcId="{1B057EA7-40F7-FD49-96BC-DF51CBF8EDEC}" destId="{1A1F4D7A-9768-5C4B-899A-3B5F38EDF0BB}" srcOrd="1" destOrd="0" parTransId="{575AF02B-A403-594E-B7B5-55D9D5C60560}" sibTransId="{43FE2DBE-55CB-4940-88AA-7BB91C83A31A}"/>
    <dgm:cxn modelId="{81CF34DE-A1D9-204C-AB49-CC3A7D216F53}" srcId="{1B057EA7-40F7-FD49-96BC-DF51CBF8EDEC}" destId="{59A65A82-8736-4A45-B419-5172645A5A28}" srcOrd="2" destOrd="0" parTransId="{B40B0403-E87A-2440-8107-F15EC006BE22}" sibTransId="{9A698333-92FC-8748-99B1-1EE3E3951F3E}"/>
    <dgm:cxn modelId="{4240C4C2-E07B-4D17-9A55-F8248B1967A4}" type="presOf" srcId="{59A65A82-8736-4A45-B419-5172645A5A28}" destId="{AE7F32BC-2FDC-BC4B-A383-A922A97F967D}" srcOrd="0" destOrd="0" presId="urn:microsoft.com/office/officeart/2005/8/layout/hChevron3"/>
    <dgm:cxn modelId="{00E17D58-9C39-4A62-9228-83B859FDF097}" type="presOf" srcId="{3320799F-66C8-BB47-A33E-43345F820402}" destId="{77743359-8A7B-DB44-948B-2A4AD4385BC1}" srcOrd="0" destOrd="0" presId="urn:microsoft.com/office/officeart/2005/8/layout/hChevron3"/>
    <dgm:cxn modelId="{057D3A08-487D-4B49-AE62-2C6423286E2B}" type="presOf" srcId="{1B057EA7-40F7-FD49-96BC-DF51CBF8EDEC}" destId="{5EFBFC0F-E07F-2C47-BE80-175B5D8E5581}" srcOrd="0" destOrd="0" presId="urn:microsoft.com/office/officeart/2005/8/layout/hChevron3"/>
    <dgm:cxn modelId="{37242202-AA9E-044E-A41F-42A27A3A1957}" srcId="{1B057EA7-40F7-FD49-96BC-DF51CBF8EDEC}" destId="{3320799F-66C8-BB47-A33E-43345F820402}" srcOrd="3" destOrd="0" parTransId="{0641FBE3-C804-7F43-8FC2-5008E416B6F7}" sibTransId="{DC9C3BA3-E1F3-114D-BD4A-60891C3AF7A7}"/>
    <dgm:cxn modelId="{027C3EE7-2229-E74E-BA4D-1A1437D8CE86}" srcId="{1B057EA7-40F7-FD49-96BC-DF51CBF8EDEC}" destId="{6B56F6D4-55B5-6F40-BF7D-91FC823F33C2}" srcOrd="0" destOrd="0" parTransId="{E972807C-C642-CA41-8DF7-142C3AFE66A7}" sibTransId="{4E309C99-ECE5-C24D-841A-4C2E1E24A317}"/>
    <dgm:cxn modelId="{D76173AF-979C-4425-BF6D-28DAF28BA62F}" type="presOf" srcId="{6B56F6D4-55B5-6F40-BF7D-91FC823F33C2}" destId="{7F63B049-6A6A-2D41-8ADD-6639709548A1}" srcOrd="0" destOrd="0" presId="urn:microsoft.com/office/officeart/2005/8/layout/hChevron3"/>
    <dgm:cxn modelId="{8472373F-EB1F-4563-BB2D-4AB238806182}" type="presOf" srcId="{1A1F4D7A-9768-5C4B-899A-3B5F38EDF0BB}" destId="{65EF7172-2022-5F4E-850F-53121AFB0794}" srcOrd="0" destOrd="0" presId="urn:microsoft.com/office/officeart/2005/8/layout/hChevron3"/>
    <dgm:cxn modelId="{4D53BA14-63D2-49BB-9375-113863D9BBC0}" type="presParOf" srcId="{5EFBFC0F-E07F-2C47-BE80-175B5D8E5581}" destId="{7F63B049-6A6A-2D41-8ADD-6639709548A1}" srcOrd="0" destOrd="0" presId="urn:microsoft.com/office/officeart/2005/8/layout/hChevron3"/>
    <dgm:cxn modelId="{2ED2909C-678A-4864-B520-358EAC3F7AE1}" type="presParOf" srcId="{5EFBFC0F-E07F-2C47-BE80-175B5D8E5581}" destId="{C7C86710-9271-FA49-B000-E96DFF2D2841}" srcOrd="1" destOrd="0" presId="urn:microsoft.com/office/officeart/2005/8/layout/hChevron3"/>
    <dgm:cxn modelId="{8DC23248-5C59-480D-A545-78C3114E952A}" type="presParOf" srcId="{5EFBFC0F-E07F-2C47-BE80-175B5D8E5581}" destId="{65EF7172-2022-5F4E-850F-53121AFB0794}" srcOrd="2" destOrd="0" presId="urn:microsoft.com/office/officeart/2005/8/layout/hChevron3"/>
    <dgm:cxn modelId="{75087174-9855-479E-B698-BD1401F971D5}" type="presParOf" srcId="{5EFBFC0F-E07F-2C47-BE80-175B5D8E5581}" destId="{7B5B853D-9BA0-F94C-B86A-958F2F6564E1}" srcOrd="3" destOrd="0" presId="urn:microsoft.com/office/officeart/2005/8/layout/hChevron3"/>
    <dgm:cxn modelId="{EC768020-B023-4E06-8840-BC16988C27C2}" type="presParOf" srcId="{5EFBFC0F-E07F-2C47-BE80-175B5D8E5581}" destId="{AE7F32BC-2FDC-BC4B-A383-A922A97F967D}" srcOrd="4" destOrd="0" presId="urn:microsoft.com/office/officeart/2005/8/layout/hChevron3"/>
    <dgm:cxn modelId="{A44CB06D-0041-4098-A0FF-F108DAED1A70}" type="presParOf" srcId="{5EFBFC0F-E07F-2C47-BE80-175B5D8E5581}" destId="{B1759A7A-99C0-5F46-BDCF-8F08E62E5695}" srcOrd="5" destOrd="0" presId="urn:microsoft.com/office/officeart/2005/8/layout/hChevron3"/>
    <dgm:cxn modelId="{F288AD14-EFDC-4B67-8B59-1A7374A4A8DA}" type="presParOf" srcId="{5EFBFC0F-E07F-2C47-BE80-175B5D8E5581}" destId="{77743359-8A7B-DB44-948B-2A4AD4385BC1}" srcOrd="6" destOrd="0" presId="urn:microsoft.com/office/officeart/2005/8/layout/hChevron3"/>
  </dgm:cxnLst>
  <dgm:bg/>
  <dgm:whole/>
  <dgm:extLst>
    <a:ext uri="http://schemas.microsoft.com/office/drawing/2008/diagram">
      <dsp:dataModelExt xmlns:dsp="http://schemas.microsoft.com/office/drawing/2008/diagram" relId="rId26"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63B049-6A6A-2D41-8ADD-6639709548A1}">
      <dsp:nvSpPr>
        <dsp:cNvPr id="0" name=""/>
        <dsp:cNvSpPr/>
      </dsp:nvSpPr>
      <dsp:spPr>
        <a:xfrm>
          <a:off x="1655" y="111263"/>
          <a:ext cx="1661418" cy="664567"/>
        </a:xfrm>
        <a:prstGeom prst="homePlate">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lvl="0" algn="ctr" defTabSz="400050">
            <a:lnSpc>
              <a:spcPct val="90000"/>
            </a:lnSpc>
            <a:spcBef>
              <a:spcPct val="0"/>
            </a:spcBef>
            <a:spcAft>
              <a:spcPct val="35000"/>
            </a:spcAft>
          </a:pPr>
          <a:r>
            <a:rPr lang="en-GB" sz="900" kern="1200"/>
            <a:t>Preliminary consultation to inform development of proposed Regulations</a:t>
          </a:r>
        </a:p>
      </dsp:txBody>
      <dsp:txXfrm>
        <a:off x="1655" y="111263"/>
        <a:ext cx="1495276" cy="664567"/>
      </dsp:txXfrm>
    </dsp:sp>
    <dsp:sp modelId="{65EF7172-2022-5F4E-850F-53121AFB0794}">
      <dsp:nvSpPr>
        <dsp:cNvPr id="0" name=""/>
        <dsp:cNvSpPr/>
      </dsp:nvSpPr>
      <dsp:spPr>
        <a:xfrm>
          <a:off x="1330790" y="111263"/>
          <a:ext cx="1661418" cy="664567"/>
        </a:xfrm>
        <a:prstGeom prst="chevron">
          <a:avLst/>
        </a:prstGeom>
        <a:solidFill>
          <a:schemeClr val="accent1">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GB" sz="900" kern="1200"/>
            <a:t>Public consultation on the proposed Regulations</a:t>
          </a:r>
        </a:p>
      </dsp:txBody>
      <dsp:txXfrm>
        <a:off x="1663074" y="111263"/>
        <a:ext cx="996851" cy="664567"/>
      </dsp:txXfrm>
    </dsp:sp>
    <dsp:sp modelId="{AE7F32BC-2FDC-BC4B-A383-A922A97F967D}">
      <dsp:nvSpPr>
        <dsp:cNvPr id="0" name=""/>
        <dsp:cNvSpPr/>
      </dsp:nvSpPr>
      <dsp:spPr>
        <a:xfrm>
          <a:off x="2659925" y="111263"/>
          <a:ext cx="1661418" cy="664567"/>
        </a:xfrm>
        <a:prstGeom prst="chevron">
          <a:avLst/>
        </a:prstGeom>
        <a:solidFill>
          <a:schemeClr val="accent1">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GB" sz="900" kern="1200"/>
            <a:t>Consideration of all submissions on the proposed Regulations</a:t>
          </a:r>
        </a:p>
      </dsp:txBody>
      <dsp:txXfrm>
        <a:off x="2992209" y="111263"/>
        <a:ext cx="996851" cy="664567"/>
      </dsp:txXfrm>
    </dsp:sp>
    <dsp:sp modelId="{77743359-8A7B-DB44-948B-2A4AD4385BC1}">
      <dsp:nvSpPr>
        <dsp:cNvPr id="0" name=""/>
        <dsp:cNvSpPr/>
      </dsp:nvSpPr>
      <dsp:spPr>
        <a:xfrm>
          <a:off x="3989060" y="111263"/>
          <a:ext cx="1661418" cy="664567"/>
        </a:xfrm>
        <a:prstGeom prst="chevron">
          <a:avLst/>
        </a:prstGeom>
        <a:solidFill>
          <a:schemeClr val="accent1">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GB" sz="900" kern="1200"/>
            <a:t>Final decision on whether to make Regulations as proposed</a:t>
          </a:r>
        </a:p>
      </dsp:txBody>
      <dsp:txXfrm>
        <a:off x="4321344" y="111263"/>
        <a:ext cx="996851" cy="664567"/>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DET Corp">
      <a:dk1>
        <a:srgbClr val="000000"/>
      </a:dk1>
      <a:lt1>
        <a:srgbClr val="FFFFFF"/>
      </a:lt1>
      <a:dk2>
        <a:srgbClr val="53565A"/>
      </a:dk2>
      <a:lt2>
        <a:srgbClr val="D9D9D6"/>
      </a:lt2>
      <a:accent1>
        <a:srgbClr val="004EA8"/>
      </a:accent1>
      <a:accent2>
        <a:srgbClr val="87189D"/>
      </a:accent2>
      <a:accent3>
        <a:srgbClr val="00B7BD"/>
      </a:accent3>
      <a:accent4>
        <a:srgbClr val="201547"/>
      </a:accent4>
      <a:accent5>
        <a:srgbClr val="AF272F"/>
      </a:accent5>
      <a:accent6>
        <a:srgbClr val="201547"/>
      </a:accent6>
      <a:hlink>
        <a:srgbClr val="004EA8"/>
      </a:hlink>
      <a:folHlink>
        <a:srgbClr val="87189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179279A8B8874893CAECA068EB3E17" ma:contentTypeVersion="1" ma:contentTypeDescription="Create a new document." ma:contentTypeScope="" ma:versionID="d475284b1e5367bd9d60f2242c6a8273">
  <xsd:schema xmlns:xsd="http://www.w3.org/2001/XMLSchema" xmlns:xs="http://www.w3.org/2001/XMLSchema" xmlns:p="http://schemas.microsoft.com/office/2006/metadata/properties" xmlns:ns2="http://schemas.microsoft.com/sharepoint/v3/fields" targetNamespace="http://schemas.microsoft.com/office/2006/metadata/properties" ma:root="true" ma:fieldsID="9a530634d6a4b5c4ef7bbb65afbcc263"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73080-E1ED-4F11-B65C-187E4F4D3C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10F057-6535-405B-818B-A624C7C5EB85}">
  <ds:schemaRefs>
    <ds:schemaRef ds:uri="http://schemas.microsoft.com/office/2006/metadata/properties"/>
    <ds:schemaRef ds:uri="http://schemas.microsoft.com/office/infopath/2007/PartnerControls"/>
    <ds:schemaRef ds:uri="http://schemas.microsoft.com/sharepoint/v3/fields"/>
  </ds:schemaRefs>
</ds:datastoreItem>
</file>

<file path=customXml/itemProps3.xml><?xml version="1.0" encoding="utf-8"?>
<ds:datastoreItem xmlns:ds="http://schemas.openxmlformats.org/officeDocument/2006/customXml" ds:itemID="{2E3E3ADA-D195-4991-A6C6-F978EBC21377}">
  <ds:schemaRefs>
    <ds:schemaRef ds:uri="http://schemas.microsoft.com/sharepoint/v3/contenttype/forms"/>
  </ds:schemaRefs>
</ds:datastoreItem>
</file>

<file path=customXml/itemProps4.xml><?xml version="1.0" encoding="utf-8"?>
<ds:datastoreItem xmlns:ds="http://schemas.openxmlformats.org/officeDocument/2006/customXml" ds:itemID="{3A70923C-A81F-41D6-BDF8-B37D5420F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140</Pages>
  <Words>52276</Words>
  <Characters>297975</Characters>
  <Application>Microsoft Office Word</Application>
  <DocSecurity>0</DocSecurity>
  <Lines>2483</Lines>
  <Paragraphs>699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Lim</dc:creator>
  <cp:keywords/>
  <dc:description/>
  <cp:lastModifiedBy>Suntesic, Gina G</cp:lastModifiedBy>
  <cp:revision>10</cp:revision>
  <cp:lastPrinted>2020-02-18T01:41:00Z</cp:lastPrinted>
  <dcterms:created xsi:type="dcterms:W3CDTF">2020-02-14T06:15:00Z</dcterms:created>
  <dcterms:modified xsi:type="dcterms:W3CDTF">2020-02-18T05:47:00Z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0x01010073179279A8B8874893CAECA068EB3E17</vt:lpwstr>
  </property>
  <property fmtid="{D5CDD505-2E9C-101B-9397-08002B2CF9AE}" pid="3" name="DET_EDRMS_RCSTaxHTField0">
    <vt:lpwstr/>
  </property>
  <property fmtid="{D5CDD505-2E9C-101B-9397-08002B2CF9AE}" pid="4" name="DET_EDRMS_SecClassTaxHTField0">
    <vt:lpwstr/>
  </property>
  <property fmtid="{D5CDD505-2E9C-101B-9397-08002B2CF9AE}" pid="5" name="DET_EDRMS_RCS">
    <vt:lpwstr/>
  </property>
  <property fmtid="{D5CDD505-2E9C-101B-9397-08002B2CF9AE}" pid="6" name="DET_EDRMS_BusUnitTaxHTField0">
    <vt:lpwstr/>
  </property>
  <property fmtid="{D5CDD505-2E9C-101B-9397-08002B2CF9AE}" pid="7" name="DET_EDRMS_BusUnit">
    <vt:lpwstr/>
  </property>
  <property fmtid="{D5CDD505-2E9C-101B-9397-08002B2CF9AE}" pid="8" name="DET_EDRMS_SecClass">
    <vt:lpwstr/>
  </property>
  <property fmtid="{D5CDD505-2E9C-101B-9397-08002B2CF9AE}" pid="9" name="TaxCatchAll">
    <vt:lpwstr/>
  </property>
</Properties>
</file>